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16"/>
          <w:szCs w:val="16"/>
        </w:rPr>
      </w:pPr>
    </w:p>
    <w:p>
      <w:pPr>
        <w:spacing w:line="3210" w:lineRule="exact"/>
        <w:ind w:left="3856"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3"/>
          <w:sz w:val="20"/>
          <w:szCs w:val="20"/>
        </w:rPr>
        <w:drawing>
          <wp:inline distT="0" distB="0" distL="0" distR="0">
            <wp:extent cx="1410290" cy="20383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10290" cy="2038350"/>
                    </a:xfrm>
                    <a:prstGeom prst="rect">
                      <a:avLst/>
                    </a:prstGeom>
                  </pic:spPr>
                </pic:pic>
              </a:graphicData>
            </a:graphic>
          </wp:inline>
        </w:drawing>
      </w:r>
      <w:r>
        <w:rPr>
          <w:rFonts w:ascii="Times New Roman" w:hAnsi="Times New Roman" w:cs="Times New Roman" w:eastAsia="Times New Roman" w:hint="default"/>
          <w:position w:val="-63"/>
          <w:sz w:val="20"/>
          <w:szCs w:val="20"/>
        </w:rPr>
      </w:r>
    </w:p>
    <w:p>
      <w:pPr>
        <w:spacing w:line="240" w:lineRule="auto" w:before="10"/>
        <w:rPr>
          <w:rFonts w:ascii="Times New Roman" w:hAnsi="Times New Roman" w:cs="Times New Roman" w:eastAsia="Times New Roman" w:hint="default"/>
          <w:sz w:val="14"/>
          <w:szCs w:val="14"/>
        </w:rPr>
      </w:pPr>
    </w:p>
    <w:p>
      <w:pPr>
        <w:spacing w:line="460" w:lineRule="exact" w:before="0"/>
        <w:ind w:left="494" w:right="1480" w:firstLine="0"/>
        <w:jc w:val="center"/>
        <w:rPr>
          <w:rFonts w:ascii="宋体" w:hAnsi="宋体" w:cs="宋体" w:eastAsia="宋体" w:hint="default"/>
          <w:sz w:val="36"/>
          <w:szCs w:val="36"/>
        </w:rPr>
      </w:pPr>
      <w:r>
        <w:rPr>
          <w:rFonts w:ascii="宋体" w:hAnsi="宋体" w:cs="宋体" w:eastAsia="宋体" w:hint="default"/>
          <w:b/>
          <w:bCs/>
          <w:sz w:val="36"/>
          <w:szCs w:val="36"/>
        </w:rPr>
        <w:t>易联众信息技术股份有限公司</w:t>
      </w:r>
      <w:r>
        <w:rPr>
          <w:rFonts w:ascii="宋体" w:hAnsi="宋体" w:cs="宋体" w:eastAsia="宋体" w:hint="default"/>
          <w:sz w:val="36"/>
          <w:szCs w:val="36"/>
        </w:rPr>
      </w:r>
    </w:p>
    <w:p>
      <w:pPr>
        <w:spacing w:line="240" w:lineRule="auto" w:before="6"/>
        <w:rPr>
          <w:rFonts w:ascii="宋体" w:hAnsi="宋体" w:cs="宋体" w:eastAsia="宋体" w:hint="default"/>
          <w:b/>
          <w:bCs/>
          <w:sz w:val="30"/>
          <w:szCs w:val="30"/>
        </w:rPr>
      </w:pPr>
    </w:p>
    <w:p>
      <w:pPr>
        <w:spacing w:before="0"/>
        <w:ind w:left="494" w:right="147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8"/>
        <w:rPr>
          <w:rFonts w:ascii="宋体" w:hAnsi="宋体" w:cs="宋体" w:eastAsia="宋体" w:hint="default"/>
          <w:b/>
          <w:bCs/>
          <w:sz w:val="48"/>
          <w:szCs w:val="48"/>
        </w:rPr>
      </w:pPr>
    </w:p>
    <w:p>
      <w:pPr>
        <w:spacing w:before="0"/>
        <w:ind w:left="494" w:right="147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8" w:footer="974" w:top="1060" w:bottom="1160" w:left="980" w:right="0"/>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9"/>
          <w:szCs w:val="19"/>
        </w:rPr>
      </w:pPr>
    </w:p>
    <w:p>
      <w:pPr>
        <w:pStyle w:val="Heading1"/>
        <w:spacing w:line="240" w:lineRule="auto"/>
        <w:ind w:left="2885" w:right="1133"/>
        <w:jc w:val="left"/>
        <w:rPr>
          <w:b w:val="0"/>
          <w:bCs w:val="0"/>
        </w:rPr>
      </w:pPr>
      <w:bookmarkStart w:name="_bookmark0" w:id="1"/>
      <w:bookmarkEnd w:id="1"/>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2"/>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3"/>
        <w:ind w:left="15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公司负责人张曦、主管会计工作负责人陈东红及会计机构负责人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尤泽祥声明：保证年度报告中财务报告的真实、准确、完整。</w:t>
      </w:r>
      <w:r>
        <w:rPr>
          <w:rFonts w:ascii="宋体" w:hAnsi="宋体" w:cs="宋体" w:eastAsia="宋体" w:hint="default"/>
          <w:sz w:val="28"/>
          <w:szCs w:val="28"/>
        </w:rPr>
      </w:r>
    </w:p>
    <w:p>
      <w:pPr>
        <w:spacing w:line="472" w:lineRule="auto" w:before="148"/>
        <w:ind w:left="714" w:right="1133"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spacing w:val="2"/>
          <w:sz w:val="28"/>
          <w:szCs w:val="28"/>
        </w:rPr>
      </w:r>
    </w:p>
    <w:p>
      <w:pPr>
        <w:spacing w:line="393" w:lineRule="auto" w:before="0"/>
        <w:ind w:left="152" w:right="1128" w:firstLine="0"/>
        <w:jc w:val="both"/>
        <w:rPr>
          <w:rFonts w:ascii="宋体" w:hAnsi="宋体" w:cs="宋体" w:eastAsia="宋体" w:hint="default"/>
          <w:sz w:val="28"/>
          <w:szCs w:val="28"/>
        </w:rPr>
      </w:pP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认识，并且应当理解计划、预测与承诺之间的差异。本公司在本报告第四节</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经</w:t>
      </w:r>
      <w:r>
        <w:rPr>
          <w:rFonts w:ascii="宋体" w:hAnsi="宋体" w:cs="宋体" w:eastAsia="宋体" w:hint="default"/>
          <w:b/>
          <w:bCs/>
          <w:spacing w:val="-130"/>
          <w:sz w:val="28"/>
          <w:szCs w:val="28"/>
        </w:rPr>
        <w:t> </w:t>
      </w:r>
      <w:r>
        <w:rPr>
          <w:rFonts w:ascii="宋体" w:hAnsi="宋体" w:cs="宋体" w:eastAsia="宋体" w:hint="default"/>
          <w:b/>
          <w:bCs/>
          <w:spacing w:val="-2"/>
          <w:sz w:val="28"/>
          <w:szCs w:val="28"/>
        </w:rPr>
        <w:t>营情况讨论与分析</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之</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九、公司未来发展的展望</w:t>
      </w:r>
      <w:r>
        <w:rPr>
          <w:rFonts w:ascii="Times New Roman" w:hAnsi="Times New Roman" w:cs="Times New Roman" w:eastAsia="Times New Roman" w:hint="default"/>
          <w:b/>
          <w:bCs/>
          <w:spacing w:val="-2"/>
          <w:sz w:val="28"/>
          <w:szCs w:val="28"/>
        </w:rPr>
        <w:t>”</w:t>
      </w:r>
      <w:r>
        <w:rPr>
          <w:rFonts w:ascii="宋体" w:hAnsi="宋体" w:cs="宋体" w:eastAsia="宋体" w:hint="default"/>
          <w:b/>
          <w:bCs/>
          <w:spacing w:val="-2"/>
          <w:sz w:val="28"/>
          <w:szCs w:val="28"/>
        </w:rPr>
        <w:t>中，详细描述了公司经营中可</w:t>
      </w:r>
      <w:r>
        <w:rPr>
          <w:rFonts w:ascii="宋体" w:hAnsi="宋体" w:cs="宋体" w:eastAsia="宋体" w:hint="default"/>
          <w:b/>
          <w:bCs/>
          <w:spacing w:val="-133"/>
          <w:sz w:val="28"/>
          <w:szCs w:val="28"/>
        </w:rPr>
        <w:t> </w:t>
      </w:r>
      <w:r>
        <w:rPr>
          <w:rFonts w:ascii="宋体" w:hAnsi="宋体" w:cs="宋体" w:eastAsia="宋体" w:hint="default"/>
          <w:b/>
          <w:bCs/>
          <w:spacing w:val="-133"/>
          <w:sz w:val="28"/>
          <w:szCs w:val="28"/>
        </w:rPr>
      </w:r>
      <w:r>
        <w:rPr>
          <w:rFonts w:ascii="宋体" w:hAnsi="宋体" w:cs="宋体" w:eastAsia="宋体" w:hint="default"/>
          <w:b/>
          <w:bCs/>
          <w:sz w:val="28"/>
          <w:szCs w:val="28"/>
        </w:rPr>
        <w:t>能面对的风险及应对措施，敬请投资者注意并仔细阅读。</w:t>
      </w:r>
      <w:r>
        <w:rPr>
          <w:rFonts w:ascii="宋体" w:hAnsi="宋体" w:cs="宋体" w:eastAsia="宋体" w:hint="default"/>
          <w:sz w:val="28"/>
          <w:szCs w:val="28"/>
        </w:rPr>
      </w:r>
    </w:p>
    <w:p>
      <w:pPr>
        <w:spacing w:before="179"/>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430,000,000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股为基数，</w:t>
      </w:r>
      <w:r>
        <w:rPr>
          <w:rFonts w:ascii="宋体" w:hAnsi="宋体" w:cs="宋体" w:eastAsia="宋体" w:hint="default"/>
          <w:sz w:val="28"/>
          <w:szCs w:val="28"/>
        </w:rPr>
      </w:r>
    </w:p>
    <w:p>
      <w:pPr>
        <w:spacing w:before="236"/>
        <w:ind w:left="152" w:right="0" w:firstLine="0"/>
        <w:jc w:val="both"/>
        <w:rPr>
          <w:rFonts w:ascii="宋体" w:hAnsi="宋体" w:cs="宋体" w:eastAsia="宋体" w:hint="default"/>
          <w:sz w:val="28"/>
          <w:szCs w:val="28"/>
        </w:rPr>
      </w:pPr>
      <w:r>
        <w:rPr>
          <w:rFonts w:ascii="宋体" w:hAnsi="宋体" w:cs="宋体" w:eastAsia="宋体" w:hint="default"/>
          <w:b/>
          <w:bCs/>
          <w:w w:val="99"/>
          <w:sz w:val="28"/>
          <w:szCs w:val="28"/>
        </w:rPr>
        <w:t>向全</w:t>
      </w:r>
      <w:r>
        <w:rPr>
          <w:rFonts w:ascii="宋体" w:hAnsi="宋体" w:cs="宋体" w:eastAsia="宋体" w:hint="default"/>
          <w:b/>
          <w:bCs/>
          <w:spacing w:val="2"/>
          <w:w w:val="99"/>
          <w:sz w:val="28"/>
          <w:szCs w:val="28"/>
        </w:rPr>
        <w:t>体</w:t>
      </w:r>
      <w:r>
        <w:rPr>
          <w:rFonts w:ascii="宋体" w:hAnsi="宋体" w:cs="宋体" w:eastAsia="宋体" w:hint="default"/>
          <w:b/>
          <w:bCs/>
          <w:w w:val="99"/>
          <w:sz w:val="28"/>
          <w:szCs w:val="28"/>
        </w:rPr>
        <w:t>股东每</w:t>
      </w:r>
      <w:r>
        <w:rPr>
          <w:rFonts w:ascii="宋体" w:hAnsi="宋体" w:cs="宋体" w:eastAsia="宋体" w:hint="default"/>
          <w:b/>
          <w:bCs/>
          <w:spacing w:val="-71"/>
          <w:sz w:val="28"/>
          <w:szCs w:val="28"/>
        </w:rPr>
        <w:t> </w:t>
      </w:r>
      <w:r>
        <w:rPr>
          <w:rFonts w:ascii="Times New Roman" w:hAnsi="Times New Roman" w:cs="Times New Roman" w:eastAsia="Times New Roman" w:hint="default"/>
          <w:b/>
          <w:bCs/>
          <w:spacing w:val="1"/>
          <w:w w:val="100"/>
          <w:sz w:val="28"/>
          <w:szCs w:val="28"/>
        </w:rPr>
        <w:t>1</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pacing w:val="-2"/>
          <w:sz w:val="28"/>
          <w:szCs w:val="28"/>
        </w:rPr>
        <w:t> </w:t>
      </w:r>
      <w:r>
        <w:rPr>
          <w:rFonts w:ascii="宋体" w:hAnsi="宋体" w:cs="宋体" w:eastAsia="宋体" w:hint="default"/>
          <w:b/>
          <w:bCs/>
          <w:w w:val="99"/>
          <w:sz w:val="28"/>
          <w:szCs w:val="28"/>
        </w:rPr>
        <w:t>股派发</w:t>
      </w:r>
      <w:r>
        <w:rPr>
          <w:rFonts w:ascii="宋体" w:hAnsi="宋体" w:cs="宋体" w:eastAsia="宋体" w:hint="default"/>
          <w:b/>
          <w:bCs/>
          <w:spacing w:val="2"/>
          <w:w w:val="99"/>
          <w:sz w:val="28"/>
          <w:szCs w:val="28"/>
        </w:rPr>
        <w:t>现</w:t>
      </w:r>
      <w:r>
        <w:rPr>
          <w:rFonts w:ascii="宋体" w:hAnsi="宋体" w:cs="宋体" w:eastAsia="宋体" w:hint="default"/>
          <w:b/>
          <w:bCs/>
          <w:w w:val="99"/>
          <w:sz w:val="28"/>
          <w:szCs w:val="28"/>
        </w:rPr>
        <w:t>金红利</w:t>
      </w:r>
      <w:r>
        <w:rPr>
          <w:rFonts w:ascii="宋体" w:hAnsi="宋体" w:cs="宋体" w:eastAsia="宋体" w:hint="default"/>
          <w:b/>
          <w:bCs/>
          <w:spacing w:val="-71"/>
          <w:sz w:val="28"/>
          <w:szCs w:val="28"/>
        </w:rPr>
        <w:t> </w:t>
      </w:r>
      <w:r>
        <w:rPr>
          <w:rFonts w:ascii="Times New Roman" w:hAnsi="Times New Roman" w:cs="Times New Roman" w:eastAsia="Times New Roman" w:hint="default"/>
          <w:b/>
          <w:bCs/>
          <w:w w:val="100"/>
          <w:sz w:val="28"/>
          <w:szCs w:val="28"/>
        </w:rPr>
        <w:t>0.05</w:t>
      </w:r>
      <w:r>
        <w:rPr>
          <w:rFonts w:ascii="Times New Roman" w:hAnsi="Times New Roman" w:cs="Times New Roman" w:eastAsia="Times New Roman" w:hint="default"/>
          <w:b/>
          <w:bCs/>
          <w:spacing w:val="-1"/>
          <w:sz w:val="28"/>
          <w:szCs w:val="28"/>
        </w:rPr>
        <w:t> </w:t>
      </w:r>
      <w:r>
        <w:rPr>
          <w:rFonts w:ascii="宋体" w:hAnsi="宋体" w:cs="宋体" w:eastAsia="宋体" w:hint="default"/>
          <w:b/>
          <w:bCs/>
          <w:spacing w:val="-32"/>
          <w:w w:val="99"/>
          <w:sz w:val="28"/>
          <w:szCs w:val="28"/>
        </w:rPr>
        <w:t>元</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送</w:t>
      </w:r>
      <w:r>
        <w:rPr>
          <w:rFonts w:ascii="宋体" w:hAnsi="宋体" w:cs="宋体" w:eastAsia="宋体" w:hint="default"/>
          <w:b/>
          <w:bCs/>
          <w:spacing w:val="2"/>
          <w:w w:val="99"/>
          <w:sz w:val="28"/>
          <w:szCs w:val="28"/>
        </w:rPr>
        <w:t>红</w:t>
      </w:r>
      <w:r>
        <w:rPr>
          <w:rFonts w:ascii="宋体" w:hAnsi="宋体" w:cs="宋体" w:eastAsia="宋体" w:hint="default"/>
          <w:b/>
          <w:bCs/>
          <w:w w:val="99"/>
          <w:sz w:val="28"/>
          <w:szCs w:val="28"/>
        </w:rPr>
        <w:t>股</w:t>
      </w:r>
      <w:r>
        <w:rPr>
          <w:rFonts w:ascii="宋体" w:hAnsi="宋体" w:cs="宋体" w:eastAsia="宋体" w:hint="default"/>
          <w:b/>
          <w:bCs/>
          <w:spacing w:val="-72"/>
          <w:sz w:val="28"/>
          <w:szCs w:val="28"/>
        </w:rPr>
        <w:t> </w:t>
      </w:r>
      <w:r>
        <w:rPr>
          <w:rFonts w:ascii="Times New Roman" w:hAnsi="Times New Roman" w:cs="Times New Roman" w:eastAsia="Times New Roman" w:hint="default"/>
          <w:b/>
          <w:bCs/>
          <w:w w:val="100"/>
          <w:sz w:val="28"/>
          <w:szCs w:val="28"/>
        </w:rPr>
        <w:t>0</w:t>
      </w:r>
      <w:r>
        <w:rPr>
          <w:rFonts w:ascii="Times New Roman" w:hAnsi="Times New Roman" w:cs="Times New Roman" w:eastAsia="Times New Roman" w:hint="default"/>
          <w:b/>
          <w:bCs/>
          <w:sz w:val="28"/>
          <w:szCs w:val="28"/>
        </w:rPr>
        <w:t> </w:t>
      </w:r>
      <w:r>
        <w:rPr>
          <w:rFonts w:ascii="宋体" w:hAnsi="宋体" w:cs="宋体" w:eastAsia="宋体" w:hint="default"/>
          <w:b/>
          <w:bCs/>
          <w:spacing w:val="-32"/>
          <w:w w:val="99"/>
          <w:sz w:val="28"/>
          <w:szCs w:val="28"/>
        </w:rPr>
        <w:t>股</w:t>
      </w:r>
      <w:r>
        <w:rPr>
          <w:rFonts w:ascii="宋体" w:hAnsi="宋体" w:cs="宋体" w:eastAsia="宋体" w:hint="default"/>
          <w:b/>
          <w:bCs/>
          <w:w w:val="99"/>
          <w:sz w:val="28"/>
          <w:szCs w:val="28"/>
        </w:rPr>
        <w:t>（含</w:t>
      </w:r>
      <w:r>
        <w:rPr>
          <w:rFonts w:ascii="宋体" w:hAnsi="宋体" w:cs="宋体" w:eastAsia="宋体" w:hint="default"/>
          <w:b/>
          <w:bCs/>
          <w:spacing w:val="2"/>
          <w:w w:val="99"/>
          <w:sz w:val="28"/>
          <w:szCs w:val="28"/>
        </w:rPr>
        <w:t>税</w:t>
      </w:r>
      <w:r>
        <w:rPr>
          <w:rFonts w:ascii="宋体" w:hAnsi="宋体" w:cs="宋体" w:eastAsia="宋体" w:hint="default"/>
          <w:b/>
          <w:bCs/>
          <w:spacing w:val="-142"/>
          <w:w w:val="99"/>
          <w:sz w:val="28"/>
          <w:szCs w:val="28"/>
        </w:rPr>
        <w:t>）</w:t>
      </w:r>
      <w:r>
        <w:rPr>
          <w:rFonts w:ascii="宋体" w:hAnsi="宋体" w:cs="宋体" w:eastAsia="宋体" w:hint="default"/>
          <w:b/>
          <w:bCs/>
          <w:spacing w:val="-32"/>
          <w:w w:val="99"/>
          <w:sz w:val="28"/>
          <w:szCs w:val="28"/>
        </w:rPr>
        <w:t>，</w:t>
      </w:r>
      <w:r>
        <w:rPr>
          <w:rFonts w:ascii="宋体" w:hAnsi="宋体" w:cs="宋体" w:eastAsia="宋体" w:hint="default"/>
          <w:b/>
          <w:bCs/>
          <w:w w:val="99"/>
          <w:sz w:val="28"/>
          <w:szCs w:val="28"/>
        </w:rPr>
        <w:t>以资本</w:t>
      </w:r>
      <w:r>
        <w:rPr>
          <w:rFonts w:ascii="宋体" w:hAnsi="宋体" w:cs="宋体" w:eastAsia="宋体" w:hint="default"/>
          <w:sz w:val="28"/>
          <w:szCs w:val="28"/>
        </w:rPr>
      </w:r>
    </w:p>
    <w:p>
      <w:pPr>
        <w:spacing w:before="237"/>
        <w:ind w:left="152" w:right="0" w:firstLine="0"/>
        <w:jc w:val="both"/>
        <w:rPr>
          <w:rFonts w:ascii="宋体" w:hAnsi="宋体" w:cs="宋体" w:eastAsia="宋体" w:hint="default"/>
          <w:sz w:val="28"/>
          <w:szCs w:val="28"/>
        </w:rPr>
      </w:pPr>
      <w:r>
        <w:rPr>
          <w:rFonts w:ascii="宋体" w:hAnsi="宋体" w:cs="宋体" w:eastAsia="宋体" w:hint="default"/>
          <w:b/>
          <w:bCs/>
          <w:sz w:val="28"/>
          <w:szCs w:val="28"/>
        </w:rPr>
        <w:t>公积金向全体股东每</w:t>
      </w:r>
      <w:r>
        <w:rPr>
          <w:rFonts w:ascii="宋体" w:hAnsi="宋体" w:cs="宋体" w:eastAsia="宋体" w:hint="default"/>
          <w:b/>
          <w:bCs/>
          <w:spacing w:val="-69"/>
          <w:sz w:val="28"/>
          <w:szCs w:val="28"/>
        </w:rPr>
        <w:t> </w:t>
      </w:r>
      <w:r>
        <w:rPr>
          <w:rFonts w:ascii="Times New Roman" w:hAnsi="Times New Roman" w:cs="Times New Roman" w:eastAsia="Times New Roman" w:hint="default"/>
          <w:b/>
          <w:bCs/>
          <w:sz w:val="28"/>
          <w:szCs w:val="28"/>
        </w:rPr>
        <w:t>10</w:t>
      </w:r>
      <w:r>
        <w:rPr>
          <w:rFonts w:ascii="Times New Roman" w:hAnsi="Times New Roman" w:cs="Times New Roman" w:eastAsia="Times New Roman" w:hint="default"/>
          <w:b/>
          <w:bCs/>
          <w:spacing w:val="-1"/>
          <w:sz w:val="28"/>
          <w:szCs w:val="28"/>
        </w:rPr>
        <w:t> </w:t>
      </w:r>
      <w:r>
        <w:rPr>
          <w:rFonts w:ascii="宋体" w:hAnsi="宋体" w:cs="宋体" w:eastAsia="宋体" w:hint="default"/>
          <w:b/>
          <w:bCs/>
          <w:sz w:val="28"/>
          <w:szCs w:val="28"/>
        </w:rPr>
        <w:t>股转增</w:t>
      </w:r>
      <w:r>
        <w:rPr>
          <w:rFonts w:ascii="宋体" w:hAnsi="宋体" w:cs="宋体" w:eastAsia="宋体" w:hint="default"/>
          <w:b/>
          <w:bCs/>
          <w:spacing w:val="-71"/>
          <w:sz w:val="28"/>
          <w:szCs w:val="28"/>
        </w:rPr>
        <w:t> </w:t>
      </w:r>
      <w:r>
        <w:rPr>
          <w:rFonts w:ascii="Times New Roman" w:hAnsi="Times New Roman" w:cs="Times New Roman" w:eastAsia="Times New Roman" w:hint="default"/>
          <w:b/>
          <w:bCs/>
          <w:sz w:val="28"/>
          <w:szCs w:val="28"/>
        </w:rPr>
        <w:t>0</w:t>
      </w:r>
      <w:r>
        <w:rPr>
          <w:rFonts w:ascii="Times New Roman" w:hAnsi="Times New Roman" w:cs="Times New Roman" w:eastAsia="Times New Roman" w:hint="default"/>
          <w:b/>
          <w:bCs/>
          <w:spacing w:val="-3"/>
          <w:sz w:val="28"/>
          <w:szCs w:val="28"/>
        </w:rPr>
        <w:t> </w:t>
      </w:r>
      <w:r>
        <w:rPr>
          <w:rFonts w:ascii="宋体" w:hAnsi="宋体" w:cs="宋体" w:eastAsia="宋体" w:hint="default"/>
          <w:b/>
          <w:bCs/>
          <w:sz w:val="28"/>
          <w:szCs w:val="28"/>
        </w:rPr>
        <w:t>股。</w:t>
      </w:r>
      <w:r>
        <w:rPr>
          <w:rFonts w:ascii="宋体" w:hAnsi="宋体" w:cs="宋体" w:eastAsia="宋体" w:hint="default"/>
          <w:sz w:val="28"/>
          <w:szCs w:val="28"/>
        </w:rPr>
      </w:r>
    </w:p>
    <w:p>
      <w:pPr>
        <w:spacing w:after="0"/>
        <w:jc w:val="both"/>
        <w:rPr>
          <w:rFonts w:ascii="宋体" w:hAnsi="宋体" w:cs="宋体" w:eastAsia="宋体" w:hint="default"/>
          <w:sz w:val="28"/>
          <w:szCs w:val="28"/>
        </w:rPr>
        <w:sectPr>
          <w:footerReference w:type="default" r:id="rId8"/>
          <w:pgSz w:w="11910" w:h="16840"/>
          <w:pgMar w:footer="974" w:header="748" w:top="1060" w:bottom="1160" w:left="980" w:right="0"/>
          <w:pgNumType w:start="2"/>
        </w:sectPr>
      </w:pPr>
    </w:p>
    <w:p>
      <w:pPr>
        <w:spacing w:line="240" w:lineRule="auto" w:before="8"/>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8"/>
          <w:szCs w:val="18"/>
        </w:rPr>
      </w:pPr>
    </w:p>
    <w:p>
      <w:pPr>
        <w:pStyle w:val="Heading2"/>
        <w:spacing w:line="240" w:lineRule="auto" w:before="26"/>
        <w:ind w:left="494" w:right="1472"/>
        <w:jc w:val="center"/>
        <w:rPr>
          <w:b w:val="0"/>
          <w:bCs w:val="0"/>
        </w:rPr>
      </w:pPr>
      <w:r>
        <w:rPr/>
        <w:t>目录</w:t>
      </w:r>
      <w:r>
        <w:rPr>
          <w:b w:val="0"/>
          <w:bCs w:val="0"/>
        </w:rPr>
      </w: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0"/>
        <w:rPr>
          <w:rFonts w:ascii="宋体" w:hAnsi="宋体" w:cs="宋体" w:eastAsia="宋体" w:hint="default"/>
          <w:b/>
          <w:bCs/>
          <w:sz w:val="24"/>
          <w:szCs w:val="24"/>
        </w:rPr>
      </w:pPr>
    </w:p>
    <w:p>
      <w:pPr>
        <w:spacing w:line="240" w:lineRule="auto" w:before="10"/>
        <w:rPr>
          <w:rFonts w:ascii="宋体" w:hAnsi="宋体" w:cs="宋体" w:eastAsia="宋体" w:hint="default"/>
          <w:b/>
          <w:bCs/>
          <w:sz w:val="34"/>
          <w:szCs w:val="34"/>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1">
            <w:r>
              <w:rPr/>
              <w:t>第二节公司简介和主要财务指标</w:t>
            </w:r>
            <w:r>
              <w:rPr>
                <w:rFonts w:ascii="Times New Roman" w:hAnsi="Times New Roman" w:cs="Times New Roman" w:eastAsia="Times New Roman" w:hint="default"/>
              </w:rPr>
              <w:tab/>
              <w:t>7</w:t>
            </w:r>
            <w:r>
              <w:rPr>
                <w:rFonts w:ascii="Times New Roman" w:hAnsi="Times New Roman" w:cs="Times New Roman" w:eastAsia="Times New Roman" w:hint="default"/>
                <w:b w:val="0"/>
                <w:bCs w:val="0"/>
              </w:rPr>
            </w:r>
          </w:hyperlink>
        </w:p>
        <w:p>
          <w:pPr>
            <w:pStyle w:val="TOC1"/>
            <w:tabs>
              <w:tab w:pos="9769"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第三节公司业务概要</w:t>
            </w:r>
            <w:r>
              <w:rPr>
                <w:rFonts w:ascii="Times New Roman" w:hAnsi="Times New Roman" w:cs="Times New Roman" w:eastAsia="Times New Roman" w:hint="default"/>
              </w:rPr>
              <w:tab/>
            </w:r>
            <w:r>
              <w:rPr>
                <w:rFonts w:ascii="Times New Roman" w:hAnsi="Times New Roman" w:cs="Times New Roman" w:eastAsia="Times New Roman" w:hint="default"/>
                <w:spacing w:val="-15"/>
              </w:rPr>
              <w:t>11</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第四节经营情况讨论与分析</w:t>
            </w:r>
            <w:r>
              <w:rPr>
                <w:rFonts w:ascii="Times New Roman" w:hAnsi="Times New Roman" w:cs="Times New Roman" w:eastAsia="Times New Roman" w:hint="default"/>
              </w:rPr>
              <w:tab/>
              <w:t>15</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第五节重要事项</w:t>
            </w:r>
            <w:r>
              <w:rPr>
                <w:rFonts w:ascii="Times New Roman" w:hAnsi="Times New Roman" w:cs="Times New Roman" w:eastAsia="Times New Roman" w:hint="default"/>
              </w:rPr>
              <w:tab/>
              <w:t>38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第六节股份变动及股东情况</w:t>
            </w:r>
            <w:r>
              <w:rPr>
                <w:rFonts w:ascii="Times New Roman" w:hAnsi="Times New Roman" w:cs="Times New Roman" w:eastAsia="Times New Roman" w:hint="default"/>
              </w:rPr>
              <w:tab/>
              <w:t>63</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6">
            <w:r>
              <w:rPr/>
              <w:t>第七节优先股相关情况</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9783" w:val="right" w:leader="dot"/>
            </w:tabs>
            <w:spacing w:line="240" w:lineRule="auto" w:before="160"/>
            <w:ind w:right="0"/>
            <w:jc w:val="left"/>
            <w:rPr>
              <w:rFonts w:ascii="Times New Roman" w:hAnsi="Times New Roman" w:cs="Times New Roman" w:eastAsia="Times New Roman" w:hint="default"/>
              <w:b w:val="0"/>
              <w:bCs w:val="0"/>
            </w:rPr>
          </w:pPr>
          <w:hyperlink w:history="true" w:anchor="_bookmark7">
            <w:r>
              <w:rPr/>
              <w:t>第八节可转换公司债券相关情况</w:t>
            </w:r>
            <w:r>
              <w:rPr>
                <w:rFonts w:ascii="Times New Roman" w:hAnsi="Times New Roman" w:cs="Times New Roman" w:eastAsia="Times New Roman" w:hint="default"/>
              </w:rPr>
              <w:tab/>
              <w:t>69</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8">
            <w:r>
              <w:rPr/>
              <w:t>第九节董事、监事、高级管理人员和员工情况</w:t>
            </w:r>
            <w:r>
              <w:rPr>
                <w:rFonts w:ascii="Times New Roman" w:hAnsi="Times New Roman" w:cs="Times New Roman" w:eastAsia="Times New Roman" w:hint="default"/>
              </w:rPr>
              <w:tab/>
              <w:t>70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9">
            <w:r>
              <w:rPr/>
              <w:t>第十节公司治理</w:t>
            </w:r>
            <w:r>
              <w:rPr>
                <w:rFonts w:ascii="Times New Roman" w:hAnsi="Times New Roman" w:cs="Times New Roman" w:eastAsia="Times New Roman" w:hint="default"/>
              </w:rPr>
              <w:tab/>
              <w:t>90</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第十一节公司债券相关情况</w:t>
            </w:r>
            <w:r>
              <w:rPr>
                <w:rFonts w:ascii="Times New Roman" w:hAnsi="Times New Roman" w:cs="Times New Roman" w:eastAsia="Times New Roman" w:hint="default"/>
              </w:rPr>
              <w:tab/>
              <w:t>97</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第十二节财务报告</w:t>
            </w:r>
            <w:r>
              <w:rPr>
                <w:rFonts w:ascii="Times New Roman" w:hAnsi="Times New Roman" w:cs="Times New Roman" w:eastAsia="Times New Roman" w:hint="default"/>
              </w:rPr>
              <w:tab/>
              <w:t>98</w:t>
            </w:r>
            <w:r>
              <w:rPr>
                <w:rFonts w:ascii="Times New Roman" w:hAnsi="Times New Roman" w:cs="Times New Roman" w:eastAsia="Times New Roman" w:hint="default"/>
                <w:b w:val="0"/>
                <w:bCs w:val="0"/>
              </w:rPr>
            </w:r>
          </w:hyperlink>
        </w:p>
        <w:p>
          <w:pPr>
            <w:pStyle w:val="TOC1"/>
            <w:tabs>
              <w:tab w:pos="9783" w:val="right" w:leader="dot"/>
            </w:tabs>
            <w:spacing w:line="240" w:lineRule="auto"/>
            <w:ind w:right="0"/>
            <w:jc w:val="left"/>
            <w:rPr>
              <w:rFonts w:ascii="Times New Roman" w:hAnsi="Times New Roman" w:cs="Times New Roman" w:eastAsia="Times New Roman" w:hint="default"/>
              <w:b w:val="0"/>
              <w:bCs w:val="0"/>
            </w:rPr>
          </w:pPr>
          <w:hyperlink w:history="true" w:anchor="_bookmark12">
            <w:r>
              <w:rPr/>
              <w:t>第十三节备查文件目录</w:t>
            </w:r>
            <w:r>
              <w:rPr>
                <w:rFonts w:ascii="Times New Roman" w:hAnsi="Times New Roman" w:cs="Times New Roman" w:eastAsia="Times New Roman" w:hint="default"/>
              </w:rPr>
              <w:tab/>
              <w:t>248</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8" w:footer="974" w:top="1060" w:bottom="1160" w:left="980" w:right="0"/>
        </w:sectPr>
      </w:pPr>
    </w:p>
    <w:p>
      <w:pPr>
        <w:spacing w:before="942"/>
        <w:ind w:left="494" w:right="147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公司、本公司、股份公司、母公司、易联众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安徽易联众信息技术有限公司，系本公司全资子公司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山西易联众信息技术有限公司，系本公司全资子公司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福建软件开发</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福建易联众软件系统开发有限公司，系本公司全资子公司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福州易联众信息技术有限公司，系本公司全资子公司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湖南易联众信息技术有限公司，系本公司全资子公司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北京易联众信息技术有限公司，系本公司全资子公司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广西易联众信息技术有限公司，系本公司全资子公司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陕西易联众信息技术有限公司，系本公司全资子公司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金融控股</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厦门易联众金融控股有限公司，系本公司全资子公司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医疗控股、医控公司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易联众健康医疗控股有限公司，系本公司全资子公司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厦门易联众融资租赁有限公司，系本公司全资子公司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易康吉保险经济有限责任公司，系本公司全资子公司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厦门易联众网络科技有限公司，系本公司全资子公司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广东易联众计算机技术有限公司，系本公司全资子公司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宁夏易联众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宁夏易联众信息技术有限公司，系陕西易联众全资子公司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三明易联众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三明易联众信息技术有限公司，系医控公司全资子公司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福建易联众电子科技有限公司，系本公司控股子公司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厦门市纵达科技有限公司，系本公司控股子公司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易联众智能（厦门）科技有限公司，系本公司控股子公司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厦门市易联众易惠科技有限公司，系本公司控股子公司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易联众民生（厦门）科技有限公司，系本公司控股子公司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大数据、大数据公司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易联众（厦门）大数据科技有限公司，系本公司控股子公司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海南易联众信息技术有限公司，系本公司控股子公司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易达迅</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福建易联众易达迅教育科技有限公司，系本公司控股子公司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通达易</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易联众通达易（厦门）信息科技有限公司，系本公司控股子公司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湖南鑫卫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湖南易联众鑫卫信息科技有限公司，系本公司控股子公司</w:t>
            </w:r>
          </w:p>
        </w:tc>
      </w:tr>
      <w:tr>
        <w:trPr>
          <w:trHeight w:val="40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北京智康</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北京易联众智康科技有限公司，系本公司控股子公司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吉林易联旭</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吉林易联旭信息技术有限公司，系本公司控股子公司</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山东易联众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山东易联众网络科技有限公司，系本公司控股子公司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陕西金纳</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陕西易联众金纳信息技术有限公司，系本公司控股子公司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安徽易联众科技发展有限公司，系本公司控股子公司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河南易联众盈</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河南易联众盈信息技术有限公司，系本公司控股子公司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山西惠民</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山西易联众惠民科技有限公司，系本公司控股子公司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厦门市民生通电子商务有限公司，系易惠科技控股子公司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吉林易联众信息技术有限公司，系北京易联众控股子公司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厦门易联众易方科技有限公司，系医控公司控股子公司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山西民生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山西易联众民生科技有限公司，系民生科技控股子公司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福建易联众医疗信息系统有限公司，系医控公司控股子公司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广州易联众睿图信息技术有限公司，系医控公司控股子公司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医卫信息</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福建易联众医卫信息技术有限公司，系医控公司控股子公司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人力资源、人力资源公司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易联众（厦门）人力资源服务有限公司，系民生科技全资子公司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山西无感付、无感付</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山西无感付科技有限公司，系易惠科技控股子公司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安徽易惠</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安徽易惠天下软件科技有限公司，系易惠科技控股子公司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福建易联众保睿通信息科技有限公司，系易康吉控股子公司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长青科技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厦门易联众长青科技有限公司，系医控公司控股子公司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北京民生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北京易联众民生科技有限公司，系民生科技控股子公司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安徽民生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安徽易联众民生科技有限公司，系民生科技控股子公司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欣贝康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福州欣贝康医药科技有限公司，系易方科技控股子公司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三明易就医</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三明易就医信息技术有限公司，系医疗信息全资子公司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北京珩泰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北京珩泰科技发展有限公司，系本公司控股子公司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福州灵医</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福州灵医科技有限公司，系医疗信息控股子公司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广东民生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百路源</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湖州百路源投资管理有限公司，系金融控股参股公司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金服公司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厦门易联众金融技术服务股份有限公司，系金融控股参股公司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基因检测公司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福建易联众基因检测分析技术有限公司，系本公司参股公司，于</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2020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日更名为福建易联众蓝创科技有限公司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黑龙江易联众</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黑龙江易联众信息工程技术有限公司，系本公司参股公司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百川通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百川通信息技术有限公司，系本公司参股公司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尚洋易捷</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北京尚洋易捷信息技术股份有限公司，系本公司参股公司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医联康护</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福建医联康护信息技术有限公司，系本公司参股公司</w:t>
            </w:r>
          </w:p>
        </w:tc>
      </w:tr>
      <w:tr>
        <w:trPr>
          <w:trHeight w:val="40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广州桔叶</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广州桔叶信息科技有限公司，系本公司参股公司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医生集团</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易联众（厦门）医生集团有限公司，系本公司参股公司</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525"/>
        <w:gridCol w:w="620"/>
        <w:gridCol w:w="5425"/>
      </w:tblGrid>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星民易付</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福建省星民易付多卡融合信息科技有限公司，系本公司参股公司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海保人寿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海保人寿保险股份有限公司，系本公司参股公司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麟腾网络</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pacing w:val="-2"/>
                <w:sz w:val="18"/>
                <w:szCs w:val="18"/>
              </w:rPr>
              <w:t>厦门麟腾网络科技有限公司，系民生科技、保睿通及易惠科技参股公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医疗器械</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易联众（福建）医疗器械有限公司，系本公司参股公司</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易宿</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易宿（厦门）信息技术有限公司，系智能科技参股公司</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临沂市民卡公司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临沂市民卡数据服务有限公司，系本公司参股公司</w:t>
            </w:r>
          </w:p>
        </w:tc>
      </w:tr>
      <w:tr>
        <w:trPr>
          <w:trHeight w:val="71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商业保理、保理公司</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厦门易联众商业保理有限公司，原系本公司全资子公司，</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月已转让全部股权</w:t>
            </w:r>
          </w:p>
        </w:tc>
      </w:tr>
      <w:tr>
        <w:trPr>
          <w:trHeight w:val="715"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易思达</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0"/>
              <w:jc w:val="left"/>
              <w:rPr>
                <w:rFonts w:ascii="宋体" w:hAnsi="宋体" w:cs="宋体" w:eastAsia="宋体" w:hint="default"/>
                <w:sz w:val="18"/>
                <w:szCs w:val="18"/>
              </w:rPr>
            </w:pPr>
            <w:r>
              <w:rPr>
                <w:rFonts w:ascii="宋体" w:hAnsi="宋体" w:cs="宋体" w:eastAsia="宋体" w:hint="default"/>
                <w:spacing w:val="-2"/>
                <w:sz w:val="18"/>
                <w:szCs w:val="18"/>
              </w:rPr>
              <w:t>福州市鼓楼区易思达系统集成有限公司，原系福建软件开发全资子公</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月已注销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易联众信息技术股份有限公司股东大会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易联众信息技术股份有限公司董事会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监事会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易联众信息技术股份有限公司监事会</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中国证监会、证监会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深交所、交易所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厦门证监局</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中国证券监督管理委员会厦门监管局</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易联众信息技术股份有限公司章程</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控股股东、实际控制人</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厦门麟真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厦门麟真贸易有限公司，张曦全资控股的公司，为其一致行动人</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容诚</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元、万元、亿元</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人民币元、万元、亿元</w:t>
            </w:r>
          </w:p>
        </w:tc>
      </w:tr>
      <w:tr>
        <w:trPr>
          <w:trHeight w:val="401"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报告期（本报告期）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报告期末（本报告期末）</w:t>
            </w:r>
          </w:p>
        </w:tc>
        <w:tc>
          <w:tcPr>
            <w:tcW w:w="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2723" w:right="1133"/>
        <w:jc w:val="left"/>
        <w:rPr>
          <w:b w:val="0"/>
          <w:bCs w:val="0"/>
        </w:rPr>
      </w:pPr>
      <w:bookmarkStart w:name="_bookmark1" w:id="2"/>
      <w:bookmarkEnd w:id="2"/>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pict>
          <v:shape style="position:absolute;margin-left:138pt;margin-top:114.585602pt;width:396.95pt;height:19.7pt;mso-position-horizontal-relative:page;mso-position-vertical-relative:paragraph;z-index:-1327024" type="#_x0000_t202" filled="false" stroked="false">
            <v:textbox inset="0,0,0,0">
              <w:txbxContent>
                <w:p>
                  <w:pPr>
                    <w:pStyle w:val="BodyText"/>
                    <w:spacing w:line="240" w:lineRule="auto" w:before="51"/>
                    <w:ind w:left="0" w:right="0"/>
                    <w:jc w:val="left"/>
                  </w:pPr>
                  <w:r>
                    <w:rPr/>
                    <w:t>（如有）</w:t>
                  </w:r>
                </w:p>
              </w:txbxContent>
            </v:textbox>
            <w10:wrap type="none"/>
          </v:shape>
        </w:pict>
      </w:r>
      <w:r>
        <w:rPr/>
        <w:t>一、公司信息</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300096</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YLZ Information Technology</w:t>
            </w:r>
            <w:r>
              <w:rPr>
                <w:rFonts w:ascii="Times New Roman"/>
                <w:spacing w:val="-27"/>
                <w:sz w:val="18"/>
              </w:rPr>
              <w:t> </w:t>
            </w:r>
            <w:r>
              <w:rPr>
                <w:rFonts w:ascii="Times New Roman"/>
                <w:sz w:val="18"/>
              </w:rPr>
              <w:t>Co.,Ltd</w:t>
            </w:r>
          </w:p>
        </w:tc>
      </w:tr>
      <w:tr>
        <w:trPr>
          <w:trHeight w:val="403" w:hRule="exact"/>
        </w:trPr>
        <w:tc>
          <w:tcPr>
            <w:tcW w:w="2284"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86" w:type="dxa"/>
            <w:gridSpan w:val="3"/>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left="11" w:right="0"/>
              <w:jc w:val="left"/>
              <w:rPr>
                <w:rFonts w:ascii="Times New Roman" w:hAnsi="Times New Roman" w:cs="Times New Roman" w:eastAsia="Times New Roman" w:hint="default"/>
                <w:sz w:val="18"/>
                <w:szCs w:val="18"/>
              </w:rPr>
            </w:pPr>
            <w:r>
              <w:rPr>
                <w:rFonts w:ascii="Times New Roman"/>
                <w:sz w:val="18"/>
              </w:rPr>
              <w:t>YLZ</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361008</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hyperlink r:id="rId9">
              <w:r>
                <w:rPr>
                  <w:rFonts w:ascii="Times New Roman"/>
                  <w:sz w:val="18"/>
                </w:rPr>
                <w:t>www.ylzinfo.com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hyperlink r:id="rId10">
              <w:r>
                <w:rPr>
                  <w:rFonts w:ascii="Times New Roman"/>
                  <w:sz w:val="18"/>
                </w:rPr>
                <w:t>YLZ@ylzinfo.com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甘雅娟</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室</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0592-2517011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0592-6307553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0592-2517008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0592-2517008</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hyperlink r:id="rId11">
              <w:r>
                <w:rPr>
                  <w:rFonts w:ascii="Times New Roman"/>
                  <w:sz w:val="18"/>
                </w:rPr>
                <w:t>tylee173@163.com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hyperlink r:id="rId12">
              <w:r>
                <w:rPr>
                  <w:rFonts w:ascii="Times New Roman"/>
                  <w:sz w:val="18"/>
                </w:rPr>
                <w:t>gyj_rabbit@126.com</w:t>
              </w:r>
            </w:hyperlink>
          </w:p>
        </w:tc>
      </w:tr>
    </w:tbl>
    <w:p>
      <w:pPr>
        <w:spacing w:line="240" w:lineRule="auto" w:before="3"/>
        <w:rPr>
          <w:rFonts w:ascii="宋体" w:hAnsi="宋体" w:cs="宋体" w:eastAsia="宋体" w:hint="default"/>
          <w:b/>
          <w:bCs/>
          <w:sz w:val="18"/>
          <w:szCs w:val="18"/>
        </w:rPr>
      </w:pPr>
    </w:p>
    <w:p>
      <w:pPr>
        <w:pStyle w:val="Heading2"/>
        <w:spacing w:line="240" w:lineRule="auto" w:before="26"/>
        <w:ind w:right="1133"/>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《中国证券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《证券日报</w:t>
            </w:r>
            <w:r>
              <w:rPr>
                <w:rFonts w:ascii="宋体" w:hAnsi="宋体" w:cs="宋体" w:eastAsia="宋体" w:hint="default"/>
                <w:spacing w:val="-92"/>
                <w:sz w:val="18"/>
                <w:szCs w:val="18"/>
              </w:rPr>
              <w:t>》、</w:t>
            </w:r>
            <w:r>
              <w:rPr>
                <w:rFonts w:ascii="宋体" w:hAnsi="宋体" w:cs="宋体" w:eastAsia="宋体" w:hint="default"/>
                <w:sz w:val="18"/>
                <w:szCs w:val="18"/>
              </w:rPr>
              <w:t>《上海证券报》</w:t>
            </w:r>
          </w:p>
        </w:tc>
      </w:tr>
      <w:tr>
        <w:trPr>
          <w:trHeight w:val="715"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中国证监会指定的创业板信息披露网站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p>
          <w:p>
            <w:pPr>
              <w:pStyle w:val="TableParagraph"/>
              <w:spacing w:line="240" w:lineRule="auto" w:before="105"/>
              <w:ind w:left="23" w:right="0"/>
              <w:jc w:val="left"/>
              <w:rPr>
                <w:rFonts w:ascii="Times New Roman" w:hAnsi="Times New Roman" w:cs="Times New Roman" w:eastAsia="Times New Roman" w:hint="default"/>
                <w:sz w:val="18"/>
                <w:szCs w:val="18"/>
              </w:rPr>
            </w:pPr>
            <w:hyperlink r:id="rId13">
              <w:r>
                <w:rPr>
                  <w:rFonts w:ascii="Times New Roman"/>
                  <w:sz w:val="18"/>
                </w:rPr>
                <w:t>http://www.cninfo.com.cn</w:t>
              </w:r>
            </w:hyperlink>
          </w:p>
        </w:tc>
      </w:tr>
      <w:tr>
        <w:trPr>
          <w:trHeight w:val="71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3" w:right="51"/>
              <w:jc w:val="left"/>
              <w:rPr>
                <w:rFonts w:ascii="宋体" w:hAnsi="宋体" w:cs="宋体" w:eastAsia="宋体" w:hint="default"/>
                <w:sz w:val="18"/>
                <w:szCs w:val="18"/>
              </w:rPr>
            </w:pPr>
            <w:r>
              <w:rPr>
                <w:rFonts w:ascii="宋体" w:hAnsi="宋体" w:cs="宋体" w:eastAsia="宋体" w:hint="default"/>
                <w:sz w:val="18"/>
                <w:szCs w:val="18"/>
              </w:rPr>
              <w:t>厦门市软件园二期观日路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502 </w:t>
            </w:r>
            <w:r>
              <w:rPr>
                <w:rFonts w:ascii="宋体" w:hAnsi="宋体" w:cs="宋体" w:eastAsia="宋体" w:hint="default"/>
                <w:sz w:val="18"/>
                <w:szCs w:val="18"/>
              </w:rPr>
              <w:t>室易联众信息技术股份有限公司董 事会办公室</w:t>
            </w:r>
          </w:p>
        </w:tc>
      </w:tr>
    </w:tbl>
    <w:p>
      <w:pPr>
        <w:spacing w:after="0" w:line="297"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1133"/>
        <w:jc w:val="left"/>
        <w:rPr>
          <w:b w:val="0"/>
          <w:bCs w:val="0"/>
        </w:rPr>
      </w:pPr>
      <w:r>
        <w:rPr/>
        <w:t>四、其他有关资料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公司聘请的会计师事务所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幢外经贸大厦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901-22 </w:t>
            </w:r>
            <w:r>
              <w:rPr>
                <w:rFonts w:ascii="宋体" w:hAnsi="宋体" w:cs="宋体" w:eastAsia="宋体" w:hint="default"/>
                <w:sz w:val="18"/>
                <w:szCs w:val="18"/>
              </w:rPr>
              <w:t>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901-26</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许瑞生、李新星</w:t>
            </w:r>
          </w:p>
        </w:tc>
      </w:tr>
    </w:tbl>
    <w:p>
      <w:pPr>
        <w:pStyle w:val="BodyText"/>
        <w:spacing w:line="240" w:lineRule="auto" w:before="51"/>
        <w:ind w:right="1133"/>
        <w:jc w:val="left"/>
      </w:pPr>
      <w:r>
        <w:rPr/>
        <w:t>公司聘请的报告期内履行持续督导职责的保荐机构</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公司聘请的报告期内履行持续督导职责的财务顾问</w:t>
      </w:r>
    </w:p>
    <w:p>
      <w:pPr>
        <w:pStyle w:val="BodyText"/>
        <w:spacing w:line="240" w:lineRule="auto" w:before="4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五、主要会计数据和财务指标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公司是否需追溯调整或重述以前年度会计数据</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38"/>
        <w:gridCol w:w="1738"/>
        <w:gridCol w:w="1738"/>
        <w:gridCol w:w="1735"/>
      </w:tblGrid>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948,718,436.87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729,805,790.24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625,540,124.27</w:t>
            </w:r>
          </w:p>
        </w:tc>
      </w:tr>
      <w:tr>
        <w:trPr>
          <w:trHeight w:val="716"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10,505,744.63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14,664,775.38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-28.36%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18,121,725.29</w:t>
            </w:r>
          </w:p>
        </w:tc>
      </w:tr>
      <w:tr>
        <w:trPr>
          <w:trHeight w:val="71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-8,216,910.59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6,418,786.34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-228.01%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-42,842,488.41</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63,494,197.92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56,774,366.09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11.84%</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-936,320.35</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0.0420</w:t>
            </w:r>
          </w:p>
        </w:tc>
      </w:tr>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0.024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-29.41%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0.0420</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1.44%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-0.56%</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2.52%</w:t>
            </w:r>
          </w:p>
        </w:tc>
      </w:tr>
      <w:tr>
        <w:trPr>
          <w:trHeight w:val="402"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1,723,571,479.08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1,914,957,108.71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-9.99%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1,910,237,184.55</w:t>
            </w:r>
          </w:p>
        </w:tc>
      </w:tr>
      <w:tr>
        <w:trPr>
          <w:trHeight w:val="715"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3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734,512,838.76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740,647,483.83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-0.83%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727,272,623.62</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六、分季度主要财务指标</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22"/>
        <w:gridCol w:w="1740"/>
        <w:gridCol w:w="1740"/>
        <w:gridCol w:w="1738"/>
        <w:gridCol w:w="1730"/>
      </w:tblGrid>
      <w:tr>
        <w:trPr>
          <w:trHeight w:val="403"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105,820,606.40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161,663,570.14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248,294,766.76</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432,939,493.57</w:t>
            </w:r>
          </w:p>
        </w:tc>
      </w:tr>
      <w:tr>
        <w:trPr>
          <w:trHeight w:val="404"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-20,827,377.48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5,025,004.71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16,963,857.09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9,344,260.31</w:t>
            </w:r>
          </w:p>
        </w:tc>
      </w:tr>
      <w:tr>
        <w:trPr>
          <w:trHeight w:val="401" w:hRule="exact"/>
        </w:trPr>
        <w:tc>
          <w:tcPr>
            <w:tcW w:w="2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-24,381,729.51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610,659.97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14,385,238.52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1,168,920.43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21"/>
        <w:gridCol w:w="1740"/>
        <w:gridCol w:w="1740"/>
        <w:gridCol w:w="1738"/>
        <w:gridCol w:w="1730"/>
      </w:tblGrid>
      <w:tr>
        <w:trPr>
          <w:trHeight w:val="36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常性损益的净利润</w:t>
            </w:r>
          </w:p>
        </w:tc>
        <w:tc>
          <w:tcPr>
            <w:tcW w:w="1740" w:type="dxa"/>
            <w:tcBorders>
              <w:top w:val="single" w:sz="4" w:space="0" w:color="000000"/>
              <w:left w:val="single" w:sz="4" w:space="0" w:color="000000"/>
              <w:bottom w:val="single" w:sz="4" w:space="0" w:color="000000"/>
              <w:right w:val="single" w:sz="4" w:space="0" w:color="000000"/>
            </w:tcBorders>
          </w:tcPr>
          <w:p>
            <w:pPr/>
          </w:p>
        </w:tc>
        <w:tc>
          <w:tcPr>
            <w:tcW w:w="1740" w:type="dxa"/>
            <w:tcBorders>
              <w:top w:val="single" w:sz="4" w:space="0" w:color="000000"/>
              <w:left w:val="single" w:sz="4" w:space="0" w:color="000000"/>
              <w:bottom w:val="single" w:sz="4" w:space="0" w:color="000000"/>
              <w:right w:val="single" w:sz="4" w:space="0" w:color="000000"/>
            </w:tcBorders>
          </w:tcPr>
          <w:p>
            <w:pPr/>
          </w:p>
        </w:tc>
        <w:tc>
          <w:tcPr>
            <w:tcW w:w="1738" w:type="dxa"/>
            <w:tcBorders>
              <w:top w:val="single" w:sz="4" w:space="0" w:color="000000"/>
              <w:left w:val="single" w:sz="4" w:space="0" w:color="000000"/>
              <w:bottom w:val="single" w:sz="4" w:space="0" w:color="000000"/>
              <w:right w:val="single" w:sz="4" w:space="0" w:color="000000"/>
            </w:tcBorders>
          </w:tcPr>
          <w:p>
            <w:pPr/>
          </w:p>
        </w:tc>
        <w:tc>
          <w:tcPr>
            <w:tcW w:w="173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3" w:right="0"/>
              <w:jc w:val="left"/>
              <w:rPr>
                <w:rFonts w:ascii="Times New Roman" w:hAnsi="Times New Roman" w:cs="Times New Roman" w:eastAsia="Times New Roman" w:hint="default"/>
                <w:sz w:val="18"/>
                <w:szCs w:val="18"/>
              </w:rPr>
            </w:pPr>
            <w:r>
              <w:rPr>
                <w:rFonts w:ascii="Times New Roman"/>
                <w:sz w:val="18"/>
              </w:rPr>
              <w:t>-122,909,482.46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-63,107,707.91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1" w:right="0"/>
              <w:jc w:val="left"/>
              <w:rPr>
                <w:rFonts w:ascii="Times New Roman" w:hAnsi="Times New Roman" w:cs="Times New Roman" w:eastAsia="Times New Roman" w:hint="default"/>
                <w:sz w:val="18"/>
                <w:szCs w:val="18"/>
              </w:rPr>
            </w:pPr>
            <w:r>
              <w:rPr>
                <w:rFonts w:ascii="Times New Roman"/>
                <w:sz w:val="18"/>
              </w:rPr>
              <w:t>51,039,882.31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198,471,505.98</w:t>
            </w:r>
          </w:p>
        </w:tc>
      </w:tr>
    </w:tbl>
    <w:p>
      <w:pPr>
        <w:pStyle w:val="BodyText"/>
        <w:spacing w:line="240" w:lineRule="auto" w:before="51"/>
        <w:ind w:right="1133"/>
        <w:jc w:val="left"/>
      </w:pPr>
      <w:r>
        <w:rPr/>
        <w:t>上述财务指标或其加总数是否与公司已披露季度报告、半年度报告相关财务指标存在重大差异</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18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公司报告期不存在按照国际会计准则与按照中国会计准则披露的财务报告中净利润和净资产差异情况。</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26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八、非经常性损益项目及金额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6"/>
        <w:gridCol w:w="1522"/>
        <w:gridCol w:w="1520"/>
        <w:gridCol w:w="1522"/>
        <w:gridCol w:w="1711"/>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3,765,649.29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-822,439.50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64,232,179.83</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22,590,933.63</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11,598,255.26</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7,959,289.22</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152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-26,368.95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-50,162.24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-800,565.14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3,693,304.88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1,593,135.11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9,561,127.95</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少数股东权益影响额（税后）</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3,986,253.87</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886,529.37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865,562.26</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18,722,655.22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8,245,989.04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60,964,213.70</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64"/>
        <w:gridCol w:w="2127"/>
        <w:gridCol w:w="5180"/>
      </w:tblGrid>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43"/>
              <w:jc w:val="right"/>
              <w:rPr>
                <w:rFonts w:ascii="宋体" w:hAnsi="宋体" w:cs="宋体" w:eastAsia="宋体" w:hint="default"/>
                <w:sz w:val="18"/>
                <w:szCs w:val="18"/>
              </w:rPr>
            </w:pPr>
            <w:r>
              <w:rPr>
                <w:rFonts w:ascii="宋体" w:hAnsi="宋体" w:cs="宋体" w:eastAsia="宋体" w:hint="default"/>
                <w:sz w:val="18"/>
                <w:szCs w:val="18"/>
              </w:rPr>
              <w:t>项目</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4"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9"/>
              <w:jc w:val="right"/>
              <w:rPr>
                <w:rFonts w:ascii="宋体" w:hAnsi="宋体" w:cs="宋体" w:eastAsia="宋体" w:hint="default"/>
                <w:sz w:val="18"/>
                <w:szCs w:val="18"/>
              </w:rPr>
            </w:pPr>
            <w:r>
              <w:rPr>
                <w:rFonts w:ascii="宋体" w:hAnsi="宋体" w:cs="宋体" w:eastAsia="宋体" w:hint="default"/>
                <w:sz w:val="18"/>
                <w:szCs w:val="18"/>
              </w:rPr>
              <w:t>软件增值税退税</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17,280,199.95</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软件增值税退税为经常性发生的补助</w:t>
            </w:r>
          </w:p>
        </w:tc>
      </w:tr>
      <w:tr>
        <w:trPr>
          <w:trHeight w:val="401"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69"/>
              <w:jc w:val="right"/>
              <w:rPr>
                <w:rFonts w:ascii="宋体" w:hAnsi="宋体" w:cs="宋体" w:eastAsia="宋体" w:hint="default"/>
                <w:sz w:val="18"/>
                <w:szCs w:val="18"/>
              </w:rPr>
            </w:pPr>
            <w:r>
              <w:rPr>
                <w:rFonts w:ascii="宋体" w:hAnsi="宋体" w:cs="宋体" w:eastAsia="宋体" w:hint="default"/>
                <w:sz w:val="18"/>
                <w:szCs w:val="18"/>
              </w:rPr>
              <w:t>个税手续费返还</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510,727.47</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个税手续费返还为经常性发生事项</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2266"/>
        <w:gridCol w:w="2127"/>
        <w:gridCol w:w="5180"/>
      </w:tblGrid>
      <w:tr>
        <w:trPr>
          <w:trHeight w:val="716" w:hRule="exact"/>
        </w:trPr>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0"/>
              <w:jc w:val="left"/>
              <w:rPr>
                <w:rFonts w:ascii="宋体" w:hAnsi="宋体" w:cs="宋体" w:eastAsia="宋体" w:hint="default"/>
                <w:sz w:val="18"/>
                <w:szCs w:val="18"/>
              </w:rPr>
            </w:pPr>
            <w:r>
              <w:rPr>
                <w:rFonts w:ascii="宋体" w:hAnsi="宋体" w:cs="宋体" w:eastAsia="宋体" w:hint="default"/>
                <w:sz w:val="18"/>
                <w:szCs w:val="18"/>
              </w:rPr>
              <w:t>增值税进项税加计抵减应纳 税额优惠</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284" w:right="0"/>
              <w:jc w:val="left"/>
              <w:rPr>
                <w:rFonts w:ascii="Times New Roman" w:hAnsi="Times New Roman" w:cs="Times New Roman" w:eastAsia="Times New Roman" w:hint="default"/>
                <w:sz w:val="18"/>
                <w:szCs w:val="18"/>
              </w:rPr>
            </w:pPr>
            <w:r>
              <w:rPr>
                <w:rFonts w:ascii="Times New Roman"/>
                <w:sz w:val="18"/>
              </w:rPr>
              <w:t>479,324.08</w:t>
            </w:r>
          </w:p>
        </w:tc>
        <w:tc>
          <w:tcPr>
            <w:tcW w:w="5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增值税进项税加计抵减应纳税额优惠为经常性发生事项</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left="3525" w:right="1133"/>
        <w:jc w:val="left"/>
        <w:rPr>
          <w:b w:val="0"/>
          <w:bCs w:val="0"/>
        </w:rPr>
      </w:pPr>
      <w:bookmarkStart w:name="_bookmark2" w:id="3"/>
      <w:bookmarkEnd w:id="3"/>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left="441" w:right="1145" w:hanging="289"/>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公司秉承</w:t>
      </w:r>
      <w:r>
        <w:rPr>
          <w:rFonts w:ascii="Times New Roman" w:hAnsi="Times New Roman" w:cs="Times New Roman" w:eastAsia="Times New Roman" w:hint="default"/>
        </w:rPr>
        <w:t>“</w:t>
      </w:r>
      <w:r>
        <w:rPr/>
        <w:t>一切业务数据化，一切数据业务化</w:t>
      </w:r>
      <w:r>
        <w:rPr>
          <w:rFonts w:ascii="Times New Roman" w:hAnsi="Times New Roman" w:cs="Times New Roman" w:eastAsia="Times New Roman" w:hint="default"/>
        </w:rPr>
        <w:t>”</w:t>
      </w:r>
      <w:r>
        <w:rPr/>
        <w:t>的业务发展理念，坚守</w:t>
      </w:r>
      <w:r>
        <w:rPr>
          <w:rFonts w:ascii="Times New Roman" w:hAnsi="Times New Roman" w:cs="Times New Roman" w:eastAsia="Times New Roman" w:hint="default"/>
        </w:rPr>
        <w:t>“</w:t>
      </w:r>
      <w:r>
        <w:rPr/>
        <w:t>助力民生事业长足发展</w:t>
      </w:r>
      <w:r>
        <w:rPr>
          <w:rFonts w:ascii="Times New Roman" w:hAnsi="Times New Roman" w:cs="Times New Roman" w:eastAsia="Times New Roman" w:hint="default"/>
        </w:rPr>
        <w:t>”</w:t>
      </w:r>
      <w:r>
        <w:rPr/>
        <w:t>的企业使命，以大数据为</w:t>
      </w:r>
    </w:p>
    <w:p>
      <w:pPr>
        <w:pStyle w:val="BodyText"/>
        <w:spacing w:line="228" w:lineRule="exact"/>
        <w:ind w:right="0"/>
        <w:jc w:val="left"/>
      </w:pPr>
      <w:r>
        <w:rPr/>
        <w:t>驱动，重点围绕</w:t>
      </w:r>
      <w:r>
        <w:rPr>
          <w:rFonts w:ascii="Times New Roman" w:hAnsi="Times New Roman" w:cs="Times New Roman" w:eastAsia="Times New Roman" w:hint="default"/>
        </w:rPr>
        <w:t>“</w:t>
      </w:r>
      <w:r>
        <w:rPr/>
        <w:t>医疗保障、卫生健康、人力资源和社会保障</w:t>
      </w:r>
      <w:r>
        <w:rPr>
          <w:rFonts w:ascii="Times New Roman" w:hAnsi="Times New Roman" w:cs="Times New Roman" w:eastAsia="Times New Roman" w:hint="default"/>
        </w:rPr>
        <w:t>”</w:t>
      </w:r>
      <w:r>
        <w:rPr/>
        <w:t>等民生领域，提供全方位的整体解决方案和综合运营服务，致</w:t>
      </w:r>
    </w:p>
    <w:p>
      <w:pPr>
        <w:pStyle w:val="BodyText"/>
        <w:spacing w:line="319" w:lineRule="auto" w:before="63"/>
        <w:ind w:left="441" w:right="1031" w:hanging="289"/>
        <w:jc w:val="left"/>
      </w:pPr>
      <w:r>
        <w:rPr/>
        <w:t>力于成为中国领先的民生信息服务综合运营商。 </w:t>
      </w:r>
      <w:r>
        <w:rPr>
          <w:spacing w:val="-2"/>
        </w:rPr>
        <w:t>公司始终围绕民生核心领域，以创新为引领，以市场为导向，发挥云计算、大数据、人工智能、物联网等技术支撑作用，</w:t>
      </w:r>
    </w:p>
    <w:p>
      <w:pPr>
        <w:pStyle w:val="BodyText"/>
        <w:spacing w:line="300" w:lineRule="auto" w:before="17"/>
        <w:ind w:right="1204"/>
        <w:jc w:val="left"/>
      </w:pPr>
      <w:r>
        <w:rPr/>
        <w:t>持续研发并提升了多源异构数据融合、数据资产治理、大数据智能</w:t>
      </w:r>
      <w:r>
        <w:rPr>
          <w:rFonts w:ascii="Times New Roman" w:hAnsi="Times New Roman" w:cs="Times New Roman" w:eastAsia="Times New Roman" w:hint="default"/>
        </w:rPr>
        <w:t>AI</w:t>
      </w:r>
      <w:r>
        <w:rPr/>
        <w:t>、大数据智能</w:t>
      </w:r>
      <w:r>
        <w:rPr>
          <w:rFonts w:ascii="Times New Roman" w:hAnsi="Times New Roman" w:cs="Times New Roman" w:eastAsia="Times New Roman" w:hint="default"/>
        </w:rPr>
        <w:t>BI</w:t>
      </w:r>
      <w:r>
        <w:rPr/>
        <w:t>、大数据服务管理等大数据基础技术 支撑产品及能力，推动医疗保障、健康医疗、民生服务、产业金融等主营业务发展。</w:t>
      </w:r>
    </w:p>
    <w:p>
      <w:pPr>
        <w:pStyle w:val="BodyText"/>
        <w:spacing w:line="316" w:lineRule="auto" w:before="31"/>
        <w:ind w:left="441" w:right="1133"/>
        <w:jc w:val="left"/>
      </w:pPr>
      <w:r>
        <w:rPr/>
        <w:t>（一）医疗保障业务 </w:t>
      </w:r>
      <w:r>
        <w:rPr>
          <w:spacing w:val="-1"/>
        </w:rPr>
        <w:t>医疗保障业务是公司的核心业务之一，自公司成立起，就开始建设医保系统。作为医保行业领头羊，公司始终保持自主</w:t>
      </w:r>
    </w:p>
    <w:p>
      <w:pPr>
        <w:pStyle w:val="BodyText"/>
        <w:spacing w:line="300" w:lineRule="auto" w:before="19"/>
        <w:ind w:right="1054"/>
        <w:jc w:val="left"/>
      </w:pPr>
      <w:r>
        <w:rPr>
          <w:spacing w:val="-5"/>
        </w:rPr>
        <w:t>创新，创造了国内医保领域多项领先记录，累积了丰富的行业经验：</w:t>
      </w:r>
      <w:r>
        <w:rPr>
          <w:rFonts w:ascii="Times New Roman" w:hAnsi="Times New Roman" w:cs="Times New Roman" w:eastAsia="Times New Roman" w:hint="default"/>
          <w:spacing w:val="-5"/>
        </w:rPr>
        <w:t>2004</w:t>
      </w:r>
      <w:r>
        <w:rPr>
          <w:spacing w:val="-5"/>
        </w:rPr>
        <w:t>年在全国率先实现省级统一目录编码管理系统；</w:t>
      </w:r>
      <w:r>
        <w:rPr>
          <w:rFonts w:ascii="Times New Roman" w:hAnsi="Times New Roman" w:cs="Times New Roman" w:eastAsia="Times New Roman" w:hint="default"/>
          <w:spacing w:val="-5"/>
        </w:rPr>
        <w:t>2006</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spacing w:val="-2"/>
        </w:rPr>
        <w:t>年率先实现医保省域联网异地刷卡实时结算，率先构建了医保费用稽核系统；</w:t>
      </w:r>
      <w:r>
        <w:rPr>
          <w:rFonts w:ascii="Times New Roman" w:hAnsi="Times New Roman" w:cs="Times New Roman" w:eastAsia="Times New Roman" w:hint="default"/>
          <w:spacing w:val="-2"/>
        </w:rPr>
        <w:t>2010</w:t>
      </w:r>
      <w:r>
        <w:rPr>
          <w:spacing w:val="-2"/>
        </w:rPr>
        <w:t>年以福建为基点，形成全国金融社保卡标</w:t>
      </w:r>
      <w:r>
        <w:rPr>
          <w:spacing w:val="-59"/>
        </w:rPr>
        <w:t> </w:t>
      </w:r>
      <w:r>
        <w:rPr>
          <w:spacing w:val="-59"/>
        </w:rPr>
      </w:r>
      <w:r>
        <w:rPr/>
        <w:t>准原型，深化就医一卡通应用；</w:t>
      </w:r>
      <w:r>
        <w:rPr>
          <w:rFonts w:ascii="Times New Roman" w:hAnsi="Times New Roman" w:cs="Times New Roman" w:eastAsia="Times New Roman" w:hint="default"/>
        </w:rPr>
        <w:t>2015</w:t>
      </w:r>
      <w:r>
        <w:rPr/>
        <w:t>年公司成为三明医改软件包总承建商，构建</w:t>
      </w:r>
      <w:r>
        <w:rPr>
          <w:rFonts w:ascii="Times New Roman" w:hAnsi="Times New Roman" w:cs="Times New Roman" w:eastAsia="Times New Roman" w:hint="default"/>
        </w:rPr>
        <w:t>“</w:t>
      </w:r>
      <w:r>
        <w:rPr/>
        <w:t>三保合一</w:t>
      </w:r>
      <w:r>
        <w:rPr>
          <w:rFonts w:ascii="Times New Roman" w:hAnsi="Times New Roman" w:cs="Times New Roman" w:eastAsia="Times New Roman" w:hint="default"/>
        </w:rPr>
        <w:t>”</w:t>
      </w:r>
      <w:r>
        <w:rPr/>
        <w:t>系统，有效支撑三明医改模式； </w:t>
      </w:r>
      <w:r>
        <w:rPr>
          <w:rFonts w:ascii="Times New Roman" w:hAnsi="Times New Roman" w:cs="Times New Roman" w:eastAsia="Times New Roman" w:hint="default"/>
          <w:spacing w:val="-2"/>
        </w:rPr>
        <w:t>2016</w:t>
      </w:r>
      <w:r>
        <w:rPr>
          <w:spacing w:val="-2"/>
        </w:rPr>
        <w:t>年公司成为福建医保管理服务平台总开发商，构建了全国第一个省级医疗保障综合管理服务平台，有效支撑福建医保改</w:t>
      </w:r>
      <w:r>
        <w:rPr>
          <w:spacing w:val="-62"/>
        </w:rPr>
        <w:t> </w:t>
      </w:r>
      <w:r>
        <w:rPr>
          <w:spacing w:val="-62"/>
        </w:rPr>
      </w:r>
      <w:r>
        <w:rPr/>
        <w:t>革；</w:t>
      </w:r>
      <w:r>
        <w:rPr>
          <w:rFonts w:ascii="Times New Roman" w:hAnsi="Times New Roman" w:cs="Times New Roman" w:eastAsia="Times New Roman" w:hint="default"/>
        </w:rPr>
        <w:t>2017</w:t>
      </w:r>
      <w:r>
        <w:rPr/>
        <w:t>年公司率先实现互联网</w:t>
      </w:r>
      <w:r>
        <w:rPr>
          <w:rFonts w:ascii="Times New Roman" w:hAnsi="Times New Roman" w:cs="Times New Roman" w:eastAsia="Times New Roman" w:hint="default"/>
        </w:rPr>
        <w:t>+</w:t>
      </w:r>
      <w:r>
        <w:rPr/>
        <w:t>医保实时结算；</w:t>
      </w:r>
      <w:r>
        <w:rPr>
          <w:rFonts w:ascii="Times New Roman" w:hAnsi="Times New Roman" w:cs="Times New Roman" w:eastAsia="Times New Roman" w:hint="default"/>
        </w:rPr>
        <w:t>2018</w:t>
      </w:r>
      <w:r>
        <w:rPr/>
        <w:t>年，公司基于医保监管服务模式，率先上线医保电子处方流转服务平 </w:t>
      </w:r>
      <w:r>
        <w:rPr>
          <w:spacing w:val="-2"/>
        </w:rPr>
        <w:t>台；</w:t>
      </w:r>
      <w:r>
        <w:rPr>
          <w:rFonts w:ascii="Times New Roman" w:hAnsi="Times New Roman" w:cs="Times New Roman" w:eastAsia="Times New Roman" w:hint="default"/>
          <w:spacing w:val="-2"/>
        </w:rPr>
        <w:t>2019</w:t>
      </w:r>
      <w:r>
        <w:rPr>
          <w:spacing w:val="-2"/>
        </w:rPr>
        <w:t>年，公司中标国家医保局信息化平台五个核心系统建设，公司在医保信息化领域的经验和核心竞争力得到了巩固和</w:t>
      </w:r>
      <w:r>
        <w:rPr>
          <w:spacing w:val="-63"/>
        </w:rPr>
        <w:t> </w:t>
      </w:r>
      <w:r>
        <w:rPr>
          <w:spacing w:val="-63"/>
        </w:rPr>
      </w:r>
      <w:r>
        <w:rPr/>
        <w:t>进一步认同；</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月公司承建的国家医保</w:t>
      </w:r>
      <w:r>
        <w:rPr>
          <w:rFonts w:ascii="Times New Roman" w:hAnsi="Times New Roman" w:cs="Times New Roman" w:eastAsia="Times New Roman" w:hint="default"/>
        </w:rPr>
        <w:t>APP</w:t>
      </w:r>
      <w:r>
        <w:rPr/>
        <w:t>和医保电子凭证正式上线，截止目前已有</w:t>
      </w:r>
      <w:r>
        <w:rPr>
          <w:rFonts w:ascii="Times New Roman" w:hAnsi="Times New Roman" w:cs="Times New Roman" w:eastAsia="Times New Roman" w:hint="default"/>
        </w:rPr>
        <w:t>6,000</w:t>
      </w:r>
      <w:r>
        <w:rPr/>
        <w:t>万用户。公司始终紧密围 绕国家改革政策，充分运用信息化工具，服务政府、社会多元化、多层次的医疗保障服务需求。</w:t>
      </w:r>
    </w:p>
    <w:p>
      <w:pPr>
        <w:pStyle w:val="BodyText"/>
        <w:spacing w:line="314" w:lineRule="auto" w:before="31"/>
        <w:ind w:right="1034" w:firstLine="288"/>
        <w:jc w:val="left"/>
      </w:pPr>
      <w:r>
        <w:rPr/>
        <w:t>经过近二十年的积累，特别是自国家新医改以来，公司从三明医改、福建医保改革和国家医保局信息化平台的建设中积 累了丰富的经验，并结合前沿技术，不断创新，以提供更符合新医改需求的医保信息化整体解决方案，丰富公司产品体系。 </w:t>
      </w:r>
      <w:r>
        <w:rPr>
          <w:spacing w:val="-2"/>
        </w:rPr>
        <w:t>公司设计的基于大数据的基金监察系统，协助医保部门落实参保人真实就医行为和医保医师真实医疗行为分析，为医保的精</w:t>
      </w:r>
      <w:r>
        <w:rPr>
          <w:spacing w:val="-64"/>
        </w:rPr>
        <w:t> </w:t>
      </w:r>
      <w:r>
        <w:rPr>
          <w:spacing w:val="-64"/>
        </w:rPr>
      </w:r>
      <w:r>
        <w:rPr>
          <w:spacing w:val="-2"/>
        </w:rPr>
        <w:t>细化管理提供基础；自主研发的医保人身校验反欺诈系统，将人脸识别应用到医保基金稽核当中，进一步降低医保基金盗刷</w:t>
      </w:r>
      <w:r>
        <w:rPr>
          <w:spacing w:val="-63"/>
        </w:rPr>
        <w:t> </w:t>
      </w:r>
      <w:r>
        <w:rPr>
          <w:spacing w:val="-63"/>
        </w:rPr>
      </w:r>
      <w:r>
        <w:rPr>
          <w:spacing w:val="-2"/>
        </w:rPr>
        <w:t>发生的概率；有效衔接商业健康险产品，探索医保数据产品与服务新模式；同时，通过智能监控、人身验证应用、医疗保障</w:t>
      </w:r>
      <w:r>
        <w:rPr>
          <w:spacing w:val="-68"/>
        </w:rPr>
        <w:t> </w:t>
      </w:r>
      <w:r>
        <w:rPr>
          <w:spacing w:val="-68"/>
        </w:rPr>
      </w:r>
      <w:r>
        <w:rPr/>
        <w:t>稽查、基金反欺诈风控、</w:t>
      </w:r>
      <w:r>
        <w:rPr>
          <w:rFonts w:ascii="Times New Roman" w:hAnsi="Times New Roman" w:cs="Times New Roman" w:eastAsia="Times New Roman" w:hint="default"/>
        </w:rPr>
        <w:t>DRGs</w:t>
      </w:r>
      <w:r>
        <w:rPr/>
        <w:t>收付费管理、多险合一业务经办、医保公共服务、医保移动支付、医保电子处方流转、定点 </w:t>
      </w:r>
      <w:r>
        <w:rPr>
          <w:spacing w:val="-4"/>
        </w:rPr>
        <w:t>药店反欺诈监管、医保定点药店视频监控平台等应用，大大提高了政府医保监管与服务的效率，更加方便个人获得医保服务。</w:t>
      </w:r>
    </w:p>
    <w:p>
      <w:pPr>
        <w:pStyle w:val="BodyText"/>
        <w:spacing w:line="319" w:lineRule="auto" w:before="20"/>
        <w:ind w:left="441" w:right="1125"/>
        <w:jc w:val="left"/>
      </w:pPr>
      <w:r>
        <w:rPr/>
        <w:t>（二）健康医疗业务 基于医保核心业务，公司积极拓展医保、医疗、医药</w:t>
      </w:r>
      <w:r>
        <w:rPr>
          <w:rFonts w:ascii="Times New Roman" w:hAnsi="Times New Roman" w:cs="Times New Roman" w:eastAsia="Times New Roman" w:hint="default"/>
        </w:rPr>
        <w:t>“</w:t>
      </w:r>
      <w:r>
        <w:rPr/>
        <w:t>三医</w:t>
      </w:r>
      <w:r>
        <w:rPr>
          <w:rFonts w:ascii="Times New Roman" w:hAnsi="Times New Roman" w:cs="Times New Roman" w:eastAsia="Times New Roman" w:hint="default"/>
        </w:rPr>
        <w:t>”</w:t>
      </w:r>
      <w:r>
        <w:rPr/>
        <w:t>领域，基于医疗卫生传统基础业务，拓展公众健康服务等互</w:t>
      </w:r>
    </w:p>
    <w:p>
      <w:pPr>
        <w:pStyle w:val="BodyText"/>
        <w:spacing w:line="300" w:lineRule="auto"/>
        <w:ind w:right="1131"/>
        <w:jc w:val="both"/>
      </w:pPr>
      <w:r>
        <w:rPr>
          <w:spacing w:val="-2"/>
        </w:rPr>
        <w:t>联网医疗领域，建设涵盖健康医疗大数据服务应用、智慧医院、区域卫生、医药医养等健康城市解决方案。</w:t>
      </w:r>
      <w:r>
        <w:rPr>
          <w:rFonts w:ascii="Times New Roman" w:hAnsi="Times New Roman" w:cs="Times New Roman" w:eastAsia="Times New Roman" w:hint="default"/>
          <w:spacing w:val="-2"/>
        </w:rPr>
        <w:t>2017</w:t>
      </w:r>
      <w:r>
        <w:rPr>
          <w:spacing w:val="-2"/>
        </w:rPr>
        <w:t>年起，公司</w:t>
      </w:r>
      <w:r>
        <w:rPr>
          <w:spacing w:val="-63"/>
        </w:rPr>
        <w:t> </w:t>
      </w:r>
      <w:r>
        <w:rPr>
          <w:spacing w:val="-63"/>
        </w:rPr>
      </w:r>
      <w:r>
        <w:rPr>
          <w:spacing w:val="-2"/>
        </w:rPr>
        <w:t>实行开放平台战略，重点关注健康医疗大数据；成为国家养老产业示范企业；</w:t>
      </w:r>
      <w:r>
        <w:rPr>
          <w:rFonts w:ascii="Times New Roman" w:hAnsi="Times New Roman" w:cs="Times New Roman" w:eastAsia="Times New Roman" w:hint="default"/>
          <w:spacing w:val="-2"/>
        </w:rPr>
        <w:t>2018</w:t>
      </w:r>
      <w:r>
        <w:rPr>
          <w:spacing w:val="-2"/>
        </w:rPr>
        <w:t>年以来，公司开展电子健康卡、多码融合</w:t>
      </w:r>
      <w:r>
        <w:rPr>
          <w:spacing w:val="-64"/>
        </w:rPr>
        <w:t> </w:t>
      </w:r>
      <w:r>
        <w:rPr>
          <w:spacing w:val="-64"/>
        </w:rPr>
      </w:r>
      <w:r>
        <w:rPr/>
        <w:t>创新应用落地，并参与国家卫健委电子健康卡的标准规范制定；</w:t>
      </w:r>
      <w:r>
        <w:rPr>
          <w:rFonts w:ascii="Times New Roman" w:hAnsi="Times New Roman" w:cs="Times New Roman" w:eastAsia="Times New Roman" w:hint="default"/>
        </w:rPr>
        <w:t>2019</w:t>
      </w:r>
      <w:r>
        <w:rPr/>
        <w:t>年，公司通过互联网</w:t>
      </w:r>
      <w:r>
        <w:rPr>
          <w:rFonts w:ascii="Times New Roman" w:hAnsi="Times New Roman" w:cs="Times New Roman" w:eastAsia="Times New Roman" w:hint="default"/>
        </w:rPr>
        <w:t>+</w:t>
      </w:r>
      <w:r>
        <w:rPr/>
        <w:t>社区卫生服务及互联网医院开放 平台，打造</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医疗健康</w:t>
      </w:r>
      <w:r>
        <w:rPr>
          <w:rFonts w:ascii="Times New Roman" w:hAnsi="Times New Roman" w:cs="Times New Roman" w:eastAsia="Times New Roman" w:hint="default"/>
        </w:rPr>
        <w:t>”</w:t>
      </w:r>
      <w:r>
        <w:rPr/>
        <w:t>创新应用服务平台；同时，以</w:t>
      </w:r>
      <w:r>
        <w:rPr>
          <w:rFonts w:ascii="Times New Roman" w:hAnsi="Times New Roman" w:cs="Times New Roman" w:eastAsia="Times New Roman" w:hint="default"/>
        </w:rPr>
        <w:t>“</w:t>
      </w:r>
      <w:r>
        <w:rPr/>
        <w:t>政府监管云、医疗服务云、个人健康云</w:t>
      </w:r>
      <w:r>
        <w:rPr>
          <w:rFonts w:ascii="Times New Roman" w:hAnsi="Times New Roman" w:cs="Times New Roman" w:eastAsia="Times New Roman" w:hint="default"/>
        </w:rPr>
        <w:t>”</w:t>
      </w:r>
      <w:r>
        <w:rPr/>
        <w:t>为整体信息化架构构 建</w:t>
      </w:r>
      <w:r>
        <w:rPr>
          <w:rFonts w:ascii="Times New Roman" w:hAnsi="Times New Roman" w:cs="Times New Roman" w:eastAsia="Times New Roman" w:hint="default"/>
        </w:rPr>
        <w:t>“</w:t>
      </w:r>
      <w:r>
        <w:rPr/>
        <w:t>三医联动</w:t>
      </w:r>
      <w:r>
        <w:rPr>
          <w:rFonts w:ascii="Times New Roman" w:hAnsi="Times New Roman" w:cs="Times New Roman" w:eastAsia="Times New Roman" w:hint="default"/>
        </w:rPr>
        <w:t>”</w:t>
      </w:r>
      <w:r>
        <w:rPr/>
        <w:t>综合监测平台及医共体平台，提供医改信息化整体解决方案等。</w:t>
      </w:r>
    </w:p>
    <w:p>
      <w:pPr>
        <w:pStyle w:val="BodyText"/>
        <w:spacing w:line="316" w:lineRule="auto" w:before="13"/>
        <w:ind w:right="1178" w:firstLine="216"/>
        <w:jc w:val="left"/>
      </w:pPr>
      <w:r>
        <w:rPr/>
        <w:t>公司健康医疗业务产品覆盖疾病预防、就诊、购药、治疗、卫健、康养等领域，全方位提供健康医疗信息服务，主要包 括：</w:t>
      </w:r>
    </w:p>
    <w:p>
      <w:pPr>
        <w:pStyle w:val="BodyText"/>
        <w:spacing w:line="300" w:lineRule="auto" w:before="19"/>
        <w:ind w:right="1196" w:firstLine="288"/>
        <w:jc w:val="left"/>
      </w:pPr>
      <w:r>
        <w:rPr/>
        <w:t>（</w:t>
      </w:r>
      <w:r>
        <w:rPr>
          <w:rFonts w:ascii="Times New Roman" w:hAnsi="Times New Roman" w:cs="Times New Roman" w:eastAsia="Times New Roman" w:hint="default"/>
        </w:rPr>
        <w:t>1</w:t>
      </w:r>
      <w:r>
        <w:rPr/>
        <w:t>）健康大数据应用，包括人口健康信息管理平台、人口计生综合服务平台、全员人口信息质量评估系统、出生证管 理系统等；</w:t>
      </w:r>
    </w:p>
    <w:p>
      <w:pPr>
        <w:pStyle w:val="BodyText"/>
        <w:spacing w:line="309" w:lineRule="auto" w:before="32"/>
        <w:ind w:right="1133" w:firstLine="288"/>
        <w:jc w:val="both"/>
      </w:pPr>
      <w:r>
        <w:rPr/>
        <w:t>（</w:t>
      </w:r>
      <w:r>
        <w:rPr>
          <w:rFonts w:ascii="Times New Roman" w:hAnsi="Times New Roman" w:cs="Times New Roman" w:eastAsia="Times New Roman" w:hint="default"/>
        </w:rPr>
        <w:t>2</w:t>
      </w:r>
      <w:r>
        <w:rPr/>
        <w:t>）智慧医院解决方案，包括</w:t>
      </w:r>
      <w:r>
        <w:rPr>
          <w:rFonts w:ascii="Times New Roman" w:hAnsi="Times New Roman" w:cs="Times New Roman" w:eastAsia="Times New Roman" w:hint="default"/>
        </w:rPr>
        <w:t>HIS</w:t>
      </w:r>
      <w:r>
        <w:rPr/>
        <w:t>、</w:t>
      </w:r>
      <w:r>
        <w:rPr>
          <w:rFonts w:ascii="Times New Roman" w:hAnsi="Times New Roman" w:cs="Times New Roman" w:eastAsia="Times New Roman" w:hint="default"/>
        </w:rPr>
        <w:t>PACS</w:t>
      </w:r>
      <w:r>
        <w:rPr/>
        <w:t>、检查预约系统、电子云胶片、临床信息系统、移动互联门户、集成平台、 </w:t>
      </w:r>
      <w:r>
        <w:rPr>
          <w:spacing w:val="-2"/>
        </w:rPr>
        <w:t>电子病历、掌上医院、排队叫号、统一支付平台、多点结算平台、医院医保移动支付系统、自助终端设备等软硬件一体化应</w:t>
      </w:r>
      <w:r>
        <w:rPr>
          <w:spacing w:val="-68"/>
        </w:rPr>
        <w:t> </w:t>
      </w:r>
      <w:r>
        <w:rPr>
          <w:spacing w:val="-68"/>
        </w:rPr>
      </w:r>
      <w:r>
        <w:rPr/>
        <w:t>用；</w:t>
      </w:r>
    </w:p>
    <w:p>
      <w:pPr>
        <w:spacing w:after="0" w:line="309"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right="1133" w:firstLine="288"/>
        <w:jc w:val="left"/>
      </w:pPr>
      <w:r>
        <w:rPr/>
        <w:t>（</w:t>
      </w:r>
      <w:r>
        <w:rPr>
          <w:rFonts w:ascii="Times New Roman" w:hAnsi="Times New Roman" w:cs="Times New Roman" w:eastAsia="Times New Roman" w:hint="default"/>
        </w:rPr>
        <w:t>3</w:t>
      </w:r>
      <w:r>
        <w:rPr/>
        <w:t>）区域卫生解决方案，包括电子健康卡平台、多码融合平台、区域医疗支付平台、信用就医云平台、互联网医院平 </w:t>
      </w:r>
      <w:r>
        <w:rPr>
          <w:spacing w:val="-2"/>
        </w:rPr>
        <w:t>台、医联体平台、医共体平台、区域分级诊疗平台、区域影像共享平台、云影像平台、区域卫生监管、放射与职业卫生监督</w:t>
      </w:r>
      <w:r>
        <w:rPr>
          <w:spacing w:val="-73"/>
        </w:rPr>
        <w:t> </w:t>
      </w:r>
      <w:r>
        <w:rPr>
          <w:spacing w:val="-73"/>
        </w:rPr>
      </w:r>
      <w:r>
        <w:rPr/>
        <w:t>平台、基层卫生和村所系统、家庭医生签约、慢病管理等信息化系统；</w:t>
      </w:r>
    </w:p>
    <w:p>
      <w:pPr>
        <w:pStyle w:val="BodyText"/>
        <w:spacing w:line="300" w:lineRule="auto" w:before="24"/>
        <w:ind w:right="1196" w:firstLine="288"/>
        <w:jc w:val="left"/>
      </w:pPr>
      <w:r>
        <w:rPr/>
        <w:t>（</w:t>
      </w:r>
      <w:r>
        <w:rPr>
          <w:rFonts w:ascii="Times New Roman" w:hAnsi="Times New Roman" w:cs="Times New Roman" w:eastAsia="Times New Roman" w:hint="default"/>
        </w:rPr>
        <w:t>4</w:t>
      </w:r>
      <w:r>
        <w:rPr/>
        <w:t>）医药医养方面，包括电子处方流转共享服务平台、医保定点药店监管与服务平台、便民用药服务平台、自助售取 药服务、医养软件、居家养老服务云平台、智能穿戴等软硬件一体化应用。</w:t>
      </w:r>
    </w:p>
    <w:p>
      <w:pPr>
        <w:pStyle w:val="BodyText"/>
        <w:spacing w:line="316" w:lineRule="auto" w:before="31"/>
        <w:ind w:left="441" w:right="1133"/>
        <w:jc w:val="left"/>
      </w:pPr>
      <w:r>
        <w:rPr/>
        <w:t>（三）民生服务业务 </w:t>
      </w:r>
      <w:r>
        <w:rPr>
          <w:spacing w:val="-1"/>
        </w:rPr>
        <w:t>公司专注民生服务领域近</w:t>
      </w:r>
      <w:r>
        <w:rPr>
          <w:rFonts w:ascii="Times New Roman" w:hAnsi="Times New Roman" w:cs="Times New Roman" w:eastAsia="Times New Roman" w:hint="default"/>
          <w:spacing w:val="-1"/>
        </w:rPr>
        <w:t>20</w:t>
      </w:r>
      <w:r>
        <w:rPr>
          <w:spacing w:val="-1"/>
        </w:rPr>
        <w:t>年，基于在人力资源和社会保障行业的积淀和创新探索，目前公司民生服务业务主要包括四</w:t>
      </w:r>
    </w:p>
    <w:p>
      <w:pPr>
        <w:pStyle w:val="BodyText"/>
        <w:spacing w:line="235" w:lineRule="exact"/>
        <w:ind w:right="0"/>
        <w:jc w:val="both"/>
      </w:pPr>
      <w:r>
        <w:rPr/>
        <w:t>个方面：</w:t>
      </w:r>
    </w:p>
    <w:p>
      <w:pPr>
        <w:pStyle w:val="BodyText"/>
        <w:spacing w:line="300" w:lineRule="auto" w:before="76"/>
        <w:ind w:right="1196" w:firstLine="288"/>
        <w:jc w:val="left"/>
      </w:pPr>
      <w:r>
        <w:rPr/>
        <w:t>（</w:t>
      </w:r>
      <w:r>
        <w:rPr>
          <w:rFonts w:ascii="Times New Roman" w:hAnsi="Times New Roman" w:cs="Times New Roman" w:eastAsia="Times New Roman" w:hint="default"/>
        </w:rPr>
        <w:t>1</w:t>
      </w:r>
      <w:r>
        <w:rPr/>
        <w:t>）面向政府部门的业务系统建设，公司提供涵盖社会保险、劳动就业、劳动关系、人事人才等业务领域的业务软件 系统、卡和自助设备等全套解决方案，目前业务覆盖全国十余个省</w:t>
      </w:r>
      <w:r>
        <w:rPr>
          <w:rFonts w:ascii="Times New Roman" w:hAnsi="Times New Roman" w:cs="Times New Roman" w:eastAsia="Times New Roman" w:hint="default"/>
        </w:rPr>
        <w:t>/</w:t>
      </w:r>
      <w:r>
        <w:rPr/>
        <w:t>直辖市；</w:t>
      </w:r>
    </w:p>
    <w:p>
      <w:pPr>
        <w:pStyle w:val="BodyText"/>
        <w:spacing w:line="300" w:lineRule="auto" w:before="13"/>
        <w:ind w:right="1115" w:firstLine="288"/>
        <w:jc w:val="left"/>
      </w:pPr>
      <w:r>
        <w:rPr/>
        <w:t>（</w:t>
      </w:r>
      <w:r>
        <w:rPr>
          <w:rFonts w:ascii="Times New Roman" w:hAnsi="Times New Roman" w:cs="Times New Roman" w:eastAsia="Times New Roman" w:hint="default"/>
        </w:rPr>
        <w:t>2</w:t>
      </w:r>
      <w:r>
        <w:rPr/>
        <w:t>）面向政府的公共服务平台建设，公司紧抓</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这一热点趋势，打造业界领先的公共服务解决方案，并承担了 国家人社部以及十一个省</w:t>
      </w:r>
      <w:r>
        <w:rPr>
          <w:rFonts w:ascii="Times New Roman" w:hAnsi="Times New Roman" w:cs="Times New Roman" w:eastAsia="Times New Roman" w:hint="default"/>
        </w:rPr>
        <w:t>/</w:t>
      </w:r>
      <w:r>
        <w:rPr/>
        <w:t>直辖市公共服务平台建设；</w:t>
      </w:r>
    </w:p>
    <w:p>
      <w:pPr>
        <w:pStyle w:val="BodyText"/>
        <w:spacing w:line="300" w:lineRule="auto" w:before="13"/>
        <w:ind w:right="1112" w:firstLine="288"/>
        <w:jc w:val="left"/>
      </w:pPr>
      <w:r>
        <w:rPr/>
        <w:t>（</w:t>
      </w:r>
      <w:r>
        <w:rPr>
          <w:rFonts w:ascii="Times New Roman" w:hAnsi="Times New Roman" w:cs="Times New Roman" w:eastAsia="Times New Roman" w:hint="default"/>
        </w:rPr>
        <w:t>3</w:t>
      </w:r>
      <w:r>
        <w:rPr/>
        <w:t>）面向行业政府部门、企业的大数据建设及服务，公司深入研究大数据、人工智能等技术与行业应用的结合，面向 行业政府部门提供如劳资纠纷预警、政策仿真、精准就业、就业精准帮扶、智能客服、社保稽核等产品及服务，在互联网</w:t>
      </w:r>
      <w:r>
        <w:rPr>
          <w:rFonts w:ascii="Times New Roman" w:hAnsi="Times New Roman" w:cs="Times New Roman" w:eastAsia="Times New Roman" w:hint="default"/>
        </w:rPr>
        <w:t>+ </w:t>
      </w:r>
      <w:r>
        <w:rPr/>
        <w:t>人社、大数据方面有着深入的实践；面向企业提供商保科技和金融风控等业务；</w:t>
      </w:r>
    </w:p>
    <w:p>
      <w:pPr>
        <w:pStyle w:val="BodyText"/>
        <w:spacing w:line="300" w:lineRule="auto" w:before="31"/>
        <w:ind w:right="1126" w:firstLine="288"/>
        <w:jc w:val="left"/>
      </w:pPr>
      <w:r>
        <w:rPr/>
        <w:t>（</w:t>
      </w:r>
      <w:r>
        <w:rPr>
          <w:rFonts w:ascii="Times New Roman" w:hAnsi="Times New Roman" w:cs="Times New Roman" w:eastAsia="Times New Roman" w:hint="default"/>
        </w:rPr>
        <w:t>4</w:t>
      </w:r>
      <w:r>
        <w:rPr/>
        <w:t>）面向企业和个人的信息服务，公司积极探索</w:t>
      </w:r>
      <w:r>
        <w:rPr>
          <w:rFonts w:ascii="Times New Roman" w:hAnsi="Times New Roman" w:cs="Times New Roman" w:eastAsia="Times New Roman" w:hint="default"/>
        </w:rPr>
        <w:t>B</w:t>
      </w:r>
      <w:r>
        <w:rPr/>
        <w:t>端（企业）及</w:t>
      </w:r>
      <w:r>
        <w:rPr>
          <w:rFonts w:ascii="Times New Roman" w:hAnsi="Times New Roman" w:cs="Times New Roman" w:eastAsia="Times New Roman" w:hint="default"/>
        </w:rPr>
        <w:t>C</w:t>
      </w:r>
      <w:r>
        <w:rPr/>
        <w:t>端（个人）用户的产品及服务，</w:t>
      </w:r>
      <w:r>
        <w:rPr>
          <w:rFonts w:ascii="Times New Roman" w:hAnsi="Times New Roman" w:cs="Times New Roman" w:eastAsia="Times New Roman" w:hint="default"/>
        </w:rPr>
        <w:t>B</w:t>
      </w:r>
      <w:r>
        <w:rPr>
          <w:rFonts w:ascii="Times New Roman" w:hAnsi="Times New Roman" w:cs="Times New Roman" w:eastAsia="Times New Roman" w:hint="default"/>
          <w:spacing w:val="25"/>
        </w:rPr>
        <w:t> </w:t>
      </w:r>
      <w:r>
        <w:rPr/>
        <w:t>端产品，如面向企 业提供申报服务、一体化综合用工服务等；</w:t>
      </w:r>
      <w:r>
        <w:rPr>
          <w:rFonts w:ascii="Times New Roman" w:hAnsi="Times New Roman" w:cs="Times New Roman" w:eastAsia="Times New Roman" w:hint="default"/>
        </w:rPr>
        <w:t>C</w:t>
      </w:r>
      <w:r>
        <w:rPr/>
        <w:t>端产品，推出</w:t>
      </w:r>
      <w:r>
        <w:rPr>
          <w:rFonts w:ascii="Times New Roman" w:hAnsi="Times New Roman" w:cs="Times New Roman" w:eastAsia="Times New Roman" w:hint="default"/>
        </w:rPr>
        <w:t>“</w:t>
      </w:r>
      <w:r>
        <w:rPr/>
        <w:t>家</w:t>
      </w:r>
      <w:r>
        <w:rPr>
          <w:rFonts w:ascii="Times New Roman" w:hAnsi="Times New Roman" w:cs="Times New Roman" w:eastAsia="Times New Roman" w:hint="default"/>
        </w:rPr>
        <w:t>+</w:t>
      </w:r>
      <w:r>
        <w:rPr/>
        <w:t>社保</w:t>
      </w:r>
      <w:r>
        <w:rPr>
          <w:rFonts w:ascii="Times New Roman" w:hAnsi="Times New Roman" w:cs="Times New Roman" w:eastAsia="Times New Roman" w:hint="default"/>
        </w:rPr>
        <w:t>”</w:t>
      </w:r>
      <w:r>
        <w:rPr/>
        <w:t>、易参保等产品，提供人力资源、在线培训等服务， 推动公司互联网端业务发展。</w:t>
      </w:r>
    </w:p>
    <w:p>
      <w:pPr>
        <w:pStyle w:val="BodyText"/>
        <w:spacing w:line="316" w:lineRule="auto" w:before="31"/>
        <w:ind w:left="441" w:right="1133"/>
        <w:jc w:val="left"/>
      </w:pPr>
      <w:r>
        <w:rPr/>
        <w:t>（四）产业金融业务 </w:t>
      </w:r>
      <w:r>
        <w:rPr>
          <w:spacing w:val="-1"/>
        </w:rPr>
        <w:t>公司的产业金融业务体系，以公司主营业务和客户资源为重点，将传统业务与互联网结合并衍生金融服务，构建和运用</w:t>
      </w:r>
    </w:p>
    <w:p>
      <w:pPr>
        <w:pStyle w:val="BodyText"/>
        <w:spacing w:line="319" w:lineRule="auto" w:before="19"/>
        <w:ind w:right="1131"/>
        <w:jc w:val="both"/>
      </w:pPr>
      <w:r>
        <w:rPr>
          <w:spacing w:val="-2"/>
        </w:rPr>
        <w:t>互联网平台，实现公司产业资本与金融资本的融合，涉足金融领域，迈向多元化经营。公司凭借长期以来通过业务合作而形</w:t>
      </w:r>
      <w:r>
        <w:rPr>
          <w:spacing w:val="-64"/>
        </w:rPr>
        <w:t> </w:t>
      </w:r>
      <w:r>
        <w:rPr>
          <w:spacing w:val="-64"/>
        </w:rPr>
      </w:r>
      <w:r>
        <w:rPr>
          <w:spacing w:val="-2"/>
        </w:rPr>
        <w:t>成的对产业链群体的深刻了解，充分利用在民生领域积累的资源，面向医院、基层医疗机构、药店以及海量个人和参保单位</w:t>
      </w:r>
      <w:r>
        <w:rPr>
          <w:spacing w:val="-64"/>
        </w:rPr>
        <w:t> </w:t>
      </w:r>
      <w:r>
        <w:rPr>
          <w:spacing w:val="-64"/>
        </w:rPr>
      </w:r>
      <w:r>
        <w:rPr/>
        <w:t>等，探索面向产业链群体的相关融资租赁、保险及理财产品（代理销售）等产业金融服务。</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Heading2"/>
        <w:spacing w:line="240" w:lineRule="auto"/>
        <w:ind w:right="0"/>
        <w:jc w:val="both"/>
        <w:rPr>
          <w:b w:val="0"/>
          <w:bCs w:val="0"/>
        </w:rPr>
      </w:pPr>
      <w:r>
        <w:rPr/>
        <w:t>二、主要资产重大变化情况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187"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长期股权投资比年初增加</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宋体" w:hAnsi="宋体" w:cs="宋体" w:eastAsia="宋体" w:hint="default"/>
                <w:sz w:val="18"/>
                <w:szCs w:val="18"/>
              </w:rPr>
              <w:t>。</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固定资产较年初减少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6.79%</w:t>
            </w:r>
            <w:r>
              <w:rPr>
                <w:rFonts w:ascii="宋体" w:hAnsi="宋体" w:cs="宋体" w:eastAsia="宋体" w:hint="default"/>
                <w:sz w:val="18"/>
                <w:szCs w:val="18"/>
              </w:rPr>
              <w:t>，主要是计提折旧及部分报废的固定资产清理所致。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无形资产较年初增长</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w:t>
            </w:r>
            <w:r>
              <w:rPr>
                <w:rFonts w:ascii="宋体" w:hAnsi="宋体" w:cs="宋体" w:eastAsia="宋体" w:hint="default"/>
                <w:sz w:val="18"/>
                <w:szCs w:val="18"/>
              </w:rPr>
              <w:t>，主要是无形资产新增及摊销所致。</w:t>
            </w:r>
          </w:p>
        </w:tc>
      </w:tr>
      <w:tr>
        <w:trPr>
          <w:trHeight w:val="161" w:hRule="exact"/>
        </w:trPr>
        <w:tc>
          <w:tcPr>
            <w:tcW w:w="305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9" w:type="dxa"/>
            <w:vMerge w:val="restart"/>
            <w:tcBorders>
              <w:top w:val="single" w:sz="4" w:space="0" w:color="000000"/>
              <w:left w:val="single" w:sz="4" w:space="0" w:color="000000"/>
              <w:right w:val="single" w:sz="4" w:space="0" w:color="000000"/>
            </w:tcBorders>
          </w:tcPr>
          <w:p>
            <w:pPr>
              <w:pStyle w:val="TableParagraph"/>
              <w:spacing w:line="300" w:lineRule="auto" w:before="51"/>
              <w:ind w:left="24" w:right="48"/>
              <w:jc w:val="left"/>
              <w:rPr>
                <w:rFonts w:ascii="宋体" w:hAnsi="宋体" w:cs="宋体" w:eastAsia="宋体" w:hint="default"/>
                <w:sz w:val="18"/>
                <w:szCs w:val="18"/>
              </w:rPr>
            </w:pPr>
            <w:r>
              <w:rPr>
                <w:rFonts w:ascii="宋体" w:hAnsi="宋体" w:cs="宋体" w:eastAsia="宋体" w:hint="default"/>
                <w:sz w:val="18"/>
                <w:szCs w:val="18"/>
              </w:rPr>
              <w:t>本年末无在建工程，比年初减少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43.73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万元，主要是在建工程转固定资产和长期待 摊费用所致。</w:t>
            </w:r>
          </w:p>
        </w:tc>
      </w:tr>
      <w:tr>
        <w:trPr>
          <w:trHeight w:val="391" w:hRule="exact"/>
        </w:trPr>
        <w:tc>
          <w:tcPr>
            <w:tcW w:w="30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9" w:type="dxa"/>
            <w:vMerge/>
            <w:tcBorders>
              <w:left w:val="single" w:sz="4" w:space="0" w:color="000000"/>
              <w:right w:val="single" w:sz="4" w:space="0" w:color="000000"/>
            </w:tcBorders>
          </w:tcPr>
          <w:p>
            <w:pPr/>
          </w:p>
        </w:tc>
      </w:tr>
      <w:tr>
        <w:trPr>
          <w:trHeight w:val="161" w:hRule="exact"/>
        </w:trPr>
        <w:tc>
          <w:tcPr>
            <w:tcW w:w="3051"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9" w:type="dxa"/>
            <w:vMerge/>
            <w:tcBorders>
              <w:left w:val="single" w:sz="4" w:space="0" w:color="000000"/>
              <w:bottom w:val="single" w:sz="4" w:space="0" w:color="000000"/>
              <w:right w:val="single" w:sz="4" w:space="0" w:color="000000"/>
            </w:tcBorders>
          </w:tcPr>
          <w:p>
            <w:pPr/>
          </w:p>
        </w:tc>
      </w:tr>
      <w:tr>
        <w:trPr>
          <w:trHeight w:val="1027"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7"/>
              <w:jc w:val="both"/>
              <w:rPr>
                <w:rFonts w:ascii="宋体" w:hAnsi="宋体" w:cs="宋体" w:eastAsia="宋体" w:hint="default"/>
                <w:sz w:val="18"/>
                <w:szCs w:val="18"/>
              </w:rPr>
            </w:pPr>
            <w:r>
              <w:rPr>
                <w:rFonts w:ascii="宋体" w:hAnsi="宋体" w:cs="宋体" w:eastAsia="宋体" w:hint="default"/>
                <w:sz w:val="18"/>
                <w:szCs w:val="18"/>
              </w:rPr>
              <w:t>开发支出较年初增长</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248.63%</w:t>
            </w:r>
            <w:r>
              <w:rPr>
                <w:rFonts w:ascii="宋体" w:hAnsi="宋体" w:cs="宋体" w:eastAsia="宋体" w:hint="default"/>
                <w:sz w:val="18"/>
                <w:szCs w:val="18"/>
              </w:rPr>
              <w:t>，主要是新医疗保障信息系统</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V1.0</w:t>
            </w:r>
            <w:r>
              <w:rPr>
                <w:rFonts w:ascii="宋体" w:hAnsi="宋体" w:cs="宋体" w:eastAsia="宋体" w:hint="default"/>
                <w:sz w:val="18"/>
                <w:szCs w:val="18"/>
              </w:rPr>
              <w:t>、医疗保障公共服 </w:t>
            </w:r>
            <w:r>
              <w:rPr>
                <w:rFonts w:ascii="宋体" w:hAnsi="宋体" w:cs="宋体" w:eastAsia="宋体" w:hint="default"/>
                <w:spacing w:val="-1"/>
                <w:sz w:val="18"/>
                <w:szCs w:val="18"/>
              </w:rPr>
              <w:t>务平台、易联众医卫新版慢病管理平台、医疗电子处方共享平台项目、厦门市医疗</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保险目录与价格管理系统</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V1.0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等项目的开发支出。</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一年内到期的非流动资产较年初减少</w:t>
            </w:r>
            <w:r>
              <w:rPr>
                <w:rFonts w:ascii="宋体" w:hAnsi="宋体" w:cs="宋体" w:eastAsia="宋体" w:hint="default"/>
                <w:spacing w:val="-38"/>
                <w:sz w:val="18"/>
                <w:szCs w:val="18"/>
              </w:rPr>
              <w:t> </w:t>
            </w:r>
            <w:r>
              <w:rPr>
                <w:rFonts w:ascii="Times New Roman" w:hAnsi="Times New Roman" w:cs="Times New Roman" w:eastAsia="Times New Roman" w:hint="default"/>
                <w:spacing w:val="-4"/>
                <w:sz w:val="18"/>
                <w:szCs w:val="18"/>
              </w:rPr>
              <w:t>99.19%</w:t>
            </w:r>
            <w:r>
              <w:rPr>
                <w:rFonts w:ascii="宋体" w:hAnsi="宋体" w:cs="宋体" w:eastAsia="宋体" w:hint="default"/>
                <w:spacing w:val="-4"/>
                <w:sz w:val="18"/>
                <w:szCs w:val="18"/>
              </w:rPr>
              <w:t>，主要是收回部分一年内到期的融资租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赁款</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可供出售金融资产减少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，主要是执行新金融工具准则将金融资产进行重新分</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051"/>
        <w:gridCol w:w="6519"/>
      </w:tblGrid>
      <w:tr>
        <w:trPr>
          <w:trHeight w:val="675" w:hRule="exact"/>
        </w:trPr>
        <w:tc>
          <w:tcPr>
            <w:tcW w:w="3051" w:type="dxa"/>
            <w:tcBorders>
              <w:top w:val="single" w:sz="4" w:space="0" w:color="000000"/>
              <w:left w:val="single" w:sz="4" w:space="0" w:color="000000"/>
              <w:bottom w:val="single" w:sz="4" w:space="0" w:color="000000"/>
              <w:right w:val="single" w:sz="4" w:space="0" w:color="000000"/>
            </w:tcBorders>
          </w:tcPr>
          <w:p>
            <w:pP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23"/>
              <w:jc w:val="left"/>
              <w:rPr>
                <w:rFonts w:ascii="宋体" w:hAnsi="宋体" w:cs="宋体" w:eastAsia="宋体" w:hint="default"/>
                <w:sz w:val="18"/>
                <w:szCs w:val="18"/>
              </w:rPr>
            </w:pPr>
            <w:r>
              <w:rPr>
                <w:rFonts w:ascii="宋体" w:hAnsi="宋体" w:cs="宋体" w:eastAsia="宋体" w:hint="default"/>
                <w:spacing w:val="-1"/>
                <w:sz w:val="18"/>
                <w:szCs w:val="18"/>
              </w:rPr>
              <w:t>类所致，同时处置了原计入可供出售金融资产的厦门农商金融控股集团有限公司股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权。</w:t>
            </w:r>
          </w:p>
        </w:tc>
      </w:tr>
      <w:tr>
        <w:trPr>
          <w:trHeight w:val="401"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应收利息减少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，主要是保理公司转让处置所致。</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、主要境外资产情况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三、核心竞争力分析</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2" w:firstLine="288"/>
        <w:jc w:val="left"/>
      </w:pPr>
      <w:r>
        <w:rPr>
          <w:spacing w:val="-2"/>
        </w:rPr>
        <w:t>报告期内，公司各竞争力要素均衡发展，总体竞争力得到进一步巩固和提升，未出现可能影响公司未来经营的重大变化。</w:t>
      </w:r>
      <w:r>
        <w:rPr/>
        <w:t> 公司竞争力主要体现在以下几个方面：</w:t>
      </w:r>
    </w:p>
    <w:p>
      <w:pPr>
        <w:pStyle w:val="BodyText"/>
        <w:spacing w:line="316" w:lineRule="auto" w:before="19"/>
        <w:ind w:left="441" w:right="1133"/>
        <w:jc w:val="left"/>
      </w:pPr>
      <w:r>
        <w:rPr/>
        <w:t>（一）一体化整体解决能力优势 </w:t>
      </w:r>
      <w:r>
        <w:rPr>
          <w:spacing w:val="-1"/>
        </w:rPr>
        <w:t>随着公司医疗保障、卫生健康、人力资源和社会保障等核心业务领域的纵深发展，各业务产品组合优势愈加显著，各渠</w:t>
      </w:r>
    </w:p>
    <w:p>
      <w:pPr>
        <w:pStyle w:val="BodyText"/>
        <w:spacing w:line="316" w:lineRule="auto" w:before="19"/>
        <w:ind w:right="1034"/>
        <w:jc w:val="left"/>
      </w:pPr>
      <w:r>
        <w:rPr/>
        <w:t>道服务协同互补效果愈加突出，特有的一体化整体解决能力优势在业务细分市场进一步突显。公司有效融合应用软件系统、 </w:t>
      </w:r>
      <w:r>
        <w:rPr>
          <w:spacing w:val="-2"/>
        </w:rPr>
        <w:t>卡业务、智能终端等产品体系，构建起全方位、立体化的产品服务网和线上、线下结合的多维度运营服务模式，全面辐射政</w:t>
      </w:r>
      <w:r>
        <w:rPr>
          <w:spacing w:val="-67"/>
        </w:rPr>
        <w:t> </w:t>
      </w:r>
      <w:r>
        <w:rPr>
          <w:spacing w:val="-67"/>
        </w:rPr>
      </w:r>
      <w:r>
        <w:rPr>
          <w:spacing w:val="-2"/>
        </w:rPr>
        <w:t>府、企业和社会公众三大民生信息服务主体的多层次的民生信息服务需求，并以云计算与大数据为创新驱动，融合互联网新</w:t>
      </w:r>
      <w:r>
        <w:rPr>
          <w:spacing w:val="-63"/>
        </w:rPr>
        <w:t> </w:t>
      </w:r>
      <w:r>
        <w:rPr>
          <w:spacing w:val="-63"/>
        </w:rPr>
      </w:r>
      <w:r>
        <w:rPr/>
        <w:t>业态，积极探索基础业务升级和关联新兴业务发展。</w:t>
      </w:r>
    </w:p>
    <w:p>
      <w:pPr>
        <w:pStyle w:val="BodyText"/>
        <w:spacing w:line="316" w:lineRule="auto" w:before="19"/>
        <w:ind w:left="441" w:right="1133"/>
        <w:jc w:val="left"/>
      </w:pPr>
      <w:r>
        <w:rPr/>
        <w:t>（二）多元创新优势 </w:t>
      </w:r>
      <w:r>
        <w:rPr>
          <w:spacing w:val="-1"/>
        </w:rPr>
        <w:t>公司拥有软件行业较完整的高等级资质并将创新作为战略发展的核心要素，坚持自主创新，通过持续的产品创新、服务</w:t>
      </w:r>
    </w:p>
    <w:p>
      <w:pPr>
        <w:pStyle w:val="BodyText"/>
        <w:spacing w:line="319" w:lineRule="auto" w:before="19"/>
        <w:ind w:left="441" w:right="1133" w:hanging="289"/>
        <w:jc w:val="left"/>
      </w:pPr>
      <w:r>
        <w:rPr/>
        <w:t>创新，形成多元化的创新模式，具有较强的竞争优势。 </w:t>
      </w:r>
      <w:r>
        <w:rPr>
          <w:spacing w:val="-1"/>
        </w:rPr>
        <w:t>作为一家持续自主创新的企业，公司自成立以来坚持自主研发，不断进行产品创新，开创了行业中的多个第一，为行业</w:t>
      </w:r>
    </w:p>
    <w:p>
      <w:pPr>
        <w:pStyle w:val="BodyText"/>
        <w:spacing w:line="300" w:lineRule="auto" w:before="17"/>
        <w:ind w:right="1128"/>
        <w:jc w:val="both"/>
      </w:pPr>
      <w:r>
        <w:rPr>
          <w:spacing w:val="-2"/>
        </w:rPr>
        <w:t>发展树立了众多新标杆：</w:t>
      </w:r>
      <w:r>
        <w:rPr>
          <w:rFonts w:ascii="Times New Roman" w:hAnsi="Times New Roman" w:cs="Times New Roman" w:eastAsia="Times New Roman" w:hint="default"/>
          <w:spacing w:val="-2"/>
        </w:rPr>
        <w:t>2006</w:t>
      </w:r>
      <w:r>
        <w:rPr>
          <w:spacing w:val="-2"/>
        </w:rPr>
        <w:t>年全国第一个实现省级医保联网、异地就诊实时结算，解决异地就医费用结算难题；</w:t>
      </w:r>
      <w:r>
        <w:rPr>
          <w:rFonts w:ascii="Times New Roman" w:hAnsi="Times New Roman" w:cs="Times New Roman" w:eastAsia="Times New Roman" w:hint="default"/>
          <w:spacing w:val="-2"/>
        </w:rPr>
        <w:t>2009</w:t>
      </w:r>
      <w:r>
        <w:rPr>
          <w:spacing w:val="-2"/>
        </w:rPr>
        <w:t>年研</w:t>
      </w:r>
      <w:r>
        <w:rPr>
          <w:spacing w:val="-56"/>
        </w:rPr>
        <w:t> </w:t>
      </w:r>
      <w:r>
        <w:rPr>
          <w:spacing w:val="-2"/>
        </w:rPr>
        <w:t>制全国第一张金融社保</w:t>
      </w:r>
      <w:r>
        <w:rPr>
          <w:rFonts w:ascii="Times New Roman" w:hAnsi="Times New Roman" w:cs="Times New Roman" w:eastAsia="Times New Roman" w:hint="default"/>
          <w:spacing w:val="-2"/>
        </w:rPr>
        <w:t>IC</w:t>
      </w:r>
      <w:r>
        <w:rPr>
          <w:spacing w:val="-2"/>
        </w:rPr>
        <w:t>卡，促进社保卡行业标准提升；</w:t>
      </w:r>
      <w:r>
        <w:rPr>
          <w:rFonts w:ascii="Times New Roman" w:hAnsi="Times New Roman" w:cs="Times New Roman" w:eastAsia="Times New Roman" w:hint="default"/>
          <w:spacing w:val="-2"/>
        </w:rPr>
        <w:t>2012</w:t>
      </w:r>
      <w:r>
        <w:rPr>
          <w:spacing w:val="-2"/>
        </w:rPr>
        <w:t>年研发全国第一个民生自助终端应用，丰富民生信息服务便民</w:t>
      </w:r>
      <w:r>
        <w:rPr>
          <w:spacing w:val="-59"/>
        </w:rPr>
        <w:t> </w:t>
      </w:r>
      <w:r>
        <w:rPr>
          <w:spacing w:val="-59"/>
        </w:rPr>
      </w:r>
      <w:r>
        <w:rPr>
          <w:spacing w:val="-2"/>
        </w:rPr>
        <w:t>渠道；</w:t>
      </w:r>
      <w:r>
        <w:rPr>
          <w:rFonts w:ascii="Times New Roman" w:hAnsi="Times New Roman" w:cs="Times New Roman" w:eastAsia="Times New Roman" w:hint="default"/>
          <w:spacing w:val="-2"/>
        </w:rPr>
        <w:t>2012</w:t>
      </w:r>
      <w:r>
        <w:rPr>
          <w:spacing w:val="-2"/>
        </w:rPr>
        <w:t>年打造全国第一个民生信息服务云计算平台，以新技术促进民生信息服务再发展；</w:t>
      </w:r>
      <w:r>
        <w:rPr>
          <w:rFonts w:ascii="Times New Roman" w:hAnsi="Times New Roman" w:cs="Times New Roman" w:eastAsia="Times New Roman" w:hint="default"/>
          <w:spacing w:val="-2"/>
        </w:rPr>
        <w:t>2014</w:t>
      </w:r>
      <w:r>
        <w:rPr>
          <w:spacing w:val="-2"/>
        </w:rPr>
        <w:t>年打造全国第一个人社行</w:t>
      </w:r>
      <w:r>
        <w:rPr>
          <w:spacing w:val="-56"/>
        </w:rPr>
        <w:t> </w:t>
      </w:r>
      <w:r>
        <w:rPr>
          <w:spacing w:val="-56"/>
        </w:rPr>
      </w:r>
      <w:r>
        <w:rPr>
          <w:spacing w:val="-2"/>
        </w:rPr>
        <w:t>业全省大集中的公共服务应用平台；</w:t>
      </w:r>
      <w:r>
        <w:rPr>
          <w:rFonts w:ascii="Times New Roman" w:hAnsi="Times New Roman" w:cs="Times New Roman" w:eastAsia="Times New Roman" w:hint="default"/>
          <w:spacing w:val="-2"/>
        </w:rPr>
        <w:t>2015</w:t>
      </w:r>
      <w:r>
        <w:rPr>
          <w:spacing w:val="-2"/>
        </w:rPr>
        <w:t>年公司作为三明医改总集成商与三明市政府合作开展医改信息化建设，打造了覆盖</w:t>
      </w:r>
      <w:r>
        <w:rPr>
          <w:spacing w:val="-61"/>
        </w:rPr>
        <w:t> </w:t>
      </w:r>
      <w:r>
        <w:rPr>
          <w:spacing w:val="-61"/>
        </w:rPr>
      </w:r>
      <w:r>
        <w:rPr>
          <w:spacing w:val="-2"/>
        </w:rPr>
        <w:t>医疗、医保、医药等领域的全方位的</w:t>
      </w:r>
      <w:r>
        <w:rPr>
          <w:rFonts w:ascii="Times New Roman" w:hAnsi="Times New Roman" w:cs="Times New Roman" w:eastAsia="Times New Roman" w:hint="default"/>
          <w:spacing w:val="-2"/>
        </w:rPr>
        <w:t>“</w:t>
      </w:r>
      <w:r>
        <w:rPr>
          <w:spacing w:val="-2"/>
        </w:rPr>
        <w:t>三明医改系统软件包</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2016</w:t>
      </w:r>
      <w:r>
        <w:rPr>
          <w:spacing w:val="-2"/>
        </w:rPr>
        <w:t>年公司作为福建省全省医保信息化总承建商开发实施了以</w:t>
      </w:r>
      <w:r>
        <w:rPr>
          <w:spacing w:val="-42"/>
        </w:rPr>
        <w:t> </w:t>
      </w:r>
      <w:r>
        <w:rPr>
          <w:spacing w:val="-42"/>
        </w:rPr>
      </w:r>
      <w:r>
        <w:rPr>
          <w:rFonts w:ascii="Times New Roman" w:hAnsi="Times New Roman" w:cs="Times New Roman" w:eastAsia="Times New Roman" w:hint="default"/>
          <w:spacing w:val="-2"/>
        </w:rPr>
        <w:t>“</w:t>
      </w:r>
      <w:r>
        <w:rPr>
          <w:spacing w:val="-2"/>
        </w:rPr>
        <w:t>三保合一</w:t>
      </w:r>
      <w:r>
        <w:rPr>
          <w:rFonts w:ascii="Times New Roman" w:hAnsi="Times New Roman" w:cs="Times New Roman" w:eastAsia="Times New Roman" w:hint="default"/>
          <w:spacing w:val="-2"/>
        </w:rPr>
        <w:t>”</w:t>
      </w:r>
      <w:r>
        <w:rPr>
          <w:spacing w:val="-2"/>
        </w:rPr>
        <w:t>为核心的福建全省医疗保障信息系统，支撑了福建省医保体制改革创新；</w:t>
      </w:r>
      <w:r>
        <w:rPr>
          <w:rFonts w:ascii="Times New Roman" w:hAnsi="Times New Roman" w:cs="Times New Roman" w:eastAsia="Times New Roman" w:hint="default"/>
          <w:spacing w:val="-2"/>
        </w:rPr>
        <w:t>2017</w:t>
      </w:r>
      <w:r>
        <w:rPr>
          <w:spacing w:val="-2"/>
        </w:rPr>
        <w:t>年打造全国第一个人社行业大数据</w:t>
      </w:r>
      <w:r>
        <w:rPr>
          <w:spacing w:val="-40"/>
        </w:rPr>
        <w:t> </w:t>
      </w:r>
      <w:r>
        <w:rPr>
          <w:spacing w:val="-2"/>
        </w:rPr>
        <w:t>应用平台服务；</w:t>
      </w:r>
      <w:r>
        <w:rPr>
          <w:rFonts w:ascii="Times New Roman" w:hAnsi="Times New Roman" w:cs="Times New Roman" w:eastAsia="Times New Roman" w:hint="default"/>
          <w:spacing w:val="-2"/>
        </w:rPr>
        <w:t>2019</w:t>
      </w:r>
      <w:r>
        <w:rPr>
          <w:spacing w:val="-2"/>
        </w:rPr>
        <w:t>年中标国家医保局项目后，首次在政务信息化领域引进了</w:t>
      </w:r>
      <w:r>
        <w:rPr>
          <w:rFonts w:ascii="Times New Roman" w:hAnsi="Times New Roman" w:cs="Times New Roman" w:eastAsia="Times New Roman" w:hint="default"/>
          <w:spacing w:val="-2"/>
        </w:rPr>
        <w:t>“</w:t>
      </w:r>
      <w:r>
        <w:rPr>
          <w:spacing w:val="-2"/>
        </w:rPr>
        <w:t>中台</w:t>
      </w:r>
      <w:r>
        <w:rPr>
          <w:rFonts w:ascii="Times New Roman" w:hAnsi="Times New Roman" w:cs="Times New Roman" w:eastAsia="Times New Roman" w:hint="default"/>
          <w:spacing w:val="-2"/>
        </w:rPr>
        <w:t>”</w:t>
      </w:r>
      <w:r>
        <w:rPr>
          <w:spacing w:val="-2"/>
        </w:rPr>
        <w:t>的概念，打造业务中台和数据中台，为</w:t>
      </w:r>
      <w:r>
        <w:rPr>
          <w:spacing w:val="-39"/>
        </w:rPr>
        <w:t> </w:t>
      </w:r>
      <w:r>
        <w:rPr>
          <w:spacing w:val="-39"/>
        </w:rPr>
      </w:r>
      <w:r>
        <w:rPr/>
        <w:t>新一轮医疗保障信息化奠定基础。</w:t>
      </w:r>
    </w:p>
    <w:p>
      <w:pPr>
        <w:pStyle w:val="BodyText"/>
        <w:spacing w:line="309" w:lineRule="auto" w:before="31"/>
        <w:ind w:right="1051" w:firstLine="288"/>
        <w:jc w:val="both"/>
      </w:pPr>
      <w:r>
        <w:rPr/>
        <w:t>公司立足行业发展，针对客户需求，不断寻求服务模式的变革创新。引入互联网思维模式，创新融合基础业务，推动移 动互联网与医疗、医保、人社等行业融合发展，创新利民便民措施，不断提升行业生态。打造</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公共服务</w:t>
      </w:r>
      <w:r>
        <w:rPr>
          <w:rFonts w:ascii="Times New Roman" w:hAnsi="Times New Roman" w:cs="Times New Roman" w:eastAsia="Times New Roman" w:hint="default"/>
        </w:rPr>
        <w:t>”</w:t>
      </w:r>
      <w:r>
        <w:rPr/>
        <w:t>民生信息 服务新模式，促进民生信息服务多元化、网络化发展，并以大数据为创新驱动，积极探索项目运营的增值服务和盈利模式。</w:t>
      </w:r>
    </w:p>
    <w:p>
      <w:pPr>
        <w:pStyle w:val="BodyText"/>
        <w:spacing w:line="316" w:lineRule="auto" w:before="24"/>
        <w:ind w:left="441" w:right="1133"/>
        <w:jc w:val="left"/>
      </w:pPr>
      <w:r>
        <w:rPr/>
        <w:t>（三）核心技术优势 </w:t>
      </w:r>
      <w:r>
        <w:rPr>
          <w:spacing w:val="-1"/>
        </w:rPr>
        <w:t>公司在民生行业信息化领域拥有国内领先的技术和研究成果，自主研发的应用软件多次荣获国家、省、市各级荣誉，其</w:t>
      </w:r>
    </w:p>
    <w:p>
      <w:pPr>
        <w:pStyle w:val="BodyText"/>
        <w:spacing w:line="300" w:lineRule="auto" w:before="19"/>
        <w:ind w:right="1031"/>
        <w:jc w:val="left"/>
      </w:pPr>
      <w:r>
        <w:rPr/>
        <w:t>中</w:t>
      </w:r>
      <w:r>
        <w:rPr>
          <w:rFonts w:ascii="Times New Roman" w:hAnsi="Times New Roman" w:cs="Times New Roman" w:eastAsia="Times New Roman" w:hint="default"/>
        </w:rPr>
        <w:t>“</w:t>
      </w:r>
      <w:r>
        <w:rPr/>
        <w:t>城镇职工医疗保险信息管理网络系统</w:t>
      </w:r>
      <w:r>
        <w:rPr>
          <w:rFonts w:ascii="Times New Roman" w:hAnsi="Times New Roman" w:cs="Times New Roman" w:eastAsia="Times New Roman" w:hint="default"/>
        </w:rPr>
        <w:t>”</w:t>
      </w:r>
      <w:r>
        <w:rPr/>
        <w:t>获得福建省卫生厅科技成果一等奖，并被国家科技部列入国家科技成果重点推广项 </w:t>
      </w:r>
      <w:r>
        <w:rPr>
          <w:spacing w:val="-2"/>
        </w:rPr>
        <w:t>目；</w:t>
      </w:r>
      <w:r>
        <w:rPr>
          <w:rFonts w:ascii="Times New Roman" w:hAnsi="Times New Roman" w:cs="Times New Roman" w:eastAsia="Times New Roman" w:hint="default"/>
          <w:spacing w:val="-2"/>
        </w:rPr>
        <w:t>“</w:t>
      </w:r>
      <w:r>
        <w:rPr>
          <w:spacing w:val="-2"/>
        </w:rPr>
        <w:t>五险合一管理信息系统</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就业信息系统</w:t>
      </w:r>
      <w:r>
        <w:rPr>
          <w:rFonts w:ascii="Times New Roman" w:hAnsi="Times New Roman" w:cs="Times New Roman" w:eastAsia="Times New Roman" w:hint="default"/>
          <w:spacing w:val="-2"/>
        </w:rPr>
        <w:t>”</w:t>
      </w:r>
      <w:r>
        <w:rPr>
          <w:spacing w:val="-2"/>
        </w:rPr>
        <w:t>被评为中国金桥优秀项目奖；</w:t>
      </w:r>
      <w:r>
        <w:rPr>
          <w:rFonts w:ascii="Times New Roman" w:hAnsi="Times New Roman" w:cs="Times New Roman" w:eastAsia="Times New Roman" w:hint="default"/>
          <w:spacing w:val="-2"/>
        </w:rPr>
        <w:t>“</w:t>
      </w:r>
      <w:r>
        <w:rPr>
          <w:spacing w:val="-2"/>
        </w:rPr>
        <w:t>劳动和社会保障信息系统</w:t>
      </w:r>
      <w:r>
        <w:rPr>
          <w:rFonts w:ascii="Times New Roman" w:hAnsi="Times New Roman" w:cs="Times New Roman" w:eastAsia="Times New Roman" w:hint="default"/>
          <w:spacing w:val="-2"/>
        </w:rPr>
        <w:t>”</w:t>
      </w:r>
      <w:r>
        <w:rPr>
          <w:spacing w:val="-2"/>
        </w:rPr>
        <w:t>获得厦门优质品牌、</w:t>
      </w:r>
      <w:r>
        <w:rPr>
          <w:spacing w:val="-87"/>
        </w:rPr>
        <w:t> </w:t>
      </w:r>
      <w:r>
        <w:rPr/>
        <w:t>福建省客户满意产品、福建省名牌产品称号，被列入国家火炬计划项目；</w:t>
      </w:r>
      <w:r>
        <w:rPr>
          <w:rFonts w:ascii="Times New Roman" w:hAnsi="Times New Roman" w:cs="Times New Roman" w:eastAsia="Times New Roman" w:hint="default"/>
        </w:rPr>
        <w:t>“</w:t>
      </w:r>
      <w:r>
        <w:rPr/>
        <w:t>人社大数据平台及劳资纠纷预警系统</w:t>
      </w:r>
      <w:r>
        <w:rPr>
          <w:rFonts w:ascii="Times New Roman" w:hAnsi="Times New Roman" w:cs="Times New Roman" w:eastAsia="Times New Roman" w:hint="default"/>
        </w:rPr>
        <w:t>”</w:t>
      </w:r>
      <w:r>
        <w:rPr/>
        <w:t>被列入工信 部</w:t>
      </w:r>
      <w:r>
        <w:rPr>
          <w:rFonts w:ascii="Times New Roman" w:hAnsi="Times New Roman" w:cs="Times New Roman" w:eastAsia="Times New Roman" w:hint="default"/>
        </w:rPr>
        <w:t>2018</w:t>
      </w:r>
      <w:r>
        <w:rPr/>
        <w:t>年大数据产业发展试点示范项目；支付平台获得银行卡检测中心</w:t>
      </w:r>
      <w:r>
        <w:rPr>
          <w:rFonts w:ascii="Times New Roman" w:hAnsi="Times New Roman" w:cs="Times New Roman" w:eastAsia="Times New Roman" w:hint="default"/>
        </w:rPr>
        <w:t>PCI</w:t>
      </w:r>
      <w:r>
        <w:rPr>
          <w:rFonts w:ascii="Times New Roman" w:hAnsi="Times New Roman" w:cs="Times New Roman" w:eastAsia="Times New Roman" w:hint="default"/>
          <w:spacing w:val="-2"/>
        </w:rPr>
        <w:t> </w:t>
      </w:r>
      <w:r>
        <w:rPr>
          <w:rFonts w:ascii="Times New Roman" w:hAnsi="Times New Roman" w:cs="Times New Roman" w:eastAsia="Times New Roman" w:hint="default"/>
        </w:rPr>
        <w:t>DSS</w:t>
      </w:r>
      <w:r>
        <w:rPr/>
        <w:t>国际认证。</w:t>
      </w:r>
    </w:p>
    <w:p>
      <w:pPr>
        <w:pStyle w:val="BodyText"/>
        <w:spacing w:line="300" w:lineRule="auto" w:before="13"/>
        <w:ind w:right="1054" w:firstLine="288"/>
        <w:jc w:val="left"/>
      </w:pPr>
      <w:r>
        <w:rPr/>
        <w:t>公司是国家高新技术企业，并且拥有人力资源与社会保障部颁发的完备的软件技术授权书。公司亦拥有</w:t>
      </w:r>
      <w:r>
        <w:rPr>
          <w:rFonts w:ascii="Times New Roman" w:hAnsi="Times New Roman" w:cs="Times New Roman" w:eastAsia="Times New Roman" w:hint="default"/>
        </w:rPr>
        <w:t>ISO9001:2015</w:t>
      </w:r>
      <w:r>
        <w:rPr/>
        <w:t>、 </w:t>
      </w:r>
      <w:r>
        <w:rPr>
          <w:rFonts w:ascii="Times New Roman" w:hAnsi="Times New Roman" w:cs="Times New Roman" w:eastAsia="Times New Roman" w:hint="default"/>
        </w:rPr>
        <w:t>ISO 20000</w:t>
      </w:r>
      <w:r>
        <w:rPr/>
        <w:t>、</w:t>
      </w:r>
      <w:r>
        <w:rPr>
          <w:rFonts w:ascii="Times New Roman" w:hAnsi="Times New Roman" w:cs="Times New Roman" w:eastAsia="Times New Roman" w:hint="default"/>
        </w:rPr>
        <w:t>ISO</w:t>
      </w:r>
      <w:r>
        <w:rPr>
          <w:rFonts w:ascii="Times New Roman" w:hAnsi="Times New Roman" w:cs="Times New Roman" w:eastAsia="Times New Roman" w:hint="default"/>
          <w:spacing w:val="-7"/>
        </w:rPr>
        <w:t> </w:t>
      </w:r>
      <w:r>
        <w:rPr>
          <w:rFonts w:ascii="Times New Roman" w:hAnsi="Times New Roman" w:cs="Times New Roman" w:eastAsia="Times New Roman" w:hint="default"/>
        </w:rPr>
        <w:t>14001</w:t>
      </w:r>
      <w:r>
        <w:rPr/>
        <w:t>等一系列管理体系证书；公司通过了</w:t>
      </w:r>
      <w:r>
        <w:rPr>
          <w:rFonts w:ascii="Times New Roman" w:hAnsi="Times New Roman" w:cs="Times New Roman" w:eastAsia="Times New Roman" w:hint="default"/>
        </w:rPr>
        <w:t>CMMI</w:t>
      </w:r>
      <w:r>
        <w:rPr/>
        <w:t>最高等级</w:t>
      </w:r>
      <w:r>
        <w:rPr>
          <w:rFonts w:ascii="Times New Roman" w:hAnsi="Times New Roman" w:cs="Times New Roman" w:eastAsia="Times New Roman" w:hint="default"/>
        </w:rPr>
        <w:t>5</w:t>
      </w:r>
      <w:r>
        <w:rPr/>
        <w:t>级认证，成为全国为数不多通过</w:t>
      </w:r>
      <w:r>
        <w:rPr>
          <w:rFonts w:ascii="Times New Roman" w:hAnsi="Times New Roman" w:cs="Times New Roman" w:eastAsia="Times New Roman" w:hint="default"/>
        </w:rPr>
        <w:t>CMMI5</w:t>
      </w:r>
      <w:r>
        <w:rPr/>
        <w:t>级认证 的企业之一，是公司研发规范化的重要里程碑；公司荣获了</w:t>
      </w:r>
      <w:r>
        <w:rPr>
          <w:rFonts w:ascii="Times New Roman" w:hAnsi="Times New Roman" w:cs="Times New Roman" w:eastAsia="Times New Roman" w:hint="default"/>
        </w:rPr>
        <w:t>ITSS</w:t>
      </w:r>
      <w:r>
        <w:rPr/>
        <w:t>研制和应用单位证书、企业信用等级证书</w:t>
      </w:r>
      <w:r>
        <w:rPr>
          <w:rFonts w:ascii="Times New Roman" w:hAnsi="Times New Roman" w:cs="Times New Roman" w:eastAsia="Times New Roman" w:hint="default"/>
        </w:rPr>
        <w:t>AAA</w:t>
      </w:r>
      <w:r>
        <w:rPr/>
        <w:t>等，并被工 信部、民政部、国家卫计委评定为</w:t>
      </w:r>
      <w:r>
        <w:rPr>
          <w:rFonts w:ascii="Times New Roman" w:hAnsi="Times New Roman" w:cs="Times New Roman" w:eastAsia="Times New Roman" w:hint="default"/>
        </w:rPr>
        <w:t>“</w:t>
      </w:r>
      <w:r>
        <w:rPr/>
        <w:t>国家级智慧健康养老应用示范企业</w:t>
      </w:r>
      <w:r>
        <w:rPr>
          <w:rFonts w:ascii="Times New Roman" w:hAnsi="Times New Roman" w:cs="Times New Roman" w:eastAsia="Times New Roman" w:hint="default"/>
        </w:rPr>
        <w:t>”</w:t>
      </w:r>
      <w:r>
        <w:rPr/>
        <w:t>。技术优势为公司产品和服务创新打下了坚实基础， 也是公司商业模式有效执行的保障，亦进一步增强了公司产品的全面性、多样性和公司业务的专业性。</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6" w:firstLine="288"/>
        <w:jc w:val="both"/>
      </w:pPr>
      <w:r>
        <w:rPr>
          <w:spacing w:val="-1"/>
        </w:rPr>
        <w:t>报告期内，公司新增取得软件著作权</w:t>
      </w:r>
      <w:r>
        <w:rPr>
          <w:rFonts w:ascii="Times New Roman" w:hAnsi="Times New Roman" w:cs="Times New Roman" w:eastAsia="Times New Roman" w:hint="default"/>
          <w:spacing w:val="-1"/>
        </w:rPr>
        <w:t>182</w:t>
      </w:r>
      <w:r>
        <w:rPr>
          <w:spacing w:val="-1"/>
        </w:rPr>
        <w:t>项，发明专利</w:t>
      </w:r>
      <w:r>
        <w:rPr>
          <w:rFonts w:ascii="Times New Roman" w:hAnsi="Times New Roman" w:cs="Times New Roman" w:eastAsia="Times New Roman" w:hint="default"/>
          <w:spacing w:val="-1"/>
        </w:rPr>
        <w:t>1</w:t>
      </w:r>
      <w:r>
        <w:rPr>
          <w:spacing w:val="-1"/>
        </w:rPr>
        <w:t>项，外观专利</w:t>
      </w:r>
      <w:r>
        <w:rPr>
          <w:rFonts w:ascii="Times New Roman" w:hAnsi="Times New Roman" w:cs="Times New Roman" w:eastAsia="Times New Roman" w:hint="default"/>
          <w:spacing w:val="-1"/>
        </w:rPr>
        <w:t>6</w:t>
      </w:r>
      <w:r>
        <w:rPr>
          <w:spacing w:val="-1"/>
        </w:rPr>
        <w:t>项，实用新型专利</w:t>
      </w:r>
      <w:r>
        <w:rPr>
          <w:rFonts w:ascii="Times New Roman" w:hAnsi="Times New Roman" w:cs="Times New Roman" w:eastAsia="Times New Roman" w:hint="default"/>
          <w:spacing w:val="-1"/>
        </w:rPr>
        <w:t>2</w:t>
      </w:r>
      <w:r>
        <w:rPr>
          <w:spacing w:val="-1"/>
        </w:rPr>
        <w:t>项，商标证书</w:t>
      </w:r>
      <w:r>
        <w:rPr>
          <w:rFonts w:ascii="Times New Roman" w:hAnsi="Times New Roman" w:cs="Times New Roman" w:eastAsia="Times New Roman" w:hint="default"/>
          <w:spacing w:val="-1"/>
        </w:rPr>
        <w:t>14</w:t>
      </w:r>
      <w:r>
        <w:rPr>
          <w:spacing w:val="-1"/>
        </w:rPr>
        <w:t>件。母公司新</w:t>
      </w:r>
      <w:r>
        <w:rPr/>
        <w:t> </w:t>
      </w:r>
      <w:r>
        <w:rPr>
          <w:spacing w:val="-7"/>
          <w:w w:val="99"/>
        </w:rPr>
        <w:t>增取得信息系统安全等级保护备案证明（</w:t>
      </w:r>
      <w:r>
        <w:rPr>
          <w:rFonts w:ascii="Times New Roman" w:hAnsi="Times New Roman" w:cs="Times New Roman" w:eastAsia="Times New Roman" w:hint="default"/>
          <w:spacing w:val="-7"/>
          <w:w w:val="99"/>
        </w:rPr>
        <w:t>3</w:t>
      </w:r>
      <w:r>
        <w:rPr>
          <w:spacing w:val="-7"/>
          <w:w w:val="99"/>
        </w:rPr>
        <w:t>级）；母公司及</w:t>
      </w:r>
      <w:r>
        <w:rPr>
          <w:rFonts w:ascii="Times New Roman" w:hAnsi="Times New Roman" w:cs="Times New Roman" w:eastAsia="Times New Roman" w:hint="default"/>
          <w:spacing w:val="-7"/>
          <w:w w:val="99"/>
        </w:rPr>
        <w:t>4</w:t>
      </w:r>
      <w:r>
        <w:rPr>
          <w:spacing w:val="-7"/>
          <w:w w:val="99"/>
        </w:rPr>
        <w:t>家子公司通过信息技术服务管理体系认证（</w:t>
      </w:r>
      <w:r>
        <w:rPr>
          <w:rFonts w:ascii="Times New Roman" w:hAnsi="Times New Roman" w:cs="Times New Roman" w:eastAsia="Times New Roman" w:hint="default"/>
          <w:spacing w:val="-7"/>
          <w:w w:val="99"/>
        </w:rPr>
        <w:t>ISO/IEC</w:t>
      </w:r>
      <w:r>
        <w:rPr>
          <w:rFonts w:ascii="Times New Roman" w:hAnsi="Times New Roman" w:cs="Times New Roman" w:eastAsia="Times New Roman" w:hint="default"/>
          <w:w w:val="99"/>
        </w:rPr>
        <w:t> </w:t>
      </w:r>
      <w:r>
        <w:rPr>
          <w:rFonts w:ascii="Times New Roman" w:hAnsi="Times New Roman" w:cs="Times New Roman" w:eastAsia="Times New Roman" w:hint="default"/>
          <w:spacing w:val="-13"/>
          <w:w w:val="99"/>
        </w:rPr>
        <w:t>20000-1:2011</w:t>
      </w:r>
      <w:r>
        <w:rPr>
          <w:spacing w:val="-13"/>
          <w:w w:val="99"/>
        </w:rPr>
        <w:t>）；</w:t>
      </w:r>
      <w:r>
        <w:rPr>
          <w:spacing w:val="-84"/>
          <w:w w:val="99"/>
        </w:rPr>
        <w:t> </w:t>
      </w:r>
      <w:r>
        <w:rPr>
          <w:rFonts w:ascii="Times New Roman" w:hAnsi="Times New Roman" w:cs="Times New Roman" w:eastAsia="Times New Roman" w:hint="default"/>
        </w:rPr>
        <w:t>10</w:t>
      </w:r>
      <w:r>
        <w:rPr/>
        <w:t>家子公司获得软件企业证书；新增</w:t>
      </w:r>
      <w:r>
        <w:rPr>
          <w:rFonts w:ascii="Times New Roman" w:hAnsi="Times New Roman" w:cs="Times New Roman" w:eastAsia="Times New Roman" w:hint="default"/>
        </w:rPr>
        <w:t>3</w:t>
      </w:r>
      <w:r>
        <w:rPr/>
        <w:t>家子公司获得高新技术企业证书。</w:t>
      </w:r>
    </w:p>
    <w:p>
      <w:pPr>
        <w:pStyle w:val="BodyText"/>
        <w:spacing w:line="316" w:lineRule="auto" w:before="13"/>
        <w:ind w:left="441" w:right="1133"/>
        <w:jc w:val="left"/>
      </w:pPr>
      <w:r>
        <w:rPr/>
        <w:t>（四）市场拓展优势 </w:t>
      </w:r>
      <w:r>
        <w:rPr>
          <w:spacing w:val="-1"/>
        </w:rPr>
        <w:t>公司在技术、产品和服务方面已有深厚积淀，充分具备承接大型项目的经验和能力，陆续承担了一系列业务复杂、影响</w:t>
      </w:r>
    </w:p>
    <w:p>
      <w:pPr>
        <w:pStyle w:val="BodyText"/>
        <w:spacing w:line="316" w:lineRule="auto" w:before="19"/>
        <w:ind w:right="1130"/>
        <w:jc w:val="both"/>
      </w:pPr>
      <w:r>
        <w:rPr>
          <w:spacing w:val="-2"/>
        </w:rPr>
        <w:t>深远的大型民生信息化项目，如广东、广西、吉林等省份的人社公共服务平台以及福建全省医保信息化系统等。这些典型项</w:t>
      </w:r>
      <w:r>
        <w:rPr>
          <w:spacing w:val="-64"/>
        </w:rPr>
        <w:t> </w:t>
      </w:r>
      <w:r>
        <w:rPr>
          <w:spacing w:val="-64"/>
        </w:rPr>
      </w:r>
      <w:r>
        <w:rPr>
          <w:spacing w:val="-2"/>
        </w:rPr>
        <w:t>目的成功运行，不仅促进公司行业应用解决能力的持续提升，也为行业发展提供了参考借鉴的成功范例，由此形成的规模效</w:t>
      </w:r>
      <w:r>
        <w:rPr>
          <w:spacing w:val="-63"/>
        </w:rPr>
        <w:t> </w:t>
      </w:r>
      <w:r>
        <w:rPr>
          <w:spacing w:val="-63"/>
        </w:rPr>
      </w:r>
      <w:r>
        <w:rPr>
          <w:spacing w:val="-2"/>
        </w:rPr>
        <w:t>应和学习效应进一步提高了项目实施的效率和成功率，有助于公司把既有的成熟服务体系快速、较低成本地推广到国内其他</w:t>
      </w:r>
      <w:r>
        <w:rPr>
          <w:spacing w:val="-63"/>
        </w:rPr>
        <w:t> </w:t>
      </w:r>
      <w:r>
        <w:rPr>
          <w:spacing w:val="-63"/>
        </w:rPr>
      </w:r>
      <w:r>
        <w:rPr/>
        <w:t>省市。</w:t>
      </w:r>
    </w:p>
    <w:p>
      <w:pPr>
        <w:pStyle w:val="BodyText"/>
        <w:spacing w:line="316" w:lineRule="auto" w:before="19"/>
        <w:ind w:right="1041" w:firstLine="288"/>
        <w:jc w:val="both"/>
      </w:pPr>
      <w:r>
        <w:rPr>
          <w:spacing w:val="-2"/>
        </w:rPr>
        <w:t>民生行业的客户资源是公司持续创造价值的基础，基于技术先进、项目成功率高、产品链丰富等优势，公司客户粘度高，</w:t>
      </w:r>
      <w:r>
        <w:rPr/>
        <w:t> 庞大的客户资源为公司未来成长提供了有效的保障。</w:t>
      </w:r>
    </w:p>
    <w:p>
      <w:pPr>
        <w:pStyle w:val="BodyText"/>
        <w:spacing w:line="316" w:lineRule="auto" w:before="19"/>
        <w:ind w:left="441" w:right="1133"/>
        <w:jc w:val="left"/>
      </w:pPr>
      <w:r>
        <w:rPr/>
        <w:t>（五）人才优势 </w:t>
      </w:r>
      <w:r>
        <w:rPr>
          <w:spacing w:val="-1"/>
        </w:rPr>
        <w:t>随着公司业务不断增多，业务范围逐步扩大，人力资源管理越发重要。公司丰富人才多元引进渠道，加快高素质人才引</w:t>
      </w:r>
    </w:p>
    <w:p>
      <w:pPr>
        <w:pStyle w:val="BodyText"/>
        <w:spacing w:line="316" w:lineRule="auto" w:before="19"/>
        <w:ind w:right="1034"/>
        <w:jc w:val="left"/>
      </w:pPr>
      <w:r>
        <w:rPr/>
        <w:t>进速度，同时通过盘点各分子公司现有人员情况，激活现有的关键人力资源，构建公司人才梯队，增强核心人才贮备力度， </w:t>
      </w:r>
      <w:r>
        <w:rPr>
          <w:spacing w:val="-2"/>
        </w:rPr>
        <w:t>给予储备人才针对性的培训与培养，组建更具创造力的专业团队，为企业发展战略提供可持续的人力支持。通过进一步明确</w:t>
      </w:r>
      <w:r>
        <w:rPr>
          <w:spacing w:val="-62"/>
        </w:rPr>
        <w:t> </w:t>
      </w:r>
      <w:r>
        <w:rPr>
          <w:spacing w:val="-62"/>
        </w:rPr>
      </w:r>
      <w:r>
        <w:rPr>
          <w:spacing w:val="-2"/>
        </w:rPr>
        <w:t>职责权利，营造开放创新环境，完善培养激励机制，创造团队业务和产品的领头羊效应；强化各团队高效协同合作，提升组</w:t>
      </w:r>
      <w:r>
        <w:rPr>
          <w:spacing w:val="-67"/>
        </w:rPr>
        <w:t> </w:t>
      </w:r>
      <w:r>
        <w:rPr>
          <w:spacing w:val="-67"/>
        </w:rPr>
      </w:r>
      <w:r>
        <w:rPr/>
        <w:t>合竞争优势，以新思维带动公司业务和产品的提升，为公司发展提供持续的创新动力。</w:t>
      </w:r>
    </w:p>
    <w:p>
      <w:pPr>
        <w:spacing w:after="0" w:line="316"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3" w:id="4"/>
      <w:bookmarkEnd w:id="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32" w:firstLine="288"/>
        <w:jc w:val="both"/>
      </w:pPr>
      <w:r>
        <w:rPr>
          <w:rFonts w:ascii="Times New Roman" w:hAnsi="Times New Roman" w:cs="Times New Roman" w:eastAsia="Times New Roman" w:hint="default"/>
          <w:spacing w:val="-1"/>
        </w:rPr>
        <w:t>2019</w:t>
      </w:r>
      <w:r>
        <w:rPr>
          <w:spacing w:val="-1"/>
        </w:rPr>
        <w:t>年，公司把握行业发展新趋势，更加注重顶层设计，明确管控重点，立足基础、平台、渠道、支付等组合优势，探</w:t>
      </w:r>
      <w:r>
        <w:rPr/>
        <w:t> 索基础业务创新，培育运营型增值服务，拓展互联网相关业务，进一步整合业务和创新产品，逐步形成整体解决方案。</w:t>
      </w:r>
    </w:p>
    <w:p>
      <w:pPr>
        <w:pStyle w:val="BodyText"/>
        <w:spacing w:line="309" w:lineRule="auto" w:before="31"/>
        <w:ind w:right="1044" w:firstLine="288"/>
        <w:jc w:val="both"/>
      </w:pPr>
      <w:r>
        <w:rPr/>
        <w:t>报告期内，公司围绕</w:t>
      </w:r>
      <w:r>
        <w:rPr>
          <w:rFonts w:ascii="Times New Roman" w:hAnsi="Times New Roman" w:cs="Times New Roman" w:eastAsia="Times New Roman" w:hint="default"/>
        </w:rPr>
        <w:t>“</w:t>
      </w:r>
      <w:r>
        <w:rPr/>
        <w:t>医疗保障、卫生健康、人力资源和社会保障</w:t>
      </w:r>
      <w:r>
        <w:rPr>
          <w:rFonts w:ascii="Times New Roman" w:hAnsi="Times New Roman" w:cs="Times New Roman" w:eastAsia="Times New Roman" w:hint="default"/>
        </w:rPr>
        <w:t>”</w:t>
      </w:r>
      <w:r>
        <w:rPr/>
        <w:t>为核心的民生相关业务领域，积极布局，有序开展各 </w:t>
      </w:r>
      <w:r>
        <w:rPr>
          <w:spacing w:val="-2"/>
        </w:rPr>
        <w:t>项工作，构建核心行业竞争优势，扩大市场占有率，增加公司服务人群，继续推进新产品的研发和新技术的运用力度，以增</w:t>
      </w:r>
      <w:r>
        <w:rPr>
          <w:spacing w:val="-67"/>
        </w:rPr>
        <w:t> </w:t>
      </w:r>
      <w:r>
        <w:rPr>
          <w:spacing w:val="-67"/>
        </w:rPr>
      </w:r>
      <w:r>
        <w:rPr>
          <w:spacing w:val="-4"/>
        </w:rPr>
        <w:t>强公司多元化服务的核心竞争力，抓好项目管理和实施推进工作，同时，持续推进机制革新，提升组织高速成长与精细管理。</w:t>
      </w:r>
    </w:p>
    <w:p>
      <w:pPr>
        <w:pStyle w:val="BodyText"/>
        <w:spacing w:line="300" w:lineRule="auto" w:before="24"/>
        <w:ind w:right="1131" w:firstLine="288"/>
        <w:jc w:val="both"/>
      </w:pPr>
      <w:r>
        <w:rPr>
          <w:rFonts w:ascii="Times New Roman" w:hAnsi="Times New Roman" w:cs="Times New Roman" w:eastAsia="Times New Roman" w:hint="default"/>
          <w:spacing w:val="-1"/>
        </w:rPr>
        <w:t>2019</w:t>
      </w:r>
      <w:r>
        <w:rPr>
          <w:spacing w:val="-1"/>
        </w:rPr>
        <w:t>年，公司实现营业收入</w:t>
      </w:r>
      <w:r>
        <w:rPr>
          <w:rFonts w:ascii="Times New Roman" w:hAnsi="Times New Roman" w:cs="Times New Roman" w:eastAsia="Times New Roman" w:hint="default"/>
          <w:spacing w:val="-1"/>
        </w:rPr>
        <w:t>94,871.84</w:t>
      </w:r>
      <w:r>
        <w:rPr>
          <w:spacing w:val="-1"/>
        </w:rPr>
        <w:t>万元，同比上升</w:t>
      </w:r>
      <w:r>
        <w:rPr>
          <w:rFonts w:ascii="Times New Roman" w:hAnsi="Times New Roman" w:cs="Times New Roman" w:eastAsia="Times New Roman" w:hint="default"/>
          <w:spacing w:val="-1"/>
        </w:rPr>
        <w:t>30.00%</w:t>
      </w:r>
      <w:r>
        <w:rPr>
          <w:spacing w:val="-1"/>
        </w:rPr>
        <w:t>；发生营业成本</w:t>
      </w:r>
      <w:r>
        <w:rPr>
          <w:rFonts w:ascii="Times New Roman" w:hAnsi="Times New Roman" w:cs="Times New Roman" w:eastAsia="Times New Roman" w:hint="default"/>
          <w:spacing w:val="-1"/>
        </w:rPr>
        <w:t>45,968.23</w:t>
      </w:r>
      <w:r>
        <w:rPr>
          <w:spacing w:val="-1"/>
        </w:rPr>
        <w:t>万元，同比上升</w:t>
      </w:r>
      <w:r>
        <w:rPr>
          <w:rFonts w:ascii="Times New Roman" w:hAnsi="Times New Roman" w:cs="Times New Roman" w:eastAsia="Times New Roman" w:hint="default"/>
          <w:spacing w:val="-1"/>
        </w:rPr>
        <w:t>33.64%</w:t>
      </w:r>
      <w:r>
        <w:rPr>
          <w:spacing w:val="-1"/>
        </w:rPr>
        <w:t>；发生期间</w:t>
      </w:r>
      <w:r>
        <w:rPr/>
        <w:t> 费用</w:t>
      </w:r>
      <w:r>
        <w:rPr>
          <w:rFonts w:ascii="Times New Roman" w:hAnsi="Times New Roman" w:cs="Times New Roman" w:eastAsia="Times New Roman" w:hint="default"/>
        </w:rPr>
        <w:t>40,564.22</w:t>
      </w:r>
      <w:r>
        <w:rPr/>
        <w:t>万元</w:t>
      </w:r>
      <w:r>
        <w:rPr>
          <w:rFonts w:ascii="Times New Roman" w:hAnsi="Times New Roman" w:cs="Times New Roman" w:eastAsia="Times New Roman" w:hint="default"/>
        </w:rPr>
        <w:t>,</w:t>
      </w:r>
      <w:r>
        <w:rPr/>
        <w:t>同比上升</w:t>
      </w:r>
      <w:r>
        <w:rPr>
          <w:rFonts w:ascii="Times New Roman" w:hAnsi="Times New Roman" w:cs="Times New Roman" w:eastAsia="Times New Roman" w:hint="default"/>
        </w:rPr>
        <w:t>21.69%</w:t>
      </w:r>
      <w:r>
        <w:rPr/>
        <w:t>；全年实现营业利润</w:t>
      </w:r>
      <w:r>
        <w:rPr>
          <w:spacing w:val="-23"/>
        </w:rPr>
        <w:t> </w:t>
      </w:r>
      <w:r>
        <w:rPr>
          <w:rFonts w:ascii="Times New Roman" w:hAnsi="Times New Roman" w:cs="Times New Roman" w:eastAsia="Times New Roman" w:hint="default"/>
        </w:rPr>
        <w:t>5,833.10</w:t>
      </w:r>
      <w:r>
        <w:rPr/>
        <w:t>万元。</w:t>
      </w:r>
    </w:p>
    <w:p>
      <w:pPr>
        <w:pStyle w:val="BodyText"/>
        <w:spacing w:line="240" w:lineRule="auto" w:before="13"/>
        <w:ind w:left="441" w:right="1133"/>
        <w:jc w:val="left"/>
      </w:pPr>
      <w:r>
        <w:rPr/>
        <w:t>报告期内，公司主要工作包括：</w:t>
      </w:r>
    </w:p>
    <w:p>
      <w:pPr>
        <w:pStyle w:val="BodyText"/>
        <w:spacing w:line="240" w:lineRule="auto" w:before="76"/>
        <w:ind w:left="441" w:right="1133"/>
        <w:jc w:val="left"/>
      </w:pPr>
      <w:r>
        <w:rPr/>
        <w:t>（一）各项业务工作有序开展</w:t>
      </w:r>
    </w:p>
    <w:p>
      <w:pPr>
        <w:pStyle w:val="BodyText"/>
        <w:spacing w:line="300" w:lineRule="auto" w:before="76"/>
        <w:ind w:left="441" w:right="2185"/>
        <w:jc w:val="left"/>
      </w:pPr>
      <w:r>
        <w:rPr>
          <w:rFonts w:ascii="Times New Roman" w:hAnsi="Times New Roman" w:cs="Times New Roman" w:eastAsia="Times New Roman" w:hint="default"/>
        </w:rPr>
        <w:t>1.</w:t>
      </w:r>
      <w:r>
        <w:rPr/>
        <w:t>医保业务 报告期内，公司在医保业务上积极开拓，完成了新的布局，承担国家医保局和多省的医疗保障政务业务。</w:t>
      </w:r>
    </w:p>
    <w:p>
      <w:pPr>
        <w:pStyle w:val="BodyText"/>
        <w:spacing w:line="309" w:lineRule="auto" w:before="31"/>
        <w:ind w:right="0" w:firstLine="288"/>
        <w:jc w:val="left"/>
      </w:pPr>
      <w:r>
        <w:rPr/>
        <w:t>公司中标国家医疗保障局医疗保障信息平台建设工程业务应用软件采购项目</w:t>
      </w:r>
      <w:r>
        <w:rPr>
          <w:rFonts w:ascii="Times New Roman" w:hAnsi="Times New Roman" w:cs="Times New Roman" w:eastAsia="Times New Roman" w:hint="default"/>
        </w:rPr>
        <w:t>15</w:t>
      </w:r>
      <w:r>
        <w:rPr/>
        <w:t>个子系统中</w:t>
      </w:r>
      <w:r>
        <w:rPr>
          <w:rFonts w:ascii="Times New Roman" w:hAnsi="Times New Roman" w:cs="Times New Roman" w:eastAsia="Times New Roman" w:hint="default"/>
        </w:rPr>
        <w:t>5</w:t>
      </w:r>
      <w:r>
        <w:rPr/>
        <w:t>个核心系统，包括公共服务 </w:t>
      </w:r>
      <w:r>
        <w:rPr>
          <w:spacing w:val="-2"/>
        </w:rPr>
        <w:t>子系统、信用评价管理子系统、基础信息管理子系统、医保业务基础子系统、应用支撑平台子系统等，充分占领了医疗保障</w:t>
      </w:r>
      <w:r>
        <w:rPr>
          <w:spacing w:val="-67"/>
        </w:rPr>
        <w:t> </w:t>
      </w:r>
      <w:r>
        <w:rPr>
          <w:spacing w:val="-67"/>
        </w:rPr>
      </w:r>
      <w:r>
        <w:rPr>
          <w:spacing w:val="-4"/>
        </w:rPr>
        <w:t>业务领域先机；公司是医保行业信息化标准制定的参与者之一；助力国家医保局完成电子凭证相关应用系统的基础研发工作，</w:t>
      </w:r>
      <w:r>
        <w:rPr>
          <w:spacing w:val="-44"/>
        </w:rPr>
        <w:t> </w:t>
      </w:r>
      <w:r>
        <w:rPr>
          <w:spacing w:val="-44"/>
        </w:rPr>
      </w:r>
      <w:r>
        <w:rPr/>
        <w:t>并制定电子凭证相关标准规范及配套文档；参与国家医保局电子处方平台标准的研讨制定工作；为国家医保</w:t>
      </w:r>
      <w:r>
        <w:rPr>
          <w:rFonts w:ascii="Times New Roman" w:hAnsi="Times New Roman" w:cs="Times New Roman" w:eastAsia="Times New Roman" w:hint="default"/>
        </w:rPr>
        <w:t>APP</w:t>
      </w:r>
      <w:r>
        <w:rPr/>
        <w:t>上线提供了 技术支持。公司在医保行业的总体技术水平得到显著提升。</w:t>
      </w:r>
    </w:p>
    <w:p>
      <w:pPr>
        <w:pStyle w:val="BodyText"/>
        <w:spacing w:line="316" w:lineRule="auto" w:before="24"/>
        <w:ind w:right="1130" w:firstLine="288"/>
        <w:jc w:val="both"/>
      </w:pPr>
      <w:r>
        <w:rPr>
          <w:spacing w:val="-1"/>
        </w:rPr>
        <w:t>报告期内，福建、广东、山西、安徽、陕西等已有医保市场业务正常推进。在深耕医保信息系统的基础上，公司做了诸</w:t>
      </w:r>
      <w:r>
        <w:rPr/>
        <w:t> </w:t>
      </w:r>
      <w:r>
        <w:rPr>
          <w:spacing w:val="-2"/>
        </w:rPr>
        <w:t>多产品创新，如参保人身份核验系统、智能监控系统、医疗行为监控系统、反欺诈系统、移动稽查系统、信用评价管理系统</w:t>
      </w:r>
      <w:r>
        <w:rPr>
          <w:spacing w:val="-67"/>
        </w:rPr>
        <w:t> </w:t>
      </w:r>
      <w:r>
        <w:rPr>
          <w:spacing w:val="-67"/>
        </w:rPr>
      </w:r>
      <w:r>
        <w:rPr>
          <w:spacing w:val="-2"/>
        </w:rPr>
        <w:t>等。随着国家医保信息平台建设指南的实施，全国各地都在进行新医保信息系统的规划，公司积极在各省开展前期市场推广</w:t>
      </w:r>
      <w:r>
        <w:rPr>
          <w:spacing w:val="-63"/>
        </w:rPr>
        <w:t> </w:t>
      </w:r>
      <w:r>
        <w:rPr>
          <w:spacing w:val="-63"/>
        </w:rPr>
      </w:r>
      <w:r>
        <w:rPr/>
        <w:t>工作。</w:t>
      </w:r>
    </w:p>
    <w:p>
      <w:pPr>
        <w:pStyle w:val="BodyText"/>
        <w:spacing w:line="309" w:lineRule="auto" w:before="19"/>
        <w:ind w:left="441" w:right="1133"/>
        <w:jc w:val="left"/>
      </w:pPr>
      <w:r>
        <w:rPr>
          <w:rFonts w:ascii="Times New Roman" w:hAnsi="Times New Roman" w:cs="Times New Roman" w:eastAsia="Times New Roman" w:hint="default"/>
        </w:rPr>
        <w:t>2.</w:t>
      </w:r>
      <w:r>
        <w:rPr/>
        <w:t>健康医疗业务 报告期内，公司加速推进健康医疗业务的发展，围绕公司发展战略及布局积极开展产品研发、市场拓展等各项工作。 </w:t>
      </w:r>
      <w:r>
        <w:rPr>
          <w:spacing w:val="-1"/>
        </w:rPr>
        <w:t>在区域卫生方面，公司中标国家卫生健康委员会的电子健康卡推广应用工作监测系统建设及运行服务项目，助力国家卫</w:t>
      </w:r>
    </w:p>
    <w:p>
      <w:pPr>
        <w:pStyle w:val="BodyText"/>
        <w:spacing w:line="307" w:lineRule="auto" w:before="24"/>
        <w:ind w:right="1033"/>
        <w:jc w:val="left"/>
      </w:pPr>
      <w:r>
        <w:rPr/>
        <w:t>健委对全国各省市的电子健康卡推广应用工作进行动态监测，承建了国家卫健委</w:t>
      </w:r>
      <w:r>
        <w:rPr>
          <w:rFonts w:ascii="Times New Roman" w:hAnsi="Times New Roman" w:cs="Times New Roman" w:eastAsia="Times New Roman" w:hint="default"/>
        </w:rPr>
        <w:t>“</w:t>
      </w:r>
      <w:r>
        <w:rPr/>
        <w:t>多码融合</w:t>
      </w:r>
      <w:r>
        <w:rPr>
          <w:rFonts w:ascii="Times New Roman" w:hAnsi="Times New Roman" w:cs="Times New Roman" w:eastAsia="Times New Roman" w:hint="default"/>
        </w:rPr>
        <w:t>”</w:t>
      </w:r>
      <w:r>
        <w:rPr/>
        <w:t>的福建省省级试点项目、面向全 </w:t>
      </w:r>
      <w:r>
        <w:rPr>
          <w:spacing w:val="-2"/>
        </w:rPr>
        <w:t>国的中国银联电子健康卡项目和国家卫健委直属吉林大学白求恩第一医院电子健康卡项目，成为全国第一家具备部委级、省</w:t>
      </w:r>
      <w:r>
        <w:rPr>
          <w:spacing w:val="-64"/>
        </w:rPr>
        <w:t> </w:t>
      </w:r>
      <w:r>
        <w:rPr>
          <w:spacing w:val="-64"/>
        </w:rPr>
      </w:r>
      <w:r>
        <w:rPr>
          <w:spacing w:val="-4"/>
        </w:rPr>
        <w:t>级、地市级和医院级等多层级客户案例的企业，同时，承建了合肥市居民健康卡、漳州卫健委漳州市健康统一接口便民门户、</w:t>
      </w:r>
      <w:r>
        <w:rPr>
          <w:spacing w:val="-46"/>
        </w:rPr>
        <w:t> </w:t>
      </w:r>
      <w:r>
        <w:rPr>
          <w:spacing w:val="-46"/>
        </w:rPr>
      </w:r>
      <w:r>
        <w:rPr/>
        <w:t>临沂市电子健康卡等项目，电子健康卡（多码融合应用）在建项目数量及质量在行业内积累了较大的优势；大力推广</w:t>
      </w:r>
      <w:r>
        <w:rPr>
          <w:rFonts w:ascii="Times New Roman" w:hAnsi="Times New Roman" w:cs="Times New Roman" w:eastAsia="Times New Roman" w:hint="default"/>
        </w:rPr>
        <w:t>“</w:t>
      </w:r>
      <w:r>
        <w:rPr/>
        <w:t>互联 网</w:t>
      </w:r>
      <w:r>
        <w:rPr>
          <w:rFonts w:ascii="Times New Roman" w:hAnsi="Times New Roman" w:cs="Times New Roman" w:eastAsia="Times New Roman" w:hint="default"/>
        </w:rPr>
        <w:t>+</w:t>
      </w:r>
      <w:r>
        <w:rPr/>
        <w:t>社区</w:t>
      </w:r>
      <w:r>
        <w:rPr>
          <w:rFonts w:ascii="Times New Roman" w:hAnsi="Times New Roman" w:cs="Times New Roman" w:eastAsia="Times New Roman" w:hint="default"/>
        </w:rPr>
        <w:t>”</w:t>
      </w:r>
      <w:r>
        <w:rPr/>
        <w:t>模式，已经落地福州市鼓楼区东街社区，并迅速推广；参与建设了世行贷款项目福建省县域医疗卫生信息化项目； 公司最新研发的</w:t>
      </w:r>
      <w:r>
        <w:rPr>
          <w:rFonts w:ascii="Times New Roman" w:hAnsi="Times New Roman" w:cs="Times New Roman" w:eastAsia="Times New Roman" w:hint="default"/>
        </w:rPr>
        <w:t>“</w:t>
      </w:r>
      <w:r>
        <w:rPr/>
        <w:t>慢性病一体化管理系统</w:t>
      </w:r>
      <w:r>
        <w:rPr>
          <w:rFonts w:ascii="Times New Roman" w:hAnsi="Times New Roman" w:cs="Times New Roman" w:eastAsia="Times New Roman" w:hint="default"/>
        </w:rPr>
        <w:t>”</w:t>
      </w:r>
      <w:r>
        <w:rPr/>
        <w:t>在</w:t>
      </w:r>
      <w:r>
        <w:rPr>
          <w:rFonts w:ascii="Times New Roman" w:hAnsi="Times New Roman" w:cs="Times New Roman" w:eastAsia="Times New Roman" w:hint="default"/>
        </w:rPr>
        <w:t>“</w:t>
      </w:r>
      <w:r>
        <w:rPr/>
        <w:t>全国医改示范县</w:t>
      </w:r>
      <w:r>
        <w:rPr>
          <w:rFonts w:ascii="Times New Roman" w:hAnsi="Times New Roman" w:cs="Times New Roman" w:eastAsia="Times New Roman" w:hint="default"/>
        </w:rPr>
        <w:t>”</w:t>
      </w:r>
      <w:r>
        <w:rPr/>
        <w:t>尤溪县总医院完成试点，获得各级卫健委认可，已经在三明市 全市推广部署；积极推广家庭医生签约手持终端机、随访包、健康小屋等配套家庭医生签约硬件产品。</w:t>
      </w:r>
    </w:p>
    <w:p>
      <w:pPr>
        <w:pStyle w:val="BodyText"/>
        <w:spacing w:line="316" w:lineRule="auto" w:before="26"/>
        <w:ind w:right="1131" w:firstLine="288"/>
        <w:jc w:val="both"/>
      </w:pPr>
      <w:r>
        <w:rPr>
          <w:spacing w:val="-1"/>
        </w:rPr>
        <w:t>在医改信息化方面，基于公司以信息化助力三明医改和福建医保的实践经验，研发并逐步落地了山西省卫健委省级医改</w:t>
      </w:r>
      <w:r>
        <w:rPr/>
        <w:t> </w:t>
      </w:r>
      <w:r>
        <w:rPr>
          <w:spacing w:val="-2"/>
        </w:rPr>
        <w:t>监管平台、山西县域医共体综合监管平台、珠海卫健委医管平台、福建省属公立医院监管平台、福建省卫健委医改效果监管</w:t>
      </w:r>
      <w:r>
        <w:rPr>
          <w:spacing w:val="-65"/>
        </w:rPr>
        <w:t> </w:t>
      </w:r>
      <w:r>
        <w:rPr>
          <w:spacing w:val="-65"/>
        </w:rPr>
      </w:r>
      <w:r>
        <w:rPr/>
        <w:t>平台、长乐区总医院医共体监管平台等，助力各地政府监管部门实时掌握医改动态，推进医共体建设进程。</w:t>
      </w:r>
    </w:p>
    <w:p>
      <w:pPr>
        <w:pStyle w:val="BodyText"/>
        <w:spacing w:line="300" w:lineRule="auto" w:before="19"/>
        <w:ind w:right="1131" w:firstLine="288"/>
        <w:jc w:val="both"/>
      </w:pPr>
      <w:r>
        <w:rPr>
          <w:spacing w:val="-2"/>
        </w:rPr>
        <w:t>在健康大数据应用方面，公司作为福建省全员人口库</w:t>
      </w:r>
      <w:r>
        <w:rPr>
          <w:rFonts w:ascii="Times New Roman" w:hAnsi="Times New Roman" w:cs="Times New Roman" w:eastAsia="Times New Roman" w:hint="default"/>
          <w:spacing w:val="-2"/>
        </w:rPr>
        <w:t>(</w:t>
      </w:r>
      <w:r>
        <w:rPr>
          <w:spacing w:val="-2"/>
        </w:rPr>
        <w:t>卫健）唯一承建商和维护商，以全员人口信息库为基础，积极拓展</w:t>
      </w:r>
      <w:r>
        <w:rPr/>
        <w:t> 人口监测与家庭发展业务，完善建设福建省全员人口统筹业务平台，并进一步完善厦门市全员人口统筹平台。</w:t>
      </w:r>
    </w:p>
    <w:p>
      <w:pPr>
        <w:pStyle w:val="BodyText"/>
        <w:spacing w:line="316" w:lineRule="auto" w:before="32"/>
        <w:ind w:right="1051" w:firstLine="288"/>
        <w:jc w:val="both"/>
      </w:pPr>
      <w:r>
        <w:rPr/>
        <w:t>在智慧医院方面，公司持续提升产品、技术及服务水平，承建了吉林大学第一医院脑卒中软件项目；福州市长乐总院、 </w:t>
      </w:r>
      <w:r>
        <w:rPr>
          <w:spacing w:val="-2"/>
        </w:rPr>
        <w:t>广东省中医院、沙县总医院、福建中医药大学附属人民医院、山西运城中心医院等医院信息化建设项目；首都医科大学安定</w:t>
      </w:r>
      <w:r>
        <w:rPr>
          <w:spacing w:val="-64"/>
        </w:rPr>
        <w:t> </w:t>
      </w:r>
      <w:r>
        <w:rPr>
          <w:spacing w:val="-64"/>
        </w:rPr>
      </w:r>
      <w:r>
        <w:rPr/>
        <w:t>医院、福建中医药大学附属第二人民医院、广东省中医院、广东省第二中医院等多家医院影像信息化建设及运营服务项目；</w:t>
      </w:r>
    </w:p>
    <w:p>
      <w:pPr>
        <w:spacing w:after="0" w:line="316"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0"/>
        <w:jc w:val="both"/>
      </w:pPr>
      <w:r>
        <w:rPr>
          <w:spacing w:val="-2"/>
        </w:rPr>
        <w:t>四川大学华西第二医院、北京大学第一医院、沈阳市第四人民医院等多家医院的检查预约平台项目；莆田市第一医院、昆明</w:t>
      </w:r>
      <w:r>
        <w:rPr>
          <w:spacing w:val="-64"/>
        </w:rPr>
        <w:t> </w:t>
      </w:r>
      <w:r>
        <w:rPr>
          <w:spacing w:val="-64"/>
        </w:rPr>
      </w:r>
      <w:r>
        <w:rPr>
          <w:spacing w:val="-2"/>
        </w:rPr>
        <w:t>市第一人民医院甘美医院、威县人民医院等多家医院统一支付平台项目；龙岩市第一医院、龙岩市第二医院、莆田学院附属</w:t>
      </w:r>
      <w:r>
        <w:rPr>
          <w:spacing w:val="-64"/>
        </w:rPr>
        <w:t> </w:t>
      </w:r>
      <w:r>
        <w:rPr>
          <w:spacing w:val="-64"/>
        </w:rPr>
      </w:r>
      <w:r>
        <w:rPr/>
        <w:t>医院多点结算平台等项目。</w:t>
      </w:r>
    </w:p>
    <w:p>
      <w:pPr>
        <w:pStyle w:val="BodyText"/>
        <w:spacing w:line="316" w:lineRule="auto" w:before="19"/>
        <w:ind w:right="1032" w:firstLine="288"/>
        <w:jc w:val="left"/>
      </w:pPr>
      <w:r>
        <w:rPr>
          <w:spacing w:val="-2"/>
        </w:rPr>
        <w:t>在医药医养方面，公司医保定点药店监管与服务覆盖福建、山西、陕西、安徽、湖南等多个省份；已上线运行福建福州、</w:t>
      </w:r>
      <w:r>
        <w:rPr/>
        <w:t> </w:t>
      </w:r>
      <w:r>
        <w:rPr>
          <w:spacing w:val="-2"/>
        </w:rPr>
        <w:t>福建莆田、广西钦州等三个电子处方平台，并多次受到国家医保局、省医保局领导关注与认可；便民用药服务与自助售取药</w:t>
      </w:r>
      <w:r>
        <w:rPr>
          <w:spacing w:val="-65"/>
        </w:rPr>
        <w:t> </w:t>
      </w:r>
      <w:r>
        <w:rPr>
          <w:spacing w:val="-65"/>
        </w:rPr>
      </w:r>
      <w:r>
        <w:rPr/>
        <w:t>服务已基本覆盖福建全省；公司医养软件已在福建厦门莲花医养长寿村护养院上线运行。</w:t>
      </w:r>
    </w:p>
    <w:p>
      <w:pPr>
        <w:pStyle w:val="BodyText"/>
        <w:spacing w:line="300" w:lineRule="auto" w:before="19"/>
        <w:ind w:left="441" w:right="1031"/>
        <w:jc w:val="left"/>
      </w:pPr>
      <w:r>
        <w:rPr>
          <w:rFonts w:ascii="Times New Roman" w:hAnsi="Times New Roman" w:cs="Times New Roman" w:eastAsia="Times New Roman" w:hint="default"/>
        </w:rPr>
        <w:t>3.</w:t>
      </w:r>
      <w:r>
        <w:rPr/>
        <w:t>民生服务业务 </w:t>
      </w:r>
      <w:r>
        <w:rPr>
          <w:spacing w:val="-2"/>
        </w:rPr>
        <w:t>公司稳步推进公共服务业务发展，以人力资源和社会保障为核心，抓好政务根基，不断夯实公司人社公共服务落地建设，</w:t>
      </w:r>
    </w:p>
    <w:p>
      <w:pPr>
        <w:pStyle w:val="BodyText"/>
        <w:spacing w:line="300" w:lineRule="auto" w:before="31"/>
        <w:ind w:right="1130"/>
        <w:jc w:val="both"/>
      </w:pPr>
      <w:r>
        <w:rPr>
          <w:spacing w:val="-3"/>
        </w:rPr>
        <w:t>打造易联众人社公共服务品牌，开展新的运营推广模式；加速各类智能终端产品的市场扩张和客户覆盖，推广以</w:t>
      </w:r>
      <w:r>
        <w:rPr>
          <w:rFonts w:ascii="Times New Roman" w:hAnsi="Times New Roman" w:cs="Times New Roman" w:eastAsia="Times New Roman" w:hint="default"/>
          <w:spacing w:val="-3"/>
        </w:rPr>
        <w:t>“</w:t>
      </w:r>
      <w:r>
        <w:rPr>
          <w:spacing w:val="-3"/>
        </w:rPr>
        <w:t>行业</w:t>
      </w:r>
      <w:r>
        <w:rPr>
          <w:rFonts w:ascii="Times New Roman" w:hAnsi="Times New Roman" w:cs="Times New Roman" w:eastAsia="Times New Roman" w:hint="default"/>
          <w:spacing w:val="-3"/>
        </w:rPr>
        <w:t>+</w:t>
      </w:r>
      <w:r>
        <w:rPr>
          <w:spacing w:val="-3"/>
        </w:rPr>
        <w:t>终端</w:t>
      </w:r>
      <w:r>
        <w:rPr>
          <w:rFonts w:ascii="Times New Roman" w:hAnsi="Times New Roman" w:cs="Times New Roman" w:eastAsia="Times New Roman" w:hint="default"/>
          <w:spacing w:val="-3"/>
        </w:rPr>
        <w:t>”</w:t>
      </w:r>
      <w:r>
        <w:rPr>
          <w:rFonts w:ascii="Times New Roman" w:hAnsi="Times New Roman" w:cs="Times New Roman" w:eastAsia="Times New Roman" w:hint="default"/>
          <w:spacing w:val="-41"/>
        </w:rPr>
        <w:t> </w:t>
      </w:r>
      <w:r>
        <w:rPr/>
        <w:t>为核心的各项自助服务业务。</w:t>
      </w:r>
    </w:p>
    <w:p>
      <w:pPr>
        <w:pStyle w:val="BodyText"/>
        <w:spacing w:line="309" w:lineRule="auto" w:before="31"/>
        <w:ind w:right="1131" w:firstLine="288"/>
        <w:jc w:val="both"/>
      </w:pPr>
      <w:r>
        <w:rPr>
          <w:spacing w:val="-1"/>
        </w:rPr>
        <w:t>报告期内，公司为社会公众提供社保、就业、劳动关系、人事人才、社会保障卡等方面的服务，建设了有中国特色的养</w:t>
      </w:r>
      <w:r>
        <w:rPr/>
        <w:t> 老金第三支柱服务，建设人社信用评价的社会信用创新应用等。此外，公共服务业务也进一步扩大，具备互联网</w:t>
      </w:r>
      <w:r>
        <w:rPr>
          <w:rFonts w:ascii="Times New Roman" w:hAnsi="Times New Roman" w:cs="Times New Roman" w:eastAsia="Times New Roman" w:hint="default"/>
        </w:rPr>
        <w:t>+</w:t>
      </w:r>
      <w:r>
        <w:rPr/>
        <w:t>公共服务 行业先发优势，</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月公司承建的人社部掌上</w:t>
      </w:r>
      <w:r>
        <w:rPr>
          <w:rFonts w:ascii="Times New Roman" w:hAnsi="Times New Roman" w:cs="Times New Roman" w:eastAsia="Times New Roman" w:hint="default"/>
        </w:rPr>
        <w:t>12333APP</w:t>
      </w:r>
      <w:r>
        <w:rPr/>
        <w:t>上线，实现与全国</w:t>
      </w:r>
      <w:r>
        <w:rPr>
          <w:rFonts w:ascii="Times New Roman" w:hAnsi="Times New Roman" w:cs="Times New Roman" w:eastAsia="Times New Roman" w:hint="default"/>
        </w:rPr>
        <w:t>32</w:t>
      </w:r>
      <w:r>
        <w:rPr/>
        <w:t>省进行业务对接。</w:t>
      </w:r>
    </w:p>
    <w:p>
      <w:pPr>
        <w:pStyle w:val="BodyText"/>
        <w:spacing w:line="314" w:lineRule="auto" w:before="5"/>
        <w:ind w:right="1129" w:firstLine="288"/>
        <w:jc w:val="both"/>
      </w:pPr>
      <w:r>
        <w:rPr>
          <w:spacing w:val="-1"/>
        </w:rPr>
        <w:t>公司持续支持福建、山西、安徽、湖南等各省人社业务，同时推动广东、广西、吉林、宁夏、海南等省份人社业务，实</w:t>
      </w:r>
      <w:r>
        <w:rPr/>
        <w:t> </w:t>
      </w:r>
      <w:r>
        <w:rPr>
          <w:spacing w:val="-2"/>
        </w:rPr>
        <w:t>现了北京、天津、云南人社市场的突破。中标了福建省医疗混合云项目系统集成、福建省社会保险待遇社银直连发放平台建</w:t>
      </w:r>
      <w:r>
        <w:rPr>
          <w:spacing w:val="-64"/>
        </w:rPr>
        <w:t> </w:t>
      </w:r>
      <w:r>
        <w:rPr>
          <w:spacing w:val="-64"/>
        </w:rPr>
      </w:r>
      <w:r>
        <w:rPr/>
        <w:t>设、福建省金保工程（二期）扩展项目、山西省互联网</w:t>
      </w:r>
      <w:r>
        <w:rPr>
          <w:rFonts w:ascii="Times New Roman" w:hAnsi="Times New Roman" w:cs="Times New Roman" w:eastAsia="Times New Roman" w:hint="default"/>
        </w:rPr>
        <w:t>+</w:t>
      </w:r>
      <w:r>
        <w:rPr/>
        <w:t>人社、合肥市金保工程软件系统维护升级、湖南省企业养老保险信 </w:t>
      </w:r>
      <w:r>
        <w:rPr>
          <w:spacing w:val="-2"/>
        </w:rPr>
        <w:t>息系统运维、常德市人社统一公共服务平台、广西省社保卡、吉林省公共服务应用系统建设、云南省彝州市农民工工资治欠</w:t>
      </w:r>
      <w:r>
        <w:rPr>
          <w:spacing w:val="-63"/>
        </w:rPr>
        <w:t> </w:t>
      </w:r>
      <w:r>
        <w:rPr>
          <w:spacing w:val="-63"/>
        </w:rPr>
      </w:r>
      <w:r>
        <w:rPr/>
        <w:t>保支监管系统等项目。</w:t>
      </w:r>
    </w:p>
    <w:p>
      <w:pPr>
        <w:pStyle w:val="BodyText"/>
        <w:spacing w:line="319" w:lineRule="auto" w:before="20"/>
        <w:ind w:right="0" w:firstLine="288"/>
        <w:jc w:val="left"/>
      </w:pPr>
      <w:r>
        <w:rPr/>
        <w:t>公司承建了人社部金保工程二期业务联网监测系统扩建项目、人社部金保工程二期综合决策支持系统开发项目、人社部 </w:t>
      </w:r>
      <w:r>
        <w:rPr>
          <w:spacing w:val="-4"/>
        </w:rPr>
        <w:t>金保工程二期政策法规仿真与执行情况评估系统开发项目、深圳人社大数据平台项目、厦门市人社大数据平台（一期）项目、</w:t>
      </w:r>
      <w:r>
        <w:rPr>
          <w:spacing w:val="-46"/>
        </w:rPr>
        <w:t> </w:t>
      </w:r>
      <w:r>
        <w:rPr>
          <w:spacing w:val="-46"/>
        </w:rPr>
      </w:r>
      <w:r>
        <w:rPr>
          <w:spacing w:val="-4"/>
        </w:rPr>
        <w:t>山西智慧旅游项目等大数据平台项目。创新研发了人脸识别身份认证平台与智能客服平台，目前已为福建厦门、广东、广西、</w:t>
      </w:r>
      <w:r>
        <w:rPr>
          <w:spacing w:val="-46"/>
        </w:rPr>
        <w:t> </w:t>
      </w:r>
      <w:r>
        <w:rPr>
          <w:spacing w:val="-46"/>
        </w:rPr>
      </w:r>
      <w:r>
        <w:rPr/>
        <w:t>吉林、安徽以及人社部公共服务平台等多个人社和医保部门提供服务支撑。</w:t>
      </w:r>
    </w:p>
    <w:p>
      <w:pPr>
        <w:pStyle w:val="BodyText"/>
        <w:spacing w:line="316" w:lineRule="auto" w:before="17"/>
        <w:ind w:right="1133" w:firstLine="288"/>
        <w:jc w:val="left"/>
      </w:pPr>
      <w:r>
        <w:rPr>
          <w:spacing w:val="-1"/>
        </w:rPr>
        <w:t>在大数据产品方面，公司结合大数据应用实践中积累的经验，研发并形成了相对成熟的大数据基础平台产品体系、应用</w:t>
      </w:r>
      <w:r>
        <w:rPr/>
        <w:t> 支撑产品和大数据支撑产品，并提供易联众数据脱敏产品，防止用户敏感隐私数据泄露。</w:t>
      </w:r>
    </w:p>
    <w:p>
      <w:pPr>
        <w:pStyle w:val="BodyText"/>
        <w:spacing w:line="309" w:lineRule="auto" w:before="19"/>
        <w:ind w:right="0" w:firstLine="288"/>
        <w:jc w:val="left"/>
      </w:pPr>
      <w:r>
        <w:rPr/>
        <w:t>公司持续跟进增值服务产品的研发，深度挖掘人社公共服务领域不同服务对象多层次的服务需求，打造互联互通多元共 </w:t>
      </w:r>
      <w:r>
        <w:rPr>
          <w:spacing w:val="-2"/>
        </w:rPr>
        <w:t>享的公共服务生态圈。此外，公司积极探索政府服务（</w:t>
      </w:r>
      <w:r>
        <w:rPr>
          <w:rFonts w:ascii="Times New Roman" w:hAnsi="Times New Roman" w:cs="Times New Roman" w:eastAsia="Times New Roman" w:hint="default"/>
          <w:spacing w:val="-2"/>
        </w:rPr>
        <w:t>G</w:t>
      </w:r>
      <w:r>
        <w:rPr>
          <w:spacing w:val="-2"/>
        </w:rPr>
        <w:t>端）业务向运营转化的业务创新模式；在互联网端企业服务（</w:t>
      </w:r>
      <w:r>
        <w:rPr>
          <w:rFonts w:ascii="Times New Roman" w:hAnsi="Times New Roman" w:cs="Times New Roman" w:eastAsia="Times New Roman" w:hint="default"/>
          <w:spacing w:val="-2"/>
        </w:rPr>
        <w:t>B</w:t>
      </w:r>
      <w:r>
        <w:rPr>
          <w:spacing w:val="-2"/>
        </w:rPr>
        <w:t>端）</w:t>
      </w:r>
      <w:r>
        <w:rPr>
          <w:spacing w:val="-51"/>
        </w:rPr>
        <w:t> </w:t>
      </w:r>
      <w:r>
        <w:rPr/>
        <w:t>方面深化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社保</w:t>
      </w:r>
      <w:r>
        <w:rPr>
          <w:rFonts w:ascii="Times New Roman" w:hAnsi="Times New Roman" w:cs="Times New Roman" w:eastAsia="Times New Roman" w:hint="default"/>
        </w:rPr>
        <w:t>”</w:t>
      </w:r>
      <w:r>
        <w:rPr/>
        <w:t>的产品线建设和用户服务，并向全国扩展。</w:t>
      </w:r>
    </w:p>
    <w:p>
      <w:pPr>
        <w:pStyle w:val="BodyText"/>
        <w:spacing w:line="309" w:lineRule="auto" w:before="5"/>
        <w:ind w:right="1034" w:firstLine="288"/>
        <w:jc w:val="left"/>
      </w:pPr>
      <w:r>
        <w:rPr/>
        <w:t>公司提供智能物联云</w:t>
      </w:r>
      <w:r>
        <w:rPr>
          <w:rFonts w:ascii="Times New Roman" w:hAnsi="Times New Roman" w:cs="Times New Roman" w:eastAsia="Times New Roman" w:hint="default"/>
        </w:rPr>
        <w:t>+</w:t>
      </w:r>
      <w:r>
        <w:rPr/>
        <w:t>硬件智能化</w:t>
      </w:r>
      <w:r>
        <w:rPr>
          <w:rFonts w:ascii="Times New Roman" w:hAnsi="Times New Roman" w:cs="Times New Roman" w:eastAsia="Times New Roman" w:hint="default"/>
        </w:rPr>
        <w:t>+</w:t>
      </w:r>
      <w:r>
        <w:rPr/>
        <w:t>运营服务综合解决方案。公司智能终端具有独立知识产权，已获得多项国家专利，能 为政府、企业和民众提供一站式</w:t>
      </w:r>
      <w:r>
        <w:rPr>
          <w:rFonts w:ascii="Times New Roman" w:hAnsi="Times New Roman" w:cs="Times New Roman" w:eastAsia="Times New Roman" w:hint="default"/>
        </w:rPr>
        <w:t>“</w:t>
      </w:r>
      <w:r>
        <w:rPr/>
        <w:t>跨行业、跨区域、跨层级、跨媒体</w:t>
      </w:r>
      <w:r>
        <w:rPr>
          <w:rFonts w:ascii="Times New Roman" w:hAnsi="Times New Roman" w:cs="Times New Roman" w:eastAsia="Times New Roman" w:hint="default"/>
        </w:rPr>
        <w:t>”</w:t>
      </w:r>
      <w:r>
        <w:rPr/>
        <w:t>的智能服务。报告期内，公司跟踪前沿新技术，以人工 </w:t>
      </w:r>
      <w:r>
        <w:rPr>
          <w:spacing w:val="-4"/>
        </w:rPr>
        <w:t>智能、物联网、移动互联网、微服务等开展研究，以行业需求为导向，在产品上规划构建无接触</w:t>
      </w:r>
      <w:r>
        <w:rPr>
          <w:rFonts w:ascii="Times New Roman" w:hAnsi="Times New Roman" w:cs="Times New Roman" w:eastAsia="Times New Roman" w:hint="default"/>
          <w:spacing w:val="-4"/>
        </w:rPr>
        <w:t>“</w:t>
      </w:r>
      <w:r>
        <w:rPr>
          <w:spacing w:val="-4"/>
        </w:rPr>
        <w:t>云</w:t>
      </w:r>
      <w:r>
        <w:rPr>
          <w:rFonts w:ascii="Times New Roman" w:hAnsi="Times New Roman" w:cs="Times New Roman" w:eastAsia="Times New Roman" w:hint="default"/>
          <w:spacing w:val="-4"/>
        </w:rPr>
        <w:t>+</w:t>
      </w:r>
      <w:r>
        <w:rPr>
          <w:spacing w:val="-4"/>
        </w:rPr>
        <w:t>端</w:t>
      </w:r>
      <w:r>
        <w:rPr>
          <w:rFonts w:ascii="Times New Roman" w:hAnsi="Times New Roman" w:cs="Times New Roman" w:eastAsia="Times New Roman" w:hint="default"/>
          <w:spacing w:val="-4"/>
        </w:rPr>
        <w:t>+</w:t>
      </w:r>
      <w:r>
        <w:rPr>
          <w:spacing w:val="-4"/>
        </w:rPr>
        <w:t>服务</w:t>
      </w:r>
      <w:r>
        <w:rPr>
          <w:rFonts w:ascii="Times New Roman" w:hAnsi="Times New Roman" w:cs="Times New Roman" w:eastAsia="Times New Roman" w:hint="default"/>
          <w:spacing w:val="-4"/>
        </w:rPr>
        <w:t>”</w:t>
      </w:r>
      <w:r>
        <w:rPr>
          <w:spacing w:val="-4"/>
        </w:rPr>
        <w:t>整体解决方案，</w:t>
      </w:r>
      <w:r>
        <w:rPr>
          <w:spacing w:val="-36"/>
        </w:rPr>
        <w:t> </w:t>
      </w:r>
      <w:r>
        <w:rPr>
          <w:spacing w:val="-36"/>
        </w:rPr>
      </w:r>
      <w:r>
        <w:rPr>
          <w:spacing w:val="-4"/>
        </w:rPr>
        <w:t>重点研发了智能多卡（码）识别系统、智能运营管理系统、人力资源和社会保障自助服务系统、多媒体多模态智能终端系统、</w:t>
      </w:r>
      <w:r>
        <w:rPr>
          <w:spacing w:val="-46"/>
        </w:rPr>
        <w:t> </w:t>
      </w:r>
      <w:r>
        <w:rPr>
          <w:spacing w:val="-46"/>
        </w:rPr>
      </w:r>
      <w:r>
        <w:rPr/>
        <w:t>医疗智能物联服务平台等产品。在人社行业应用方面，承建了莆田和枣庄人社智能终端项目、海峡银行发卡终端系统项目、 </w:t>
      </w:r>
      <w:r>
        <w:rPr>
          <w:spacing w:val="-2"/>
        </w:rPr>
        <w:t>厦门就业服务中心自助机一体化管理平台升级改造项目等重点项目，进行了第三代社保卡制发卡设备的市场拓展；在医保行</w:t>
      </w:r>
      <w:r>
        <w:rPr>
          <w:spacing w:val="-63"/>
        </w:rPr>
        <w:t> </w:t>
      </w:r>
      <w:r>
        <w:rPr>
          <w:spacing w:val="-63"/>
        </w:rPr>
      </w:r>
      <w:r>
        <w:rPr>
          <w:spacing w:val="-2"/>
        </w:rPr>
        <w:t>业应用方面，承建安徽省医保智能终端系统项目，为医保行业市场开拓打下良好基础；积极拓展新行业的应用，如智慧酒店</w:t>
      </w:r>
      <w:r>
        <w:rPr>
          <w:spacing w:val="-65"/>
        </w:rPr>
        <w:t> </w:t>
      </w:r>
      <w:r>
        <w:rPr>
          <w:spacing w:val="-65"/>
        </w:rPr>
      </w:r>
      <w:r>
        <w:rPr/>
        <w:t>应用、智慧法院应用等。</w:t>
      </w:r>
    </w:p>
    <w:p>
      <w:pPr>
        <w:pStyle w:val="BodyText"/>
        <w:spacing w:line="314" w:lineRule="auto" w:before="24"/>
        <w:ind w:right="1034" w:firstLine="288"/>
        <w:jc w:val="left"/>
      </w:pPr>
      <w:r>
        <w:rPr/>
        <w:t>公司具备创新的社保卡项目建设模式，设有专业的制卡中心，拥有专业的数据采集和个人化处理队伍，具备工业生产许 可、银联、商密、居民健康等资质证书，具备社保卡、健康卡、银行卡、交通卡、市民卡等各类</w:t>
      </w:r>
      <w:r>
        <w:rPr>
          <w:rFonts w:ascii="Times New Roman" w:hAnsi="Times New Roman" w:cs="Times New Roman" w:eastAsia="Times New Roman" w:hint="default"/>
        </w:rPr>
        <w:t>IC</w:t>
      </w:r>
      <w:r>
        <w:rPr/>
        <w:t>卡生产资格。报告期内， </w:t>
      </w:r>
      <w:r>
        <w:rPr>
          <w:spacing w:val="-2"/>
        </w:rPr>
        <w:t>公司进行了各地市的第三代残疾人证项目市场开拓：中标漳州市第三代残疾人证（智能化）卡片及相关设备采购项目；完成</w:t>
      </w:r>
      <w:r>
        <w:rPr>
          <w:spacing w:val="-62"/>
        </w:rPr>
        <w:t> </w:t>
      </w:r>
      <w:r>
        <w:rPr>
          <w:spacing w:val="-62"/>
        </w:rPr>
      </w:r>
      <w:r>
        <w:rPr>
          <w:spacing w:val="-4"/>
        </w:rPr>
        <w:t>了龙岩第三代社保卡的首发工作；承建了福建省道路运输证及从业资格证国家试点项目，首次将道路运输证（从业资格证）、</w:t>
      </w:r>
      <w:r>
        <w:rPr>
          <w:spacing w:val="-46"/>
        </w:rPr>
        <w:t> </w:t>
      </w:r>
      <w:r>
        <w:rPr>
          <w:spacing w:val="-46"/>
        </w:rPr>
      </w:r>
      <w:r>
        <w:rPr>
          <w:rFonts w:ascii="Times New Roman" w:hAnsi="Times New Roman" w:cs="Times New Roman" w:eastAsia="Times New Roman" w:hint="default"/>
        </w:rPr>
        <w:t>ETC</w:t>
      </w:r>
      <w:r>
        <w:rPr/>
        <w:t>、交通卡三卡合一，具有重要意义。</w:t>
      </w:r>
    </w:p>
    <w:p>
      <w:pPr>
        <w:pStyle w:val="BodyText"/>
        <w:spacing w:line="300" w:lineRule="auto" w:before="1"/>
        <w:ind w:left="441" w:right="1031"/>
        <w:jc w:val="left"/>
      </w:pPr>
      <w:r>
        <w:rPr>
          <w:rFonts w:ascii="Times New Roman" w:hAnsi="Times New Roman" w:cs="Times New Roman" w:eastAsia="Times New Roman" w:hint="default"/>
        </w:rPr>
        <w:t>4.</w:t>
      </w:r>
      <w:r>
        <w:rPr/>
        <w:t>产业金融业务 </w:t>
      </w:r>
      <w:r>
        <w:rPr>
          <w:spacing w:val="-2"/>
        </w:rPr>
        <w:t>公司通过金融板块的子公司推进公司在融资租赁、保险经纪等方面的金融业务，整体上采取稳扎稳打、稳中求进的战略。</w:t>
      </w:r>
    </w:p>
    <w:p>
      <w:pPr>
        <w:pStyle w:val="BodyText"/>
        <w:spacing w:line="316" w:lineRule="auto" w:before="32"/>
        <w:ind w:right="1049"/>
        <w:jc w:val="both"/>
      </w:pPr>
      <w:r>
        <w:rPr>
          <w:spacing w:val="-2"/>
        </w:rPr>
        <w:t>公司夯实资金来源渠道，在业务方向上努力尝试更加深入地融合到供应链条中，利用供应链中核心企业的优质信用，降低项</w:t>
      </w:r>
      <w:r>
        <w:rPr>
          <w:spacing w:val="-63"/>
        </w:rPr>
        <w:t> </w:t>
      </w:r>
      <w:r>
        <w:rPr>
          <w:spacing w:val="-63"/>
        </w:rPr>
      </w:r>
      <w:r>
        <w:rPr/>
        <w:t>目风险；在业务模式上，设计、提供更加多样化的产品。公司将积极打造线上线下金融平台，开展租赁、保险经纪等业务，</w:t>
      </w:r>
    </w:p>
    <w:p>
      <w:pPr>
        <w:spacing w:after="0" w:line="316"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441" w:right="1105" w:hanging="289"/>
        <w:jc w:val="left"/>
      </w:pPr>
      <w:r>
        <w:rPr/>
        <w:t>从而优化公司经营结构，增强公司整体抗风险能力，提升综合竞争能力。 报告期内，公司取得《医疗器械经营企业许可证》，为后期开展医疗设备融资租赁业务奠定基础；结合公司医保业务，</w:t>
      </w:r>
    </w:p>
    <w:p>
      <w:pPr>
        <w:pStyle w:val="BodyText"/>
        <w:spacing w:line="300" w:lineRule="auto" w:before="19"/>
        <w:ind w:right="1135"/>
        <w:jc w:val="left"/>
      </w:pPr>
      <w:r>
        <w:rPr/>
        <w:t>进行</w:t>
      </w:r>
      <w:r>
        <w:rPr>
          <w:spacing w:val="-21"/>
        </w:rPr>
        <w:t> </w:t>
      </w:r>
      <w:r>
        <w:rPr>
          <w:rFonts w:ascii="Times New Roman" w:hAnsi="Times New Roman" w:cs="Times New Roman" w:eastAsia="Times New Roman" w:hint="default"/>
        </w:rPr>
        <w:t>“37</w:t>
      </w:r>
      <w:r>
        <w:rPr/>
        <w:t>度</w:t>
      </w:r>
      <w:r>
        <w:rPr>
          <w:rFonts w:ascii="Times New Roman" w:hAnsi="Times New Roman" w:cs="Times New Roman" w:eastAsia="Times New Roman" w:hint="default"/>
        </w:rPr>
        <w:t>C”</w:t>
      </w:r>
      <w:r>
        <w:rPr/>
        <w:t>平台合作，整合资源，目前已与多家保险公司完成对接，并承保工作。此外，完成了</w:t>
      </w:r>
      <w:r>
        <w:rPr>
          <w:rFonts w:ascii="Times New Roman" w:hAnsi="Times New Roman" w:cs="Times New Roman" w:eastAsia="Times New Roman" w:hint="default"/>
        </w:rPr>
        <w:t>“</w:t>
      </w:r>
      <w:r>
        <w:rPr/>
        <w:t>保险屋</w:t>
      </w:r>
      <w:r>
        <w:rPr>
          <w:rFonts w:ascii="Times New Roman" w:hAnsi="Times New Roman" w:cs="Times New Roman" w:eastAsia="Times New Roman" w:hint="default"/>
        </w:rPr>
        <w:t>”</w:t>
      </w:r>
      <w:r>
        <w:rPr/>
        <w:t>平台、</w:t>
      </w:r>
      <w:r>
        <w:rPr>
          <w:rFonts w:ascii="Times New Roman" w:hAnsi="Times New Roman" w:cs="Times New Roman" w:eastAsia="Times New Roman" w:hint="default"/>
        </w:rPr>
        <w:t>E</w:t>
      </w:r>
      <w:r>
        <w:rPr/>
        <w:t>福州平 台等保险项目的开发与沟通；协助客户提高风险管理能力，降低费用成本。</w:t>
      </w:r>
    </w:p>
    <w:p>
      <w:pPr>
        <w:pStyle w:val="BodyText"/>
        <w:spacing w:line="240" w:lineRule="auto" w:before="31"/>
        <w:ind w:left="441" w:right="1133"/>
        <w:jc w:val="left"/>
      </w:pPr>
      <w:r>
        <w:rPr/>
        <w:t>（二）组织高速成长</w:t>
      </w:r>
    </w:p>
    <w:p>
      <w:pPr>
        <w:pStyle w:val="BodyText"/>
        <w:spacing w:line="307" w:lineRule="auto" w:before="76"/>
        <w:ind w:right="0" w:firstLine="288"/>
        <w:jc w:val="left"/>
      </w:pPr>
      <w:r>
        <w:rPr>
          <w:rFonts w:ascii="Times New Roman" w:hAnsi="Times New Roman" w:cs="Times New Roman" w:eastAsia="Times New Roman" w:hint="default"/>
        </w:rPr>
        <w:t>2019</w:t>
      </w:r>
      <w:r>
        <w:rPr/>
        <w:t>年，公司业务下沉，权力下放，给予了分子公司充分的成长空间，分子公司成长迅速，在资质、知识产权、奖项荣 </w:t>
      </w:r>
      <w:r>
        <w:rPr>
          <w:spacing w:val="-4"/>
        </w:rPr>
        <w:t>誉方面，硕果颇丰。如，山西易联众信息技术有限公司被评为山西省互联网企业</w:t>
      </w:r>
      <w:r>
        <w:rPr>
          <w:rFonts w:ascii="Times New Roman" w:hAnsi="Times New Roman" w:cs="Times New Roman" w:eastAsia="Times New Roman" w:hint="default"/>
          <w:spacing w:val="-4"/>
        </w:rPr>
        <w:t>20</w:t>
      </w:r>
      <w:r>
        <w:rPr>
          <w:spacing w:val="-4"/>
        </w:rPr>
        <w:t>强和最具成长型企业；易联众智能（厦门）</w:t>
      </w:r>
      <w:r>
        <w:rPr>
          <w:spacing w:val="-42"/>
        </w:rPr>
        <w:t> </w:t>
      </w:r>
      <w:r>
        <w:rPr>
          <w:spacing w:val="-42"/>
        </w:rPr>
      </w:r>
      <w:r>
        <w:rPr>
          <w:spacing w:val="-2"/>
        </w:rPr>
        <w:t>科技有限公司、福建易联众医疗信息系统有限公司、厦门市易联众易惠科技有限公司等多家子公司荣获福建省科技小巨人领</w:t>
      </w:r>
      <w:r>
        <w:rPr>
          <w:spacing w:val="-64"/>
        </w:rPr>
        <w:t> </w:t>
      </w:r>
      <w:r>
        <w:rPr>
          <w:spacing w:val="-64"/>
        </w:rPr>
      </w:r>
      <w:r>
        <w:rPr>
          <w:spacing w:val="-2"/>
        </w:rPr>
        <w:t>军企业；易联众民生（厦门）科技有限公司、厦门市易联众易惠科技有限公司、福建易联众保睿通信息科技有限公司、易联</w:t>
      </w:r>
      <w:r>
        <w:rPr>
          <w:spacing w:val="-70"/>
        </w:rPr>
        <w:t> </w:t>
      </w:r>
      <w:r>
        <w:rPr>
          <w:spacing w:val="-70"/>
        </w:rPr>
      </w:r>
      <w:r>
        <w:rPr>
          <w:spacing w:val="-2"/>
        </w:rPr>
        <w:t>众（厦门）大数据科技有限公司等多家子公司入选</w:t>
      </w:r>
      <w:r>
        <w:rPr>
          <w:rFonts w:ascii="Times New Roman" w:hAnsi="Times New Roman" w:cs="Times New Roman" w:eastAsia="Times New Roman" w:hint="default"/>
          <w:spacing w:val="-2"/>
        </w:rPr>
        <w:t>2019</w:t>
      </w:r>
      <w:r>
        <w:rPr>
          <w:spacing w:val="-2"/>
        </w:rPr>
        <w:t>年度厦门市重点软件和信息技术服务企业等。厦门市易联众易惠科技</w:t>
      </w:r>
      <w:r>
        <w:rPr>
          <w:spacing w:val="-63"/>
        </w:rPr>
        <w:t> </w:t>
      </w:r>
      <w:r>
        <w:rPr>
          <w:spacing w:val="-63"/>
        </w:rPr>
      </w:r>
      <w:r>
        <w:rPr/>
        <w:t>有限公司获得国家高新技术企业认定。</w:t>
      </w:r>
    </w:p>
    <w:p>
      <w:pPr>
        <w:spacing w:line="240" w:lineRule="auto" w:before="6"/>
        <w:rPr>
          <w:rFonts w:ascii="宋体" w:hAnsi="宋体" w:cs="宋体" w:eastAsia="宋体" w:hint="default"/>
          <w:sz w:val="21"/>
          <w:szCs w:val="21"/>
        </w:rPr>
      </w:pPr>
    </w:p>
    <w:p>
      <w:pPr>
        <w:pStyle w:val="Heading2"/>
        <w:spacing w:line="240" w:lineRule="auto"/>
        <w:ind w:right="1133"/>
        <w:jc w:val="left"/>
        <w:rPr>
          <w:b w:val="0"/>
          <w:bCs w:val="0"/>
        </w:rPr>
      </w:pPr>
      <w:r>
        <w:rPr/>
        <w:t>二、主营业务分析</w:t>
      </w:r>
      <w:r>
        <w:rPr>
          <w:b w:val="0"/>
          <w:bCs w:val="0"/>
        </w:rPr>
      </w:r>
    </w:p>
    <w:p>
      <w:pPr>
        <w:spacing w:line="240" w:lineRule="auto" w:before="9"/>
        <w:rPr>
          <w:rFonts w:ascii="宋体" w:hAnsi="宋体" w:cs="宋体" w:eastAsia="宋体" w:hint="default"/>
          <w:b/>
          <w:bCs/>
          <w:sz w:val="24"/>
          <w:szCs w:val="24"/>
        </w:rPr>
      </w:pPr>
    </w:p>
    <w:p>
      <w:pPr>
        <w:spacing w:line="544" w:lineRule="auto" w:before="0"/>
        <w:ind w:left="152" w:right="64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w w:val="100"/>
          <w:sz w:val="21"/>
          <w:szCs w:val="21"/>
        </w:rPr>
        <w:t> </w:t>
      </w:r>
      <w:r>
        <w:rPr>
          <w:rFonts w:ascii="宋体" w:hAnsi="宋体" w:cs="宋体" w:eastAsia="宋体" w:hint="default"/>
          <w:sz w:val="18"/>
          <w:szCs w:val="18"/>
        </w:rPr>
        <w:t>参见</w:t>
      </w:r>
      <w:r>
        <w:rPr>
          <w:rFonts w:ascii="Times New Roman" w:hAnsi="Times New Roman" w:cs="Times New Roman" w:eastAsia="Times New Roman" w:hint="default"/>
          <w:sz w:val="18"/>
          <w:szCs w:val="18"/>
        </w:rPr>
        <w:t>“</w:t>
      </w:r>
      <w:r>
        <w:rPr>
          <w:rFonts w:ascii="宋体" w:hAnsi="宋体" w:cs="宋体" w:eastAsia="宋体" w:hint="default"/>
          <w:sz w:val="18"/>
          <w:szCs w:val="18"/>
        </w:rPr>
        <w:t>经营情况讨论与分析</w:t>
      </w:r>
      <w:r>
        <w:rPr>
          <w:rFonts w:ascii="Times New Roman" w:hAnsi="Times New Roman" w:cs="Times New Roman" w:eastAsia="Times New Roman" w:hint="default"/>
          <w:sz w:val="18"/>
          <w:szCs w:val="18"/>
        </w:rPr>
        <w:t>”</w:t>
      </w:r>
      <w:r>
        <w:rPr>
          <w:rFonts w:ascii="宋体" w:hAnsi="宋体" w:cs="宋体" w:eastAsia="宋体" w:hint="default"/>
          <w:sz w:val="18"/>
          <w:szCs w:val="18"/>
        </w:rPr>
        <w:t>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）营业收入构成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营业收入整体情况</w:t>
      </w:r>
    </w:p>
    <w:p>
      <w:pPr>
        <w:pStyle w:val="BodyText"/>
        <w:spacing w:line="240" w:lineRule="auto" w:before="117"/>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8"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948,718,436.87</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729,805,790.24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30.00%</w:t>
            </w:r>
          </w:p>
        </w:tc>
      </w:tr>
      <w:tr>
        <w:trPr>
          <w:trHeight w:val="396"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897,433,143.56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94.59%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669,673,883.43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34.01%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融资服务行业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42,456,973.94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54,446,415.71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-22.02%</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保险经纪行业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8,221,167.29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4,590,495.28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79.09%</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其他行业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607,152.08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1,094,995.82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-44.55%</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609,697,830.94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64.27%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359,369,755.11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98,477,756.78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10.38%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122,484,425.26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-19.60%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186,970,554.47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187,138,425.05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42,456,973.94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4.48%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54,446,415.71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7.46%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-22.02%</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8,221,167.29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4,590,495.28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79.09%</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2,894,153.45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1,776,273.83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62.93%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528,325,305.79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379,839,930.45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52.05%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39.09%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105,855,827.58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11.16%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70,485,684.87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9.66%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50.18%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68,179,951.85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57,465,815.55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18.64%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31,246,823.71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44,593,858.98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6.11%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-29.93%</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30,726,171.86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28,276,592.78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8.66%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28,558,516.59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3.01%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44,239,728.83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6.06%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-35.45%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24,757,738.50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12,293,699.04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101.39%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24,661,581.90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2.60%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12,502,188.35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97.26%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河北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17,800,813.25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9,327,222.27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90.85%</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16,631,826.91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1.75%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15,476,084.99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2.12%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7.47%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11,859,761.92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2,545,135.62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365.98%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11,087,244.75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1.17%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10,728,514.64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3.34%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9,985,832.37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344,810.12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2,796.04%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陕西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6,973,461.42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0.74%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2,093,419.64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233.11%</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辽宁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6,429,386.69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2,647,167.40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新疆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4,948,649.20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0.52%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1,468,211.16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237.05%</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4,200,495.12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0.44%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15,239,483.56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2.09%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-72.44%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云南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4,057,112.47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0.43%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10,961,298.19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-62.99%</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3,080,935.63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722,373.51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326.50%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江西</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3,059,294.11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0.32%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774,701.78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2"/>
                <w:sz w:val="18"/>
              </w:rPr>
              <w:t>0.11%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294.90%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2,326,472.93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704,802.16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230.09%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宁夏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1,564,085.71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4,738,679.24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z w:val="18"/>
              </w:rPr>
              <w:t>0.65%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-66.99%</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2,401,146.61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2,336,387.11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2.77%</w:t>
            </w:r>
          </w:p>
        </w:tc>
      </w:tr>
    </w:tbl>
    <w:p>
      <w:pPr>
        <w:pStyle w:val="BodyText"/>
        <w:spacing w:line="240" w:lineRule="auto" w:before="51"/>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1"/>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20"/>
        <w:gridCol w:w="1008"/>
        <w:gridCol w:w="1009"/>
        <w:gridCol w:w="1013"/>
        <w:gridCol w:w="1011"/>
        <w:gridCol w:w="1003"/>
        <w:gridCol w:w="1006"/>
        <w:gridCol w:w="1001"/>
        <w:gridCol w:w="1003"/>
      </w:tblGrid>
      <w:tr>
        <w:trPr>
          <w:trHeight w:val="401" w:hRule="exact"/>
        </w:trPr>
        <w:tc>
          <w:tcPr>
            <w:tcW w:w="1520" w:type="dxa"/>
            <w:vMerge w:val="restart"/>
            <w:tcBorders>
              <w:top w:val="single" w:sz="4" w:space="0" w:color="000000"/>
              <w:left w:val="single" w:sz="4" w:space="0" w:color="000000"/>
              <w:right w:val="single" w:sz="4" w:space="0" w:color="000000"/>
            </w:tcBorders>
            <w:shd w:val="clear" w:color="auto" w:fill="D2D2D2"/>
          </w:tcPr>
          <w:p>
            <w:pPr/>
          </w:p>
        </w:tc>
        <w:tc>
          <w:tcPr>
            <w:tcW w:w="404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401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520" w:type="dxa"/>
            <w:vMerge/>
            <w:tcBorders>
              <w:left w:val="single" w:sz="4" w:space="0" w:color="000000"/>
              <w:bottom w:val="single" w:sz="4" w:space="0" w:color="000000"/>
              <w:right w:val="single" w:sz="4" w:space="0" w:color="000000"/>
            </w:tcBorders>
            <w:shd w:val="clear" w:color="auto" w:fill="D2D2D2"/>
          </w:tcPr>
          <w:p>
            <w:pP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第二季度</w:t>
            </w:r>
          </w:p>
        </w:tc>
        <w:tc>
          <w:tcPr>
            <w:tcW w:w="10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第三季度</w:t>
            </w:r>
          </w:p>
        </w:tc>
        <w:tc>
          <w:tcPr>
            <w:tcW w:w="1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3"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105,820,606.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40</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161,663,570.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14</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248,294,766.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76</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432,939,493.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57</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89,009,549.0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168,293,796.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94</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180,644,547.</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291,857,896.</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74</w:t>
            </w:r>
          </w:p>
        </w:tc>
      </w:tr>
      <w:tr>
        <w:trPr>
          <w:trHeight w:val="715" w:hRule="exact"/>
        </w:trPr>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45"/>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-20,827,377.</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48</w:t>
            </w:r>
          </w:p>
        </w:tc>
        <w:tc>
          <w:tcPr>
            <w:tcW w:w="10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 w:right="0"/>
              <w:jc w:val="center"/>
              <w:rPr>
                <w:rFonts w:ascii="Times New Roman" w:hAnsi="Times New Roman" w:cs="Times New Roman" w:eastAsia="Times New Roman" w:hint="default"/>
                <w:sz w:val="18"/>
                <w:szCs w:val="18"/>
              </w:rPr>
            </w:pPr>
            <w:r>
              <w:rPr>
                <w:rFonts w:ascii="Times New Roman"/>
                <w:sz w:val="18"/>
              </w:rPr>
              <w:t>5,025,004.71</w:t>
            </w:r>
          </w:p>
        </w:tc>
        <w:tc>
          <w:tcPr>
            <w:tcW w:w="10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16,963,857.0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 w:right="0"/>
              <w:jc w:val="center"/>
              <w:rPr>
                <w:rFonts w:ascii="Times New Roman" w:hAnsi="Times New Roman" w:cs="Times New Roman" w:eastAsia="Times New Roman" w:hint="default"/>
                <w:sz w:val="18"/>
                <w:szCs w:val="18"/>
              </w:rPr>
            </w:pPr>
            <w:r>
              <w:rPr>
                <w:rFonts w:ascii="Times New Roman"/>
                <w:sz w:val="18"/>
              </w:rPr>
              <w:t>9,344,260.31</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-20,165,435.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-412,474.96</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3,418,720.05</w:t>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31,823,965.9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240" w:lineRule="auto" w:before="51"/>
        <w:ind w:right="1133"/>
        <w:jc w:val="left"/>
      </w:pPr>
      <w:r>
        <w:rPr/>
        <w:t>说明经营季节性（或周期性）发生的原因及波动风险</w:t>
      </w:r>
    </w:p>
    <w:p>
      <w:pPr>
        <w:pStyle w:val="BodyText"/>
        <w:spacing w:line="319" w:lineRule="auto" w:before="115"/>
        <w:ind w:right="1034"/>
        <w:jc w:val="left"/>
      </w:pPr>
      <w:r>
        <w:rPr>
          <w:rFonts w:ascii="宋体" w:hAnsi="宋体" w:cs="宋体" w:eastAsia="宋体" w:hint="default"/>
          <w:spacing w:val="90"/>
        </w:rPr>
        <w:t> </w:t>
      </w:r>
      <w:r>
        <w:rPr>
          <w:rFonts w:ascii="宋体" w:hAnsi="宋体" w:cs="宋体" w:eastAsia="宋体" w:hint="default"/>
        </w:rPr>
        <w:t>  </w:t>
      </w:r>
      <w:r>
        <w:rPr>
          <w:spacing w:val="-2"/>
        </w:rPr>
        <w:t>公司业务存在季节性特征，第一季度受春节因素影响新签合同较少，存量项目推进速度较低，营业收入确认较少，且成</w:t>
      </w:r>
      <w:r>
        <w:rPr/>
        <w:t> 本费用支出较大，净利润为负值；第二季度，随着新签合同及存量项目陆续开工，推进速度加快，项目收入达到确认时点， </w:t>
      </w:r>
      <w:r>
        <w:rPr>
          <w:spacing w:val="-2"/>
        </w:rPr>
        <w:t>成本费用较为固定，因此利润有所增长；第三季度，进入公司业务旺季，新签合同及存量项目进展加快，随着项目推进，利</w:t>
      </w:r>
      <w:r>
        <w:rPr>
          <w:spacing w:val="-70"/>
        </w:rPr>
        <w:t> </w:t>
      </w:r>
      <w:r>
        <w:rPr>
          <w:spacing w:val="-70"/>
        </w:rPr>
      </w:r>
      <w:r>
        <w:rPr>
          <w:spacing w:val="-2"/>
        </w:rPr>
        <w:t>润有较快增长；第四季度，大量项目达到交付上线验收时点，因此营业收入确认最多，成本费用相对固定，但由于本季度减</w:t>
      </w:r>
    </w:p>
    <w:p>
      <w:pPr>
        <w:spacing w:after="0" w:line="319"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left"/>
      </w:pPr>
      <w:r>
        <w:rPr>
          <w:spacing w:val="-4"/>
        </w:rPr>
        <w:t>值准备计提金额较大，致净利润增长较上季度减缓。主要波动风险：存量项目进度推进缓慢及新签合同较少会产生较大影响。</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7"/>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47" w:hanging="272"/>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319" w:right="50" w:hanging="272"/>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10"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4"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民生服务行业</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897,433,143.56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438,531,581.10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35.20%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-0.43%</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定制软件及</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IC</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609,697,830.94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258,665,607.14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57.57%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69.99%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92.74%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-5.09%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98,477,756.78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37,683,089.27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61.73%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-19.60%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系统集成及硬件</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186,970,554.47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140,654,381.34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24.77%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6.16%</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528,325,305.79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244,277,942.21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62.59%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-6.69%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105,855,827.58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50,443,268.05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52.35%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50.18%</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-3.68%</w:t>
            </w:r>
          </w:p>
        </w:tc>
      </w:tr>
    </w:tbl>
    <w:p>
      <w:pPr>
        <w:pStyle w:val="BodyText"/>
        <w:spacing w:line="240" w:lineRule="auto" w:before="51"/>
        <w:ind w:right="1133"/>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34"/>
              <w:jc w:val="left"/>
              <w:rPr>
                <w:rFonts w:ascii="宋体" w:hAnsi="宋体" w:cs="宋体" w:eastAsia="宋体" w:hint="default"/>
                <w:sz w:val="18"/>
                <w:szCs w:val="18"/>
              </w:rPr>
            </w:pPr>
            <w:r>
              <w:rPr>
                <w:rFonts w:ascii="宋体" w:hAnsi="宋体" w:cs="宋体" w:eastAsia="宋体" w:hint="default"/>
                <w:spacing w:val="-3"/>
                <w:sz w:val="18"/>
                <w:szCs w:val="18"/>
              </w:rPr>
              <w:t>信息机（自助终端）</w:t>
            </w:r>
            <w:r>
              <w:rPr>
                <w:rFonts w:ascii="宋体" w:hAnsi="宋体" w:cs="宋体" w:eastAsia="宋体" w:hint="default"/>
                <w:sz w:val="18"/>
                <w:szCs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1,804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-57.43%</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1,534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-63.83%</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370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640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-42.19%</w:t>
            </w:r>
          </w:p>
        </w:tc>
      </w:tr>
      <w:tr>
        <w:trPr>
          <w:trHeight w:val="403"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13,187,608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9,171,193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43.79%</w:t>
            </w:r>
          </w:p>
        </w:tc>
      </w:tr>
      <w:tr>
        <w:trPr>
          <w:trHeight w:val="401"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12,726,734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9,682,450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31.44%</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1,147,902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1,608,776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-28.65%</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读卡器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25,446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29,021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-12.32%</w:t>
            </w:r>
          </w:p>
        </w:tc>
      </w:tr>
      <w:tr>
        <w:trPr>
          <w:trHeight w:val="403" w:hRule="exact"/>
        </w:trPr>
        <w:tc>
          <w:tcPr>
            <w:tcW w:w="1596" w:type="dxa"/>
            <w:vMerge/>
            <w:tcBorders>
              <w:left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23,325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-26.02%</w:t>
            </w:r>
          </w:p>
        </w:tc>
      </w:tr>
      <w:tr>
        <w:trPr>
          <w:trHeight w:val="401"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7,787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9,908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-21.41%</w:t>
            </w:r>
          </w:p>
        </w:tc>
      </w:tr>
    </w:tbl>
    <w:p>
      <w:pPr>
        <w:pStyle w:val="BodyText"/>
        <w:spacing w:line="240" w:lineRule="auto" w:before="51"/>
        <w:ind w:right="1133"/>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133"/>
        <w:jc w:val="left"/>
      </w:pPr>
      <w:r>
        <w:rPr>
          <w:rFonts w:ascii="Times New Roman" w:hAnsi="Times New Roman" w:cs="Times New Roman" w:eastAsia="Times New Roman" w:hint="default"/>
        </w:rPr>
        <w:t>1</w:t>
      </w:r>
      <w:r>
        <w:rPr/>
        <w:t>、信息机销售量、生产量、库存量均下降</w:t>
      </w:r>
      <w:r>
        <w:rPr>
          <w:rFonts w:ascii="Times New Roman" w:hAnsi="Times New Roman" w:cs="Times New Roman" w:eastAsia="Times New Roman" w:hint="default"/>
        </w:rPr>
        <w:t>30%</w:t>
      </w:r>
      <w:r>
        <w:rPr/>
        <w:t>以上，主要是广西、福建区域的医疗信息机销量减少所致。</w:t>
      </w:r>
    </w:p>
    <w:p>
      <w:pPr>
        <w:pStyle w:val="BodyText"/>
        <w:spacing w:line="240" w:lineRule="auto" w:before="63"/>
        <w:ind w:right="1133"/>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IC</w:t>
      </w:r>
      <w:r>
        <w:rPr/>
        <w:t>卡的销售量和生产量均增长</w:t>
      </w:r>
      <w:r>
        <w:rPr>
          <w:rFonts w:ascii="Times New Roman" w:hAnsi="Times New Roman" w:cs="Times New Roman" w:eastAsia="Times New Roman" w:hint="default"/>
        </w:rPr>
        <w:t>30%</w:t>
      </w:r>
      <w:r>
        <w:rPr/>
        <w:t>以上，主要是广西、山西、福建地区的发卡量增加所致。</w:t>
      </w:r>
    </w:p>
    <w:p>
      <w:pPr>
        <w:spacing w:after="0" w:line="240" w:lineRule="auto"/>
        <w:jc w:val="left"/>
        <w:sectPr>
          <w:type w:val="continuous"/>
          <w:pgSz w:w="11910" w:h="16840"/>
          <w:pgMar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right="1133"/>
        <w:jc w:val="left"/>
        <w:rPr>
          <w:b w:val="0"/>
          <w:bCs w:val="0"/>
        </w:rPr>
      </w:pP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）营业成本构成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360" w:lineRule="auto" w:before="44"/>
        <w:ind w:right="-20"/>
        <w:jc w:val="left"/>
      </w:pPr>
      <w:r>
        <w:rPr/>
        <w:t>行业分类 行业分类</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73" w:space="8047"/>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6"/>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民生信息服务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228,485,352.99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190,000,068.32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20.26%</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民生信息服务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210,046,228.11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134,360,277.48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56.33%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融资服务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21,039,176.24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19,466,378.62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pStyle w:val="BodyText"/>
        <w:spacing w:line="357" w:lineRule="auto" w:before="51"/>
        <w:ind w:right="8533"/>
        <w:jc w:val="left"/>
      </w:pPr>
      <w:r>
        <w:rPr/>
        <w:t>说明 无</w:t>
      </w:r>
    </w:p>
    <w:p>
      <w:pPr>
        <w:pStyle w:val="BodyText"/>
        <w:spacing w:line="338" w:lineRule="auto" w:before="29"/>
        <w:ind w:right="-16"/>
        <w:jc w:val="left"/>
      </w:pPr>
      <w:r>
        <w:rPr/>
        <w:t>公司需遵守《深圳证券交易所行业信息披露指引第</w:t>
      </w:r>
      <w:r>
        <w:rPr>
          <w:spacing w:val="-46"/>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主营业务成本构成</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32" w:right="0"/>
        <w:jc w:val="left"/>
      </w:pPr>
      <w:r>
        <w:rPr/>
        <w:t>单位：元</w:t>
      </w:r>
    </w:p>
    <w:p>
      <w:pPr>
        <w:spacing w:after="0" w:line="240" w:lineRule="auto"/>
        <w:jc w:val="left"/>
        <w:sectPr>
          <w:type w:val="continuous"/>
          <w:pgSz w:w="11910" w:h="16840"/>
          <w:pgMar w:top="1060" w:bottom="1160" w:left="980" w:right="0"/>
          <w:cols w:num="2" w:equalWidth="0">
            <w:col w:w="9066" w:space="40"/>
            <w:col w:w="1824"/>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228,485,352.99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49.71%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190,000,068.32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20.26%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人工成本及其他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231,085,404.35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153,826,656.10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50.22%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pStyle w:val="BodyText"/>
        <w:spacing w:line="309" w:lineRule="auto" w:before="103"/>
        <w:ind w:right="113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1</w:t>
      </w:r>
      <w:r>
        <w:rPr>
          <w:spacing w:val="-2"/>
        </w:rPr>
        <w:t>、本报告期内新设子公司</w:t>
      </w:r>
      <w:r>
        <w:rPr>
          <w:rFonts w:ascii="Times New Roman" w:hAnsi="Times New Roman" w:cs="Times New Roman" w:eastAsia="Times New Roman" w:hint="default"/>
          <w:spacing w:val="-2"/>
        </w:rPr>
        <w:t>9</w:t>
      </w:r>
      <w:r>
        <w:rPr>
          <w:spacing w:val="-2"/>
        </w:rPr>
        <w:t>家，包括：陕西易联众金纳信息技术有限公司、湖南易联众鑫卫信息科技有限公司、山西易</w:t>
      </w:r>
      <w:r>
        <w:rPr/>
        <w:t> </w:t>
      </w:r>
      <w:r>
        <w:rPr>
          <w:spacing w:val="-2"/>
        </w:rPr>
        <w:t>联众惠民科技有限公司、安徽易联众科技发展有限公司、福州灵医科技有限公司、北京珩泰科技发展有限公司、吉林易联旭</w:t>
      </w:r>
      <w:r>
        <w:rPr>
          <w:spacing w:val="-65"/>
        </w:rPr>
        <w:t> </w:t>
      </w:r>
      <w:r>
        <w:rPr>
          <w:spacing w:val="-65"/>
        </w:rPr>
      </w:r>
      <w:r>
        <w:rPr/>
        <w:t>信息技术有限公司、山东易联众网络科技有限公司、河南易联众盈信息技术有限公司。</w:t>
      </w:r>
    </w:p>
    <w:p>
      <w:pPr>
        <w:pStyle w:val="BodyText"/>
        <w:spacing w:line="240" w:lineRule="auto" w:before="24"/>
        <w:ind w:left="513" w:right="0"/>
        <w:jc w:val="left"/>
      </w:pPr>
      <w:r>
        <w:rPr/>
        <w:t>由控股子公司民生科技于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日注册成立的控股孙公司北京易联众民生科技有限公司，注册资本</w:t>
      </w:r>
      <w:r>
        <w:rPr>
          <w:rFonts w:ascii="Times New Roman" w:hAnsi="Times New Roman" w:cs="Times New Roman" w:eastAsia="Times New Roman" w:hint="default"/>
        </w:rPr>
        <w:t>500</w:t>
      </w:r>
      <w:r>
        <w:rPr/>
        <w:t>万元。截止</w:t>
      </w:r>
    </w:p>
    <w:p>
      <w:pPr>
        <w:pStyle w:val="BodyText"/>
        <w:spacing w:line="300" w:lineRule="auto" w:before="63"/>
        <w:ind w:left="513" w:right="0" w:hanging="361"/>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日，民生科技尚未支付投资款，北京易联众民生科技有限公司也尚未开展生产经营活动。 </w:t>
      </w:r>
      <w:r>
        <w:rPr>
          <w:spacing w:val="-1"/>
        </w:rPr>
        <w:t>由本公司于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spacing w:val="-1"/>
        </w:rPr>
        <w:t>日注册成立的控股子公司吉林易联旭信息技术有限公司，注册资本</w:t>
      </w:r>
      <w:r>
        <w:rPr>
          <w:rFonts w:ascii="Times New Roman" w:hAnsi="Times New Roman" w:cs="Times New Roman" w:eastAsia="Times New Roman" w:hint="default"/>
          <w:spacing w:val="-1"/>
        </w:rPr>
        <w:t>2,000</w:t>
      </w:r>
      <w:r>
        <w:rPr>
          <w:spacing w:val="-1"/>
        </w:rPr>
        <w:t>万元，截止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p>
    <w:p>
      <w:pPr>
        <w:pStyle w:val="BodyText"/>
        <w:spacing w:line="300" w:lineRule="auto" w:before="13"/>
        <w:ind w:left="513" w:right="1123" w:hanging="361"/>
        <w:jc w:val="left"/>
        <w:rPr>
          <w:rFonts w:ascii="Times New Roman" w:hAnsi="Times New Roman" w:cs="Times New Roman" w:eastAsia="Times New Roman" w:hint="default"/>
        </w:rPr>
      </w:pPr>
      <w:r>
        <w:rPr>
          <w:rFonts w:ascii="Times New Roman" w:hAnsi="Times New Roman" w:cs="Times New Roman" w:eastAsia="Times New Roman" w:hint="default"/>
        </w:rPr>
        <w:t>31</w:t>
      </w:r>
      <w:r>
        <w:rPr/>
        <w:t>日，本公司尚未支付投资款，吉林易联旭信息技术有限公司也尚未开展生产经营活动。 由本公司于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日注册成立的控股子公司山东易联众网络科技有限公司，注册资本</w:t>
      </w:r>
      <w:r>
        <w:rPr>
          <w:rFonts w:ascii="Times New Roman" w:hAnsi="Times New Roman" w:cs="Times New Roman" w:eastAsia="Times New Roman" w:hint="default"/>
        </w:rPr>
        <w:t>500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319" w:lineRule="auto" w:before="13"/>
        <w:ind w:left="513" w:right="1133" w:hanging="361"/>
        <w:jc w:val="left"/>
      </w:pPr>
      <w:r>
        <w:rPr/>
        <w:t>日，本公司尚未支付投资款，山东易联众网络科技有限公司也尚未开展生产经营活动。 由本公司于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日注册成立的控股子公司河南易联众盈信息技术有限公司，注册资本</w:t>
      </w:r>
      <w:r>
        <w:rPr>
          <w:rFonts w:ascii="Times New Roman" w:hAnsi="Times New Roman" w:cs="Times New Roman" w:eastAsia="Times New Roman" w:hint="default"/>
        </w:rPr>
        <w:t>3,000</w:t>
      </w:r>
      <w:r>
        <w:rPr/>
        <w:t>万元，截止</w:t>
      </w:r>
      <w:r>
        <w:rPr>
          <w:rFonts w:ascii="Times New Roman" w:hAnsi="Times New Roman" w:cs="Times New Roman" w:eastAsia="Times New Roman" w:hint="default"/>
        </w:rPr>
        <w:t>2019</w:t>
      </w:r>
      <w:r>
        <w:rPr/>
        <w:t>年</w:t>
      </w:r>
    </w:p>
    <w:p>
      <w:pPr>
        <w:pStyle w:val="BodyText"/>
        <w:spacing w:line="300" w:lineRule="auto"/>
        <w:ind w:left="513" w:right="0" w:hanging="361"/>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日，本公司尚未支付投资款，河南易联众盈信息技术有限公司也尚未开展生产经营活动。 </w:t>
      </w:r>
      <w:r>
        <w:rPr>
          <w:spacing w:val="-2"/>
        </w:rPr>
        <w:t>由本公司于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日注册成立的控股子公司北京珩泰科技发展有限公司，注册资本</w:t>
      </w:r>
      <w:r>
        <w:rPr>
          <w:rFonts w:ascii="Times New Roman" w:hAnsi="Times New Roman" w:cs="Times New Roman" w:eastAsia="Times New Roman" w:hint="default"/>
          <w:spacing w:val="-2"/>
        </w:rPr>
        <w:t>300</w:t>
      </w:r>
      <w:r>
        <w:rPr>
          <w:spacing w:val="-2"/>
        </w:rPr>
        <w:t>万元，截止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p>
    <w:p>
      <w:pPr>
        <w:spacing w:after="0" w:line="300" w:lineRule="auto"/>
        <w:jc w:val="left"/>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本公司尚未支付投资款，北京珩泰科技发展有限公司也尚未开展生产经营活动。</w:t>
      </w:r>
    </w:p>
    <w:p>
      <w:pPr>
        <w:pStyle w:val="BodyText"/>
        <w:spacing w:line="240" w:lineRule="auto" w:before="76"/>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、处置子公司丧失控制权的有两家：湖州百路源投资管理有限公司、厦门易联众商业保理有限公司。</w:t>
      </w:r>
    </w:p>
    <w:p>
      <w:pPr>
        <w:pStyle w:val="BodyText"/>
        <w:spacing w:line="240" w:lineRule="auto" w:before="63"/>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日注销子公司福州市鼓楼区易思达系统集成有限公司。</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公司主要销售客户情况</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142,853,957.22</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15.06%</w:t>
            </w:r>
          </w:p>
        </w:tc>
      </w:tr>
      <w:tr>
        <w:trPr>
          <w:trHeight w:val="71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802"/>
        <w:gridCol w:w="3303"/>
        <w:gridCol w:w="2321"/>
        <w:gridCol w:w="3145"/>
      </w:tblGrid>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6"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中国建设银行股份有限公司福建省分行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37,825,471.69</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3.99%</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合肥市卫生和计划生育委员会</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31,737,696.97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3.35%</w:t>
            </w:r>
          </w:p>
        </w:tc>
      </w:tr>
      <w:tr>
        <w:trPr>
          <w:trHeight w:val="404"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中国农业银行股份有限公司三明分行</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29,419,700.54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3.10%</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厦门市社会保险中心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22,508,621.45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长乐市医院</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21,362,466.57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2.25%</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142,853,957.22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15.06%</w:t>
            </w:r>
          </w:p>
        </w:tc>
      </w:tr>
    </w:tbl>
    <w:p>
      <w:pPr>
        <w:pStyle w:val="BodyText"/>
        <w:spacing w:line="240" w:lineRule="auto" w:before="51"/>
        <w:ind w:right="1133"/>
        <w:jc w:val="left"/>
      </w:pPr>
      <w:r>
        <w:rPr/>
        <w:t>主要客户其他情况说明</w:t>
      </w:r>
    </w:p>
    <w:p>
      <w:pPr>
        <w:pStyle w:val="BodyText"/>
        <w:spacing w:line="338"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公司主要供应商情况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82,391,588.21</w:t>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20.07%</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4"/>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1133"/>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936"/>
        <w:gridCol w:w="3169"/>
        <w:gridCol w:w="2321"/>
        <w:gridCol w:w="3145"/>
      </w:tblGrid>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3"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北京中电华大电子设计有限责任公司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34,345,228.06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8.37%</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福州中海信息技术有限公司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13,083,580.52</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3.19%</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福建七次方信息科技有限公司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12,831,858.41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3.13%</w:t>
            </w:r>
          </w:p>
        </w:tc>
      </w:tr>
      <w:tr>
        <w:trPr>
          <w:trHeight w:val="404"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深圳毅能达金融信息股份有限公司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12,716,634.51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3.10%</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福州守望者信息技术有限公司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9,414,286.71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2.29%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1"/>
        <w:gridCol w:w="3145"/>
      </w:tblGrid>
      <w:tr>
        <w:trPr>
          <w:trHeight w:val="404" w:hRule="exact"/>
        </w:trPr>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255" w:right="0"/>
              <w:jc w:val="left"/>
              <w:rPr>
                <w:rFonts w:ascii="Times New Roman" w:hAnsi="Times New Roman" w:cs="Times New Roman" w:eastAsia="Times New Roman" w:hint="default"/>
                <w:sz w:val="18"/>
                <w:szCs w:val="18"/>
              </w:rPr>
            </w:pPr>
            <w:r>
              <w:rPr>
                <w:rFonts w:ascii="Times New Roman"/>
                <w:sz w:val="18"/>
              </w:rPr>
              <w:t>82,391,588.21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20.07%</w:t>
            </w:r>
          </w:p>
        </w:tc>
      </w:tr>
    </w:tbl>
    <w:p>
      <w:pPr>
        <w:pStyle w:val="BodyText"/>
        <w:spacing w:line="240" w:lineRule="auto" w:before="51"/>
        <w:ind w:right="1133"/>
        <w:jc w:val="left"/>
      </w:pPr>
      <w:r>
        <w:rPr/>
        <w:t>主要供应商其他情况说明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16"/>
        <w:gridCol w:w="1637"/>
        <w:gridCol w:w="1637"/>
        <w:gridCol w:w="1462"/>
        <w:gridCol w:w="2919"/>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14"/>
              <w:jc w:val="righ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81,376,931.36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70,925,094.80</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14.74%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主要是职工薪酬及交通差旅费增长 所致</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171,488,258.18</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9" w:right="0"/>
              <w:jc w:val="left"/>
              <w:rPr>
                <w:rFonts w:ascii="Times New Roman" w:hAnsi="Times New Roman" w:cs="Times New Roman" w:eastAsia="Times New Roman" w:hint="default"/>
                <w:sz w:val="18"/>
                <w:szCs w:val="18"/>
              </w:rPr>
            </w:pPr>
            <w:r>
              <w:rPr>
                <w:rFonts w:ascii="Times New Roman"/>
                <w:sz w:val="18"/>
              </w:rPr>
              <w:t>138,831,188.62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3"/>
              <w:jc w:val="right"/>
              <w:rPr>
                <w:rFonts w:ascii="宋体" w:hAnsi="宋体" w:cs="宋体" w:eastAsia="宋体" w:hint="default"/>
                <w:sz w:val="18"/>
                <w:szCs w:val="18"/>
              </w:rPr>
            </w:pPr>
            <w:r>
              <w:rPr>
                <w:rFonts w:ascii="宋体" w:hAnsi="宋体" w:cs="宋体" w:eastAsia="宋体" w:hint="default"/>
                <w:sz w:val="18"/>
                <w:szCs w:val="18"/>
              </w:rPr>
              <w:t>主要是职工薪酬增加所致</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15,184,383.50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1" w:right="0"/>
              <w:jc w:val="left"/>
              <w:rPr>
                <w:rFonts w:ascii="Times New Roman" w:hAnsi="Times New Roman" w:cs="Times New Roman" w:eastAsia="Times New Roman" w:hint="default"/>
                <w:sz w:val="18"/>
                <w:szCs w:val="18"/>
              </w:rPr>
            </w:pPr>
            <w:r>
              <w:rPr>
                <w:rFonts w:ascii="Times New Roman"/>
                <w:sz w:val="18"/>
              </w:rPr>
              <w:t>18,162,681.55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-16.40%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03"/>
              <w:jc w:val="right"/>
              <w:rPr>
                <w:rFonts w:ascii="宋体" w:hAnsi="宋体" w:cs="宋体" w:eastAsia="宋体" w:hint="default"/>
                <w:sz w:val="18"/>
                <w:szCs w:val="18"/>
              </w:rPr>
            </w:pPr>
            <w:r>
              <w:rPr>
                <w:rFonts w:ascii="宋体" w:hAnsi="宋体" w:cs="宋体" w:eastAsia="宋体" w:hint="default"/>
                <w:sz w:val="18"/>
                <w:szCs w:val="18"/>
              </w:rPr>
              <w:t>主要是利息费用减少所致</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137,592,625.26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9" w:right="0"/>
              <w:jc w:val="left"/>
              <w:rPr>
                <w:rFonts w:ascii="Times New Roman" w:hAnsi="Times New Roman" w:cs="Times New Roman" w:eastAsia="Times New Roman" w:hint="default"/>
                <w:sz w:val="18"/>
                <w:szCs w:val="18"/>
              </w:rPr>
            </w:pPr>
            <w:r>
              <w:rPr>
                <w:rFonts w:ascii="Times New Roman"/>
                <w:sz w:val="18"/>
              </w:rPr>
              <w:t>105,432,970.39</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30.50%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83"/>
              <w:jc w:val="left"/>
              <w:rPr>
                <w:rFonts w:ascii="宋体" w:hAnsi="宋体" w:cs="宋体" w:eastAsia="宋体" w:hint="default"/>
                <w:sz w:val="18"/>
                <w:szCs w:val="18"/>
              </w:rPr>
            </w:pPr>
            <w:r>
              <w:rPr>
                <w:rFonts w:ascii="宋体" w:hAnsi="宋体" w:cs="宋体" w:eastAsia="宋体" w:hint="default"/>
                <w:sz w:val="18"/>
                <w:szCs w:val="18"/>
              </w:rPr>
              <w:t>主要是研发人员的人工成本增加所 致</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17"/>
        <w:jc w:val="left"/>
      </w:pPr>
      <w:r>
        <w:rPr>
          <w:rFonts w:ascii="宋体" w:hAnsi="宋体" w:cs="宋体" w:eastAsia="宋体" w:hint="default"/>
          <w:spacing w:val="90"/>
        </w:rPr>
        <w:t> </w:t>
      </w:r>
      <w:r>
        <w:rPr>
          <w:rFonts w:ascii="宋体" w:hAnsi="宋体" w:cs="宋体" w:eastAsia="宋体" w:hint="default"/>
        </w:rPr>
        <w:t>  </w:t>
      </w:r>
      <w:r>
        <w:rPr/>
        <w:t>报告期内，公司的研发项目易联众医卫公共卫生管理信息系统</w:t>
      </w:r>
      <w:r>
        <w:rPr>
          <w:rFonts w:ascii="Times New Roman" w:hAnsi="Times New Roman" w:cs="Times New Roman" w:eastAsia="Times New Roman" w:hint="default"/>
        </w:rPr>
        <w:t>V3.0</w:t>
      </w:r>
      <w:r>
        <w:rPr/>
        <w:t>、家</w:t>
      </w:r>
      <w:r>
        <w:rPr>
          <w:rFonts w:ascii="Times New Roman" w:hAnsi="Times New Roman" w:cs="Times New Roman" w:eastAsia="Times New Roman" w:hint="default"/>
        </w:rPr>
        <w:t>+</w:t>
      </w:r>
      <w:r>
        <w:rPr/>
        <w:t>社保二期、电子处方共享平台、易联众运营决 </w:t>
      </w:r>
      <w:r>
        <w:rPr>
          <w:spacing w:val="-2"/>
        </w:rPr>
        <w:t>策分析平台</w:t>
      </w:r>
      <w:r>
        <w:rPr>
          <w:rFonts w:ascii="Times New Roman" w:hAnsi="Times New Roman" w:cs="Times New Roman" w:eastAsia="Times New Roman" w:hint="default"/>
          <w:spacing w:val="-2"/>
        </w:rPr>
        <w:t>V2.0</w:t>
      </w:r>
      <w:r>
        <w:rPr>
          <w:spacing w:val="-2"/>
        </w:rPr>
        <w:t>、医养软件平台</w:t>
      </w:r>
      <w:r>
        <w:rPr>
          <w:rFonts w:ascii="Times New Roman" w:hAnsi="Times New Roman" w:cs="Times New Roman" w:eastAsia="Times New Roman" w:hint="default"/>
          <w:spacing w:val="-2"/>
        </w:rPr>
        <w:t>V2.0</w:t>
      </w:r>
      <w:r>
        <w:rPr>
          <w:spacing w:val="-2"/>
        </w:rPr>
        <w:t>、就业形势动态监测平台</w:t>
      </w:r>
      <w:r>
        <w:rPr>
          <w:rFonts w:ascii="Times New Roman" w:hAnsi="Times New Roman" w:cs="Times New Roman" w:eastAsia="Times New Roman" w:hint="default"/>
          <w:spacing w:val="-2"/>
        </w:rPr>
        <w:t>V1.0</w:t>
      </w:r>
      <w:r>
        <w:rPr>
          <w:spacing w:val="-2"/>
        </w:rPr>
        <w:t>、集团邮件系统、</w:t>
      </w:r>
      <w:r>
        <w:rPr>
          <w:rFonts w:ascii="Times New Roman" w:hAnsi="Times New Roman" w:cs="Times New Roman" w:eastAsia="Times New Roman" w:hint="default"/>
          <w:spacing w:val="-2"/>
        </w:rPr>
        <w:t>BPM</w:t>
      </w:r>
      <w:r>
        <w:rPr>
          <w:spacing w:val="-2"/>
        </w:rPr>
        <w:t>费控系统均已完成验收结项，转入</w:t>
      </w:r>
      <w:r>
        <w:rPr>
          <w:spacing w:val="-63"/>
        </w:rPr>
        <w:t> </w:t>
      </w:r>
      <w:r>
        <w:rPr>
          <w:spacing w:val="-63"/>
        </w:rPr>
      </w:r>
      <w:r>
        <w:rPr/>
        <w:t>无形资产。同时公司继续加大对新医疗保障信息系统</w:t>
      </w:r>
      <w:r>
        <w:rPr>
          <w:rFonts w:ascii="Times New Roman" w:hAnsi="Times New Roman" w:cs="Times New Roman" w:eastAsia="Times New Roman" w:hint="default"/>
        </w:rPr>
        <w:t>V1.0</w:t>
      </w:r>
      <w:r>
        <w:rPr/>
        <w:t>、医疗保障公共服务平台、厦门市医疗保险目录与价格管理系统 </w:t>
      </w:r>
      <w:r>
        <w:rPr>
          <w:rFonts w:ascii="Times New Roman" w:hAnsi="Times New Roman" w:cs="Times New Roman" w:eastAsia="Times New Roman" w:hint="default"/>
          <w:spacing w:val="-1"/>
        </w:rPr>
        <w:t>V1.0</w:t>
      </w:r>
      <w:r>
        <w:rPr>
          <w:spacing w:val="-1"/>
        </w:rPr>
        <w:t>、易联众支付服务开放平台</w:t>
      </w:r>
      <w:r>
        <w:rPr>
          <w:rFonts w:ascii="Times New Roman" w:hAnsi="Times New Roman" w:cs="Times New Roman" w:eastAsia="Times New Roman" w:hint="default"/>
          <w:spacing w:val="-1"/>
        </w:rPr>
        <w:t>V1.0</w:t>
      </w:r>
      <w:r>
        <w:rPr>
          <w:spacing w:val="-1"/>
        </w:rPr>
        <w:t>、</w:t>
      </w:r>
      <w:r>
        <w:rPr>
          <w:rFonts w:ascii="Times New Roman" w:hAnsi="Times New Roman" w:cs="Times New Roman" w:eastAsia="Times New Roman" w:hint="default"/>
          <w:spacing w:val="-1"/>
        </w:rPr>
        <w:t>“</w:t>
      </w:r>
      <w:r>
        <w:rPr>
          <w:spacing w:val="-1"/>
        </w:rPr>
        <w:t>三保合一</w:t>
      </w:r>
      <w:r>
        <w:rPr>
          <w:rFonts w:ascii="Times New Roman" w:hAnsi="Times New Roman" w:cs="Times New Roman" w:eastAsia="Times New Roman" w:hint="default"/>
          <w:spacing w:val="-1"/>
        </w:rPr>
        <w:t>”</w:t>
      </w:r>
      <w:r>
        <w:rPr>
          <w:spacing w:val="-1"/>
        </w:rPr>
        <w:t>医保管理平台、社会保险信息管理平台的研发投入，以确保公司在行业内</w:t>
      </w:r>
      <w:r>
        <w:rPr>
          <w:spacing w:val="-87"/>
        </w:rPr>
        <w:t> </w:t>
      </w:r>
      <w:r>
        <w:rPr>
          <w:spacing w:val="-87"/>
        </w:rPr>
      </w:r>
      <w:r>
        <w:rPr>
          <w:spacing w:val="-1"/>
        </w:rPr>
        <w:t>的技术领先地位。</w:t>
      </w:r>
      <w:r>
        <w:rPr>
          <w:rFonts w:ascii="Times New Roman" w:hAnsi="Times New Roman" w:cs="Times New Roman" w:eastAsia="Times New Roman" w:hint="default"/>
          <w:spacing w:val="-1"/>
        </w:rPr>
        <w:t>2019</w:t>
      </w:r>
      <w:r>
        <w:rPr>
          <w:spacing w:val="-1"/>
        </w:rPr>
        <w:t>年，研发投入金额</w:t>
      </w:r>
      <w:r>
        <w:rPr>
          <w:rFonts w:ascii="Times New Roman" w:hAnsi="Times New Roman" w:cs="Times New Roman" w:eastAsia="Times New Roman" w:hint="default"/>
          <w:spacing w:val="-1"/>
        </w:rPr>
        <w:t>17,458.13</w:t>
      </w:r>
      <w:r>
        <w:rPr>
          <w:spacing w:val="-1"/>
        </w:rPr>
        <w:t>万元，占营业收入的</w:t>
      </w:r>
      <w:r>
        <w:rPr>
          <w:rFonts w:ascii="Times New Roman" w:hAnsi="Times New Roman" w:cs="Times New Roman" w:eastAsia="Times New Roman" w:hint="default"/>
          <w:spacing w:val="-1"/>
        </w:rPr>
        <w:t>18.40%</w:t>
      </w:r>
      <w:r>
        <w:rPr>
          <w:spacing w:val="-1"/>
        </w:rPr>
        <w:t>，其中资本化金额</w:t>
      </w:r>
      <w:r>
        <w:rPr>
          <w:rFonts w:ascii="Times New Roman" w:hAnsi="Times New Roman" w:cs="Times New Roman" w:eastAsia="Times New Roman" w:hint="default"/>
          <w:spacing w:val="-1"/>
        </w:rPr>
        <w:t>3,698.86</w:t>
      </w:r>
      <w:r>
        <w:rPr>
          <w:spacing w:val="-1"/>
        </w:rPr>
        <w:t>万元，占研发投入</w:t>
      </w:r>
      <w:r>
        <w:rPr>
          <w:spacing w:val="-40"/>
        </w:rPr>
        <w:t> </w:t>
      </w:r>
      <w:r>
        <w:rPr>
          <w:spacing w:val="-40"/>
        </w:rPr>
      </w:r>
      <w:r>
        <w:rPr/>
        <w:t>的</w:t>
      </w:r>
      <w:r>
        <w:rPr>
          <w:rFonts w:ascii="Times New Roman" w:hAnsi="Times New Roman" w:cs="Times New Roman" w:eastAsia="Times New Roman" w:hint="default"/>
        </w:rPr>
        <w:t>21.19%</w:t>
      </w:r>
      <w:r>
        <w:rPr/>
        <w:t>。</w:t>
      </w:r>
    </w:p>
    <w:p>
      <w:pPr>
        <w:pStyle w:val="BodyText"/>
        <w:spacing w:line="240" w:lineRule="auto" w:before="53"/>
        <w:ind w:right="1133"/>
        <w:jc w:val="left"/>
      </w:pPr>
      <w:r>
        <w:rPr/>
        <w:t>近三年公司研发投入金额及占营业收入的比例</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1,049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2"/>
                <w:sz w:val="18"/>
              </w:rPr>
              <w:t>49.11%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53.26%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50.55%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174,581,269.54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118,360,835.88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106,626,903.16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17.05%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36,988,644.28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12,927,865.49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11,648,378.75</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资本化研发支出占研发投入 的比例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10.92%</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资本化研发支出占当期净利 润的比重</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65.39%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42.80%</w:t>
            </w:r>
          </w:p>
        </w:tc>
      </w:tr>
    </w:tbl>
    <w:p>
      <w:pPr>
        <w:pStyle w:val="BodyText"/>
        <w:spacing w:line="240" w:lineRule="auto" w:before="51"/>
        <w:ind w:right="1133"/>
        <w:jc w:val="left"/>
      </w:pPr>
      <w:r>
        <w:rPr/>
        <w:t>研发投入总额占营业收入的比重较上年发生显著变化的原因</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研发投入资本化率大幅变动的原因及其合理性说明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实施进度</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易联众睿图区域医技检查预 约管理软件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1,108,657.04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易联众医疗保险智能监察风 控平台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849,634.08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易联众医卫公共卫生管理信 息系统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1,316,333.47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r>
              <w:rPr>
                <w:rFonts w:ascii="宋体" w:hAnsi="宋体" w:cs="宋体" w:eastAsia="宋体" w:hint="default"/>
                <w:sz w:val="18"/>
                <w:szCs w:val="18"/>
              </w:rPr>
              <w:t> 期末项目已结项转入无形资 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就业形势动态监测平台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1,882,665.32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r>
              <w:rPr>
                <w:rFonts w:ascii="宋体" w:hAnsi="宋体" w:cs="宋体" w:eastAsia="宋体" w:hint="default"/>
                <w:sz w:val="18"/>
                <w:szCs w:val="18"/>
              </w:rPr>
              <w:t> 期末项目已结项转入无形资 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家加社保二期项目</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r>
              <w:rPr>
                <w:rFonts w:ascii="宋体" w:hAnsi="宋体" w:cs="宋体" w:eastAsia="宋体" w:hint="default"/>
                <w:sz w:val="18"/>
                <w:szCs w:val="18"/>
              </w:rPr>
              <w:t> 期末项目已结项转入无形资 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1028"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医疗电子处方共享平台项目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2,713,764.91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r>
              <w:rPr>
                <w:rFonts w:ascii="宋体" w:hAnsi="宋体" w:cs="宋体" w:eastAsia="宋体" w:hint="default"/>
                <w:sz w:val="18"/>
                <w:szCs w:val="18"/>
              </w:rPr>
              <w:t> 期末项目已结项转入无形资 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医保药店监督管理平台研发 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630,432.20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w:t>
            </w:r>
          </w:p>
        </w:tc>
      </w:tr>
      <w:tr>
        <w:trPr>
          <w:trHeight w:val="1027"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易联众运营决策分析平台</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1,118,732.41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r>
              <w:rPr>
                <w:rFonts w:ascii="宋体" w:hAnsi="宋体" w:cs="宋体" w:eastAsia="宋体" w:hint="default"/>
                <w:sz w:val="18"/>
                <w:szCs w:val="18"/>
              </w:rPr>
              <w:t> 期末项目已结项转入无形资 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易联众长青华养汇康养服务 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118,512.15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易联众长青医养软件平台</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V3.0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144,618.43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易联众长青医养软件平台</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V2.0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375,593.16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3" w:right="6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月开始资本化，截 止期末项目已结项转入无形 资产</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易联众睿图电子胶片管理软 件</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1,468,937.03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95.00%</w:t>
            </w:r>
          </w:p>
        </w:tc>
      </w:tr>
      <w:tr>
        <w:trPr>
          <w:trHeight w:val="102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89"/>
              <w:jc w:val="left"/>
              <w:rPr>
                <w:rFonts w:ascii="宋体" w:hAnsi="宋体" w:cs="宋体" w:eastAsia="宋体" w:hint="default"/>
                <w:sz w:val="18"/>
                <w:szCs w:val="18"/>
              </w:rPr>
            </w:pPr>
            <w:r>
              <w:rPr>
                <w:rFonts w:ascii="宋体" w:hAnsi="宋体" w:cs="宋体" w:eastAsia="宋体" w:hint="default"/>
                <w:sz w:val="18"/>
                <w:szCs w:val="18"/>
              </w:rPr>
              <w:t>福建省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C-DRG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疾病分组省级 平台及医保结算支付系统和 稽核改造项目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1,840,087.09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三保合一</w:t>
            </w:r>
            <w:r>
              <w:rPr>
                <w:rFonts w:ascii="Times New Roman" w:hAnsi="Times New Roman" w:cs="Times New Roman" w:eastAsia="Times New Roman" w:hint="default"/>
                <w:sz w:val="18"/>
                <w:szCs w:val="18"/>
              </w:rPr>
              <w:t>”</w:t>
            </w:r>
            <w:r>
              <w:rPr>
                <w:rFonts w:ascii="宋体" w:hAnsi="宋体" w:cs="宋体" w:eastAsia="宋体" w:hint="default"/>
                <w:sz w:val="18"/>
                <w:szCs w:val="18"/>
              </w:rPr>
              <w:t>信息管理平台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1,477,053.85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社会保险信息管理平台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1,768,646.10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易联众医卫新版慢病管理平 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3,465,156.45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易联众支付服务开放平台</w:t>
            </w:r>
          </w:p>
          <w:p>
            <w:pPr>
              <w:pStyle w:val="TableParagraph"/>
              <w:spacing w:line="240" w:lineRule="auto" w:before="118"/>
              <w:ind w:left="24" w:right="0"/>
              <w:jc w:val="left"/>
              <w:rPr>
                <w:rFonts w:ascii="Times New Roman" w:hAnsi="Times New Roman" w:cs="Times New Roman" w:eastAsia="Times New Roman" w:hint="default"/>
                <w:sz w:val="18"/>
                <w:szCs w:val="18"/>
              </w:rPr>
            </w:pPr>
            <w:r>
              <w:rPr>
                <w:rFonts w:ascii="Times New Roman"/>
                <w:sz w:val="18"/>
              </w:rPr>
              <w:t>V1.0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1,650,928.43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医疗保障公共服务平台</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4,000,494.37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人工智能语音识别应用服务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1,228,301.90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月开始资本化，截</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止期末项目进度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97"/>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厦门市医疗保险目录与价格 管理系统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2,240,147.35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新医疗保障信息系统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7,589,948.54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月开始资本化，截止</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期末项目进度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、现金流</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1,084,155,766.32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885,592,641.11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1,020,661,568.40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828,818,275.02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23.15%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63,494,197.92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56,774,366.09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11.84%</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171,535,334.88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2,804,034.37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6,017.45%</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87,170,197.64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23,842,894.88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265.60%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84,365,137.24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-21,038,860.51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-501.00%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298,540,400.00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406,514,250.00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-26.56%</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327,801,361.42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522,110,210.69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-37.22%</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-29,260,961.42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-115,595,960.69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-74.69%</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118,598,373.74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-79,860,455.11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-248.51%</w:t>
            </w:r>
          </w:p>
        </w:tc>
      </w:tr>
    </w:tbl>
    <w:p>
      <w:pPr>
        <w:pStyle w:val="BodyText"/>
        <w:spacing w:line="240" w:lineRule="auto" w:before="51"/>
        <w:ind w:right="1133"/>
        <w:jc w:val="left"/>
      </w:pPr>
      <w:r>
        <w:rPr/>
        <w:t>相关数据同比发生重大变动的主要影响因素说明</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1109"/>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、经营活动产生的现金流量净额：本年度公司经营活动现金流入较上年同期增长</w:t>
      </w:r>
      <w:r>
        <w:rPr>
          <w:rFonts w:ascii="Times New Roman" w:hAnsi="Times New Roman" w:cs="Times New Roman" w:eastAsia="Times New Roman" w:hint="default"/>
        </w:rPr>
        <w:t>22.42%</w:t>
      </w:r>
      <w:r>
        <w:rPr/>
        <w:t>，主要是营业收入的增长及公 司加强对应收账款的回收管理所致。</w:t>
      </w:r>
    </w:p>
    <w:p>
      <w:pPr>
        <w:pStyle w:val="BodyText"/>
        <w:spacing w:line="300" w:lineRule="auto" w:before="31"/>
        <w:ind w:right="1133"/>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1"/>
        </w:rPr>
        <w:t>2</w:t>
      </w:r>
      <w:r>
        <w:rPr>
          <w:spacing w:val="-1"/>
        </w:rPr>
        <w:t>、投资活动产生的现金流量净额：本年度公司投资活动现金流入较上年同期增长</w:t>
      </w:r>
      <w:r>
        <w:rPr>
          <w:rFonts w:ascii="Times New Roman" w:hAnsi="Times New Roman" w:cs="Times New Roman" w:eastAsia="Times New Roman" w:hint="default"/>
          <w:spacing w:val="-1"/>
        </w:rPr>
        <w:t>6017.45%</w:t>
      </w:r>
      <w:r>
        <w:rPr>
          <w:spacing w:val="-1"/>
        </w:rPr>
        <w:t>，主要是上年度收回投资及</w:t>
      </w:r>
      <w:r>
        <w:rPr/>
        <w:t> 处置子公司收到的现金数额较大所致；本年度公司投资活动现金流出较上年同期增长</w:t>
      </w:r>
      <w:r>
        <w:rPr>
          <w:rFonts w:ascii="Times New Roman" w:hAnsi="Times New Roman" w:cs="Times New Roman" w:eastAsia="Times New Roman" w:hint="default"/>
        </w:rPr>
        <w:t>265.6%</w:t>
      </w:r>
      <w:r>
        <w:rPr/>
        <w:t>，主要是是本年度增加对联营 企业的股权投资与增加研发支出所致。</w:t>
      </w:r>
    </w:p>
    <w:p>
      <w:pPr>
        <w:pStyle w:val="BodyText"/>
        <w:spacing w:line="240" w:lineRule="auto" w:before="31"/>
        <w:ind w:right="0"/>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、筹资活动产生的现金流量净额：本年度公司筹资活动现金流入较上年同期减少</w:t>
      </w:r>
      <w:r>
        <w:rPr>
          <w:rFonts w:ascii="Times New Roman" w:hAnsi="Times New Roman" w:cs="Times New Roman" w:eastAsia="Times New Roman" w:hint="default"/>
        </w:rPr>
        <w:t>26.56%</w:t>
      </w:r>
      <w:r>
        <w:rPr/>
        <w:t>，主要是本年度借款减少所致；</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40" w:lineRule="auto" w:before="44"/>
        <w:ind w:right="4259"/>
        <w:jc w:val="left"/>
      </w:pPr>
      <w:r>
        <w:rPr/>
        <w:t>本年度公司筹资活动现金流出较上年同期减少</w:t>
      </w:r>
      <w:r>
        <w:rPr>
          <w:rFonts w:ascii="Times New Roman" w:hAnsi="Times New Roman" w:cs="Times New Roman" w:eastAsia="Times New Roman" w:hint="default"/>
        </w:rPr>
        <w:t>37.22%</w:t>
      </w:r>
      <w:r>
        <w:rPr/>
        <w:t>，主要是偿债支出减少所致。 报告期内公司经营活动产生的现金净流量与本年度净利润存在重大差异的原因说明</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三、非主营业务情况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24"/>
        <w:gridCol w:w="1916"/>
        <w:gridCol w:w="1622"/>
        <w:gridCol w:w="2168"/>
        <w:gridCol w:w="2341"/>
      </w:tblGrid>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7"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7"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-3,583,120.87</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-6.15%</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权益法核算的长期股权投 资形成的收益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622" w:type="dxa"/>
            <w:tcBorders>
              <w:top w:val="single" w:sz="4" w:space="0" w:color="000000"/>
              <w:left w:val="single" w:sz="4" w:space="0" w:color="000000"/>
              <w:bottom w:val="single" w:sz="4" w:space="0" w:color="000000"/>
              <w:right w:val="single" w:sz="4" w:space="0" w:color="000000"/>
            </w:tcBorders>
          </w:tcPr>
          <w:p>
            <w:pPr/>
          </w:p>
        </w:tc>
        <w:tc>
          <w:tcPr>
            <w:tcW w:w="2168" w:type="dxa"/>
            <w:tcBorders>
              <w:top w:val="single" w:sz="4" w:space="0" w:color="000000"/>
              <w:left w:val="single" w:sz="4" w:space="0" w:color="000000"/>
              <w:bottom w:val="single" w:sz="4" w:space="0" w:color="000000"/>
              <w:right w:val="single" w:sz="4" w:space="0" w:color="000000"/>
            </w:tcBorders>
          </w:tcPr>
          <w:p>
            <w:pPr/>
          </w:p>
        </w:tc>
        <w:tc>
          <w:tcPr>
            <w:tcW w:w="234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-9,391,044.40</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-16.11%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计提存货跌价准备、长期股</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权投资减值准备与商誉减 值准备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334,361.02</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0.57%</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主要是无需支付的应付款 项</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381,963.03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3"/>
              <w:jc w:val="left"/>
              <w:rPr>
                <w:rFonts w:ascii="宋体" w:hAnsi="宋体" w:cs="宋体" w:eastAsia="宋体" w:hint="default"/>
                <w:sz w:val="18"/>
                <w:szCs w:val="18"/>
              </w:rPr>
            </w:pPr>
            <w:r>
              <w:rPr>
                <w:rFonts w:ascii="宋体" w:hAnsi="宋体" w:cs="宋体" w:eastAsia="宋体" w:hint="default"/>
                <w:sz w:val="18"/>
                <w:szCs w:val="18"/>
              </w:rPr>
              <w:t>主要是非流动资产报废损 失</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-42,572,067.31</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-73.04%</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pacing w:val="-5"/>
                <w:sz w:val="18"/>
                <w:szCs w:val="18"/>
              </w:rPr>
              <w:t>计提应收账款、其他应收款</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与应收利息的坏账准备</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40,861,185.13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70.11%</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软件退税、政府补助等</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资产处置收益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56,116.88</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0.10%</w:t>
            </w:r>
          </w:p>
        </w:tc>
        <w:tc>
          <w:tcPr>
            <w:tcW w:w="21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1"/>
              <w:jc w:val="left"/>
              <w:rPr>
                <w:rFonts w:ascii="宋体" w:hAnsi="宋体" w:cs="宋体" w:eastAsia="宋体" w:hint="default"/>
                <w:sz w:val="18"/>
                <w:szCs w:val="18"/>
              </w:rPr>
            </w:pPr>
            <w:r>
              <w:rPr>
                <w:rFonts w:ascii="宋体" w:hAnsi="宋体" w:cs="宋体" w:eastAsia="宋体" w:hint="default"/>
                <w:sz w:val="18"/>
                <w:szCs w:val="18"/>
              </w:rPr>
              <w:t>出售闲置固定资产产生的 收益</w:t>
            </w:r>
          </w:p>
        </w:tc>
        <w:tc>
          <w:tcPr>
            <w:tcW w:w="23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四、资产及负债状况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、资产构成重大变动情况</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8525" w:space="395"/>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382"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91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71" w:hRule="exact"/>
        </w:trPr>
        <w:tc>
          <w:tcPr>
            <w:tcW w:w="1368" w:type="dxa"/>
            <w:vMerge/>
            <w:tcBorders>
              <w:left w:val="single" w:sz="4" w:space="0" w:color="000000"/>
              <w:right w:val="single" w:sz="4" w:space="0" w:color="000000"/>
            </w:tcBorders>
            <w:shd w:val="clear" w:color="auto" w:fill="D2D2D2"/>
          </w:tcPr>
          <w:p>
            <w:pP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437" w:right="74"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2"/>
              <w:ind w:left="437" w:right="75" w:hanging="361"/>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797" w:type="dxa"/>
            <w:vMerge/>
            <w:tcBorders>
              <w:left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31"/>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6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291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460,893,072.8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26.74%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343,503,676.38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18.10%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8.64%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3" w:right="20"/>
              <w:jc w:val="left"/>
              <w:rPr>
                <w:rFonts w:ascii="宋体" w:hAnsi="宋体" w:cs="宋体" w:eastAsia="宋体" w:hint="default"/>
                <w:sz w:val="18"/>
                <w:szCs w:val="18"/>
              </w:rPr>
            </w:pPr>
            <w:r>
              <w:rPr>
                <w:rFonts w:ascii="宋体" w:hAnsi="宋体" w:cs="宋体" w:eastAsia="宋体" w:hint="default"/>
                <w:sz w:val="18"/>
                <w:szCs w:val="18"/>
              </w:rPr>
              <w:t>货币资金年末数较年初数增加 </w:t>
            </w:r>
            <w:r>
              <w:rPr>
                <w:rFonts w:ascii="Times New Roman" w:hAnsi="Times New Roman" w:cs="Times New Roman" w:eastAsia="Times New Roman" w:hint="default"/>
                <w:spacing w:val="-2"/>
                <w:sz w:val="18"/>
                <w:szCs w:val="18"/>
              </w:rPr>
              <w:t>34.17%</w:t>
            </w:r>
            <w:r>
              <w:rPr>
                <w:rFonts w:ascii="宋体" w:hAnsi="宋体" w:cs="宋体" w:eastAsia="宋体" w:hint="default"/>
                <w:spacing w:val="-2"/>
                <w:sz w:val="18"/>
                <w:szCs w:val="18"/>
              </w:rPr>
              <w:t>，主要系本公司经营活动产生</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以及本期处置商业保理公司收到股 权转让款所致。</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98" w:right="0"/>
              <w:jc w:val="left"/>
              <w:rPr>
                <w:rFonts w:ascii="Times New Roman" w:hAnsi="Times New Roman" w:cs="Times New Roman" w:eastAsia="Times New Roman" w:hint="default"/>
                <w:sz w:val="18"/>
                <w:szCs w:val="18"/>
              </w:rPr>
            </w:pPr>
            <w:r>
              <w:rPr>
                <w:rFonts w:ascii="Times New Roman"/>
                <w:sz w:val="18"/>
              </w:rPr>
              <w:t>514,907,457.4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29.87%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717,628,253.82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37.82%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-7.95%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应收账款年末数较年初数减少</w:t>
            </w:r>
          </w:p>
        </w:tc>
      </w:tr>
    </w:tbl>
    <w:p>
      <w:pPr>
        <w:spacing w:after="0" w:line="240" w:lineRule="auto"/>
        <w:jc w:val="left"/>
        <w:rPr>
          <w:rFonts w:ascii="宋体" w:hAnsi="宋体" w:cs="宋体" w:eastAsia="宋体"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164"/>
        <w:gridCol w:w="1064"/>
        <w:gridCol w:w="1195"/>
        <w:gridCol w:w="1064"/>
        <w:gridCol w:w="797"/>
        <w:gridCol w:w="2919"/>
      </w:tblGrid>
      <w:tr>
        <w:trPr>
          <w:trHeight w:val="67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20"/>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28.25%</w:t>
            </w:r>
            <w:r>
              <w:rPr>
                <w:rFonts w:ascii="宋体" w:hAnsi="宋体" w:cs="宋体" w:eastAsia="宋体" w:hint="default"/>
                <w:spacing w:val="-2"/>
                <w:sz w:val="18"/>
                <w:szCs w:val="18"/>
              </w:rPr>
              <w:t>，主要系本期处置子公司商业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保理公司所致。</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111,113,636.04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106,481,939.02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5.61%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0.84%</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384,385,995.3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22.30%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380,972,704.91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67,993,331.45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3.94%</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72,949,527.30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3.84%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18"/>
              <w:jc w:val="both"/>
              <w:rPr>
                <w:rFonts w:ascii="宋体" w:hAnsi="宋体" w:cs="宋体" w:eastAsia="宋体" w:hint="default"/>
                <w:sz w:val="18"/>
                <w:szCs w:val="18"/>
              </w:rPr>
            </w:pPr>
            <w:r>
              <w:rPr>
                <w:rFonts w:ascii="宋体" w:hAnsi="宋体" w:cs="宋体" w:eastAsia="宋体" w:hint="default"/>
                <w:spacing w:val="-7"/>
                <w:sz w:val="18"/>
                <w:szCs w:val="18"/>
              </w:rPr>
              <w:t>本年末无在建工程，比年初减少</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43.73</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pacing w:val="-2"/>
                <w:sz w:val="18"/>
                <w:szCs w:val="18"/>
              </w:rPr>
              <w:t>万元，主要是在建工程完工转入固定</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资产</w:t>
            </w:r>
            <w:r>
              <w:rPr>
                <w:rFonts w:ascii="宋体" w:hAnsi="宋体" w:cs="宋体" w:eastAsia="宋体" w:hint="default"/>
                <w:spacing w:val="1"/>
                <w:sz w:val="18"/>
                <w:szCs w:val="18"/>
              </w:rPr>
              <w:t> </w:t>
            </w:r>
            <w:r>
              <w:rPr>
                <w:rFonts w:ascii="宋体" w:hAnsi="宋体" w:cs="宋体" w:eastAsia="宋体" w:hint="default"/>
                <w:sz w:val="18"/>
                <w:szCs w:val="18"/>
              </w:rPr>
              <w:t>。</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250,429,331.0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14.53%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285,022,566.54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15.02%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1.18%</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、以公允价值计量的资产和负债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9"/>
        <w:rPr>
          <w:rFonts w:ascii="宋体" w:hAnsi="宋体" w:cs="宋体" w:eastAsia="宋体" w:hint="default"/>
          <w:b/>
          <w:bCs/>
          <w:sz w:val="25"/>
          <w:szCs w:val="25"/>
        </w:rPr>
      </w:pPr>
    </w:p>
    <w:tbl>
      <w:tblPr>
        <w:tblW w:w="0" w:type="auto"/>
        <w:jc w:val="left"/>
        <w:tblInd w:w="150" w:type="dxa"/>
        <w:tblLayout w:type="fixed"/>
        <w:tblCellMar>
          <w:top w:w="0" w:type="dxa"/>
          <w:left w:w="0" w:type="dxa"/>
          <w:bottom w:w="0" w:type="dxa"/>
          <w:right w:w="0" w:type="dxa"/>
        </w:tblCellMar>
        <w:tblLook w:val="01E0"/>
      </w:tblPr>
      <w:tblGrid>
        <w:gridCol w:w="3140"/>
        <w:gridCol w:w="3027"/>
        <w:gridCol w:w="2679"/>
      </w:tblGrid>
      <w:tr>
        <w:trPr>
          <w:trHeight w:val="34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10"/>
              <w:jc w:val="righ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5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日账面价值</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34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16,513,453.01</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1</w:t>
            </w:r>
          </w:p>
        </w:tc>
      </w:tr>
      <w:tr>
        <w:trPr>
          <w:trHeight w:val="346"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5,500,000.00</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2</w:t>
            </w:r>
          </w:p>
        </w:tc>
      </w:tr>
      <w:tr>
        <w:trPr>
          <w:trHeight w:val="34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21,707,902.27</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Times New Roman" w:hAnsi="Times New Roman" w:cs="Times New Roman" w:eastAsia="Times New Roman" w:hint="default"/>
                <w:sz w:val="18"/>
                <w:szCs w:val="18"/>
              </w:rPr>
              <w:t>3</w:t>
            </w:r>
          </w:p>
        </w:tc>
      </w:tr>
      <w:tr>
        <w:trPr>
          <w:trHeight w:val="348" w:hRule="exact"/>
        </w:trPr>
        <w:tc>
          <w:tcPr>
            <w:tcW w:w="31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382"/>
              <w:jc w:val="right"/>
              <w:rPr>
                <w:rFonts w:ascii="宋体" w:hAnsi="宋体" w:cs="宋体" w:eastAsia="宋体" w:hint="default"/>
                <w:sz w:val="18"/>
                <w:szCs w:val="18"/>
              </w:rPr>
            </w:pPr>
            <w:r>
              <w:rPr>
                <w:rFonts w:ascii="宋体" w:hAnsi="宋体" w:cs="宋体" w:eastAsia="宋体" w:hint="default"/>
                <w:sz w:val="18"/>
                <w:szCs w:val="18"/>
              </w:rPr>
              <w:t>合计</w:t>
            </w:r>
          </w:p>
        </w:tc>
        <w:tc>
          <w:tcPr>
            <w:tcW w:w="30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43,721,355.28</w:t>
            </w:r>
          </w:p>
        </w:tc>
        <w:tc>
          <w:tcPr>
            <w:tcW w:w="2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8"/>
        <w:rPr>
          <w:rFonts w:ascii="宋体" w:hAnsi="宋体" w:cs="宋体" w:eastAsia="宋体" w:hint="default"/>
          <w:b/>
          <w:bCs/>
          <w:sz w:val="6"/>
          <w:szCs w:val="6"/>
        </w:rPr>
      </w:pPr>
    </w:p>
    <w:p>
      <w:pPr>
        <w:pStyle w:val="BodyText"/>
        <w:spacing w:line="240" w:lineRule="auto" w:before="44"/>
        <w:ind w:right="1133"/>
        <w:jc w:val="left"/>
      </w:pPr>
      <w:r>
        <w:rPr/>
        <w:t>说明</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日，本公司使用权受到限制的货币资金如下：</w:t>
      </w:r>
    </w:p>
    <w:p>
      <w:pPr>
        <w:spacing w:line="240" w:lineRule="auto" w:before="7"/>
        <w:rPr>
          <w:rFonts w:ascii="宋体" w:hAnsi="宋体" w:cs="宋体" w:eastAsia="宋体" w:hint="default"/>
          <w:sz w:val="20"/>
          <w:szCs w:val="20"/>
        </w:rPr>
      </w:pPr>
    </w:p>
    <w:tbl>
      <w:tblPr>
        <w:tblW w:w="0" w:type="auto"/>
        <w:jc w:val="left"/>
        <w:tblInd w:w="150" w:type="dxa"/>
        <w:tblLayout w:type="fixed"/>
        <w:tblCellMar>
          <w:top w:w="0" w:type="dxa"/>
          <w:left w:w="0" w:type="dxa"/>
          <w:bottom w:w="0" w:type="dxa"/>
          <w:right w:w="0" w:type="dxa"/>
        </w:tblCellMar>
        <w:tblLook w:val="01E0"/>
      </w:tblPr>
      <w:tblGrid>
        <w:gridCol w:w="6093"/>
        <w:gridCol w:w="2753"/>
      </w:tblGrid>
      <w:tr>
        <w:trPr>
          <w:trHeight w:val="346" w:hRule="exact"/>
        </w:trPr>
        <w:tc>
          <w:tcPr>
            <w:tcW w:w="6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349" w:hRule="exact"/>
        </w:trPr>
        <w:tc>
          <w:tcPr>
            <w:tcW w:w="6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10,287,127.93</w:t>
            </w:r>
          </w:p>
        </w:tc>
      </w:tr>
      <w:tr>
        <w:trPr>
          <w:trHeight w:val="346" w:hRule="exact"/>
        </w:trPr>
        <w:tc>
          <w:tcPr>
            <w:tcW w:w="6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到期日三个月以上的定期存款</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48" w:hRule="exact"/>
        </w:trPr>
        <w:tc>
          <w:tcPr>
            <w:tcW w:w="6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根据保监会要求缴存的经营保证金</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48" w:hRule="exact"/>
        </w:trPr>
        <w:tc>
          <w:tcPr>
            <w:tcW w:w="6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预收中国银行股份有限公司莆田分行货款</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725,325.08</w:t>
            </w:r>
          </w:p>
        </w:tc>
      </w:tr>
      <w:tr>
        <w:trPr>
          <w:trHeight w:val="346" w:hRule="exact"/>
        </w:trPr>
        <w:tc>
          <w:tcPr>
            <w:tcW w:w="6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开通高速无需停车缴费服务的保证金</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1,000.00</w:t>
            </w:r>
          </w:p>
        </w:tc>
      </w:tr>
      <w:tr>
        <w:trPr>
          <w:trHeight w:val="348" w:hRule="exact"/>
        </w:trPr>
        <w:tc>
          <w:tcPr>
            <w:tcW w:w="60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7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16,513,453.01</w:t>
            </w:r>
          </w:p>
        </w:tc>
      </w:tr>
    </w:tbl>
    <w:p>
      <w:pPr>
        <w:spacing w:line="240" w:lineRule="auto" w:before="8"/>
        <w:rPr>
          <w:rFonts w:ascii="宋体" w:hAnsi="宋体" w:cs="宋体" w:eastAsia="宋体" w:hint="default"/>
          <w:sz w:val="6"/>
          <w:szCs w:val="6"/>
        </w:rPr>
      </w:pPr>
    </w:p>
    <w:p>
      <w:pPr>
        <w:pStyle w:val="BodyText"/>
        <w:spacing w:line="240" w:lineRule="auto" w:before="44"/>
        <w:ind w:right="1133"/>
        <w:jc w:val="left"/>
      </w:pPr>
      <w:r>
        <w:rPr/>
        <w:t>说明</w:t>
      </w:r>
      <w:r>
        <w:rPr>
          <w:rFonts w:ascii="Times New Roman" w:hAnsi="Times New Roman" w:cs="Times New Roman" w:eastAsia="Times New Roman" w:hint="default"/>
        </w:rPr>
        <w:t>2</w:t>
      </w:r>
      <w:r>
        <w:rPr/>
        <w:t>：本公司存入期限</w:t>
      </w:r>
      <w:r>
        <w:rPr>
          <w:rFonts w:ascii="Times New Roman" w:hAnsi="Times New Roman" w:cs="Times New Roman" w:eastAsia="Times New Roman" w:hint="default"/>
        </w:rPr>
        <w:t>1</w:t>
      </w:r>
      <w:r>
        <w:rPr/>
        <w:t>年以上的定期存款</w:t>
      </w:r>
      <w:r>
        <w:rPr>
          <w:rFonts w:ascii="Times New Roman" w:hAnsi="Times New Roman" w:cs="Times New Roman" w:eastAsia="Times New Roman" w:hint="default"/>
        </w:rPr>
        <w:t>5,500,000.00</w:t>
      </w:r>
      <w:r>
        <w:rPr/>
        <w:t>元。</w:t>
      </w:r>
    </w:p>
    <w:p>
      <w:pPr>
        <w:spacing w:line="240" w:lineRule="auto" w:before="4"/>
        <w:rPr>
          <w:rFonts w:ascii="宋体" w:hAnsi="宋体" w:cs="宋体" w:eastAsia="宋体" w:hint="default"/>
          <w:sz w:val="21"/>
          <w:szCs w:val="21"/>
        </w:rPr>
      </w:pPr>
    </w:p>
    <w:p>
      <w:pPr>
        <w:pStyle w:val="BodyText"/>
        <w:spacing w:line="300" w:lineRule="auto"/>
        <w:ind w:right="1133"/>
        <w:jc w:val="left"/>
      </w:pPr>
      <w:r>
        <w:rPr/>
        <w:t>说明</w:t>
      </w:r>
      <w:r>
        <w:rPr>
          <w:rFonts w:ascii="Times New Roman" w:hAnsi="Times New Roman" w:cs="Times New Roman" w:eastAsia="Times New Roman" w:hint="default"/>
        </w:rPr>
        <w:t>3</w:t>
      </w:r>
      <w:r>
        <w:rPr/>
        <w:t>：本公司以位于思明区观日路</w:t>
      </w:r>
      <w:r>
        <w:rPr>
          <w:rFonts w:ascii="Times New Roman" w:hAnsi="Times New Roman" w:cs="Times New Roman" w:eastAsia="Times New Roman" w:hint="default"/>
        </w:rPr>
        <w:t>18</w:t>
      </w:r>
      <w:r>
        <w:rPr/>
        <w:t>号的房产（年末净值为</w:t>
      </w:r>
      <w:r>
        <w:rPr>
          <w:rFonts w:ascii="Times New Roman" w:hAnsi="Times New Roman" w:cs="Times New Roman" w:eastAsia="Times New Roman" w:hint="default"/>
        </w:rPr>
        <w:t>23,977,910.58</w:t>
      </w:r>
      <w:r>
        <w:rPr/>
        <w:t>元）作为抵押物，向兴业银行厦门分行借入短期</w:t>
      </w:r>
      <w:r>
        <w:rPr>
          <w:spacing w:val="-48"/>
        </w:rPr>
        <w:t> </w:t>
      </w:r>
      <w:r>
        <w:rPr>
          <w:spacing w:val="-48"/>
        </w:rPr>
      </w:r>
      <w:r>
        <w:rPr/>
        <w:t>借款</w:t>
      </w:r>
      <w:r>
        <w:rPr>
          <w:rFonts w:ascii="Times New Roman" w:hAnsi="Times New Roman" w:cs="Times New Roman" w:eastAsia="Times New Roman" w:hint="default"/>
        </w:rPr>
        <w:t>8,000</w:t>
      </w:r>
      <w:r>
        <w:rPr/>
        <w:t>万元。</w:t>
      </w:r>
    </w:p>
    <w:p>
      <w:pPr>
        <w:spacing w:after="0" w:line="30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五、投资状况分析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56,925,007.09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11,391,900.00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、以公允价值计量的金融资产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、募集资金使用情况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公司报告期无募集资金使用情况。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、出售重大资产情况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公司报告期未出售重大资产。</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、出售重大股权情况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81"/>
        <w:gridCol w:w="682"/>
        <w:gridCol w:w="684"/>
        <w:gridCol w:w="685"/>
        <w:gridCol w:w="684"/>
        <w:gridCol w:w="684"/>
        <w:gridCol w:w="682"/>
        <w:gridCol w:w="687"/>
        <w:gridCol w:w="684"/>
        <w:gridCol w:w="684"/>
        <w:gridCol w:w="684"/>
        <w:gridCol w:w="685"/>
        <w:gridCol w:w="684"/>
        <w:gridCol w:w="677"/>
      </w:tblGrid>
      <w:tr>
        <w:trPr>
          <w:trHeight w:val="2585" w:hRule="exact"/>
        </w:trPr>
        <w:tc>
          <w:tcPr>
            <w:tcW w:w="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6" w:right="62"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7" w:right="65"/>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7"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7"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7" w:right="62"/>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9" w:right="65"/>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67" w:right="65"/>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0"/>
              <w:ind w:left="67" w:right="65"/>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44" w:right="60"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7"/>
        <w:gridCol w:w="684"/>
        <w:gridCol w:w="684"/>
        <w:gridCol w:w="684"/>
        <w:gridCol w:w="685"/>
        <w:gridCol w:w="684"/>
        <w:gridCol w:w="677"/>
      </w:tblGrid>
      <w:tr>
        <w:trPr>
          <w:trHeight w:val="1299"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55"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67" w:right="65"/>
              <w:jc w:val="both"/>
              <w:rPr>
                <w:rFonts w:ascii="宋体" w:hAnsi="宋体" w:cs="宋体" w:eastAsia="宋体" w:hint="default"/>
                <w:sz w:val="18"/>
                <w:szCs w:val="18"/>
              </w:rPr>
            </w:pPr>
            <w:r>
              <w:rPr>
                <w:rFonts w:ascii="宋体" w:hAnsi="宋体" w:cs="宋体" w:eastAsia="宋体" w:hint="default"/>
                <w:sz w:val="18"/>
                <w:szCs w:val="18"/>
              </w:rPr>
              <w:t>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2532"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3"/>
                <w:szCs w:val="23"/>
              </w:rPr>
            </w:pPr>
          </w:p>
          <w:p>
            <w:pPr>
              <w:pStyle w:val="TableParagraph"/>
              <w:spacing w:line="316" w:lineRule="auto"/>
              <w:ind w:left="24" w:right="106"/>
              <w:jc w:val="both"/>
              <w:rPr>
                <w:rFonts w:ascii="宋体" w:hAnsi="宋体" w:cs="宋体" w:eastAsia="宋体" w:hint="default"/>
                <w:sz w:val="18"/>
                <w:szCs w:val="18"/>
              </w:rPr>
            </w:pPr>
            <w:r>
              <w:rPr>
                <w:rFonts w:ascii="宋体" w:hAnsi="宋体" w:cs="宋体" w:eastAsia="宋体" w:hint="default"/>
                <w:sz w:val="18"/>
                <w:szCs w:val="18"/>
              </w:rPr>
              <w:t>厦门欣 亚锐商 贸有限 公司</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8"/>
              <w:jc w:val="both"/>
              <w:rPr>
                <w:rFonts w:ascii="Times New Roman" w:hAnsi="Times New Roman" w:cs="Times New Roman" w:eastAsia="Times New Roman" w:hint="default"/>
                <w:sz w:val="18"/>
                <w:szCs w:val="18"/>
              </w:rPr>
            </w:pPr>
            <w:r>
              <w:rPr>
                <w:rFonts w:ascii="宋体" w:hAnsi="宋体" w:cs="宋体" w:eastAsia="宋体" w:hint="default"/>
                <w:sz w:val="18"/>
                <w:szCs w:val="18"/>
              </w:rPr>
              <w:t>厦门易 联众商 业保理 有限公 司</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100%</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11,391.1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95" w:right="0"/>
              <w:jc w:val="left"/>
              <w:rPr>
                <w:rFonts w:ascii="Times New Roman" w:hAnsi="Times New Roman" w:cs="Times New Roman" w:eastAsia="Times New Roman" w:hint="default"/>
                <w:sz w:val="18"/>
                <w:szCs w:val="18"/>
              </w:rPr>
            </w:pPr>
            <w:r>
              <w:rPr>
                <w:rFonts w:ascii="Times New Roman"/>
                <w:sz w:val="18"/>
              </w:rPr>
              <w:t>-407.92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8"/>
              <w:jc w:val="left"/>
              <w:rPr>
                <w:rFonts w:ascii="宋体" w:hAnsi="宋体" w:cs="宋体" w:eastAsia="宋体" w:hint="default"/>
                <w:sz w:val="18"/>
                <w:szCs w:val="18"/>
              </w:rPr>
            </w:pPr>
            <w:r>
              <w:rPr>
                <w:rFonts w:ascii="宋体" w:hAnsi="宋体" w:cs="宋体" w:eastAsia="宋体" w:hint="default"/>
                <w:sz w:val="18"/>
                <w:szCs w:val="18"/>
              </w:rPr>
              <w:t>本次股 权转让 是基于 优化投 资结 构、降 低投资 风险的 需要， 有利于 公司集 中管理 精力和 资源， 提高管 理运作 效率， 进一步 聚焦与 战略更 为紧密 的主营 业务， 符合公 司发展 战略需 要，符 合全体 股东和 公司利 益，有 利于保 障资金 安全， 进一步 推动公 司核心 业务稳 定发 展，实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95" w:right="0"/>
              <w:jc w:val="left"/>
              <w:rPr>
                <w:rFonts w:ascii="Times New Roman" w:hAnsi="Times New Roman" w:cs="Times New Roman" w:eastAsia="Times New Roman" w:hint="default"/>
                <w:sz w:val="18"/>
                <w:szCs w:val="18"/>
              </w:rPr>
            </w:pPr>
            <w:r>
              <w:rPr>
                <w:rFonts w:ascii="Times New Roman"/>
                <w:sz w:val="18"/>
              </w:rPr>
              <w:t>30.15%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3" w:right="22"/>
              <w:jc w:val="left"/>
              <w:rPr>
                <w:rFonts w:ascii="宋体" w:hAnsi="宋体" w:cs="宋体" w:eastAsia="宋体" w:hint="default"/>
                <w:sz w:val="18"/>
                <w:szCs w:val="18"/>
              </w:rPr>
            </w:pPr>
            <w:r>
              <w:rPr>
                <w:rFonts w:ascii="宋体" w:hAnsi="宋体" w:cs="宋体" w:eastAsia="宋体" w:hint="default"/>
                <w:sz w:val="18"/>
                <w:szCs w:val="18"/>
              </w:rPr>
              <w:t>以保理 公司的 合并报 表财务 数据为 </w:t>
            </w:r>
            <w:r>
              <w:rPr>
                <w:rFonts w:ascii="宋体" w:hAnsi="宋体" w:cs="宋体" w:eastAsia="宋体" w:hint="default"/>
                <w:spacing w:val="-23"/>
                <w:sz w:val="18"/>
                <w:szCs w:val="18"/>
              </w:rPr>
              <w:t>基础，以</w:t>
            </w:r>
            <w:r>
              <w:rPr>
                <w:rFonts w:ascii="宋体" w:hAnsi="宋体" w:cs="宋体" w:eastAsia="宋体" w:hint="default"/>
                <w:sz w:val="18"/>
                <w:szCs w:val="18"/>
              </w:rPr>
              <w:t> 保理公 司截止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319" w:lineRule="auto" w:before="63"/>
              <w:ind w:left="23" w:right="111"/>
              <w:jc w:val="both"/>
              <w:rPr>
                <w:rFonts w:ascii="宋体" w:hAnsi="宋体" w:cs="宋体" w:eastAsia="宋体" w:hint="default"/>
                <w:sz w:val="18"/>
                <w:szCs w:val="18"/>
              </w:rPr>
            </w:pPr>
            <w:r>
              <w:rPr>
                <w:rFonts w:ascii="宋体" w:hAnsi="宋体" w:cs="宋体" w:eastAsia="宋体" w:hint="default"/>
                <w:sz w:val="18"/>
                <w:szCs w:val="18"/>
              </w:rPr>
              <w:t>日归属 于母公 司的账 面净资 产作为 参考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不存在 关联关 系</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4"/>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3" w:right="110"/>
              <w:jc w:val="both"/>
              <w:rPr>
                <w:rFonts w:ascii="宋体" w:hAnsi="宋体" w:cs="宋体" w:eastAsia="宋体" w:hint="default"/>
                <w:sz w:val="18"/>
                <w:szCs w:val="18"/>
              </w:rPr>
            </w:pPr>
            <w:r>
              <w:rPr>
                <w:rFonts w:ascii="宋体" w:hAnsi="宋体" w:cs="宋体" w:eastAsia="宋体" w:hint="default"/>
                <w:sz w:val="18"/>
                <w:szCs w:val="18"/>
              </w:rPr>
              <w:t>按计划 实施并 完成。</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314" w:lineRule="auto"/>
              <w:ind w:left="24" w:right="101"/>
              <w:jc w:val="left"/>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50" w:lineRule="auto" w:before="20"/>
              <w:ind w:left="24" w:right="3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http:// </w:t>
            </w:r>
            <w:r>
              <w:rPr>
                <w:rFonts w:ascii="Times New Roman" w:hAnsi="Times New Roman" w:cs="Times New Roman" w:eastAsia="Times New Roman" w:hint="default"/>
                <w:spacing w:val="-3"/>
                <w:sz w:val="18"/>
                <w:szCs w:val="18"/>
              </w:rPr>
              <w:t>www.cn</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info.co</w:t>
            </w:r>
          </w:p>
          <w:p>
            <w:pPr>
              <w:pStyle w:val="TableParagraph"/>
              <w:spacing w:line="22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p>
            <w:pPr>
              <w:pStyle w:val="TableParagraph"/>
              <w:spacing w:line="316" w:lineRule="auto" w:before="63"/>
              <w:ind w:left="24" w:right="23"/>
              <w:jc w:val="left"/>
              <w:rPr>
                <w:rFonts w:ascii="宋体" w:hAnsi="宋体" w:cs="宋体" w:eastAsia="宋体" w:hint="default"/>
                <w:sz w:val="18"/>
                <w:szCs w:val="18"/>
              </w:rPr>
            </w:pPr>
            <w:r>
              <w:rPr>
                <w:rFonts w:ascii="宋体" w:hAnsi="宋体" w:cs="宋体" w:eastAsia="宋体" w:hint="default"/>
                <w:sz w:val="18"/>
                <w:szCs w:val="18"/>
              </w:rPr>
              <w:t>《关于 转让全 资子公 司厦门 易联众 商业保 理有限 公司全 部股权 的公 </w:t>
            </w:r>
            <w:r>
              <w:rPr>
                <w:rFonts w:ascii="宋体" w:hAnsi="宋体" w:cs="宋体" w:eastAsia="宋体" w:hint="default"/>
                <w:spacing w:val="-26"/>
                <w:sz w:val="18"/>
                <w:szCs w:val="18"/>
              </w:rPr>
              <w:t>告》（公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告编 号：</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2019-07</w:t>
            </w:r>
          </w:p>
          <w:p>
            <w:pPr>
              <w:pStyle w:val="TableParagraph"/>
              <w:spacing w:line="316" w:lineRule="auto" w:before="63"/>
              <w:ind w:left="24" w:right="22"/>
              <w:jc w:val="left"/>
              <w:rPr>
                <w:rFonts w:ascii="宋体" w:hAnsi="宋体" w:cs="宋体" w:eastAsia="宋体" w:hint="default"/>
                <w:sz w:val="18"/>
                <w:szCs w:val="18"/>
              </w:rPr>
            </w:pPr>
            <w:r>
              <w:rPr>
                <w:rFonts w:ascii="Times New Roman" w:hAnsi="Times New Roman" w:cs="Times New Roman" w:eastAsia="Times New Roman" w:hint="default"/>
                <w:spacing w:val="-39"/>
                <w:sz w:val="18"/>
                <w:szCs w:val="18"/>
              </w:rPr>
              <w:t>1</w:t>
            </w:r>
            <w:r>
              <w:rPr>
                <w:rFonts w:ascii="宋体" w:hAnsi="宋体" w:cs="宋体" w:eastAsia="宋体" w:hint="default"/>
                <w:spacing w:val="-39"/>
                <w:sz w:val="18"/>
                <w:szCs w:val="18"/>
              </w:rPr>
              <w:t>）、《关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于转让 全资子 公司厦 门易联 众商业 保理有 限公司 全部股 权变更 交易对 手方的 公告》</w:t>
            </w:r>
          </w:p>
          <w:p>
            <w:pPr>
              <w:pStyle w:val="TableParagraph"/>
              <w:spacing w:line="338" w:lineRule="auto" w:before="19"/>
              <w:ind w:left="24" w:right="38"/>
              <w:jc w:val="both"/>
              <w:rPr>
                <w:rFonts w:ascii="Times New Roman" w:hAnsi="Times New Roman" w:cs="Times New Roman" w:eastAsia="Times New Roman" w:hint="default"/>
                <w:sz w:val="18"/>
                <w:szCs w:val="18"/>
              </w:rPr>
            </w:pPr>
            <w:r>
              <w:rPr>
                <w:rFonts w:ascii="宋体" w:hAnsi="宋体" w:cs="宋体" w:eastAsia="宋体" w:hint="default"/>
                <w:sz w:val="18"/>
                <w:szCs w:val="18"/>
              </w:rPr>
              <w:t>（公告 编号： </w:t>
            </w:r>
            <w:r>
              <w:rPr>
                <w:rFonts w:ascii="Times New Roman" w:hAnsi="Times New Roman" w:cs="Times New Roman" w:eastAsia="Times New Roman" w:hint="default"/>
                <w:sz w:val="18"/>
                <w:szCs w:val="18"/>
              </w:rPr>
              <w:t>2019-08</w:t>
            </w:r>
          </w:p>
          <w:p>
            <w:pPr>
              <w:pStyle w:val="TableParagraph"/>
              <w:spacing w:line="231"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p>
        </w:tc>
      </w:tr>
    </w:tbl>
    <w:p>
      <w:pPr>
        <w:spacing w:after="0" w:line="231" w:lineRule="exact"/>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2"/>
        <w:gridCol w:w="682"/>
        <w:gridCol w:w="684"/>
        <w:gridCol w:w="685"/>
        <w:gridCol w:w="684"/>
        <w:gridCol w:w="684"/>
        <w:gridCol w:w="682"/>
        <w:gridCol w:w="687"/>
        <w:gridCol w:w="684"/>
        <w:gridCol w:w="684"/>
        <w:gridCol w:w="684"/>
        <w:gridCol w:w="685"/>
        <w:gridCol w:w="684"/>
        <w:gridCol w:w="677"/>
      </w:tblGrid>
      <w:tr>
        <w:trPr>
          <w:trHeight w:val="987" w:hRule="exact"/>
        </w:trPr>
        <w:tc>
          <w:tcPr>
            <w:tcW w:w="682"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8"/>
              <w:jc w:val="both"/>
              <w:rPr>
                <w:rFonts w:ascii="宋体" w:hAnsi="宋体" w:cs="宋体" w:eastAsia="宋体" w:hint="default"/>
                <w:sz w:val="18"/>
                <w:szCs w:val="18"/>
              </w:rPr>
            </w:pPr>
            <w:r>
              <w:rPr>
                <w:rFonts w:ascii="宋体" w:hAnsi="宋体" w:cs="宋体" w:eastAsia="宋体" w:hint="default"/>
                <w:sz w:val="18"/>
                <w:szCs w:val="18"/>
              </w:rPr>
              <w:t>现公司 战略目 标。</w:t>
            </w:r>
          </w:p>
        </w:tc>
        <w:tc>
          <w:tcPr>
            <w:tcW w:w="682"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4851" w:space="4069"/>
            <w:col w:w="2010"/>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8"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安徽易联众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38"/>
              <w:jc w:val="center"/>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58,934,120.6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31,014,390.4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37,473,849.4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3,366,956.91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3,133,069.11</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山西易联众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156,743,822.</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49,748,514.9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100,191,209.</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99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18,996,090.1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15,829,420.4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福建易联众 软件系统开 发有限公司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89,186,909.9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33,359,596.2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32,313,701.0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-4,979,261.2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-6,990,462.9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福州易联众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79,779,334.4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58,836,655.4</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5,757,795.61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-3,274,606.9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-4,690,024.3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33,993,179.5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17,182,992.5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18,839,444.1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-1,259,991.3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-2,018,205.0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湖南易联众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64,023,976.0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17,436,227.8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30,161,031.2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8,810,875.43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7,079,980.58</w:t>
            </w:r>
          </w:p>
        </w:tc>
      </w:tr>
      <w:tr>
        <w:trPr>
          <w:trHeight w:val="165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118"/>
              <w:jc w:val="both"/>
              <w:rPr>
                <w:rFonts w:ascii="宋体" w:hAnsi="宋体" w:cs="宋体" w:eastAsia="宋体" w:hint="default"/>
                <w:sz w:val="18"/>
                <w:szCs w:val="18"/>
              </w:rPr>
            </w:pPr>
            <w:r>
              <w:rPr>
                <w:rFonts w:ascii="宋体" w:hAnsi="宋体" w:cs="宋体" w:eastAsia="宋体" w:hint="default"/>
                <w:sz w:val="18"/>
                <w:szCs w:val="18"/>
              </w:rPr>
              <w:t>广西易联众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智能卡、银 行卡研发生 产、软件开 发及应用系 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24,164,132.2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9,357,908.66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4,880,511.42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-2,938,491.2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-3,356,424.3</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厦门易联众 金融控股有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28,228,882.7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28,201,245.6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7</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105,311.41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105,311.41</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易联众健康 医疗控股有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61,021,646.6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5,844,222.04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5" w:right="0"/>
              <w:jc w:val="center"/>
              <w:rPr>
                <w:rFonts w:ascii="Times New Roman" w:hAnsi="Times New Roman" w:cs="Times New Roman" w:eastAsia="Times New Roman" w:hint="default"/>
                <w:sz w:val="18"/>
                <w:szCs w:val="18"/>
              </w:rPr>
            </w:pPr>
            <w:r>
              <w:rPr>
                <w:rFonts w:ascii="Times New Roman"/>
                <w:sz w:val="18"/>
              </w:rPr>
              <w:t>7,224,597.68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2,214,213.70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2,213,865.93</w:t>
            </w:r>
          </w:p>
        </w:tc>
      </w:tr>
      <w:tr>
        <w:trPr>
          <w:trHeight w:val="71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4" w:right="118"/>
              <w:jc w:val="left"/>
              <w:rPr>
                <w:rFonts w:ascii="宋体" w:hAnsi="宋体" w:cs="宋体" w:eastAsia="宋体" w:hint="default"/>
                <w:sz w:val="18"/>
                <w:szCs w:val="18"/>
              </w:rPr>
            </w:pPr>
            <w:r>
              <w:rPr>
                <w:rFonts w:ascii="宋体" w:hAnsi="宋体" w:cs="宋体" w:eastAsia="宋体" w:hint="default"/>
                <w:sz w:val="18"/>
                <w:szCs w:val="18"/>
              </w:rPr>
              <w:t>厦门易联众 融资租赁有</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218,727,573.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21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176,699,059.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13,173,809.0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758,932.30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-2,244,944.0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36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7"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易康吉保险 经纪有限责 任公司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63,596,203.7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56,801,064.9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8,221,167.29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4,864,008.24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5,050,143.20</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福建易联众 电子科技有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12,471,038.5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10,569,087.8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3,398,365.18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-3,986,890.4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-3,639,443.9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广东易联众 计算机技术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9,036,011.53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8,532,998.36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1,545,592.44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484,422.92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461,777.57</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厦门市纵达 科技有限公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软件开发、 销售</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6,000,000.00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8,884,029.59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8,259,355.87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1,487,569.47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135,243.96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78" w:right="0"/>
              <w:jc w:val="center"/>
              <w:rPr>
                <w:rFonts w:ascii="Times New Roman" w:hAnsi="Times New Roman" w:cs="Times New Roman" w:eastAsia="Times New Roman" w:hint="default"/>
                <w:sz w:val="18"/>
                <w:szCs w:val="18"/>
              </w:rPr>
            </w:pPr>
            <w:r>
              <w:rPr>
                <w:rFonts w:ascii="Times New Roman"/>
                <w:sz w:val="18"/>
              </w:rPr>
              <w:t>99,198.41</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易联众智能</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pacing w:val="-14"/>
                <w:sz w:val="18"/>
                <w:szCs w:val="18"/>
              </w:rPr>
              <w:t>（厦门）科技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45,129,909.4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20,444,365.6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37,030,566.4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6,849,386.74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6,140,946.18</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厦门市易联 众易惠科技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145,966,046.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46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67,825,487.2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162,039,108.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30,450,531.6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28,792,657.1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易联众民生</w:t>
            </w:r>
          </w:p>
          <w:p>
            <w:pPr>
              <w:pStyle w:val="TableParagraph"/>
              <w:spacing w:line="316" w:lineRule="auto" w:before="76"/>
              <w:ind w:left="24" w:right="19"/>
              <w:jc w:val="left"/>
              <w:rPr>
                <w:rFonts w:ascii="宋体" w:hAnsi="宋体" w:cs="宋体" w:eastAsia="宋体" w:hint="default"/>
                <w:sz w:val="18"/>
                <w:szCs w:val="18"/>
              </w:rPr>
            </w:pPr>
            <w:r>
              <w:rPr>
                <w:rFonts w:ascii="宋体" w:hAnsi="宋体" w:cs="宋体" w:eastAsia="宋体" w:hint="default"/>
                <w:spacing w:val="-14"/>
                <w:sz w:val="18"/>
                <w:szCs w:val="18"/>
              </w:rPr>
              <w:t>（厦门）科技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79,963,364.8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44,992,435.5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84,250,894.0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16,808,069.0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16,652,680.5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易联众（厦 </w:t>
            </w:r>
            <w:r>
              <w:rPr>
                <w:rFonts w:ascii="宋体" w:hAnsi="宋体" w:cs="宋体" w:eastAsia="宋体" w:hint="default"/>
                <w:spacing w:val="-14"/>
                <w:sz w:val="18"/>
                <w:szCs w:val="18"/>
              </w:rPr>
              <w:t>门）大数据科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15,631,130.3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10,645,298.8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14,360,803.2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3,758,003.43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center"/>
              <w:rPr>
                <w:rFonts w:ascii="Times New Roman" w:hAnsi="Times New Roman" w:cs="Times New Roman" w:eastAsia="Times New Roman" w:hint="default"/>
                <w:sz w:val="18"/>
                <w:szCs w:val="18"/>
              </w:rPr>
            </w:pPr>
            <w:r>
              <w:rPr>
                <w:rFonts w:ascii="Times New Roman"/>
                <w:sz w:val="18"/>
              </w:rPr>
              <w:t>3,508,935.43</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陕西易联众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871,211.36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-6,234,621.6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732,244.25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-1,495,310.5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-2,694,094.8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吉林易联众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9,941,865.07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7,405,221.04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3,380,286.40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55,549.90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-459,462.29</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厦门易联众 易方科技有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6,338,218.10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3,411,716.31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1,517,585.07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-2,765,965.8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-1,885,551.2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w:t>
            </w:r>
          </w:p>
        </w:tc>
      </w:tr>
      <w:tr>
        <w:trPr>
          <w:trHeight w:val="165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118"/>
              <w:jc w:val="both"/>
              <w:rPr>
                <w:rFonts w:ascii="宋体" w:hAnsi="宋体" w:cs="宋体" w:eastAsia="宋体" w:hint="default"/>
                <w:sz w:val="18"/>
                <w:szCs w:val="18"/>
              </w:rPr>
            </w:pPr>
            <w:r>
              <w:rPr>
                <w:rFonts w:ascii="宋体" w:hAnsi="宋体" w:cs="宋体" w:eastAsia="宋体" w:hint="default"/>
                <w:sz w:val="18"/>
                <w:szCs w:val="18"/>
              </w:rPr>
              <w:t>海南易联众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智能卡、银 行卡研发生 产、软件开 发及应用系 统集成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62"/>
              <w:jc w:val="right"/>
              <w:rPr>
                <w:rFonts w:ascii="Times New Roman" w:hAnsi="Times New Roman" w:cs="Times New Roman" w:eastAsia="Times New Roman" w:hint="default"/>
                <w:sz w:val="18"/>
                <w:szCs w:val="18"/>
              </w:rPr>
            </w:pPr>
            <w:r>
              <w:rPr>
                <w:rFonts w:ascii="Times New Roman"/>
                <w:spacing w:val="-1"/>
                <w:sz w:val="18"/>
              </w:rPr>
              <w:t>3,000,000.00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2,971,796.30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2,165,132.14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2,750,317.60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462,081.43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187" w:right="0"/>
              <w:jc w:val="center"/>
              <w:rPr>
                <w:rFonts w:ascii="Times New Roman" w:hAnsi="Times New Roman" w:cs="Times New Roman" w:eastAsia="Times New Roman" w:hint="default"/>
                <w:sz w:val="18"/>
                <w:szCs w:val="18"/>
              </w:rPr>
            </w:pPr>
            <w:r>
              <w:rPr>
                <w:rFonts w:ascii="Times New Roman"/>
                <w:sz w:val="18"/>
              </w:rPr>
              <w:t>328,318.72</w:t>
            </w:r>
          </w:p>
        </w:tc>
      </w:tr>
      <w:tr>
        <w:trPr>
          <w:trHeight w:val="401"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福建易联众</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软件开发及</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62"/>
              <w:jc w:val="right"/>
              <w:rPr>
                <w:rFonts w:ascii="Times New Roman" w:hAnsi="Times New Roman" w:cs="Times New Roman" w:eastAsia="Times New Roman" w:hint="default"/>
                <w:sz w:val="18"/>
                <w:szCs w:val="18"/>
              </w:rPr>
            </w:pPr>
            <w:r>
              <w:rPr>
                <w:rFonts w:ascii="Times New Roman"/>
                <w:spacing w:val="-1"/>
                <w:sz w:val="18"/>
              </w:rPr>
              <w:t>20,000,000.0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67,052,594.2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3" w:right="0"/>
              <w:jc w:val="center"/>
              <w:rPr>
                <w:rFonts w:ascii="Times New Roman" w:hAnsi="Times New Roman" w:cs="Times New Roman" w:eastAsia="Times New Roman" w:hint="default"/>
                <w:sz w:val="18"/>
                <w:szCs w:val="18"/>
              </w:rPr>
            </w:pPr>
            <w:r>
              <w:rPr>
                <w:rFonts w:ascii="Times New Roman"/>
                <w:sz w:val="18"/>
              </w:rPr>
              <w:t>36,717,315.4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2"/>
                <w:sz w:val="18"/>
              </w:rPr>
              <w:t>78,111,725.1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0"/>
              <w:jc w:val="right"/>
              <w:rPr>
                <w:rFonts w:ascii="Times New Roman" w:hAnsi="Times New Roman" w:cs="Times New Roman" w:eastAsia="Times New Roman" w:hint="default"/>
                <w:sz w:val="18"/>
                <w:szCs w:val="18"/>
              </w:rPr>
            </w:pPr>
            <w:r>
              <w:rPr>
                <w:rFonts w:ascii="Times New Roman"/>
                <w:spacing w:val="-1"/>
                <w:sz w:val="18"/>
              </w:rPr>
              <w:t>10,907,157.1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52" w:right="0"/>
              <w:jc w:val="center"/>
              <w:rPr>
                <w:rFonts w:ascii="Times New Roman" w:hAnsi="Times New Roman" w:cs="Times New Roman" w:eastAsia="Times New Roman" w:hint="default"/>
                <w:sz w:val="18"/>
                <w:szCs w:val="18"/>
              </w:rPr>
            </w:pPr>
            <w:r>
              <w:rPr>
                <w:rFonts w:ascii="Times New Roman"/>
                <w:sz w:val="18"/>
              </w:rPr>
              <w:t>10,960,052.3</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67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18"/>
              <w:jc w:val="left"/>
              <w:rPr>
                <w:rFonts w:ascii="宋体" w:hAnsi="宋体" w:cs="宋体" w:eastAsia="宋体" w:hint="default"/>
                <w:sz w:val="18"/>
                <w:szCs w:val="18"/>
              </w:rPr>
            </w:pPr>
            <w:r>
              <w:rPr>
                <w:rFonts w:ascii="宋体" w:hAnsi="宋体" w:cs="宋体" w:eastAsia="宋体" w:hint="default"/>
                <w:sz w:val="18"/>
                <w:szCs w:val="18"/>
              </w:rPr>
              <w:t>医疗信息系 统有限公司</w:t>
            </w:r>
          </w:p>
        </w:tc>
        <w:tc>
          <w:tcPr>
            <w:tcW w:w="1198"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110"/>
              <w:jc w:val="left"/>
              <w:rPr>
                <w:rFonts w:ascii="宋体" w:hAnsi="宋体" w:cs="宋体" w:eastAsia="宋体" w:hint="default"/>
                <w:sz w:val="18"/>
                <w:szCs w:val="18"/>
              </w:rPr>
            </w:pPr>
            <w:r>
              <w:rPr>
                <w:rFonts w:ascii="宋体" w:hAnsi="宋体" w:cs="宋体" w:eastAsia="宋体" w:hint="default"/>
                <w:sz w:val="18"/>
                <w:szCs w:val="18"/>
              </w:rPr>
              <w:t>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3</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8</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广州易联众 睿图信息技 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0"/>
              <w:jc w:val="left"/>
              <w:rPr>
                <w:rFonts w:ascii="宋体" w:hAnsi="宋体" w:cs="宋体" w:eastAsia="宋体" w:hint="default"/>
                <w:sz w:val="18"/>
                <w:szCs w:val="18"/>
              </w:rPr>
            </w:pPr>
            <w:r>
              <w:rPr>
                <w:rFonts w:ascii="宋体" w:hAnsi="宋体" w:cs="宋体" w:eastAsia="宋体" w:hint="default"/>
                <w:sz w:val="18"/>
                <w:szCs w:val="18"/>
              </w:rPr>
              <w:t>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44,876,418.9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27,099,315.9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43,922,349.8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10,148,707.0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11,265,466.8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保睿通（厦 </w:t>
            </w:r>
            <w:r>
              <w:rPr>
                <w:rFonts w:ascii="宋体" w:hAnsi="宋体" w:cs="宋体" w:eastAsia="宋体" w:hint="default"/>
                <w:spacing w:val="-14"/>
                <w:sz w:val="18"/>
                <w:szCs w:val="18"/>
              </w:rPr>
              <w:t>门）信息科技</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116,229,224.</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70,456,391.9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122,069,216.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36,880,433.0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42,319,875.6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福建易联众 医卫信息技 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26,279,419.4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18,538,343.3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26,765,816.2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6,736,387.98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7,000,651.01</w:t>
            </w:r>
          </w:p>
        </w:tc>
      </w:tr>
      <w:tr>
        <w:trPr>
          <w:trHeight w:val="1339"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易联众通达 </w:t>
            </w:r>
            <w:r>
              <w:rPr>
                <w:rFonts w:ascii="宋体" w:hAnsi="宋体" w:cs="宋体" w:eastAsia="宋体" w:hint="default"/>
                <w:spacing w:val="-14"/>
                <w:sz w:val="18"/>
                <w:szCs w:val="18"/>
              </w:rPr>
              <w:t>易（厦门）信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息科技有限 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16,139,592.6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7,344,218.64</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17,886,462.4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0"/>
              <w:jc w:val="right"/>
              <w:rPr>
                <w:rFonts w:ascii="Times New Roman" w:hAnsi="Times New Roman" w:cs="Times New Roman" w:eastAsia="Times New Roman" w:hint="default"/>
                <w:sz w:val="18"/>
                <w:szCs w:val="18"/>
              </w:rPr>
            </w:pPr>
            <w:r>
              <w:rPr>
                <w:rFonts w:ascii="Times New Roman"/>
                <w:spacing w:val="-1"/>
                <w:sz w:val="18"/>
              </w:rPr>
              <w:t>1,765,310.19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pacing w:val="-1"/>
                <w:sz w:val="18"/>
              </w:rPr>
              <w:t>1,996,795.26</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北京易联众 智康科技有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1,346,781.85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-1,218,693.8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4,342,362.36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-6,112,610.0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-6,389,130.9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山西易联众 民生科技有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7,785,635.32</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5,416,087.03</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5,174,208.12</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2,250,625.68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2,076,206.92</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安徽易惠天 下软件科技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14,190,974.8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10,871,219.5</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18,577,400.0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9,929,282.94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9,681,450.12</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山西无感付 科技有限公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7,607,672.14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6,592,452.18</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2,626,076.48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1,698,892.07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1,562,209.56</w:t>
            </w:r>
          </w:p>
        </w:tc>
      </w:tr>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福州欣贝康 医药科技有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1,214,155.34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1,180,959.39</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12,783.76</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-810,793.60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-611,559.62</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三明易就医 信息技术有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1,537,777.76</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1,366,932.07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1,288,964.44</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912,536.09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866,932.07</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7"/>
              <w:jc w:val="both"/>
              <w:rPr>
                <w:rFonts w:ascii="宋体" w:hAnsi="宋体" w:cs="宋体" w:eastAsia="宋体" w:hint="default"/>
                <w:sz w:val="18"/>
                <w:szCs w:val="18"/>
              </w:rPr>
            </w:pPr>
            <w:r>
              <w:rPr>
                <w:rFonts w:ascii="宋体" w:hAnsi="宋体" w:cs="宋体" w:eastAsia="宋体" w:hint="default"/>
                <w:sz w:val="18"/>
                <w:szCs w:val="18"/>
              </w:rPr>
              <w:t>福建易联众 易达迅教育 科技有限公 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5,000,000.00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2,423,647.59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2,242,428.51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w w:val="95"/>
                <w:sz w:val="18"/>
              </w:rPr>
              <w:t>4,432.08</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-2,982,730.6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-2,476,521.6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湖南易联众 鑫卫信息科 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1,054,355.74</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941,374.95</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-1,309,465.9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-1,058,625.0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054"/>
        <w:gridCol w:w="1198"/>
        <w:gridCol w:w="1045"/>
        <w:gridCol w:w="1044"/>
        <w:gridCol w:w="1047"/>
        <w:gridCol w:w="1046"/>
        <w:gridCol w:w="1044"/>
        <w:gridCol w:w="1045"/>
        <w:gridCol w:w="1046"/>
      </w:tblGrid>
      <w:tr>
        <w:trPr>
          <w:trHeight w:val="1025"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陕西易联众 金纳信息技 术有限公司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1,130,646.31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969,102.11</w:t>
            </w:r>
          </w:p>
        </w:tc>
        <w:tc>
          <w:tcPr>
            <w:tcW w:w="1044"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-1,305,433.9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-1,030,897.8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8"/>
              <w:jc w:val="both"/>
              <w:rPr>
                <w:rFonts w:ascii="宋体" w:hAnsi="宋体" w:cs="宋体" w:eastAsia="宋体" w:hint="default"/>
                <w:sz w:val="18"/>
                <w:szCs w:val="18"/>
              </w:rPr>
            </w:pPr>
            <w:r>
              <w:rPr>
                <w:rFonts w:ascii="宋体" w:hAnsi="宋体" w:cs="宋体" w:eastAsia="宋体" w:hint="default"/>
                <w:sz w:val="18"/>
                <w:szCs w:val="18"/>
              </w:rPr>
              <w:t>山西易联众 惠民科技有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10"/>
              <w:jc w:val="both"/>
              <w:rPr>
                <w:rFonts w:ascii="宋体" w:hAnsi="宋体" w:cs="宋体" w:eastAsia="宋体" w:hint="default"/>
                <w:sz w:val="18"/>
                <w:szCs w:val="18"/>
              </w:rPr>
            </w:pPr>
            <w:r>
              <w:rPr>
                <w:rFonts w:ascii="宋体" w:hAnsi="宋体" w:cs="宋体" w:eastAsia="宋体" w:hint="default"/>
                <w:sz w:val="18"/>
                <w:szCs w:val="18"/>
              </w:rPr>
              <w:t>软件开发及 应用系统集 成</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36,000,000.0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22,547,218.5</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14,018,263.9</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67" w:right="0"/>
              <w:jc w:val="left"/>
              <w:rPr>
                <w:rFonts w:ascii="Times New Roman" w:hAnsi="Times New Roman" w:cs="Times New Roman" w:eastAsia="Times New Roman" w:hint="default"/>
                <w:sz w:val="18"/>
                <w:szCs w:val="18"/>
              </w:rPr>
            </w:pPr>
            <w:r>
              <w:rPr>
                <w:rFonts w:ascii="Times New Roman"/>
                <w:sz w:val="18"/>
              </w:rPr>
              <w:t>9,703,354.19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4,117,098.78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3,218,263.92</w:t>
            </w:r>
          </w:p>
        </w:tc>
      </w:tr>
    </w:tbl>
    <w:p>
      <w:pPr>
        <w:pStyle w:val="BodyText"/>
        <w:spacing w:line="240" w:lineRule="auto" w:before="51"/>
        <w:ind w:right="1133"/>
        <w:jc w:val="left"/>
      </w:pPr>
      <w:r>
        <w:rPr/>
        <w:t>报告期内取得和处置子公司的情况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1"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陕西易联众金纳信息技术有限公司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湖南易联众鑫卫信息科技有限公司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山西易联众惠民科技有限公司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安徽易联众科技发展有限公司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福州灵医科技有限公司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北京珩泰科技发展有限公司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吉林易联旭信息技术有限公司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山东易联众网络科技有限公司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河南易联众盈信息技术有限公司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厦门易联众商业保理有限公司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转让出售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湖州百路源投资管理有限公司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转让出售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影响净利润</w:t>
            </w:r>
          </w:p>
        </w:tc>
      </w:tr>
    </w:tbl>
    <w:p>
      <w:pPr>
        <w:pStyle w:val="BodyText"/>
        <w:spacing w:line="360" w:lineRule="auto" w:before="51"/>
        <w:ind w:right="8594"/>
        <w:jc w:val="left"/>
      </w:pPr>
      <w:r>
        <w:rPr/>
        <w:t>主要控股参股公司情况说明 无</w:t>
      </w:r>
    </w:p>
    <w:p>
      <w:pPr>
        <w:spacing w:line="240" w:lineRule="auto" w:before="5"/>
        <w:rPr>
          <w:rFonts w:ascii="宋体" w:hAnsi="宋体" w:cs="宋体" w:eastAsia="宋体" w:hint="default"/>
          <w:sz w:val="18"/>
          <w:szCs w:val="18"/>
        </w:rPr>
      </w:pPr>
    </w:p>
    <w:p>
      <w:pPr>
        <w:pStyle w:val="Heading2"/>
        <w:spacing w:line="240" w:lineRule="auto"/>
        <w:ind w:right="0"/>
        <w:jc w:val="both"/>
        <w:rPr>
          <w:b w:val="0"/>
          <w:bCs w:val="0"/>
        </w:rPr>
      </w:pPr>
      <w:r>
        <w:rPr/>
        <w:t>八、公司控制的结构化主体情况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九、公司未来发展的展望</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left="441" w:right="1133"/>
        <w:jc w:val="left"/>
      </w:pPr>
      <w:r>
        <w:rPr/>
        <w:t>（一）行业格局和趋势 </w:t>
      </w:r>
      <w:r>
        <w:rPr>
          <w:spacing w:val="-1"/>
        </w:rPr>
        <w:t>从政策层面看，我国政府始终以人民为中心。《</w:t>
      </w:r>
      <w:r>
        <w:rPr>
          <w:rFonts w:ascii="Times New Roman" w:hAnsi="Times New Roman" w:cs="Times New Roman" w:eastAsia="Times New Roman" w:hint="default"/>
          <w:spacing w:val="-1"/>
        </w:rPr>
        <w:t>2018</w:t>
      </w:r>
      <w:r>
        <w:rPr>
          <w:spacing w:val="-1"/>
        </w:rPr>
        <w:t>年政府工作报告》多次强调要加强和改善民生，财政支出向民生等</w:t>
      </w:r>
    </w:p>
    <w:p>
      <w:pPr>
        <w:pStyle w:val="BodyText"/>
        <w:spacing w:line="300" w:lineRule="auto"/>
        <w:ind w:right="1135"/>
        <w:jc w:val="both"/>
      </w:pPr>
      <w:r>
        <w:rPr>
          <w:spacing w:val="-2"/>
        </w:rPr>
        <w:t>领域倾斜。《</w:t>
      </w:r>
      <w:r>
        <w:rPr>
          <w:rFonts w:ascii="Times New Roman" w:hAnsi="Times New Roman" w:cs="Times New Roman" w:eastAsia="Times New Roman" w:hint="default"/>
          <w:spacing w:val="-2"/>
        </w:rPr>
        <w:t>2019</w:t>
      </w:r>
      <w:r>
        <w:rPr>
          <w:spacing w:val="-2"/>
        </w:rPr>
        <w:t>年政府工作报告》再次强调，要坚持在发展中保障和改善民生，加大基本养老、基本医疗等保障力度，并</w:t>
      </w:r>
      <w:r>
        <w:rPr>
          <w:spacing w:val="-69"/>
        </w:rPr>
        <w:t> </w:t>
      </w:r>
      <w:r>
        <w:rPr>
          <w:spacing w:val="-69"/>
        </w:rPr>
      </w:r>
      <w:r>
        <w:rPr/>
        <w:t>深化</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政务服务</w:t>
      </w:r>
      <w:r>
        <w:rPr>
          <w:rFonts w:ascii="Times New Roman" w:hAnsi="Times New Roman" w:cs="Times New Roman" w:eastAsia="Times New Roman" w:hint="default"/>
        </w:rPr>
        <w:t>”</w:t>
      </w:r>
      <w:r>
        <w:rPr/>
        <w:t>。党的十九大报告中也提出，要加强社会保障体系建设，按照兜底线、织密网、建机制的要求，全 面建成覆盖全民、城乡统筹、权责清晰、保障适度、可持续的多层次社会保障体系。</w:t>
      </w:r>
    </w:p>
    <w:p>
      <w:pPr>
        <w:pStyle w:val="BodyText"/>
        <w:spacing w:line="300" w:lineRule="auto" w:before="31"/>
        <w:ind w:left="441" w:right="1133"/>
        <w:jc w:val="left"/>
      </w:pPr>
      <w:r>
        <w:rPr>
          <w:rFonts w:ascii="Times New Roman" w:hAnsi="Times New Roman" w:cs="Times New Roman" w:eastAsia="Times New Roman" w:hint="default"/>
        </w:rPr>
        <w:t>1.</w:t>
      </w:r>
      <w:r>
        <w:rPr/>
        <w:t>医改政策及趋势 </w:t>
      </w:r>
      <w:r>
        <w:rPr>
          <w:spacing w:val="-1"/>
        </w:rPr>
        <w:t>随着医改的实施及国家基本医疗卫生制度的建立，加快发展健康服务业成为健全全民医保体系、深化医药卫生体制改革</w:t>
      </w:r>
    </w:p>
    <w:p>
      <w:pPr>
        <w:pStyle w:val="BodyText"/>
        <w:spacing w:line="240" w:lineRule="auto" w:before="31"/>
        <w:ind w:right="0"/>
        <w:jc w:val="both"/>
      </w:pPr>
      <w:r>
        <w:rPr/>
        <w:t>新阶段的重要任务。</w:t>
      </w:r>
    </w:p>
    <w:p>
      <w:pPr>
        <w:pStyle w:val="BodyText"/>
        <w:spacing w:line="300" w:lineRule="auto" w:before="77"/>
        <w:ind w:right="0" w:firstLine="288"/>
        <w:jc w:val="left"/>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17</w:t>
      </w:r>
      <w:r>
        <w:rPr>
          <w:spacing w:val="-2"/>
        </w:rPr>
        <w:t>日，十三届全国人大一次会议表决通过关于国务院机构改革方案，其中为深化推进</w:t>
      </w:r>
      <w:r>
        <w:rPr>
          <w:rFonts w:ascii="Times New Roman" w:hAnsi="Times New Roman" w:cs="Times New Roman" w:eastAsia="Times New Roman" w:hint="default"/>
          <w:spacing w:val="-2"/>
        </w:rPr>
        <w:t>“</w:t>
      </w:r>
      <w:r>
        <w:rPr>
          <w:spacing w:val="-2"/>
        </w:rPr>
        <w:t>三医联动</w:t>
      </w:r>
      <w:r>
        <w:rPr>
          <w:rFonts w:ascii="Times New Roman" w:hAnsi="Times New Roman" w:cs="Times New Roman" w:eastAsia="Times New Roman" w:hint="default"/>
          <w:spacing w:val="-2"/>
        </w:rPr>
        <w:t>”</w:t>
      </w:r>
      <w:r>
        <w:rPr>
          <w:spacing w:val="-2"/>
        </w:rPr>
        <w:t>改革，确定新</w:t>
      </w:r>
      <w:r>
        <w:rPr/>
        <w:t> 组建国家医疗保障局，这是对三明和福建省试点经验的肯定，也是总结、提升和推广。</w:t>
      </w:r>
    </w:p>
    <w:p>
      <w:pPr>
        <w:pStyle w:val="BodyText"/>
        <w:spacing w:line="240" w:lineRule="auto" w:before="31"/>
        <w:ind w:left="441" w:right="1133"/>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6</w:t>
      </w:r>
      <w:r>
        <w:rPr/>
        <w:t>日，国务院深化医药卫生体制改革领导小组发布《关于进一步推广福建省和三明市深化医药卫生体制改革</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034"/>
        <w:jc w:val="left"/>
      </w:pPr>
      <w:r>
        <w:rPr/>
        <w:t>经验的通知》，再次肯定了近年来福建省和三明市的医药卫生体制改革实践，提出要充分发挥典型经验对全局改革的示范、 突破、带动作用，推动医改向纵深发展。</w:t>
      </w:r>
    </w:p>
    <w:p>
      <w:pPr>
        <w:pStyle w:val="BodyText"/>
        <w:spacing w:line="316" w:lineRule="auto" w:before="19"/>
        <w:ind w:right="1133" w:firstLine="288"/>
        <w:jc w:val="left"/>
      </w:pPr>
      <w:r>
        <w:rPr>
          <w:spacing w:val="-1"/>
        </w:rPr>
        <w:t>公司作为三明医改总集成商和福建省全省医保信息化总承建商，具备先发优势，将给公司医保信息化和大数据业务带来</w:t>
      </w:r>
      <w:r>
        <w:rPr/>
        <w:t> 积极影响，把公司已经形成的产品推广到其他省份和地区，在医保服务和监管上发挥作用。</w:t>
      </w:r>
    </w:p>
    <w:p>
      <w:pPr>
        <w:pStyle w:val="BodyText"/>
        <w:spacing w:line="300" w:lineRule="auto" w:before="19"/>
        <w:ind w:left="441" w:right="1031"/>
        <w:jc w:val="left"/>
      </w:pPr>
      <w:r>
        <w:rPr>
          <w:rFonts w:ascii="Times New Roman" w:hAnsi="Times New Roman" w:cs="Times New Roman" w:eastAsia="Times New Roman" w:hint="default"/>
        </w:rPr>
        <w:t>2.</w:t>
      </w:r>
      <w:r>
        <w:rPr/>
        <w:t>医保政策及趋势 </w:t>
      </w:r>
      <w:r>
        <w:rPr>
          <w:spacing w:val="-2"/>
        </w:rPr>
        <w:t>随着国家医疗保障局的成立，医保信息化建设被提上了一个新的高度。国家医保局在医保基金监管、医保标准化等方面，</w:t>
      </w:r>
    </w:p>
    <w:p>
      <w:pPr>
        <w:pStyle w:val="BodyText"/>
        <w:spacing w:line="240" w:lineRule="auto" w:before="31"/>
        <w:ind w:right="1133"/>
        <w:jc w:val="left"/>
      </w:pPr>
      <w:r>
        <w:rPr/>
        <w:t>对医保信息化提出了新的要求。</w:t>
      </w:r>
    </w:p>
    <w:p>
      <w:pPr>
        <w:spacing w:line="240" w:lineRule="auto" w:before="5"/>
        <w:rPr>
          <w:rFonts w:ascii="宋体" w:hAnsi="宋体" w:cs="宋体" w:eastAsia="宋体" w:hint="default"/>
          <w:sz w:val="5"/>
          <w:szCs w:val="5"/>
        </w:rPr>
      </w:pPr>
    </w:p>
    <w:tbl>
      <w:tblPr>
        <w:tblW w:w="0" w:type="auto"/>
        <w:jc w:val="left"/>
        <w:tblInd w:w="237" w:type="dxa"/>
        <w:tblLayout w:type="fixed"/>
        <w:tblCellMar>
          <w:top w:w="0" w:type="dxa"/>
          <w:left w:w="0" w:type="dxa"/>
          <w:bottom w:w="0" w:type="dxa"/>
          <w:right w:w="0" w:type="dxa"/>
        </w:tblCellMar>
        <w:tblLook w:val="01E0"/>
      </w:tblPr>
      <w:tblGrid>
        <w:gridCol w:w="1287"/>
        <w:gridCol w:w="1378"/>
        <w:gridCol w:w="5465"/>
      </w:tblGrid>
      <w:tr>
        <w:trPr>
          <w:trHeight w:val="342" w:hRule="exact"/>
        </w:trPr>
        <w:tc>
          <w:tcPr>
            <w:tcW w:w="1287"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15"/>
              <w:ind w:left="355" w:right="0"/>
              <w:jc w:val="left"/>
              <w:rPr>
                <w:rFonts w:ascii="宋体" w:hAnsi="宋体" w:cs="宋体" w:eastAsia="宋体" w:hint="default"/>
                <w:sz w:val="18"/>
                <w:szCs w:val="18"/>
              </w:rPr>
            </w:pPr>
            <w:r>
              <w:rPr>
                <w:rFonts w:ascii="宋体" w:hAnsi="宋体" w:cs="宋体" w:eastAsia="宋体" w:hint="default"/>
                <w:b/>
                <w:bCs/>
                <w:sz w:val="18"/>
                <w:szCs w:val="18"/>
              </w:rPr>
              <w:t>发布时间</w:t>
            </w:r>
            <w:r>
              <w:rPr>
                <w:rFonts w:ascii="宋体" w:hAnsi="宋体" w:cs="宋体" w:eastAsia="宋体" w:hint="default"/>
                <w:sz w:val="18"/>
                <w:szCs w:val="18"/>
              </w:rPr>
            </w:r>
          </w:p>
        </w:tc>
        <w:tc>
          <w:tcPr>
            <w:tcW w:w="1378"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15"/>
              <w:ind w:left="423" w:right="0"/>
              <w:jc w:val="left"/>
              <w:rPr>
                <w:rFonts w:ascii="宋体" w:hAnsi="宋体" w:cs="宋体" w:eastAsia="宋体" w:hint="default"/>
                <w:sz w:val="18"/>
                <w:szCs w:val="18"/>
              </w:rPr>
            </w:pPr>
            <w:r>
              <w:rPr>
                <w:rFonts w:ascii="宋体" w:hAnsi="宋体" w:cs="宋体" w:eastAsia="宋体" w:hint="default"/>
                <w:b/>
                <w:bCs/>
                <w:sz w:val="18"/>
                <w:szCs w:val="18"/>
              </w:rPr>
              <w:t>发布单位</w:t>
            </w:r>
            <w:r>
              <w:rPr>
                <w:rFonts w:ascii="宋体" w:hAnsi="宋体" w:cs="宋体" w:eastAsia="宋体" w:hint="default"/>
                <w:sz w:val="18"/>
                <w:szCs w:val="18"/>
              </w:rPr>
            </w:r>
          </w:p>
        </w:tc>
        <w:tc>
          <w:tcPr>
            <w:tcW w:w="5465" w:type="dxa"/>
            <w:tcBorders>
              <w:top w:val="single" w:sz="8" w:space="0" w:color="000000"/>
              <w:left w:val="nil" w:sz="6" w:space="0" w:color="auto"/>
              <w:bottom w:val="single" w:sz="8" w:space="0" w:color="000000"/>
              <w:right w:val="nil" w:sz="6" w:space="0" w:color="auto"/>
            </w:tcBorders>
            <w:shd w:val="clear" w:color="auto" w:fill="BEBEBE"/>
          </w:tcPr>
          <w:p>
            <w:pPr>
              <w:pStyle w:val="TableParagraph"/>
              <w:spacing w:line="240" w:lineRule="auto" w:before="15"/>
              <w:ind w:left="41" w:right="0"/>
              <w:jc w:val="center"/>
              <w:rPr>
                <w:rFonts w:ascii="宋体" w:hAnsi="宋体" w:cs="宋体" w:eastAsia="宋体" w:hint="default"/>
                <w:sz w:val="18"/>
                <w:szCs w:val="18"/>
              </w:rPr>
            </w:pPr>
            <w:r>
              <w:rPr>
                <w:rFonts w:ascii="宋体" w:hAnsi="宋体" w:cs="宋体" w:eastAsia="宋体" w:hint="default"/>
                <w:b/>
                <w:bCs/>
                <w:sz w:val="18"/>
                <w:szCs w:val="18"/>
              </w:rPr>
              <w:t>政策要点</w:t>
            </w:r>
            <w:r>
              <w:rPr>
                <w:rFonts w:ascii="宋体" w:hAnsi="宋体" w:cs="宋体" w:eastAsia="宋体" w:hint="default"/>
                <w:sz w:val="18"/>
                <w:szCs w:val="18"/>
              </w:rPr>
            </w:r>
          </w:p>
        </w:tc>
      </w:tr>
      <w:tr>
        <w:trPr>
          <w:trHeight w:val="1605" w:hRule="exact"/>
        </w:trPr>
        <w:tc>
          <w:tcPr>
            <w:tcW w:w="1287" w:type="dxa"/>
            <w:tcBorders>
              <w:top w:val="single" w:sz="12" w:space="0" w:color="000000"/>
              <w:left w:val="nil" w:sz="6" w:space="0" w:color="auto"/>
              <w:bottom w:val="single" w:sz="8"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378" w:type="dxa"/>
            <w:tcBorders>
              <w:top w:val="single" w:sz="12" w:space="0" w:color="000000"/>
              <w:left w:val="nil" w:sz="6" w:space="0" w:color="auto"/>
              <w:bottom w:val="single" w:sz="8" w:space="0" w:color="000000"/>
              <w:right w:val="nil" w:sz="6" w:space="0" w:color="auto"/>
            </w:tcBorders>
          </w:tcPr>
          <w:p>
            <w:pPr>
              <w:pStyle w:val="TableParagraph"/>
              <w:spacing w:line="316" w:lineRule="auto" w:before="20"/>
              <w:ind w:left="661" w:right="85" w:hanging="452"/>
              <w:jc w:val="left"/>
              <w:rPr>
                <w:rFonts w:ascii="宋体" w:hAnsi="宋体" w:cs="宋体" w:eastAsia="宋体" w:hint="default"/>
                <w:sz w:val="18"/>
                <w:szCs w:val="18"/>
              </w:rPr>
            </w:pPr>
            <w:r>
              <w:rPr>
                <w:rFonts w:ascii="宋体" w:hAnsi="宋体" w:cs="宋体" w:eastAsia="宋体" w:hint="default"/>
                <w:sz w:val="18"/>
                <w:szCs w:val="18"/>
              </w:rPr>
              <w:t>国家医疗保障 局</w:t>
            </w:r>
          </w:p>
        </w:tc>
        <w:tc>
          <w:tcPr>
            <w:tcW w:w="5465" w:type="dxa"/>
            <w:tcBorders>
              <w:top w:val="single" w:sz="12" w:space="0" w:color="000000"/>
              <w:left w:val="nil" w:sz="6" w:space="0" w:color="auto"/>
              <w:bottom w:val="single" w:sz="8" w:space="0" w:color="000000"/>
              <w:right w:val="nil" w:sz="6" w:space="0" w:color="auto"/>
            </w:tcBorders>
          </w:tcPr>
          <w:p>
            <w:pPr>
              <w:pStyle w:val="TableParagraph"/>
              <w:spacing w:line="309" w:lineRule="auto" w:before="20"/>
              <w:ind w:left="54" w:right="2"/>
              <w:jc w:val="both"/>
              <w:rPr>
                <w:rFonts w:ascii="宋体" w:hAnsi="宋体" w:cs="宋体" w:eastAsia="宋体" w:hint="default"/>
                <w:sz w:val="18"/>
                <w:szCs w:val="18"/>
              </w:rPr>
            </w:pPr>
            <w:r>
              <w:rPr>
                <w:rFonts w:ascii="宋体" w:hAnsi="宋体" w:cs="宋体" w:eastAsia="宋体" w:hint="default"/>
                <w:sz w:val="18"/>
                <w:szCs w:val="18"/>
              </w:rPr>
              <w:t>《关于做好</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年医疗保障基金监管工作的通知》要求各省级医保部 门要全面梳理辖区内智能监控信息系统建设情况，加强督促指导，依 据全国统一的技术标准、业务标准、业务规范和国家医疗保障信息平 台建设需求，构建本地区医疗保障智能监控信息系统，力争</w:t>
            </w:r>
            <w:r>
              <w:rPr>
                <w:rFonts w:ascii="Times New Roman" w:hAnsi="Times New Roman" w:cs="Times New Roman" w:eastAsia="Times New Roman" w:hint="default"/>
                <w:sz w:val="18"/>
                <w:szCs w:val="18"/>
              </w:rPr>
              <w:t>2019</w:t>
            </w:r>
            <w:r>
              <w:rPr>
                <w:rFonts w:ascii="宋体" w:hAnsi="宋体" w:cs="宋体" w:eastAsia="宋体" w:hint="default"/>
                <w:sz w:val="18"/>
                <w:szCs w:val="18"/>
              </w:rPr>
              <w:t>年底</w:t>
            </w:r>
            <w:r>
              <w:rPr>
                <w:rFonts w:ascii="宋体" w:hAnsi="宋体" w:cs="宋体" w:eastAsia="宋体" w:hint="default"/>
                <w:spacing w:val="-86"/>
                <w:sz w:val="18"/>
                <w:szCs w:val="18"/>
              </w:rPr>
              <w:t> </w:t>
            </w:r>
            <w:r>
              <w:rPr>
                <w:rFonts w:ascii="宋体" w:hAnsi="宋体" w:cs="宋体" w:eastAsia="宋体" w:hint="default"/>
                <w:sz w:val="18"/>
                <w:szCs w:val="18"/>
              </w:rPr>
              <w:t>前部分信息化建设试点地区实现医疗保障智能监控系统上线试运行。</w:t>
            </w:r>
          </w:p>
        </w:tc>
      </w:tr>
      <w:tr>
        <w:trPr>
          <w:trHeight w:val="977" w:hRule="exact"/>
        </w:trPr>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22"/>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p>
        </w:tc>
        <w:tc>
          <w:tcPr>
            <w:tcW w:w="1378" w:type="dxa"/>
            <w:tcBorders>
              <w:top w:val="single" w:sz="8" w:space="0" w:color="000000"/>
              <w:left w:val="nil" w:sz="6" w:space="0" w:color="auto"/>
              <w:bottom w:val="single" w:sz="8" w:space="0" w:color="000000"/>
              <w:right w:val="nil" w:sz="6" w:space="0" w:color="auto"/>
            </w:tcBorders>
          </w:tcPr>
          <w:p>
            <w:pPr>
              <w:pStyle w:val="TableParagraph"/>
              <w:spacing w:line="316" w:lineRule="auto" w:before="22"/>
              <w:ind w:left="694" w:right="52" w:hanging="452"/>
              <w:jc w:val="left"/>
              <w:rPr>
                <w:rFonts w:ascii="宋体" w:hAnsi="宋体" w:cs="宋体" w:eastAsia="宋体" w:hint="default"/>
                <w:sz w:val="18"/>
                <w:szCs w:val="18"/>
              </w:rPr>
            </w:pPr>
            <w:r>
              <w:rPr>
                <w:rFonts w:ascii="宋体" w:hAnsi="宋体" w:cs="宋体" w:eastAsia="宋体" w:hint="default"/>
                <w:sz w:val="18"/>
                <w:szCs w:val="18"/>
              </w:rPr>
              <w:t>国家医疗保障 局</w:t>
            </w:r>
          </w:p>
        </w:tc>
        <w:tc>
          <w:tcPr>
            <w:tcW w:w="5465" w:type="dxa"/>
            <w:tcBorders>
              <w:top w:val="single" w:sz="8" w:space="0" w:color="000000"/>
              <w:left w:val="nil" w:sz="6" w:space="0" w:color="auto"/>
              <w:bottom w:val="single" w:sz="8" w:space="0" w:color="000000"/>
              <w:right w:val="nil" w:sz="6" w:space="0" w:color="auto"/>
            </w:tcBorders>
          </w:tcPr>
          <w:p>
            <w:pPr>
              <w:pStyle w:val="TableParagraph"/>
              <w:spacing w:line="300" w:lineRule="auto" w:before="22"/>
              <w:ind w:left="54" w:right="8"/>
              <w:jc w:val="both"/>
              <w:rPr>
                <w:rFonts w:ascii="宋体" w:hAnsi="宋体" w:cs="宋体" w:eastAsia="宋体" w:hint="default"/>
                <w:sz w:val="18"/>
                <w:szCs w:val="18"/>
              </w:rPr>
            </w:pPr>
            <w:r>
              <w:rPr>
                <w:rFonts w:ascii="宋体" w:hAnsi="宋体" w:cs="宋体" w:eastAsia="宋体" w:hint="default"/>
                <w:sz w:val="18"/>
                <w:szCs w:val="18"/>
              </w:rPr>
              <w:t>《关于开展医保基金监管</w:t>
            </w:r>
            <w:r>
              <w:rPr>
                <w:rFonts w:ascii="Times New Roman" w:hAnsi="Times New Roman" w:cs="Times New Roman" w:eastAsia="Times New Roman" w:hint="default"/>
                <w:sz w:val="18"/>
                <w:szCs w:val="18"/>
              </w:rPr>
              <w:t>“</w:t>
            </w:r>
            <w:r>
              <w:rPr>
                <w:rFonts w:ascii="宋体" w:hAnsi="宋体" w:cs="宋体" w:eastAsia="宋体" w:hint="default"/>
                <w:sz w:val="18"/>
                <w:szCs w:val="18"/>
              </w:rPr>
              <w:t>两试点一示范</w:t>
            </w:r>
            <w:r>
              <w:rPr>
                <w:rFonts w:ascii="Times New Roman" w:hAnsi="Times New Roman" w:cs="Times New Roman" w:eastAsia="Times New Roman" w:hint="default"/>
                <w:sz w:val="18"/>
                <w:szCs w:val="18"/>
              </w:rPr>
              <w:t>”</w:t>
            </w:r>
            <w:r>
              <w:rPr>
                <w:rFonts w:ascii="宋体" w:hAnsi="宋体" w:cs="宋体" w:eastAsia="宋体" w:hint="default"/>
                <w:sz w:val="18"/>
                <w:szCs w:val="18"/>
              </w:rPr>
              <w:t>工作的通知》对医保智能监 </w:t>
            </w:r>
            <w:r>
              <w:rPr>
                <w:rFonts w:ascii="宋体" w:hAnsi="宋体" w:cs="宋体" w:eastAsia="宋体" w:hint="default"/>
                <w:spacing w:val="-3"/>
                <w:sz w:val="18"/>
                <w:szCs w:val="18"/>
              </w:rPr>
              <w:t>控提出了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提升智能监控功能、丰富智能监测维度、建立省级集中监控</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系统</w:t>
            </w:r>
            <w:r>
              <w:rPr>
                <w:rFonts w:ascii="Times New Roman" w:hAnsi="Times New Roman" w:cs="Times New Roman" w:eastAsia="Times New Roman" w:hint="default"/>
                <w:sz w:val="18"/>
                <w:szCs w:val="18"/>
              </w:rPr>
              <w:t>”</w:t>
            </w:r>
            <w:r>
              <w:rPr>
                <w:rFonts w:ascii="宋体" w:hAnsi="宋体" w:cs="宋体" w:eastAsia="宋体" w:hint="default"/>
                <w:sz w:val="18"/>
                <w:szCs w:val="18"/>
              </w:rPr>
              <w:t>的新要求。</w:t>
            </w:r>
          </w:p>
        </w:tc>
      </w:tr>
      <w:tr>
        <w:trPr>
          <w:trHeight w:val="977" w:hRule="exact"/>
        </w:trPr>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w:t>
            </w:r>
          </w:p>
        </w:tc>
        <w:tc>
          <w:tcPr>
            <w:tcW w:w="1378" w:type="dxa"/>
            <w:tcBorders>
              <w:top w:val="single" w:sz="8" w:space="0" w:color="000000"/>
              <w:left w:val="nil" w:sz="6" w:space="0" w:color="auto"/>
              <w:bottom w:val="single" w:sz="8" w:space="0" w:color="000000"/>
              <w:right w:val="nil" w:sz="6" w:space="0" w:color="auto"/>
            </w:tcBorders>
          </w:tcPr>
          <w:p>
            <w:pPr>
              <w:pStyle w:val="TableParagraph"/>
              <w:spacing w:line="316" w:lineRule="auto" w:before="20"/>
              <w:ind w:left="694" w:right="52" w:hanging="452"/>
              <w:jc w:val="left"/>
              <w:rPr>
                <w:rFonts w:ascii="宋体" w:hAnsi="宋体" w:cs="宋体" w:eastAsia="宋体" w:hint="default"/>
                <w:sz w:val="18"/>
                <w:szCs w:val="18"/>
              </w:rPr>
            </w:pPr>
            <w:r>
              <w:rPr>
                <w:rFonts w:ascii="宋体" w:hAnsi="宋体" w:cs="宋体" w:eastAsia="宋体" w:hint="default"/>
                <w:sz w:val="18"/>
                <w:szCs w:val="18"/>
              </w:rPr>
              <w:t>国家医疗保障 局</w:t>
            </w:r>
          </w:p>
        </w:tc>
        <w:tc>
          <w:tcPr>
            <w:tcW w:w="5465" w:type="dxa"/>
            <w:tcBorders>
              <w:top w:val="single" w:sz="8" w:space="0" w:color="000000"/>
              <w:left w:val="nil" w:sz="6" w:space="0" w:color="auto"/>
              <w:bottom w:val="single" w:sz="8" w:space="0" w:color="000000"/>
              <w:right w:val="nil" w:sz="6" w:space="0" w:color="auto"/>
            </w:tcBorders>
          </w:tcPr>
          <w:p>
            <w:pPr>
              <w:pStyle w:val="TableParagraph"/>
              <w:spacing w:line="316" w:lineRule="auto" w:before="20"/>
              <w:ind w:left="54" w:right="8"/>
              <w:jc w:val="both"/>
              <w:rPr>
                <w:rFonts w:ascii="宋体" w:hAnsi="宋体" w:cs="宋体" w:eastAsia="宋体" w:hint="default"/>
                <w:sz w:val="18"/>
                <w:szCs w:val="18"/>
              </w:rPr>
            </w:pPr>
            <w:r>
              <w:rPr>
                <w:rFonts w:ascii="宋体" w:hAnsi="宋体" w:cs="宋体" w:eastAsia="宋体" w:hint="default"/>
                <w:sz w:val="18"/>
                <w:szCs w:val="18"/>
              </w:rPr>
              <w:t>《国家医疗保障局关于印发医疗保障标准化工作指导意见的通知》提 出，以全国医疗保障信息化建设为支撑，逐步形成全国统一的标准规 范。</w:t>
            </w:r>
          </w:p>
        </w:tc>
      </w:tr>
      <w:tr>
        <w:trPr>
          <w:trHeight w:val="1601" w:hRule="exact"/>
        </w:trPr>
        <w:tc>
          <w:tcPr>
            <w:tcW w:w="1287" w:type="dxa"/>
            <w:tcBorders>
              <w:top w:val="single" w:sz="8" w:space="0" w:color="000000"/>
              <w:left w:val="nil" w:sz="6" w:space="0" w:color="auto"/>
              <w:bottom w:val="single" w:sz="8" w:space="0" w:color="000000"/>
              <w:right w:val="nil" w:sz="6" w:space="0" w:color="auto"/>
            </w:tcBorders>
          </w:tcPr>
          <w:p>
            <w:pPr>
              <w:pStyle w:val="TableParagraph"/>
              <w:spacing w:line="240" w:lineRule="auto" w:before="20"/>
              <w:ind w:left="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378" w:type="dxa"/>
            <w:tcBorders>
              <w:top w:val="single" w:sz="8" w:space="0" w:color="000000"/>
              <w:left w:val="nil" w:sz="6" w:space="0" w:color="auto"/>
              <w:bottom w:val="single" w:sz="8" w:space="0" w:color="000000"/>
              <w:right w:val="nil" w:sz="6" w:space="0" w:color="auto"/>
            </w:tcBorders>
          </w:tcPr>
          <w:p>
            <w:pPr>
              <w:pStyle w:val="TableParagraph"/>
              <w:spacing w:line="319" w:lineRule="auto" w:before="20"/>
              <w:ind w:left="694" w:right="52" w:hanging="452"/>
              <w:jc w:val="left"/>
              <w:rPr>
                <w:rFonts w:ascii="宋体" w:hAnsi="宋体" w:cs="宋体" w:eastAsia="宋体" w:hint="default"/>
                <w:sz w:val="18"/>
                <w:szCs w:val="18"/>
              </w:rPr>
            </w:pPr>
            <w:r>
              <w:rPr>
                <w:rFonts w:ascii="宋体" w:hAnsi="宋体" w:cs="宋体" w:eastAsia="宋体" w:hint="default"/>
                <w:sz w:val="18"/>
                <w:szCs w:val="18"/>
              </w:rPr>
              <w:t>国家医疗保障 局</w:t>
            </w:r>
          </w:p>
        </w:tc>
        <w:tc>
          <w:tcPr>
            <w:tcW w:w="5465" w:type="dxa"/>
            <w:tcBorders>
              <w:top w:val="single" w:sz="8" w:space="0" w:color="000000"/>
              <w:left w:val="nil" w:sz="6" w:space="0" w:color="auto"/>
              <w:bottom w:val="single" w:sz="8" w:space="0" w:color="000000"/>
              <w:right w:val="nil" w:sz="6" w:space="0" w:color="auto"/>
            </w:tcBorders>
          </w:tcPr>
          <w:p>
            <w:pPr>
              <w:pStyle w:val="TableParagraph"/>
              <w:spacing w:line="309" w:lineRule="auto" w:before="20"/>
              <w:ind w:left="54" w:right="8"/>
              <w:jc w:val="left"/>
              <w:rPr>
                <w:rFonts w:ascii="宋体" w:hAnsi="宋体" w:cs="宋体" w:eastAsia="宋体" w:hint="default"/>
                <w:sz w:val="18"/>
                <w:szCs w:val="18"/>
              </w:rPr>
            </w:pPr>
            <w:r>
              <w:rPr>
                <w:rFonts w:ascii="宋体" w:hAnsi="宋体" w:cs="宋体" w:eastAsia="宋体" w:hint="default"/>
                <w:sz w:val="18"/>
                <w:szCs w:val="18"/>
              </w:rPr>
              <w:t>《国家医疗保障局关于完善</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医疗服务价格和医保支付政策 的指导意见》提出通过合理确定并动态调整价格、医保支付政策，引 </w:t>
            </w:r>
            <w:r>
              <w:rPr>
                <w:rFonts w:ascii="宋体" w:hAnsi="宋体" w:cs="宋体" w:eastAsia="宋体" w:hint="default"/>
                <w:spacing w:val="-3"/>
                <w:w w:val="100"/>
                <w:sz w:val="18"/>
                <w:szCs w:val="18"/>
              </w:rPr>
              <w:t>导支持</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互联网</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在实现优质医疗资源跨区域流动、促进医疗服务降本</w:t>
            </w:r>
            <w:r>
              <w:rPr>
                <w:rFonts w:ascii="宋体" w:hAnsi="宋体" w:cs="宋体" w:eastAsia="宋体" w:hint="default"/>
                <w:spacing w:val="-78"/>
                <w:w w:val="100"/>
                <w:sz w:val="18"/>
                <w:szCs w:val="18"/>
              </w:rPr>
              <w:t> </w:t>
            </w:r>
            <w:r>
              <w:rPr>
                <w:rFonts w:ascii="宋体" w:hAnsi="宋体" w:cs="宋体" w:eastAsia="宋体" w:hint="default"/>
                <w:spacing w:val="-78"/>
                <w:w w:val="100"/>
                <w:sz w:val="18"/>
                <w:szCs w:val="18"/>
              </w:rPr>
            </w:r>
            <w:r>
              <w:rPr>
                <w:rFonts w:ascii="宋体" w:hAnsi="宋体" w:cs="宋体" w:eastAsia="宋体" w:hint="default"/>
                <w:sz w:val="18"/>
                <w:szCs w:val="18"/>
              </w:rPr>
              <w:t>增效和便利公平可及、改善患者就医体验、重构医疗市场竞争关系等 方面发挥积极作用。</w:t>
            </w:r>
          </w:p>
        </w:tc>
      </w:tr>
    </w:tbl>
    <w:p>
      <w:pPr>
        <w:pStyle w:val="BodyText"/>
        <w:spacing w:line="300" w:lineRule="auto" w:before="10"/>
        <w:ind w:left="441" w:right="1024"/>
        <w:jc w:val="left"/>
      </w:pPr>
      <w:r>
        <w:rPr>
          <w:rFonts w:ascii="Times New Roman" w:hAnsi="Times New Roman" w:cs="Times New Roman" w:eastAsia="Times New Roman" w:hint="default"/>
        </w:rPr>
        <w:t>3.</w:t>
      </w:r>
      <w:r>
        <w:rPr/>
        <w:t>健康医疗政策及趋势 近年来，国家高度重视健康医疗行业发展，尤其关注以信息化促进健康医疗发展，发布了包括</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、医联体改革、</w:t>
      </w:r>
    </w:p>
    <w:p>
      <w:pPr>
        <w:pStyle w:val="BodyText"/>
        <w:spacing w:line="240" w:lineRule="auto" w:before="13"/>
        <w:ind w:right="1133"/>
        <w:jc w:val="left"/>
      </w:pPr>
      <w:r>
        <w:rPr/>
        <w:pict>
          <v:group style="position:absolute;margin-left:56.159988pt;margin-top:15.721732pt;width:419.3pt;height:17.55pt;mso-position-horizontal-relative:page;mso-position-vertical-relative:paragraph;z-index:-1327000" coordorigin="1123,314" coordsize="8386,351">
            <v:group style="position:absolute;left:1133;top:314;width:1527;height:10" coordorigin="1133,314" coordsize="1527,10">
              <v:shape style="position:absolute;left:1133;top:314;width:1527;height:10" coordorigin="1133,314" coordsize="1527,10" path="m1133,324l2660,324,2660,314,1133,314,1133,324xe" filled="true" fillcolor="#bebebe" stroked="false">
                <v:path arrowok="t"/>
                <v:fill type="solid"/>
              </v:shape>
            </v:group>
            <v:group style="position:absolute;left:1133;top:636;width:1527;height:10" coordorigin="1133,636" coordsize="1527,10">
              <v:shape style="position:absolute;left:1133;top:636;width:1527;height:10" coordorigin="1133,636" coordsize="1527,10" path="m1133,646l2660,646,2660,636,1133,636,1133,646xe" filled="true" fillcolor="#bebebe" stroked="false">
                <v:path arrowok="t"/>
                <v:fill type="solid"/>
              </v:shape>
            </v:group>
            <v:group style="position:absolute;left:1145;top:324;width:1506;height:312" coordorigin="1145,324" coordsize="1506,312">
              <v:shape style="position:absolute;left:1145;top:324;width:1506;height:312" coordorigin="1145,324" coordsize="1506,312" path="m1145,636l2650,636,2650,324,1145,324,1145,636xe" filled="true" fillcolor="#bebebe" stroked="false">
                <v:path arrowok="t"/>
                <v:fill type="solid"/>
              </v:shape>
            </v:group>
            <v:group style="position:absolute;left:2660;top:314;width:1278;height:10" coordorigin="2660,314" coordsize="1278,10">
              <v:shape style="position:absolute;left:2660;top:314;width:1278;height:10" coordorigin="2660,314" coordsize="1278,10" path="m2660,324l3937,324,3937,314,2660,314,2660,324xe" filled="true" fillcolor="#bebebe" stroked="false">
                <v:path arrowok="t"/>
                <v:fill type="solid"/>
              </v:shape>
            </v:group>
            <v:group style="position:absolute;left:2660;top:636;width:1278;height:10" coordorigin="2660,636" coordsize="1278,10">
              <v:shape style="position:absolute;left:2660;top:636;width:1278;height:10" coordorigin="2660,636" coordsize="1278,10" path="m2660,646l3937,646,3937,636,2660,636,2660,646xe" filled="true" fillcolor="#bebebe" stroked="false">
                <v:path arrowok="t"/>
                <v:fill type="solid"/>
              </v:shape>
            </v:group>
            <v:group style="position:absolute;left:2672;top:324;width:1256;height:312" coordorigin="2672,324" coordsize="1256,312">
              <v:shape style="position:absolute;left:2672;top:324;width:1256;height:312" coordorigin="2672,324" coordsize="1256,312" path="m2672,636l3927,636,3927,324,2672,324,2672,636xe" filled="true" fillcolor="#bebebe" stroked="false">
                <v:path arrowok="t"/>
                <v:fill type="solid"/>
              </v:shape>
            </v:group>
            <v:group style="position:absolute;left:3937;top:314;width:5565;height:10" coordorigin="3937,314" coordsize="5565,10">
              <v:shape style="position:absolute;left:3937;top:314;width:5565;height:10" coordorigin="3937,314" coordsize="5565,10" path="m3937,324l9501,324,9501,314,3937,314,3937,324xe" filled="true" fillcolor="#bebebe" stroked="false">
                <v:path arrowok="t"/>
                <v:fill type="solid"/>
              </v:shape>
            </v:group>
            <v:group style="position:absolute;left:3937;top:636;width:5565;height:10" coordorigin="3937,636" coordsize="5565,10">
              <v:shape style="position:absolute;left:3937;top:636;width:5565;height:10" coordorigin="3937,636" coordsize="5565,10" path="m3937,646l9501,646,9501,636,3937,636,3937,646xe" filled="true" fillcolor="#bebebe" stroked="false">
                <v:path arrowok="t"/>
                <v:fill type="solid"/>
              </v:shape>
            </v:group>
            <v:group style="position:absolute;left:3947;top:324;width:5543;height:312" coordorigin="3947,324" coordsize="5543,312">
              <v:shape style="position:absolute;left:3947;top:324;width:5543;height:312" coordorigin="3947,324" coordsize="5543,312" path="m3947,636l9489,636,9489,324,3947,324,3947,636xe" filled="true" fillcolor="#bebebe" stroked="false">
                <v:path arrowok="t"/>
                <v:fill type="solid"/>
              </v:shape>
            </v:group>
            <v:group style="position:absolute;left:1133;top:319;width:1527;height:2" coordorigin="1133,319" coordsize="1527,2">
              <v:shape style="position:absolute;left:1133;top:319;width:1527;height:2" coordorigin="1133,319" coordsize="1527,0" path="m1133,319l2660,319e" filled="false" stroked="true" strokeweight=".47998pt" strokecolor="#bebebe">
                <v:path arrowok="t"/>
              </v:shape>
            </v:group>
            <v:group style="position:absolute;left:2660;top:319;width:1278;height:2" coordorigin="2660,319" coordsize="1278,2">
              <v:shape style="position:absolute;left:2660;top:319;width:1278;height:2" coordorigin="2660,319" coordsize="1278,0" path="m2660,319l3937,319e" filled="false" stroked="true" strokeweight=".47998pt" strokecolor="#bebebe">
                <v:path arrowok="t"/>
              </v:shape>
            </v:group>
            <v:group style="position:absolute;left:3937;top:319;width:5562;height:2" coordorigin="3937,319" coordsize="5562,2">
              <v:shape style="position:absolute;left:3937;top:319;width:5562;height:2" coordorigin="3937,319" coordsize="5562,0" path="m3937,319l9499,319e" filled="false" stroked="true" strokeweight=".47998pt" strokecolor="#bebebe">
                <v:path arrowok="t"/>
              </v:shape>
            </v:group>
            <v:group style="position:absolute;left:1133;top:638;width:1527;height:2" coordorigin="1133,638" coordsize="1527,2">
              <v:shape style="position:absolute;left:1133;top:638;width:1527;height:2" coordorigin="1133,638" coordsize="1527,0" path="m1133,638l2660,638e" filled="false" stroked="true" strokeweight=".47998pt" strokecolor="#bebebe">
                <v:path arrowok="t"/>
              </v:shape>
            </v:group>
            <v:group style="position:absolute;left:2660;top:638;width:1275;height:2" coordorigin="2660,638" coordsize="1275,2">
              <v:shape style="position:absolute;left:2660;top:638;width:1275;height:2" coordorigin="2660,638" coordsize="1275,0" path="m2660,638l3934,638e" filled="false" stroked="true" strokeweight=".47998pt" strokecolor="#bebebe">
                <v:path arrowok="t"/>
              </v:shape>
            </v:group>
            <v:group style="position:absolute;left:3937;top:638;width:5562;height:2" coordorigin="3937,638" coordsize="5562,2">
              <v:shape style="position:absolute;left:3937;top:638;width:5562;height:2" coordorigin="3937,638" coordsize="5562,0" path="m3937,638l9499,638e" filled="false" stroked="true" strokeweight=".47998pt" strokecolor="#bebebe">
                <v:path arrowok="t"/>
              </v:shape>
            </v:group>
            <v:group style="position:absolute;left:1133;top:655;width:1527;height:2" coordorigin="1133,655" coordsize="1527,2">
              <v:shape style="position:absolute;left:1133;top:655;width:1527;height:2" coordorigin="1133,655" coordsize="1527,0" path="m1133,655l2660,655e" filled="false" stroked="true" strokeweight=".96002pt" strokecolor="#000000">
                <v:path arrowok="t"/>
              </v:shape>
            </v:group>
            <v:group style="position:absolute;left:2660;top:655;width:20;height:2" coordorigin="2660,655" coordsize="20,2">
              <v:shape style="position:absolute;left:2660;top:655;width:20;height:2" coordorigin="2660,655" coordsize="20,0" path="m2660,655l2679,655e" filled="false" stroked="true" strokeweight=".96002pt" strokecolor="#000000">
                <v:path arrowok="t"/>
              </v:shape>
            </v:group>
            <v:group style="position:absolute;left:2679;top:655;width:1259;height:2" coordorigin="2679,655" coordsize="1259,2">
              <v:shape style="position:absolute;left:2679;top:655;width:1259;height:2" coordorigin="2679,655" coordsize="1259,0" path="m2679,655l3937,655e" filled="false" stroked="true" strokeweight=".96002pt" strokecolor="#000000">
                <v:path arrowok="t"/>
              </v:shape>
            </v:group>
            <v:group style="position:absolute;left:3937;top:655;width:20;height:2" coordorigin="3937,655" coordsize="20,2">
              <v:shape style="position:absolute;left:3937;top:655;width:20;height:2" coordorigin="3937,655" coordsize="20,0" path="m3937,655l3956,655e" filled="false" stroked="true" strokeweight=".96002pt" strokecolor="#000000">
                <v:path arrowok="t"/>
              </v:shape>
            </v:group>
            <v:group style="position:absolute;left:3956;top:655;width:5543;height:2" coordorigin="3956,655" coordsize="5543,2">
              <v:shape style="position:absolute;left:3956;top:655;width:5543;height:2" coordorigin="3956,655" coordsize="5543,0" path="m3956,655l9499,655e" filled="false" stroked="true" strokeweight=".96002pt" strokecolor="#000000">
                <v:path arrowok="t"/>
              </v:shape>
            </v:group>
            <w10:wrap type="none"/>
          </v:group>
        </w:pict>
      </w:r>
      <w:r>
        <w:rPr/>
        <w:t>医疗机构信息化建设等文件，包括：</w:t>
      </w:r>
    </w:p>
    <w:p>
      <w:pPr>
        <w:spacing w:line="240" w:lineRule="auto" w:before="5"/>
        <w:rPr>
          <w:rFonts w:ascii="宋体" w:hAnsi="宋体" w:cs="宋体" w:eastAsia="宋体" w:hint="default"/>
          <w:sz w:val="5"/>
          <w:szCs w:val="5"/>
        </w:rPr>
      </w:pPr>
    </w:p>
    <w:tbl>
      <w:tblPr>
        <w:tblW w:w="0" w:type="auto"/>
        <w:jc w:val="left"/>
        <w:tblInd w:w="164" w:type="dxa"/>
        <w:tblLayout w:type="fixed"/>
        <w:tblCellMar>
          <w:top w:w="0" w:type="dxa"/>
          <w:left w:w="0" w:type="dxa"/>
          <w:bottom w:w="0" w:type="dxa"/>
          <w:right w:w="0" w:type="dxa"/>
        </w:tblCellMar>
        <w:tblLook w:val="01E0"/>
      </w:tblPr>
      <w:tblGrid>
        <w:gridCol w:w="1454"/>
        <w:gridCol w:w="1205"/>
        <w:gridCol w:w="5774"/>
      </w:tblGrid>
      <w:tr>
        <w:trPr>
          <w:trHeight w:val="330" w:hRule="exact"/>
        </w:trPr>
        <w:tc>
          <w:tcPr>
            <w:tcW w:w="1454" w:type="dxa"/>
            <w:tcBorders>
              <w:top w:val="nil" w:sz="6" w:space="0" w:color="auto"/>
              <w:left w:val="nil" w:sz="6" w:space="0" w:color="auto"/>
              <w:bottom w:val="nil" w:sz="6" w:space="0" w:color="auto"/>
              <w:right w:val="nil" w:sz="6" w:space="0" w:color="auto"/>
            </w:tcBorders>
            <w:shd w:val="clear" w:color="auto" w:fill="BEBEBE"/>
          </w:tcPr>
          <w:p>
            <w:pPr>
              <w:pStyle w:val="TableParagraph"/>
              <w:spacing w:line="240" w:lineRule="auto" w:before="15"/>
              <w:ind w:left="391" w:right="0"/>
              <w:jc w:val="left"/>
              <w:rPr>
                <w:rFonts w:ascii="宋体" w:hAnsi="宋体" w:cs="宋体" w:eastAsia="宋体" w:hint="default"/>
                <w:sz w:val="18"/>
                <w:szCs w:val="18"/>
              </w:rPr>
            </w:pPr>
            <w:r>
              <w:rPr>
                <w:rFonts w:ascii="宋体" w:hAnsi="宋体" w:cs="宋体" w:eastAsia="宋体" w:hint="default"/>
                <w:b/>
                <w:bCs/>
                <w:sz w:val="18"/>
                <w:szCs w:val="18"/>
              </w:rPr>
              <w:t>发布时间</w:t>
            </w:r>
            <w:r>
              <w:rPr>
                <w:rFonts w:ascii="宋体" w:hAnsi="宋体" w:cs="宋体" w:eastAsia="宋体" w:hint="default"/>
                <w:sz w:val="18"/>
                <w:szCs w:val="18"/>
              </w:rPr>
            </w:r>
          </w:p>
        </w:tc>
        <w:tc>
          <w:tcPr>
            <w:tcW w:w="1205" w:type="dxa"/>
            <w:tcBorders>
              <w:top w:val="nil" w:sz="6" w:space="0" w:color="auto"/>
              <w:left w:val="nil" w:sz="6" w:space="0" w:color="auto"/>
              <w:bottom w:val="nil" w:sz="6" w:space="0" w:color="auto"/>
              <w:right w:val="nil" w:sz="6" w:space="0" w:color="auto"/>
            </w:tcBorders>
            <w:shd w:val="clear" w:color="auto" w:fill="BEBEBE"/>
          </w:tcPr>
          <w:p>
            <w:pPr>
              <w:pStyle w:val="TableParagraph"/>
              <w:spacing w:line="240" w:lineRule="auto" w:before="15"/>
              <w:ind w:left="196" w:right="0"/>
              <w:jc w:val="center"/>
              <w:rPr>
                <w:rFonts w:ascii="宋体" w:hAnsi="宋体" w:cs="宋体" w:eastAsia="宋体" w:hint="default"/>
                <w:sz w:val="18"/>
                <w:szCs w:val="18"/>
              </w:rPr>
            </w:pPr>
            <w:r>
              <w:rPr>
                <w:rFonts w:ascii="宋体" w:hAnsi="宋体" w:cs="宋体" w:eastAsia="宋体" w:hint="default"/>
                <w:b/>
                <w:bCs/>
                <w:sz w:val="18"/>
                <w:szCs w:val="18"/>
              </w:rPr>
              <w:t>发布单位</w:t>
            </w:r>
            <w:r>
              <w:rPr>
                <w:rFonts w:ascii="宋体" w:hAnsi="宋体" w:cs="宋体" w:eastAsia="宋体" w:hint="default"/>
                <w:sz w:val="18"/>
                <w:szCs w:val="18"/>
              </w:rPr>
            </w:r>
          </w:p>
        </w:tc>
        <w:tc>
          <w:tcPr>
            <w:tcW w:w="5774" w:type="dxa"/>
            <w:tcBorders>
              <w:top w:val="nil" w:sz="6" w:space="0" w:color="auto"/>
              <w:left w:val="nil" w:sz="6" w:space="0" w:color="auto"/>
              <w:bottom w:val="nil" w:sz="6" w:space="0" w:color="auto"/>
              <w:right w:val="nil" w:sz="6" w:space="0" w:color="auto"/>
            </w:tcBorders>
            <w:shd w:val="clear" w:color="auto" w:fill="BEBEBE"/>
          </w:tcPr>
          <w:p>
            <w:pPr>
              <w:pStyle w:val="TableParagraph"/>
              <w:spacing w:line="240" w:lineRule="auto" w:before="15"/>
              <w:ind w:left="54" w:right="0"/>
              <w:jc w:val="center"/>
              <w:rPr>
                <w:rFonts w:ascii="宋体" w:hAnsi="宋体" w:cs="宋体" w:eastAsia="宋体" w:hint="default"/>
                <w:sz w:val="18"/>
                <w:szCs w:val="18"/>
              </w:rPr>
            </w:pPr>
            <w:r>
              <w:rPr>
                <w:rFonts w:ascii="宋体" w:hAnsi="宋体" w:cs="宋体" w:eastAsia="宋体" w:hint="default"/>
                <w:b/>
                <w:bCs/>
                <w:sz w:val="18"/>
                <w:szCs w:val="18"/>
              </w:rPr>
              <w:t>政策要点</w:t>
            </w:r>
            <w:r>
              <w:rPr>
                <w:rFonts w:ascii="宋体" w:hAnsi="宋体" w:cs="宋体" w:eastAsia="宋体" w:hint="default"/>
                <w:sz w:val="18"/>
                <w:szCs w:val="18"/>
              </w:rPr>
            </w:r>
          </w:p>
        </w:tc>
      </w:tr>
      <w:tr>
        <w:trPr>
          <w:trHeight w:val="1595" w:hRule="exact"/>
        </w:trPr>
        <w:tc>
          <w:tcPr>
            <w:tcW w:w="1454"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205" w:type="dxa"/>
            <w:tcBorders>
              <w:top w:val="nil" w:sz="6" w:space="0" w:color="auto"/>
              <w:left w:val="nil" w:sz="6" w:space="0" w:color="auto"/>
              <w:bottom w:val="single" w:sz="8" w:space="0" w:color="000000"/>
              <w:right w:val="nil" w:sz="6" w:space="0" w:color="auto"/>
            </w:tcBorders>
          </w:tcPr>
          <w:p>
            <w:pPr>
              <w:pStyle w:val="TableParagraph"/>
              <w:spacing w:line="240" w:lineRule="auto" w:before="26"/>
              <w:ind w:left="196" w:right="0"/>
              <w:jc w:val="center"/>
              <w:rPr>
                <w:rFonts w:ascii="宋体" w:hAnsi="宋体" w:cs="宋体" w:eastAsia="宋体" w:hint="default"/>
                <w:sz w:val="18"/>
                <w:szCs w:val="18"/>
              </w:rPr>
            </w:pPr>
            <w:r>
              <w:rPr>
                <w:rFonts w:ascii="宋体" w:hAnsi="宋体" w:cs="宋体" w:eastAsia="宋体" w:hint="default"/>
                <w:sz w:val="18"/>
                <w:szCs w:val="18"/>
              </w:rPr>
              <w:t>国务院</w:t>
            </w:r>
          </w:p>
        </w:tc>
        <w:tc>
          <w:tcPr>
            <w:tcW w:w="5774" w:type="dxa"/>
            <w:tcBorders>
              <w:top w:val="nil" w:sz="6" w:space="0" w:color="auto"/>
              <w:left w:val="nil" w:sz="6" w:space="0" w:color="auto"/>
              <w:bottom w:val="single" w:sz="8" w:space="0" w:color="000000"/>
              <w:right w:val="nil" w:sz="6" w:space="0" w:color="auto"/>
            </w:tcBorders>
          </w:tcPr>
          <w:p>
            <w:pPr>
              <w:pStyle w:val="TableParagraph"/>
              <w:spacing w:line="314" w:lineRule="auto" w:before="26"/>
              <w:ind w:left="143"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健康中国</w:t>
            </w:r>
            <w:r>
              <w:rPr>
                <w:rFonts w:ascii="Times New Roman" w:hAnsi="Times New Roman" w:cs="Times New Roman" w:eastAsia="Times New Roman" w:hint="default"/>
                <w:sz w:val="18"/>
                <w:szCs w:val="18"/>
              </w:rPr>
              <w:t>2030”</w:t>
            </w:r>
            <w:r>
              <w:rPr>
                <w:rFonts w:ascii="宋体" w:hAnsi="宋体" w:cs="宋体" w:eastAsia="宋体" w:hint="default"/>
                <w:sz w:val="18"/>
                <w:szCs w:val="18"/>
              </w:rPr>
              <w:t>规划纲要》指出，要调整优化健康服务体系，强化早 诊断、早治疗、早康复，坚持保基本、强基层、建机制，更好满足人民 群众健康需求。要强化组织实施，加大政府投入，深化体制机制改革， </w:t>
            </w:r>
            <w:r>
              <w:rPr>
                <w:rFonts w:ascii="宋体" w:hAnsi="宋体" w:cs="宋体" w:eastAsia="宋体" w:hint="default"/>
                <w:spacing w:val="-5"/>
                <w:sz w:val="18"/>
                <w:szCs w:val="18"/>
              </w:rPr>
              <w:t>加快健康人力资源建设，推动健康科技创新，建设健康信息化服务体系，</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z w:val="18"/>
                <w:szCs w:val="18"/>
              </w:rPr>
              <w:t>加强健康法治建设，扩大健康国际交流合作。</w:t>
            </w:r>
          </w:p>
        </w:tc>
      </w:tr>
      <w:tr>
        <w:trPr>
          <w:trHeight w:val="655" w:hRule="exact"/>
        </w:trPr>
        <w:tc>
          <w:tcPr>
            <w:tcW w:w="1454"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p>
        </w:tc>
        <w:tc>
          <w:tcPr>
            <w:tcW w:w="120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96" w:right="0"/>
              <w:jc w:val="center"/>
              <w:rPr>
                <w:rFonts w:ascii="宋体" w:hAnsi="宋体" w:cs="宋体" w:eastAsia="宋体" w:hint="default"/>
                <w:sz w:val="18"/>
                <w:szCs w:val="18"/>
              </w:rPr>
            </w:pPr>
            <w:r>
              <w:rPr>
                <w:rFonts w:ascii="宋体" w:hAnsi="宋体" w:cs="宋体" w:eastAsia="宋体" w:hint="default"/>
                <w:sz w:val="18"/>
                <w:szCs w:val="18"/>
              </w:rPr>
              <w:t>国务院</w:t>
            </w:r>
          </w:p>
        </w:tc>
        <w:tc>
          <w:tcPr>
            <w:tcW w:w="5774" w:type="dxa"/>
            <w:tcBorders>
              <w:top w:val="single" w:sz="8" w:space="0" w:color="000000"/>
              <w:left w:val="nil" w:sz="6" w:space="0" w:color="auto"/>
              <w:bottom w:val="single" w:sz="8" w:space="0" w:color="000000"/>
              <w:right w:val="nil" w:sz="6" w:space="0" w:color="auto"/>
            </w:tcBorders>
          </w:tcPr>
          <w:p>
            <w:pPr>
              <w:pStyle w:val="TableParagraph"/>
              <w:spacing w:line="300" w:lineRule="auto" w:before="13"/>
              <w:ind w:left="143" w:right="84"/>
              <w:jc w:val="left"/>
              <w:rPr>
                <w:rFonts w:ascii="宋体" w:hAnsi="宋体" w:cs="宋体" w:eastAsia="宋体" w:hint="default"/>
                <w:sz w:val="18"/>
                <w:szCs w:val="18"/>
              </w:rPr>
            </w:pPr>
            <w:r>
              <w:rPr>
                <w:rFonts w:ascii="宋体" w:hAnsi="宋体" w:cs="宋体" w:eastAsia="宋体" w:hint="default"/>
                <w:spacing w:val="-1"/>
                <w:sz w:val="18"/>
                <w:szCs w:val="18"/>
              </w:rPr>
              <w:t>《关于印发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十三五</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卫生与健康规划的通知》明确积极推动健康医疗信</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息化新业态快速有序发展。</w:t>
            </w:r>
          </w:p>
        </w:tc>
      </w:tr>
      <w:tr>
        <w:trPr>
          <w:trHeight w:val="965" w:hRule="exact"/>
        </w:trPr>
        <w:tc>
          <w:tcPr>
            <w:tcW w:w="14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p>
        </w:tc>
        <w:tc>
          <w:tcPr>
            <w:tcW w:w="12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96" w:right="0"/>
              <w:jc w:val="center"/>
              <w:rPr>
                <w:rFonts w:ascii="宋体" w:hAnsi="宋体" w:cs="宋体" w:eastAsia="宋体" w:hint="default"/>
                <w:sz w:val="18"/>
                <w:szCs w:val="18"/>
              </w:rPr>
            </w:pPr>
            <w:r>
              <w:rPr>
                <w:rFonts w:ascii="宋体" w:hAnsi="宋体" w:cs="宋体" w:eastAsia="宋体" w:hint="default"/>
                <w:sz w:val="18"/>
                <w:szCs w:val="18"/>
              </w:rPr>
              <w:t>国务院</w:t>
            </w:r>
          </w:p>
        </w:tc>
        <w:tc>
          <w:tcPr>
            <w:tcW w:w="5774" w:type="dxa"/>
            <w:tcBorders>
              <w:top w:val="single" w:sz="8" w:space="0" w:color="000000"/>
              <w:left w:val="nil" w:sz="6" w:space="0" w:color="auto"/>
              <w:bottom w:val="single" w:sz="8" w:space="0" w:color="000000"/>
              <w:right w:val="nil" w:sz="6" w:space="0" w:color="auto"/>
            </w:tcBorders>
          </w:tcPr>
          <w:p>
            <w:pPr>
              <w:pStyle w:val="TableParagraph"/>
              <w:spacing w:line="309" w:lineRule="auto" w:before="10"/>
              <w:ind w:left="143" w:right="86"/>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十三五</w:t>
            </w:r>
            <w:r>
              <w:rPr>
                <w:rFonts w:ascii="Times New Roman" w:hAnsi="Times New Roman" w:cs="Times New Roman" w:eastAsia="Times New Roman" w:hint="default"/>
                <w:sz w:val="18"/>
                <w:szCs w:val="18"/>
              </w:rPr>
              <w:t>”</w:t>
            </w:r>
            <w:r>
              <w:rPr>
                <w:rFonts w:ascii="宋体" w:hAnsi="宋体" w:cs="宋体" w:eastAsia="宋体" w:hint="default"/>
                <w:sz w:val="18"/>
                <w:szCs w:val="18"/>
              </w:rPr>
              <w:t>深化医药卫生体制改革规划的通知》明确</w:t>
            </w:r>
            <w:r>
              <w:rPr>
                <w:rFonts w:ascii="Times New Roman" w:hAnsi="Times New Roman" w:cs="Times New Roman" w:eastAsia="Times New Roman" w:hint="default"/>
                <w:sz w:val="18"/>
                <w:szCs w:val="18"/>
              </w:rPr>
              <w:t>“</w:t>
            </w:r>
            <w:r>
              <w:rPr>
                <w:rFonts w:ascii="宋体" w:hAnsi="宋体" w:cs="宋体" w:eastAsia="宋体" w:hint="default"/>
                <w:sz w:val="18"/>
                <w:szCs w:val="18"/>
              </w:rPr>
              <w:t>十三五</w:t>
            </w:r>
            <w:r>
              <w:rPr>
                <w:rFonts w:ascii="Times New Roman" w:hAnsi="Times New Roman" w:cs="Times New Roman" w:eastAsia="Times New Roman" w:hint="default"/>
                <w:sz w:val="18"/>
                <w:szCs w:val="18"/>
              </w:rPr>
              <w:t>”</w:t>
            </w:r>
            <w:r>
              <w:rPr>
                <w:rFonts w:ascii="宋体" w:hAnsi="宋体" w:cs="宋体" w:eastAsia="宋体" w:hint="default"/>
                <w:sz w:val="18"/>
                <w:szCs w:val="18"/>
              </w:rPr>
              <w:t>期间要在 </w:t>
            </w:r>
            <w:r>
              <w:rPr>
                <w:rFonts w:ascii="宋体" w:hAnsi="宋体" w:cs="宋体" w:eastAsia="宋体" w:hint="default"/>
                <w:spacing w:val="-2"/>
                <w:sz w:val="18"/>
                <w:szCs w:val="18"/>
              </w:rPr>
              <w:t>分级诊疗、现代医院管理、全民医保、药品供应保障、综合监管等五项</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制度改革上取得新突破。</w:t>
            </w:r>
          </w:p>
        </w:tc>
      </w:tr>
      <w:tr>
        <w:trPr>
          <w:trHeight w:val="967" w:hRule="exact"/>
        </w:trPr>
        <w:tc>
          <w:tcPr>
            <w:tcW w:w="1454"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205"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96" w:right="0"/>
              <w:jc w:val="center"/>
              <w:rPr>
                <w:rFonts w:ascii="宋体" w:hAnsi="宋体" w:cs="宋体" w:eastAsia="宋体" w:hint="default"/>
                <w:sz w:val="18"/>
                <w:szCs w:val="18"/>
              </w:rPr>
            </w:pPr>
            <w:r>
              <w:rPr>
                <w:rFonts w:ascii="宋体" w:hAnsi="宋体" w:cs="宋体" w:eastAsia="宋体" w:hint="default"/>
                <w:sz w:val="18"/>
                <w:szCs w:val="18"/>
              </w:rPr>
              <w:t>国务院</w:t>
            </w:r>
          </w:p>
        </w:tc>
        <w:tc>
          <w:tcPr>
            <w:tcW w:w="5774" w:type="dxa"/>
            <w:tcBorders>
              <w:top w:val="single" w:sz="8" w:space="0" w:color="000000"/>
              <w:left w:val="nil" w:sz="6" w:space="0" w:color="auto"/>
              <w:bottom w:val="single" w:sz="8" w:space="0" w:color="000000"/>
              <w:right w:val="nil" w:sz="6" w:space="0" w:color="auto"/>
            </w:tcBorders>
          </w:tcPr>
          <w:p>
            <w:pPr>
              <w:pStyle w:val="TableParagraph"/>
              <w:spacing w:line="316" w:lineRule="auto" w:before="13"/>
              <w:ind w:left="143" w:right="48"/>
              <w:jc w:val="both"/>
              <w:rPr>
                <w:rFonts w:ascii="宋体" w:hAnsi="宋体" w:cs="宋体" w:eastAsia="宋体" w:hint="default"/>
                <w:sz w:val="18"/>
                <w:szCs w:val="18"/>
              </w:rPr>
            </w:pPr>
            <w:r>
              <w:rPr>
                <w:rFonts w:ascii="宋体" w:hAnsi="宋体" w:cs="宋体" w:eastAsia="宋体" w:hint="default"/>
                <w:sz w:val="18"/>
                <w:szCs w:val="18"/>
              </w:rPr>
              <w:t>国办发布《关于进一步改革完善药品生产流通使用政策的若干意见》， </w:t>
            </w:r>
            <w:r>
              <w:rPr>
                <w:rFonts w:ascii="宋体" w:hAnsi="宋体" w:cs="宋体" w:eastAsia="宋体" w:hint="default"/>
                <w:spacing w:val="-2"/>
                <w:sz w:val="18"/>
                <w:szCs w:val="18"/>
              </w:rPr>
              <w:t>指出门诊患者可以自主选择在医疗机构或零售药店购药，医疗机构不得</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限制门诊患者凭处方到零售药店购药。</w:t>
            </w:r>
          </w:p>
        </w:tc>
      </w:tr>
      <w:tr>
        <w:trPr>
          <w:trHeight w:val="655" w:hRule="exact"/>
        </w:trPr>
        <w:tc>
          <w:tcPr>
            <w:tcW w:w="145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p>
        </w:tc>
        <w:tc>
          <w:tcPr>
            <w:tcW w:w="1205"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96" w:right="0"/>
              <w:jc w:val="center"/>
              <w:rPr>
                <w:rFonts w:ascii="宋体" w:hAnsi="宋体" w:cs="宋体" w:eastAsia="宋体" w:hint="default"/>
                <w:sz w:val="18"/>
                <w:szCs w:val="18"/>
              </w:rPr>
            </w:pPr>
            <w:r>
              <w:rPr>
                <w:rFonts w:ascii="宋体" w:hAnsi="宋体" w:cs="宋体" w:eastAsia="宋体" w:hint="default"/>
                <w:sz w:val="18"/>
                <w:szCs w:val="18"/>
              </w:rPr>
              <w:t>国务院</w:t>
            </w:r>
          </w:p>
        </w:tc>
        <w:tc>
          <w:tcPr>
            <w:tcW w:w="5774" w:type="dxa"/>
            <w:tcBorders>
              <w:top w:val="single" w:sz="8" w:space="0" w:color="000000"/>
              <w:left w:val="nil" w:sz="6" w:space="0" w:color="auto"/>
              <w:bottom w:val="single" w:sz="8" w:space="0" w:color="000000"/>
              <w:right w:val="nil" w:sz="6" w:space="0" w:color="auto"/>
            </w:tcBorders>
          </w:tcPr>
          <w:p>
            <w:pPr>
              <w:pStyle w:val="TableParagraph"/>
              <w:spacing w:line="300" w:lineRule="auto" w:before="10"/>
              <w:ind w:left="143" w:right="146"/>
              <w:jc w:val="left"/>
              <w:rPr>
                <w:rFonts w:ascii="宋体" w:hAnsi="宋体" w:cs="宋体" w:eastAsia="宋体" w:hint="default"/>
                <w:sz w:val="18"/>
                <w:szCs w:val="18"/>
              </w:rPr>
            </w:pPr>
            <w:r>
              <w:rPr>
                <w:rFonts w:ascii="宋体" w:hAnsi="宋体" w:cs="宋体" w:eastAsia="宋体" w:hint="default"/>
                <w:sz w:val="18"/>
                <w:szCs w:val="18"/>
              </w:rPr>
              <w:t>《关于促进</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医疗健康</w:t>
            </w:r>
            <w:r>
              <w:rPr>
                <w:rFonts w:ascii="Times New Roman" w:hAnsi="Times New Roman" w:cs="Times New Roman" w:eastAsia="Times New Roman" w:hint="default"/>
                <w:sz w:val="18"/>
                <w:szCs w:val="18"/>
              </w:rPr>
              <w:t>”</w:t>
            </w:r>
            <w:r>
              <w:rPr>
                <w:rFonts w:ascii="宋体" w:hAnsi="宋体" w:cs="宋体" w:eastAsia="宋体" w:hint="default"/>
                <w:sz w:val="18"/>
                <w:szCs w:val="18"/>
              </w:rPr>
              <w:t>发展的意见》提出了促进互联网与医疗 健康深度融合发展的一系列政策措施。要求健全</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医疗健康</w:t>
            </w:r>
            <w:r>
              <w:rPr>
                <w:rFonts w:ascii="Times New Roman" w:hAnsi="Times New Roman" w:cs="Times New Roman" w:eastAsia="Times New Roman" w:hint="default"/>
                <w:sz w:val="18"/>
                <w:szCs w:val="18"/>
              </w:rPr>
              <w:t>”</w:t>
            </w:r>
            <w:r>
              <w:rPr>
                <w:rFonts w:ascii="宋体" w:hAnsi="宋体" w:cs="宋体" w:eastAsia="宋体" w:hint="default"/>
                <w:sz w:val="18"/>
                <w:szCs w:val="18"/>
              </w:rPr>
              <w:t>服</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2"/>
        <w:rPr>
          <w:rFonts w:ascii="宋体" w:hAnsi="宋体" w:cs="宋体" w:eastAsia="宋体" w:hint="default"/>
          <w:sz w:val="3"/>
          <w:szCs w:val="3"/>
        </w:rPr>
      </w:pPr>
      <w:r>
        <w:rPr/>
        <w:pict>
          <v:group style="position:absolute;margin-left:55.200001pt;margin-top:55.559982pt;width:484.9pt;height:.1pt;mso-position-horizontal-relative:page;mso-position-vertical-relative:page;z-index:-1326976" coordorigin="1104,1111" coordsize="9698,2">
            <v:shape style="position:absolute;left:1104;top:1111;width:9698;height:2" coordorigin="1104,1111" coordsize="9698,0" path="m1104,1111l10802,1111e" filled="false" stroked="true" strokeweight=".72pt" strokecolor="#000000">
              <v:path arrowok="t"/>
            </v:shape>
            <w10:wrap type="none"/>
          </v:group>
        </w:pict>
      </w:r>
    </w:p>
    <w:tbl>
      <w:tblPr>
        <w:tblW w:w="0" w:type="auto"/>
        <w:jc w:val="left"/>
        <w:tblInd w:w="123" w:type="dxa"/>
        <w:tblLayout w:type="fixed"/>
        <w:tblCellMar>
          <w:top w:w="0" w:type="dxa"/>
          <w:left w:w="0" w:type="dxa"/>
          <w:bottom w:w="0" w:type="dxa"/>
          <w:right w:w="0" w:type="dxa"/>
        </w:tblCellMar>
        <w:tblLook w:val="01E0"/>
      </w:tblPr>
      <w:tblGrid>
        <w:gridCol w:w="1300"/>
        <w:gridCol w:w="1444"/>
        <w:gridCol w:w="5732"/>
      </w:tblGrid>
      <w:tr>
        <w:trPr>
          <w:trHeight w:val="670" w:hRule="exact"/>
        </w:trPr>
        <w:tc>
          <w:tcPr>
            <w:tcW w:w="1300" w:type="dxa"/>
            <w:tcBorders>
              <w:top w:val="nil" w:sz="6" w:space="0" w:color="auto"/>
              <w:left w:val="nil" w:sz="6" w:space="0" w:color="auto"/>
              <w:bottom w:val="single" w:sz="8" w:space="0" w:color="000000"/>
              <w:right w:val="nil" w:sz="6" w:space="0" w:color="auto"/>
            </w:tcBorders>
          </w:tcPr>
          <w:p>
            <w:pPr/>
          </w:p>
        </w:tc>
        <w:tc>
          <w:tcPr>
            <w:tcW w:w="1444" w:type="dxa"/>
            <w:tcBorders>
              <w:top w:val="nil" w:sz="6" w:space="0" w:color="auto"/>
              <w:left w:val="nil" w:sz="6" w:space="0" w:color="auto"/>
              <w:bottom w:val="single" w:sz="8" w:space="0" w:color="000000"/>
              <w:right w:val="nil" w:sz="6" w:space="0" w:color="auto"/>
            </w:tcBorders>
          </w:tcPr>
          <w:p>
            <w:pPr/>
          </w:p>
        </w:tc>
        <w:tc>
          <w:tcPr>
            <w:tcW w:w="5732" w:type="dxa"/>
            <w:tcBorders>
              <w:top w:val="nil" w:sz="6" w:space="0" w:color="auto"/>
              <w:left w:val="nil" w:sz="6" w:space="0" w:color="auto"/>
              <w:bottom w:val="single" w:sz="8" w:space="0" w:color="000000"/>
              <w:right w:val="nil" w:sz="6" w:space="0" w:color="auto"/>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98" w:right="-1"/>
              <w:jc w:val="left"/>
              <w:rPr>
                <w:rFonts w:ascii="宋体" w:hAnsi="宋体" w:cs="宋体" w:eastAsia="宋体" w:hint="default"/>
                <w:sz w:val="18"/>
                <w:szCs w:val="18"/>
              </w:rPr>
            </w:pPr>
            <w:r>
              <w:rPr>
                <w:rFonts w:ascii="宋体" w:hAnsi="宋体" w:cs="宋体" w:eastAsia="宋体" w:hint="default"/>
                <w:spacing w:val="-1"/>
                <w:sz w:val="18"/>
                <w:szCs w:val="18"/>
              </w:rPr>
              <w:t>务体系，完善</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互联网</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医疗健康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支撑体系，加强行业监管和安全保障。</w:t>
            </w:r>
          </w:p>
        </w:tc>
      </w:tr>
      <w:tr>
        <w:trPr>
          <w:trHeight w:val="655" w:hRule="exact"/>
        </w:trPr>
        <w:tc>
          <w:tcPr>
            <w:tcW w:w="130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346" w:right="0"/>
              <w:jc w:val="center"/>
              <w:rPr>
                <w:rFonts w:ascii="宋体" w:hAnsi="宋体" w:cs="宋体" w:eastAsia="宋体" w:hint="default"/>
                <w:sz w:val="18"/>
                <w:szCs w:val="18"/>
              </w:rPr>
            </w:pPr>
            <w:r>
              <w:rPr>
                <w:rFonts w:ascii="宋体" w:hAnsi="宋体" w:cs="宋体" w:eastAsia="宋体" w:hint="default"/>
                <w:sz w:val="18"/>
                <w:szCs w:val="18"/>
              </w:rPr>
              <w:t>国家卫健委</w:t>
            </w:r>
          </w:p>
        </w:tc>
        <w:tc>
          <w:tcPr>
            <w:tcW w:w="5732" w:type="dxa"/>
            <w:tcBorders>
              <w:top w:val="single" w:sz="8" w:space="0" w:color="000000"/>
              <w:left w:val="nil" w:sz="6" w:space="0" w:color="auto"/>
              <w:bottom w:val="single" w:sz="8" w:space="0" w:color="000000"/>
              <w:right w:val="nil" w:sz="6" w:space="0" w:color="auto"/>
            </w:tcBorders>
          </w:tcPr>
          <w:p>
            <w:pPr>
              <w:pStyle w:val="TableParagraph"/>
              <w:spacing w:line="316" w:lineRule="auto" w:before="13"/>
              <w:ind w:left="98" w:right="82"/>
              <w:jc w:val="left"/>
              <w:rPr>
                <w:rFonts w:ascii="宋体" w:hAnsi="宋体" w:cs="宋体" w:eastAsia="宋体" w:hint="default"/>
                <w:sz w:val="18"/>
                <w:szCs w:val="18"/>
              </w:rPr>
            </w:pPr>
            <w:r>
              <w:rPr>
                <w:rFonts w:ascii="宋体" w:hAnsi="宋体" w:cs="宋体" w:eastAsia="宋体" w:hint="default"/>
                <w:spacing w:val="4"/>
                <w:sz w:val="18"/>
                <w:szCs w:val="18"/>
              </w:rPr>
              <w:t>《关于进一步推进以电子病历为核心的医疗机构信息化建设工作的通</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知》指出将持续推进以电子病历为核心的医疗机构信息化建设。</w:t>
            </w:r>
          </w:p>
        </w:tc>
      </w:tr>
      <w:tr>
        <w:trPr>
          <w:trHeight w:val="965" w:hRule="exact"/>
        </w:trPr>
        <w:tc>
          <w:tcPr>
            <w:tcW w:w="1300"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346" w:right="0"/>
              <w:jc w:val="center"/>
              <w:rPr>
                <w:rFonts w:ascii="宋体" w:hAnsi="宋体" w:cs="宋体" w:eastAsia="宋体" w:hint="default"/>
                <w:sz w:val="18"/>
                <w:szCs w:val="18"/>
              </w:rPr>
            </w:pPr>
            <w:r>
              <w:rPr>
                <w:rFonts w:ascii="宋体" w:hAnsi="宋体" w:cs="宋体" w:eastAsia="宋体" w:hint="default"/>
                <w:sz w:val="18"/>
                <w:szCs w:val="18"/>
              </w:rPr>
              <w:t>国家卫健委</w:t>
            </w:r>
          </w:p>
        </w:tc>
        <w:tc>
          <w:tcPr>
            <w:tcW w:w="5732"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98" w:right="87"/>
              <w:jc w:val="both"/>
              <w:rPr>
                <w:rFonts w:ascii="宋体" w:hAnsi="宋体" w:cs="宋体" w:eastAsia="宋体" w:hint="default"/>
                <w:sz w:val="18"/>
                <w:szCs w:val="18"/>
              </w:rPr>
            </w:pPr>
            <w:r>
              <w:rPr>
                <w:rFonts w:ascii="宋体" w:hAnsi="宋体" w:cs="宋体" w:eastAsia="宋体" w:hint="default"/>
                <w:spacing w:val="-2"/>
                <w:sz w:val="18"/>
                <w:szCs w:val="18"/>
              </w:rPr>
              <w:t>《关于印发医院智慧服务分级评估标准体系（试行）的通知》，明确了</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医院智慧服务的评估对象、项目和范围，并量化了分级标准，为医院的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智慧医疗服务建设指明了方向和目标。</w:t>
            </w:r>
          </w:p>
        </w:tc>
      </w:tr>
      <w:tr>
        <w:trPr>
          <w:trHeight w:val="1592" w:hRule="exact"/>
        </w:trPr>
        <w:tc>
          <w:tcPr>
            <w:tcW w:w="1300"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4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444"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346" w:right="0"/>
              <w:jc w:val="center"/>
              <w:rPr>
                <w:rFonts w:ascii="宋体" w:hAnsi="宋体" w:cs="宋体" w:eastAsia="宋体" w:hint="default"/>
                <w:sz w:val="18"/>
                <w:szCs w:val="18"/>
              </w:rPr>
            </w:pPr>
            <w:r>
              <w:rPr>
                <w:rFonts w:ascii="宋体" w:hAnsi="宋体" w:cs="宋体" w:eastAsia="宋体" w:hint="default"/>
                <w:sz w:val="18"/>
                <w:szCs w:val="18"/>
              </w:rPr>
              <w:t>国务院</w:t>
            </w:r>
          </w:p>
        </w:tc>
        <w:tc>
          <w:tcPr>
            <w:tcW w:w="5732" w:type="dxa"/>
            <w:tcBorders>
              <w:top w:val="single" w:sz="8" w:space="0" w:color="000000"/>
              <w:left w:val="nil" w:sz="6" w:space="0" w:color="auto"/>
              <w:bottom w:val="single" w:sz="8" w:space="0" w:color="000000"/>
              <w:right w:val="nil" w:sz="6" w:space="0" w:color="auto"/>
            </w:tcBorders>
          </w:tcPr>
          <w:p>
            <w:pPr>
              <w:pStyle w:val="TableParagraph"/>
              <w:spacing w:line="309" w:lineRule="auto" w:before="13"/>
              <w:ind w:left="98" w:right="84"/>
              <w:jc w:val="both"/>
              <w:rPr>
                <w:rFonts w:ascii="宋体" w:hAnsi="宋体" w:cs="宋体" w:eastAsia="宋体" w:hint="default"/>
                <w:sz w:val="18"/>
                <w:szCs w:val="18"/>
              </w:rPr>
            </w:pPr>
            <w:r>
              <w:rPr>
                <w:rFonts w:ascii="宋体" w:hAnsi="宋体" w:cs="宋体" w:eastAsia="宋体" w:hint="default"/>
                <w:sz w:val="18"/>
                <w:szCs w:val="18"/>
              </w:rPr>
              <w:t>《关于推进养老服务发展的意见》提出，实施</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养老</w:t>
            </w:r>
            <w:r>
              <w:rPr>
                <w:rFonts w:ascii="Times New Roman" w:hAnsi="Times New Roman" w:cs="Times New Roman" w:eastAsia="Times New Roman" w:hint="default"/>
                <w:sz w:val="18"/>
                <w:szCs w:val="18"/>
              </w:rPr>
              <w:t>”</w:t>
            </w:r>
            <w:r>
              <w:rPr>
                <w:rFonts w:ascii="宋体" w:hAnsi="宋体" w:cs="宋体" w:eastAsia="宋体" w:hint="default"/>
                <w:sz w:val="18"/>
                <w:szCs w:val="18"/>
              </w:rPr>
              <w:t>行动。持</w:t>
            </w:r>
            <w:r>
              <w:rPr>
                <w:rFonts w:ascii="宋体" w:hAnsi="宋体" w:cs="宋体" w:eastAsia="宋体" w:hint="default"/>
                <w:spacing w:val="-38"/>
                <w:sz w:val="18"/>
                <w:szCs w:val="18"/>
              </w:rPr>
              <w:t> </w:t>
            </w:r>
            <w:r>
              <w:rPr>
                <w:rFonts w:ascii="宋体" w:hAnsi="宋体" w:cs="宋体" w:eastAsia="宋体" w:hint="default"/>
                <w:spacing w:val="-2"/>
                <w:sz w:val="18"/>
                <w:szCs w:val="18"/>
              </w:rPr>
              <w:t>续推动智慧健康养老产业发展，拓展信息技术在养老领域的应用，促进</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人工智能、物联网、云计算、大数据等新一代信息技术和智能硬件等产</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2"/>
                <w:sz w:val="18"/>
                <w:szCs w:val="18"/>
              </w:rPr>
              <w:t>品在养老服务领域深度应用。</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月，多部门联合发布《关于深入推进医</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养结合发展的若干意见》提出加强医养结合信息化支撑。</w:t>
            </w:r>
          </w:p>
        </w:tc>
      </w:tr>
    </w:tbl>
    <w:p>
      <w:pPr>
        <w:pStyle w:val="BodyText"/>
        <w:spacing w:line="240" w:lineRule="auto" w:before="10"/>
        <w:ind w:left="441" w:right="1133"/>
        <w:jc w:val="left"/>
      </w:pPr>
      <w:r>
        <w:rPr/>
        <w:t>以上文件表明健康医疗信息化行业随着国家的高度重视，已经进入快速发展期。</w:t>
      </w:r>
    </w:p>
    <w:p>
      <w:pPr>
        <w:pStyle w:val="BodyText"/>
        <w:spacing w:line="300" w:lineRule="auto" w:before="76"/>
        <w:ind w:left="441" w:right="1183"/>
        <w:jc w:val="left"/>
      </w:pPr>
      <w:r>
        <w:rPr>
          <w:rFonts w:ascii="Times New Roman" w:hAnsi="Times New Roman" w:cs="Times New Roman" w:eastAsia="Times New Roman" w:hint="default"/>
        </w:rPr>
        <w:t>4.</w:t>
      </w:r>
      <w:r>
        <w:rPr/>
        <w:t>民生服务政策及趋势 随着我国电子政务的大力推进，在云计算、大数据、互联网</w:t>
      </w:r>
      <w:r>
        <w:rPr>
          <w:rFonts w:ascii="Times New Roman" w:hAnsi="Times New Roman" w:cs="Times New Roman" w:eastAsia="Times New Roman" w:hint="default"/>
        </w:rPr>
        <w:t>+</w:t>
      </w:r>
      <w:r>
        <w:rPr/>
        <w:t>的时代背景下，国务院指出，要利用现有的信息资源，以</w:t>
      </w:r>
    </w:p>
    <w:p>
      <w:pPr>
        <w:pStyle w:val="BodyText"/>
        <w:spacing w:line="316" w:lineRule="auto" w:before="13"/>
        <w:ind w:right="1133"/>
        <w:jc w:val="left"/>
      </w:pPr>
      <w:r>
        <w:rPr/>
        <w:pict>
          <v:group style="position:absolute;margin-left:60.863991pt;margin-top:31.32172pt;width:414.6pt;height:17.55pt;mso-position-horizontal-relative:page;mso-position-vertical-relative:paragraph;z-index:-1326952" coordorigin="1217,626" coordsize="8292,351">
            <v:group style="position:absolute;left:1227;top:626;width:1608;height:10" coordorigin="1227,626" coordsize="1608,10">
              <v:shape style="position:absolute;left:1227;top:626;width:1608;height:10" coordorigin="1227,626" coordsize="1608,10" path="m1227,636l2835,636,2835,626,1227,626,1227,636xe" filled="true" fillcolor="#bebebe" stroked="false">
                <v:path arrowok="t"/>
                <v:fill type="solid"/>
              </v:shape>
            </v:group>
            <v:group style="position:absolute;left:1227;top:948;width:1608;height:10" coordorigin="1227,948" coordsize="1608,10">
              <v:shape style="position:absolute;left:1227;top:948;width:1608;height:10" coordorigin="1227,948" coordsize="1608,10" path="m1227,958l2835,958,2835,948,1227,948,1227,958xe" filled="true" fillcolor="#bebebe" stroked="false">
                <v:path arrowok="t"/>
                <v:fill type="solid"/>
              </v:shape>
            </v:group>
            <v:group style="position:absolute;left:1236;top:636;width:1589;height:312" coordorigin="1236,636" coordsize="1589,312">
              <v:shape style="position:absolute;left:1236;top:636;width:1589;height:312" coordorigin="1236,636" coordsize="1589,312" path="m1236,948l2825,948,2825,636,1236,636,1236,948xe" filled="true" fillcolor="#bebebe" stroked="false">
                <v:path arrowok="t"/>
                <v:fill type="solid"/>
              </v:shape>
            </v:group>
            <v:group style="position:absolute;left:2835;top:626;width:1419;height:10" coordorigin="2835,626" coordsize="1419,10">
              <v:shape style="position:absolute;left:2835;top:626;width:1419;height:10" coordorigin="2835,626" coordsize="1419,10" path="m2835,636l4254,636,4254,626,2835,626,2835,636xe" filled="true" fillcolor="#bebebe" stroked="false">
                <v:path arrowok="t"/>
                <v:fill type="solid"/>
              </v:shape>
            </v:group>
            <v:group style="position:absolute;left:2835;top:948;width:1419;height:10" coordorigin="2835,948" coordsize="1419,10">
              <v:shape style="position:absolute;left:2835;top:948;width:1419;height:10" coordorigin="2835,948" coordsize="1419,10" path="m2835,958l4254,958,4254,948,2835,948,2835,958xe" filled="true" fillcolor="#bebebe" stroked="false">
                <v:path arrowok="t"/>
                <v:fill type="solid"/>
              </v:shape>
            </v:group>
            <v:group style="position:absolute;left:2844;top:636;width:1400;height:312" coordorigin="2844,636" coordsize="1400,312">
              <v:shape style="position:absolute;left:2844;top:636;width:1400;height:312" coordorigin="2844,636" coordsize="1400,312" path="m2844,948l4244,948,4244,636,2844,636,2844,948xe" filled="true" fillcolor="#bebebe" stroked="false">
                <v:path arrowok="t"/>
                <v:fill type="solid"/>
              </v:shape>
            </v:group>
            <v:group style="position:absolute;left:4254;top:626;width:5245;height:10" coordorigin="4254,626" coordsize="5245,10">
              <v:shape style="position:absolute;left:4254;top:626;width:5245;height:10" coordorigin="4254,626" coordsize="5245,10" path="m4254,636l9499,636,9499,626,4254,626,4254,636xe" filled="true" fillcolor="#bebebe" stroked="false">
                <v:path arrowok="t"/>
                <v:fill type="solid"/>
              </v:shape>
            </v:group>
            <v:group style="position:absolute;left:4254;top:948;width:5245;height:10" coordorigin="4254,948" coordsize="5245,10">
              <v:shape style="position:absolute;left:4254;top:948;width:5245;height:10" coordorigin="4254,948" coordsize="5245,10" path="m4254,958l9499,958,9499,948,4254,948,4254,958xe" filled="true" fillcolor="#bebebe" stroked="false">
                <v:path arrowok="t"/>
                <v:fill type="solid"/>
              </v:shape>
            </v:group>
            <v:group style="position:absolute;left:4263;top:636;width:5226;height:312" coordorigin="4263,636" coordsize="5226,312">
              <v:shape style="position:absolute;left:4263;top:636;width:5226;height:312" coordorigin="4263,636" coordsize="5226,312" path="m4263,948l9489,948,9489,636,4263,636,4263,948xe" filled="true" fillcolor="#bebebe" stroked="false">
                <v:path arrowok="t"/>
                <v:fill type="solid"/>
              </v:shape>
            </v:group>
            <v:group style="position:absolute;left:1227;top:631;width:1608;height:2" coordorigin="1227,631" coordsize="1608,2">
              <v:shape style="position:absolute;left:1227;top:631;width:1608;height:2" coordorigin="1227,631" coordsize="1608,0" path="m1227,631l2835,631e" filled="false" stroked="true" strokeweight=".48001pt" strokecolor="#bebebe">
                <v:path arrowok="t"/>
              </v:shape>
            </v:group>
            <v:group style="position:absolute;left:2835;top:631;width:1419;height:2" coordorigin="2835,631" coordsize="1419,2">
              <v:shape style="position:absolute;left:2835;top:631;width:1419;height:2" coordorigin="2835,631" coordsize="1419,0" path="m2835,631l4254,631e" filled="false" stroked="true" strokeweight=".48001pt" strokecolor="#bebebe">
                <v:path arrowok="t"/>
              </v:shape>
            </v:group>
            <v:group style="position:absolute;left:4254;top:631;width:5245;height:2" coordorigin="4254,631" coordsize="5245,2">
              <v:shape style="position:absolute;left:4254;top:631;width:5245;height:2" coordorigin="4254,631" coordsize="5245,0" path="m4254,631l9499,631e" filled="false" stroked="true" strokeweight=".48001pt" strokecolor="#bebebe">
                <v:path arrowok="t"/>
              </v:shape>
            </v:group>
            <v:group style="position:absolute;left:1227;top:950;width:1608;height:2" coordorigin="1227,950" coordsize="1608,2">
              <v:shape style="position:absolute;left:1227;top:950;width:1608;height:2" coordorigin="1227,950" coordsize="1608,0" path="m1227,950l2835,950e" filled="false" stroked="true" strokeweight=".47998pt" strokecolor="#bebebe">
                <v:path arrowok="t"/>
              </v:shape>
            </v:group>
            <v:group style="position:absolute;left:2835;top:950;width:1417;height:2" coordorigin="2835,950" coordsize="1417,2">
              <v:shape style="position:absolute;left:2835;top:950;width:1417;height:2" coordorigin="2835,950" coordsize="1417,0" path="m2835,950l4251,950e" filled="false" stroked="true" strokeweight=".47998pt" strokecolor="#bebebe">
                <v:path arrowok="t"/>
              </v:shape>
            </v:group>
            <v:group style="position:absolute;left:4254;top:950;width:5245;height:2" coordorigin="4254,950" coordsize="5245,2">
              <v:shape style="position:absolute;left:4254;top:950;width:5245;height:2" coordorigin="4254,950" coordsize="5245,0" path="m4254,950l9499,950e" filled="false" stroked="true" strokeweight=".47998pt" strokecolor="#bebebe">
                <v:path arrowok="t"/>
              </v:shape>
            </v:group>
            <v:group style="position:absolute;left:1227;top:967;width:1608;height:2" coordorigin="1227,967" coordsize="1608,2">
              <v:shape style="position:absolute;left:1227;top:967;width:1608;height:2" coordorigin="1227,967" coordsize="1608,0" path="m1227,967l2835,967e" filled="false" stroked="true" strokeweight=".96002pt" strokecolor="#000000">
                <v:path arrowok="t"/>
              </v:shape>
            </v:group>
            <v:group style="position:absolute;left:2835;top:967;width:20;height:2" coordorigin="2835,967" coordsize="20,2">
              <v:shape style="position:absolute;left:2835;top:967;width:20;height:2" coordorigin="2835,967" coordsize="20,0" path="m2835,967l2854,967e" filled="false" stroked="true" strokeweight=".96002pt" strokecolor="#000000">
                <v:path arrowok="t"/>
              </v:shape>
            </v:group>
            <v:group style="position:absolute;left:2854;top:967;width:1400;height:2" coordorigin="2854,967" coordsize="1400,2">
              <v:shape style="position:absolute;left:2854;top:967;width:1400;height:2" coordorigin="2854,967" coordsize="1400,0" path="m2854,967l4254,967e" filled="false" stroked="true" strokeweight=".96002pt" strokecolor="#000000">
                <v:path arrowok="t"/>
              </v:shape>
            </v:group>
            <v:group style="position:absolute;left:4254;top:967;width:20;height:2" coordorigin="4254,967" coordsize="20,2">
              <v:shape style="position:absolute;left:4254;top:967;width:20;height:2" coordorigin="4254,967" coordsize="20,0" path="m4254,967l4273,967e" filled="false" stroked="true" strokeweight=".96002pt" strokecolor="#000000">
                <v:path arrowok="t"/>
              </v:shape>
            </v:group>
            <v:group style="position:absolute;left:4273;top:967;width:5226;height:2" coordorigin="4273,967" coordsize="5226,2">
              <v:shape style="position:absolute;left:4273;top:967;width:5226;height:2" coordorigin="4273,967" coordsize="5226,0" path="m4273,967l9499,967e" filled="false" stroked="true" strokeweight=".96002pt" strokecolor="#000000">
                <v:path arrowok="t"/>
              </v:shape>
            </v:group>
            <w10:wrap type="none"/>
          </v:group>
        </w:pict>
      </w:r>
      <w:r>
        <w:rPr>
          <w:spacing w:val="-2"/>
        </w:rPr>
        <w:t>新技术为支撑，构建全方位、立体化的互联网政务服务体系，以促进政府职能转变，建设服务型政府，并制定一系列的政策</w:t>
      </w:r>
      <w:r>
        <w:rPr>
          <w:spacing w:val="-67"/>
        </w:rPr>
        <w:t> </w:t>
      </w:r>
      <w:r>
        <w:rPr>
          <w:spacing w:val="-67"/>
        </w:rPr>
      </w:r>
      <w:r>
        <w:rPr/>
        <w:t>文件和标准规范，指导公共服务信息化建设。</w:t>
      </w:r>
    </w:p>
    <w:tbl>
      <w:tblPr>
        <w:tblW w:w="0" w:type="auto"/>
        <w:jc w:val="left"/>
        <w:tblInd w:w="246" w:type="dxa"/>
        <w:tblLayout w:type="fixed"/>
        <w:tblCellMar>
          <w:top w:w="0" w:type="dxa"/>
          <w:left w:w="0" w:type="dxa"/>
          <w:bottom w:w="0" w:type="dxa"/>
          <w:right w:w="0" w:type="dxa"/>
        </w:tblCellMar>
        <w:tblLook w:val="01E0"/>
      </w:tblPr>
      <w:tblGrid>
        <w:gridCol w:w="1613"/>
        <w:gridCol w:w="1243"/>
        <w:gridCol w:w="5497"/>
      </w:tblGrid>
      <w:tr>
        <w:trPr>
          <w:trHeight w:val="341" w:hRule="exact"/>
        </w:trPr>
        <w:tc>
          <w:tcPr>
            <w:tcW w:w="1613" w:type="dxa"/>
            <w:tcBorders>
              <w:top w:val="nil" w:sz="6" w:space="0" w:color="auto"/>
              <w:left w:val="nil" w:sz="6" w:space="0" w:color="auto"/>
              <w:bottom w:val="nil" w:sz="6" w:space="0" w:color="auto"/>
              <w:right w:val="nil" w:sz="6" w:space="0" w:color="auto"/>
            </w:tcBorders>
            <w:shd w:val="clear" w:color="auto" w:fill="BEBEBE"/>
          </w:tcPr>
          <w:p>
            <w:pPr>
              <w:pStyle w:val="TableParagraph"/>
              <w:spacing w:line="240" w:lineRule="auto" w:before="20"/>
              <w:ind w:left="441" w:right="0"/>
              <w:jc w:val="left"/>
              <w:rPr>
                <w:rFonts w:ascii="宋体" w:hAnsi="宋体" w:cs="宋体" w:eastAsia="宋体" w:hint="default"/>
                <w:sz w:val="18"/>
                <w:szCs w:val="18"/>
              </w:rPr>
            </w:pPr>
            <w:r>
              <w:rPr>
                <w:rFonts w:ascii="宋体" w:hAnsi="宋体" w:cs="宋体" w:eastAsia="宋体" w:hint="default"/>
                <w:b/>
                <w:bCs/>
                <w:sz w:val="18"/>
                <w:szCs w:val="18"/>
              </w:rPr>
              <w:t>发布时间</w:t>
            </w:r>
            <w:r>
              <w:rPr>
                <w:rFonts w:ascii="宋体" w:hAnsi="宋体" w:cs="宋体" w:eastAsia="宋体" w:hint="default"/>
                <w:sz w:val="18"/>
                <w:szCs w:val="18"/>
              </w:rPr>
            </w:r>
          </w:p>
        </w:tc>
        <w:tc>
          <w:tcPr>
            <w:tcW w:w="1243" w:type="dxa"/>
            <w:tcBorders>
              <w:top w:val="nil" w:sz="6" w:space="0" w:color="auto"/>
              <w:left w:val="nil" w:sz="6" w:space="0" w:color="auto"/>
              <w:bottom w:val="nil" w:sz="6" w:space="0" w:color="auto"/>
              <w:right w:val="nil" w:sz="6" w:space="0" w:color="auto"/>
            </w:tcBorders>
            <w:shd w:val="clear" w:color="auto" w:fill="BEBEBE"/>
          </w:tcPr>
          <w:p>
            <w:pPr>
              <w:pStyle w:val="TableParagraph"/>
              <w:spacing w:line="240" w:lineRule="auto" w:before="20"/>
              <w:ind w:left="160" w:right="0"/>
              <w:jc w:val="center"/>
              <w:rPr>
                <w:rFonts w:ascii="宋体" w:hAnsi="宋体" w:cs="宋体" w:eastAsia="宋体" w:hint="default"/>
                <w:sz w:val="18"/>
                <w:szCs w:val="18"/>
              </w:rPr>
            </w:pPr>
            <w:r>
              <w:rPr>
                <w:rFonts w:ascii="宋体" w:hAnsi="宋体" w:cs="宋体" w:eastAsia="宋体" w:hint="default"/>
                <w:b/>
                <w:bCs/>
                <w:sz w:val="18"/>
                <w:szCs w:val="18"/>
              </w:rPr>
              <w:t>发布单位</w:t>
            </w:r>
            <w:r>
              <w:rPr>
                <w:rFonts w:ascii="宋体" w:hAnsi="宋体" w:cs="宋体" w:eastAsia="宋体" w:hint="default"/>
                <w:sz w:val="18"/>
                <w:szCs w:val="18"/>
              </w:rPr>
            </w:r>
          </w:p>
        </w:tc>
        <w:tc>
          <w:tcPr>
            <w:tcW w:w="5497" w:type="dxa"/>
            <w:tcBorders>
              <w:top w:val="nil" w:sz="6" w:space="0" w:color="auto"/>
              <w:left w:val="nil" w:sz="6" w:space="0" w:color="auto"/>
              <w:bottom w:val="nil" w:sz="6" w:space="0" w:color="auto"/>
              <w:right w:val="nil" w:sz="6" w:space="0" w:color="auto"/>
            </w:tcBorders>
            <w:shd w:val="clear" w:color="auto" w:fill="BEBEBE"/>
          </w:tcPr>
          <w:p>
            <w:pPr>
              <w:pStyle w:val="TableParagraph"/>
              <w:spacing w:line="240" w:lineRule="auto" w:before="20"/>
              <w:ind w:left="89" w:right="0"/>
              <w:jc w:val="center"/>
              <w:rPr>
                <w:rFonts w:ascii="宋体" w:hAnsi="宋体" w:cs="宋体" w:eastAsia="宋体" w:hint="default"/>
                <w:sz w:val="18"/>
                <w:szCs w:val="18"/>
              </w:rPr>
            </w:pPr>
            <w:r>
              <w:rPr>
                <w:rFonts w:ascii="宋体" w:hAnsi="宋体" w:cs="宋体" w:eastAsia="宋体" w:hint="default"/>
                <w:b/>
                <w:bCs/>
                <w:sz w:val="18"/>
                <w:szCs w:val="18"/>
              </w:rPr>
              <w:t>政策要点</w:t>
            </w:r>
            <w:r>
              <w:rPr>
                <w:rFonts w:ascii="宋体" w:hAnsi="宋体" w:cs="宋体" w:eastAsia="宋体" w:hint="default"/>
                <w:sz w:val="18"/>
                <w:szCs w:val="18"/>
              </w:rPr>
            </w:r>
          </w:p>
        </w:tc>
      </w:tr>
      <w:tr>
        <w:trPr>
          <w:trHeight w:val="1280" w:hRule="exact"/>
        </w:trPr>
        <w:tc>
          <w:tcPr>
            <w:tcW w:w="1613"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3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p>
        </w:tc>
        <w:tc>
          <w:tcPr>
            <w:tcW w:w="1243" w:type="dxa"/>
            <w:tcBorders>
              <w:top w:val="nil" w:sz="6" w:space="0" w:color="auto"/>
              <w:left w:val="nil" w:sz="6" w:space="0" w:color="auto"/>
              <w:bottom w:val="single" w:sz="8" w:space="0" w:color="000000"/>
              <w:right w:val="nil" w:sz="6" w:space="0" w:color="auto"/>
            </w:tcBorders>
          </w:tcPr>
          <w:p>
            <w:pPr>
              <w:pStyle w:val="TableParagraph"/>
              <w:spacing w:line="240" w:lineRule="auto" w:before="22"/>
              <w:ind w:left="160" w:right="0"/>
              <w:jc w:val="center"/>
              <w:rPr>
                <w:rFonts w:ascii="宋体" w:hAnsi="宋体" w:cs="宋体" w:eastAsia="宋体" w:hint="default"/>
                <w:sz w:val="18"/>
                <w:szCs w:val="18"/>
              </w:rPr>
            </w:pPr>
            <w:r>
              <w:rPr>
                <w:rFonts w:ascii="宋体" w:hAnsi="宋体" w:cs="宋体" w:eastAsia="宋体" w:hint="default"/>
                <w:sz w:val="18"/>
                <w:szCs w:val="18"/>
              </w:rPr>
              <w:t>人社部</w:t>
            </w:r>
          </w:p>
        </w:tc>
        <w:tc>
          <w:tcPr>
            <w:tcW w:w="5497" w:type="dxa"/>
            <w:tcBorders>
              <w:top w:val="nil" w:sz="6" w:space="0" w:color="auto"/>
              <w:left w:val="nil" w:sz="6" w:space="0" w:color="auto"/>
              <w:bottom w:val="single" w:sz="8" w:space="0" w:color="000000"/>
              <w:right w:val="nil" w:sz="6" w:space="0" w:color="auto"/>
            </w:tcBorders>
          </w:tcPr>
          <w:p>
            <w:pPr>
              <w:pStyle w:val="TableParagraph"/>
              <w:spacing w:line="312" w:lineRule="auto" w:before="22"/>
              <w:ind w:left="180" w:right="0"/>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互联网</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人社</w:t>
            </w:r>
            <w:r>
              <w:rPr>
                <w:rFonts w:ascii="Times New Roman" w:hAnsi="Times New Roman" w:cs="Times New Roman" w:eastAsia="Times New Roman" w:hint="default"/>
                <w:spacing w:val="-3"/>
                <w:sz w:val="18"/>
                <w:szCs w:val="18"/>
              </w:rPr>
              <w:t>”2020</w:t>
            </w:r>
            <w:r>
              <w:rPr>
                <w:rFonts w:ascii="宋体" w:hAnsi="宋体" w:cs="宋体" w:eastAsia="宋体" w:hint="default"/>
                <w:spacing w:val="-3"/>
                <w:sz w:val="18"/>
                <w:szCs w:val="18"/>
              </w:rPr>
              <w:t>行动计划》提出通过基础能力提升，优化办事</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流程，加强能力输出，推进线上线下融合，引入社会力量参与，提</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供渠道多样、简便易用的政务服务，面向各类服务人群，构建人人</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6"/>
                <w:sz w:val="18"/>
                <w:szCs w:val="18"/>
              </w:rPr>
              <w:t>参与、人人享有、人人获益、人人便利的</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互联网</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人社</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服务新格局。</w:t>
            </w:r>
          </w:p>
        </w:tc>
      </w:tr>
      <w:tr>
        <w:trPr>
          <w:trHeight w:val="1277" w:hRule="exact"/>
        </w:trPr>
        <w:tc>
          <w:tcPr>
            <w:tcW w:w="161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宋体" w:hAnsi="宋体" w:cs="宋体" w:eastAsia="宋体" w:hint="default"/>
                <w:sz w:val="18"/>
                <w:szCs w:val="18"/>
              </w:rPr>
              <w:t>人社部</w:t>
            </w:r>
          </w:p>
        </w:tc>
        <w:tc>
          <w:tcPr>
            <w:tcW w:w="5497" w:type="dxa"/>
            <w:tcBorders>
              <w:top w:val="single" w:sz="8" w:space="0" w:color="000000"/>
              <w:left w:val="nil" w:sz="6" w:space="0" w:color="auto"/>
              <w:bottom w:val="single" w:sz="8" w:space="0" w:color="000000"/>
              <w:right w:val="nil" w:sz="6" w:space="0" w:color="auto"/>
            </w:tcBorders>
          </w:tcPr>
          <w:p>
            <w:pPr>
              <w:pStyle w:val="TableParagraph"/>
              <w:spacing w:line="312" w:lineRule="auto" w:before="10"/>
              <w:ind w:left="180" w:right="12"/>
              <w:jc w:val="left"/>
              <w:rPr>
                <w:rFonts w:ascii="宋体" w:hAnsi="宋体" w:cs="宋体" w:eastAsia="宋体" w:hint="default"/>
                <w:sz w:val="18"/>
                <w:szCs w:val="18"/>
              </w:rPr>
            </w:pPr>
            <w:r>
              <w:rPr>
                <w:rFonts w:ascii="宋体" w:hAnsi="宋体" w:cs="宋体" w:eastAsia="宋体" w:hint="default"/>
                <w:sz w:val="18"/>
                <w:szCs w:val="18"/>
              </w:rPr>
              <w:t>《关于推进公共就业服务专业化的意见》要求各地要加快公共就业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服务信息化建设和应用，充分运用互联网和移动互联等现代信息技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术，打造</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公共就业服务</w:t>
            </w:r>
            <w:r>
              <w:rPr>
                <w:rFonts w:ascii="Times New Roman" w:hAnsi="Times New Roman" w:cs="Times New Roman" w:eastAsia="Times New Roman" w:hint="default"/>
                <w:sz w:val="18"/>
                <w:szCs w:val="18"/>
              </w:rPr>
              <w:t>”</w:t>
            </w:r>
            <w:r>
              <w:rPr>
                <w:rFonts w:ascii="宋体" w:hAnsi="宋体" w:cs="宋体" w:eastAsia="宋体" w:hint="default"/>
                <w:sz w:val="18"/>
                <w:szCs w:val="18"/>
              </w:rPr>
              <w:t>，构建基于实体大厅、网上平台、 移动应用、自助终端等渠道的一体化公共就业服务平台。</w:t>
            </w:r>
          </w:p>
        </w:tc>
      </w:tr>
      <w:tr>
        <w:trPr>
          <w:trHeight w:val="655" w:hRule="exact"/>
        </w:trPr>
        <w:tc>
          <w:tcPr>
            <w:tcW w:w="1613"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39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7</w:t>
            </w:r>
            <w:r>
              <w:rPr>
                <w:rFonts w:ascii="宋体" w:hAnsi="宋体" w:cs="宋体" w:eastAsia="宋体" w:hint="default"/>
                <w:sz w:val="18"/>
                <w:szCs w:val="18"/>
              </w:rPr>
              <w:t>月</w:t>
            </w:r>
          </w:p>
        </w:tc>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13"/>
              <w:ind w:left="160" w:right="0"/>
              <w:jc w:val="center"/>
              <w:rPr>
                <w:rFonts w:ascii="宋体" w:hAnsi="宋体" w:cs="宋体" w:eastAsia="宋体" w:hint="default"/>
                <w:sz w:val="18"/>
                <w:szCs w:val="18"/>
              </w:rPr>
            </w:pPr>
            <w:r>
              <w:rPr>
                <w:rFonts w:ascii="宋体" w:hAnsi="宋体" w:cs="宋体" w:eastAsia="宋体" w:hint="default"/>
                <w:sz w:val="18"/>
                <w:szCs w:val="18"/>
              </w:rPr>
              <w:t>人社部</w:t>
            </w:r>
          </w:p>
        </w:tc>
        <w:tc>
          <w:tcPr>
            <w:tcW w:w="5497" w:type="dxa"/>
            <w:tcBorders>
              <w:top w:val="single" w:sz="8" w:space="0" w:color="000000"/>
              <w:left w:val="nil" w:sz="6" w:space="0" w:color="auto"/>
              <w:bottom w:val="single" w:sz="8" w:space="0" w:color="000000"/>
              <w:right w:val="nil" w:sz="6" w:space="0" w:color="auto"/>
            </w:tcBorders>
          </w:tcPr>
          <w:p>
            <w:pPr>
              <w:pStyle w:val="TableParagraph"/>
              <w:spacing w:line="300" w:lineRule="auto" w:before="13"/>
              <w:ind w:left="180" w:right="9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互联网</w:t>
            </w:r>
            <w:r>
              <w:rPr>
                <w:rFonts w:ascii="Times New Roman" w:hAnsi="Times New Roman" w:cs="Times New Roman" w:eastAsia="Times New Roman" w:hint="default"/>
                <w:sz w:val="18"/>
                <w:szCs w:val="18"/>
              </w:rPr>
              <w:t>+</w:t>
            </w:r>
            <w:r>
              <w:rPr>
                <w:rFonts w:ascii="宋体" w:hAnsi="宋体" w:cs="宋体" w:eastAsia="宋体" w:hint="default"/>
                <w:sz w:val="18"/>
                <w:szCs w:val="18"/>
              </w:rPr>
              <w:t>调解仲裁</w:t>
            </w:r>
            <w:r>
              <w:rPr>
                <w:rFonts w:ascii="Times New Roman" w:hAnsi="Times New Roman" w:cs="Times New Roman" w:eastAsia="Times New Roman" w:hint="default"/>
                <w:sz w:val="18"/>
                <w:szCs w:val="18"/>
              </w:rPr>
              <w:t>”2020</w:t>
            </w:r>
            <w:r>
              <w:rPr>
                <w:rFonts w:ascii="宋体" w:hAnsi="宋体" w:cs="宋体" w:eastAsia="宋体" w:hint="default"/>
                <w:sz w:val="18"/>
                <w:szCs w:val="18"/>
              </w:rPr>
              <w:t>行动 实施计划》提出促进调解仲裁业务</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与信息技术的融合创新，切实发挥信息化的引领和保障作用。</w:t>
            </w:r>
          </w:p>
        </w:tc>
      </w:tr>
      <w:tr>
        <w:trPr>
          <w:trHeight w:val="967" w:hRule="exact"/>
        </w:trPr>
        <w:tc>
          <w:tcPr>
            <w:tcW w:w="161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p>
        </w:tc>
        <w:tc>
          <w:tcPr>
            <w:tcW w:w="1243"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60" w:right="0"/>
              <w:jc w:val="center"/>
              <w:rPr>
                <w:rFonts w:ascii="宋体" w:hAnsi="宋体" w:cs="宋体" w:eastAsia="宋体" w:hint="default"/>
                <w:sz w:val="18"/>
                <w:szCs w:val="18"/>
              </w:rPr>
            </w:pPr>
            <w:r>
              <w:rPr>
                <w:rFonts w:ascii="宋体" w:hAnsi="宋体" w:cs="宋体" w:eastAsia="宋体" w:hint="default"/>
                <w:sz w:val="18"/>
                <w:szCs w:val="18"/>
              </w:rPr>
              <w:t>人社部</w:t>
            </w:r>
          </w:p>
        </w:tc>
        <w:tc>
          <w:tcPr>
            <w:tcW w:w="5497" w:type="dxa"/>
            <w:tcBorders>
              <w:top w:val="single" w:sz="8" w:space="0" w:color="000000"/>
              <w:left w:val="nil" w:sz="6" w:space="0" w:color="auto"/>
              <w:bottom w:val="single" w:sz="8" w:space="0" w:color="000000"/>
              <w:right w:val="nil" w:sz="6" w:space="0" w:color="auto"/>
            </w:tcBorders>
          </w:tcPr>
          <w:p>
            <w:pPr>
              <w:pStyle w:val="TableParagraph"/>
              <w:spacing w:line="300" w:lineRule="auto" w:before="10"/>
              <w:ind w:left="180" w:right="88"/>
              <w:jc w:val="both"/>
              <w:rPr>
                <w:rFonts w:ascii="宋体" w:hAnsi="宋体" w:cs="宋体" w:eastAsia="宋体" w:hint="default"/>
                <w:sz w:val="18"/>
                <w:szCs w:val="18"/>
              </w:rPr>
            </w:pPr>
            <w:r>
              <w:rPr>
                <w:rFonts w:ascii="宋体" w:hAnsi="宋体" w:cs="宋体" w:eastAsia="宋体" w:hint="default"/>
                <w:spacing w:val="2"/>
                <w:sz w:val="18"/>
                <w:szCs w:val="18"/>
              </w:rPr>
              <w:t>《关于深入推进</w:t>
            </w:r>
            <w:r>
              <w:rPr>
                <w:rFonts w:ascii="Times New Roman" w:hAnsi="Times New Roman" w:cs="Times New Roman" w:eastAsia="Times New Roman" w:hint="default"/>
                <w:spacing w:val="2"/>
                <w:sz w:val="18"/>
                <w:szCs w:val="18"/>
              </w:rPr>
              <w:t>12333</w:t>
            </w:r>
            <w:r>
              <w:rPr>
                <w:rFonts w:ascii="宋体" w:hAnsi="宋体" w:cs="宋体" w:eastAsia="宋体" w:hint="default"/>
                <w:spacing w:val="2"/>
                <w:sz w:val="18"/>
                <w:szCs w:val="18"/>
              </w:rPr>
              <w:t>发展促进人力资源社会保障公共服务便民化</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的意见》提出要基于公共服务信息平台，实现</w:t>
            </w:r>
            <w:r>
              <w:rPr>
                <w:rFonts w:ascii="Times New Roman" w:hAnsi="Times New Roman" w:cs="Times New Roman" w:eastAsia="Times New Roman" w:hint="default"/>
                <w:spacing w:val="-3"/>
                <w:sz w:val="18"/>
                <w:szCs w:val="18"/>
              </w:rPr>
              <w:t>12333</w:t>
            </w:r>
            <w:r>
              <w:rPr>
                <w:rFonts w:ascii="宋体" w:hAnsi="宋体" w:cs="宋体" w:eastAsia="宋体" w:hint="default"/>
                <w:spacing w:val="-3"/>
                <w:sz w:val="18"/>
                <w:szCs w:val="18"/>
              </w:rPr>
              <w:t>电话与网站、移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动应用等服务渠道的信息交互和联动服务。</w:t>
            </w:r>
          </w:p>
        </w:tc>
      </w:tr>
    </w:tbl>
    <w:p>
      <w:pPr>
        <w:pStyle w:val="BodyText"/>
        <w:spacing w:line="300" w:lineRule="auto" w:before="19"/>
        <w:ind w:left="441" w:right="1133"/>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产业金融政策及趋势 </w:t>
      </w:r>
      <w:r>
        <w:rPr>
          <w:spacing w:val="-1"/>
        </w:rPr>
        <w:t>医疗卫生、医疗保障、人力资源和社会保障行业属于资金密集型行业，众多优质客户不仅有信息化建设需求，也具有资</w:t>
      </w:r>
    </w:p>
    <w:p>
      <w:pPr>
        <w:pStyle w:val="BodyText"/>
        <w:spacing w:line="300" w:lineRule="auto" w:before="31"/>
        <w:ind w:right="1054"/>
        <w:jc w:val="left"/>
      </w:pPr>
      <w:r>
        <w:rPr/>
        <w:t>金周转需求。随着</w:t>
      </w:r>
      <w:r>
        <w:rPr>
          <w:rFonts w:ascii="Times New Roman" w:hAnsi="Times New Roman" w:cs="Times New Roman" w:eastAsia="Times New Roman" w:hint="default"/>
        </w:rPr>
        <w:t>“</w:t>
      </w:r>
      <w:r>
        <w:rPr/>
        <w:t>以药养医</w:t>
      </w:r>
      <w:r>
        <w:rPr>
          <w:rFonts w:ascii="Times New Roman" w:hAnsi="Times New Roman" w:cs="Times New Roman" w:eastAsia="Times New Roman" w:hint="default"/>
        </w:rPr>
        <w:t>”</w:t>
      </w:r>
      <w:r>
        <w:rPr/>
        <w:t>模式逐步被摈弃，医疗机构资金来源渠道越来越窄，资金流的紧张传导至产业链上相关主体， 使得其融资需求十分迫切。响应市场需求，系列政策的发布为行业金融指明方向。</w:t>
      </w:r>
    </w:p>
    <w:p>
      <w:pPr>
        <w:spacing w:line="240" w:lineRule="auto" w:before="0"/>
        <w:rPr>
          <w:rFonts w:ascii="宋体" w:hAnsi="宋体" w:cs="宋体" w:eastAsia="宋体" w:hint="default"/>
          <w:sz w:val="2"/>
          <w:szCs w:val="2"/>
        </w:rPr>
      </w:pPr>
    </w:p>
    <w:tbl>
      <w:tblPr>
        <w:tblW w:w="0" w:type="auto"/>
        <w:jc w:val="left"/>
        <w:tblInd w:w="246" w:type="dxa"/>
        <w:tblLayout w:type="fixed"/>
        <w:tblCellMar>
          <w:top w:w="0" w:type="dxa"/>
          <w:left w:w="0" w:type="dxa"/>
          <w:bottom w:w="0" w:type="dxa"/>
          <w:right w:w="0" w:type="dxa"/>
        </w:tblCellMar>
        <w:tblLook w:val="01E0"/>
      </w:tblPr>
      <w:tblGrid>
        <w:gridCol w:w="1451"/>
        <w:gridCol w:w="1324"/>
        <w:gridCol w:w="5608"/>
      </w:tblGrid>
      <w:tr>
        <w:trPr>
          <w:trHeight w:val="336" w:hRule="exact"/>
        </w:trPr>
        <w:tc>
          <w:tcPr>
            <w:tcW w:w="1451" w:type="dxa"/>
            <w:tcBorders>
              <w:top w:val="nil" w:sz="6" w:space="0" w:color="auto"/>
              <w:left w:val="nil" w:sz="6" w:space="0" w:color="auto"/>
              <w:bottom w:val="single" w:sz="8" w:space="0" w:color="000000"/>
              <w:right w:val="nil" w:sz="6" w:space="0" w:color="auto"/>
            </w:tcBorders>
            <w:shd w:val="clear" w:color="auto" w:fill="BEBEBE"/>
          </w:tcPr>
          <w:p>
            <w:pPr>
              <w:pStyle w:val="TableParagraph"/>
              <w:spacing w:line="240" w:lineRule="auto" w:before="15"/>
              <w:ind w:right="337"/>
              <w:jc w:val="right"/>
              <w:rPr>
                <w:rFonts w:ascii="宋体" w:hAnsi="宋体" w:cs="宋体" w:eastAsia="宋体" w:hint="default"/>
                <w:sz w:val="18"/>
                <w:szCs w:val="18"/>
              </w:rPr>
            </w:pPr>
            <w:r>
              <w:rPr>
                <w:rFonts w:ascii="宋体" w:hAnsi="宋体" w:cs="宋体" w:eastAsia="宋体" w:hint="default"/>
                <w:b/>
                <w:bCs/>
                <w:w w:val="95"/>
                <w:sz w:val="18"/>
                <w:szCs w:val="18"/>
              </w:rPr>
              <w:t>发布时间</w:t>
            </w:r>
            <w:r>
              <w:rPr>
                <w:rFonts w:ascii="宋体" w:hAnsi="宋体" w:cs="宋体" w:eastAsia="宋体" w:hint="default"/>
                <w:sz w:val="18"/>
                <w:szCs w:val="18"/>
              </w:rPr>
            </w:r>
          </w:p>
        </w:tc>
        <w:tc>
          <w:tcPr>
            <w:tcW w:w="1324" w:type="dxa"/>
            <w:tcBorders>
              <w:top w:val="nil" w:sz="6" w:space="0" w:color="auto"/>
              <w:left w:val="nil" w:sz="6" w:space="0" w:color="auto"/>
              <w:bottom w:val="single" w:sz="8" w:space="0" w:color="000000"/>
              <w:right w:val="nil" w:sz="6" w:space="0" w:color="auto"/>
            </w:tcBorders>
            <w:shd w:val="clear" w:color="auto" w:fill="BEBEBE"/>
          </w:tcPr>
          <w:p>
            <w:pPr>
              <w:pStyle w:val="TableParagraph"/>
              <w:spacing w:line="240" w:lineRule="auto" w:before="15"/>
              <w:ind w:left="163" w:right="0"/>
              <w:jc w:val="center"/>
              <w:rPr>
                <w:rFonts w:ascii="宋体" w:hAnsi="宋体" w:cs="宋体" w:eastAsia="宋体" w:hint="default"/>
                <w:sz w:val="18"/>
                <w:szCs w:val="18"/>
              </w:rPr>
            </w:pPr>
            <w:r>
              <w:rPr>
                <w:rFonts w:ascii="宋体" w:hAnsi="宋体" w:cs="宋体" w:eastAsia="宋体" w:hint="default"/>
                <w:b/>
                <w:bCs/>
                <w:sz w:val="18"/>
                <w:szCs w:val="18"/>
              </w:rPr>
              <w:t>发布单位</w:t>
            </w:r>
            <w:r>
              <w:rPr>
                <w:rFonts w:ascii="宋体" w:hAnsi="宋体" w:cs="宋体" w:eastAsia="宋体" w:hint="default"/>
                <w:sz w:val="18"/>
                <w:szCs w:val="18"/>
              </w:rPr>
            </w:r>
          </w:p>
        </w:tc>
        <w:tc>
          <w:tcPr>
            <w:tcW w:w="5608" w:type="dxa"/>
            <w:tcBorders>
              <w:top w:val="nil" w:sz="6" w:space="0" w:color="auto"/>
              <w:left w:val="nil" w:sz="6" w:space="0" w:color="auto"/>
              <w:bottom w:val="single" w:sz="8" w:space="0" w:color="000000"/>
              <w:right w:val="nil" w:sz="6" w:space="0" w:color="auto"/>
            </w:tcBorders>
            <w:shd w:val="clear" w:color="auto" w:fill="BEBEBE"/>
          </w:tcPr>
          <w:p>
            <w:pPr>
              <w:pStyle w:val="TableParagraph"/>
              <w:spacing w:line="240" w:lineRule="auto" w:before="15"/>
              <w:ind w:left="117" w:right="0"/>
              <w:jc w:val="center"/>
              <w:rPr>
                <w:rFonts w:ascii="宋体" w:hAnsi="宋体" w:cs="宋体" w:eastAsia="宋体" w:hint="default"/>
                <w:sz w:val="18"/>
                <w:szCs w:val="18"/>
              </w:rPr>
            </w:pPr>
            <w:r>
              <w:rPr>
                <w:rFonts w:ascii="宋体" w:hAnsi="宋体" w:cs="宋体" w:eastAsia="宋体" w:hint="default"/>
                <w:b/>
                <w:bCs/>
                <w:sz w:val="18"/>
                <w:szCs w:val="18"/>
              </w:rPr>
              <w:t>政策要点</w:t>
            </w:r>
            <w:r>
              <w:rPr>
                <w:rFonts w:ascii="宋体" w:hAnsi="宋体" w:cs="宋体" w:eastAsia="宋体" w:hint="default"/>
                <w:sz w:val="18"/>
                <w:szCs w:val="18"/>
              </w:rPr>
            </w:r>
          </w:p>
        </w:tc>
      </w:tr>
      <w:tr>
        <w:trPr>
          <w:trHeight w:val="655" w:hRule="exact"/>
        </w:trPr>
        <w:tc>
          <w:tcPr>
            <w:tcW w:w="1451"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93"/>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p>
        </w:tc>
        <w:tc>
          <w:tcPr>
            <w:tcW w:w="132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64" w:right="0"/>
              <w:jc w:val="center"/>
              <w:rPr>
                <w:rFonts w:ascii="宋体" w:hAnsi="宋体" w:cs="宋体" w:eastAsia="宋体" w:hint="default"/>
                <w:sz w:val="18"/>
                <w:szCs w:val="18"/>
              </w:rPr>
            </w:pPr>
            <w:r>
              <w:rPr>
                <w:rFonts w:ascii="宋体" w:hAnsi="宋体" w:cs="宋体" w:eastAsia="宋体" w:hint="default"/>
                <w:sz w:val="18"/>
                <w:szCs w:val="18"/>
              </w:rPr>
              <w:t>国务院</w:t>
            </w:r>
          </w:p>
        </w:tc>
        <w:tc>
          <w:tcPr>
            <w:tcW w:w="5608" w:type="dxa"/>
            <w:tcBorders>
              <w:top w:val="single" w:sz="8" w:space="0" w:color="000000"/>
              <w:left w:val="nil" w:sz="6" w:space="0" w:color="auto"/>
              <w:bottom w:val="single" w:sz="8" w:space="0" w:color="000000"/>
              <w:right w:val="nil" w:sz="6" w:space="0" w:color="auto"/>
            </w:tcBorders>
          </w:tcPr>
          <w:p>
            <w:pPr>
              <w:pStyle w:val="TableParagraph"/>
              <w:spacing w:line="300" w:lineRule="auto" w:before="10"/>
              <w:ind w:left="129" w:right="-2"/>
              <w:jc w:val="left"/>
              <w:rPr>
                <w:rFonts w:ascii="宋体" w:hAnsi="宋体" w:cs="宋体" w:eastAsia="宋体" w:hint="default"/>
                <w:sz w:val="18"/>
                <w:szCs w:val="18"/>
              </w:rPr>
            </w:pPr>
            <w:r>
              <w:rPr>
                <w:rFonts w:ascii="宋体" w:hAnsi="宋体" w:cs="宋体" w:eastAsia="宋体" w:hint="default"/>
                <w:sz w:val="18"/>
                <w:szCs w:val="18"/>
              </w:rPr>
              <w:t>《关于加快融资租赁业务发展的指导意见》指出</w:t>
            </w:r>
            <w:r>
              <w:rPr>
                <w:rFonts w:ascii="Times New Roman" w:hAnsi="Times New Roman" w:cs="Times New Roman" w:eastAsia="Times New Roman" w:hint="default"/>
                <w:sz w:val="18"/>
                <w:szCs w:val="18"/>
              </w:rPr>
              <w:t>“</w:t>
            </w:r>
            <w:r>
              <w:rPr>
                <w:rFonts w:ascii="宋体" w:hAnsi="宋体" w:cs="宋体" w:eastAsia="宋体" w:hint="default"/>
                <w:sz w:val="18"/>
                <w:szCs w:val="18"/>
              </w:rPr>
              <w:t>根据融资租赁特点， 便利融资租赁公司申请医疗器械经营许可或办理备案</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965" w:hRule="exact"/>
        </w:trPr>
        <w:tc>
          <w:tcPr>
            <w:tcW w:w="1451"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93"/>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p>
        </w:tc>
        <w:tc>
          <w:tcPr>
            <w:tcW w:w="132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64" w:right="0"/>
              <w:jc w:val="center"/>
              <w:rPr>
                <w:rFonts w:ascii="宋体" w:hAnsi="宋体" w:cs="宋体" w:eastAsia="宋体" w:hint="default"/>
                <w:sz w:val="18"/>
                <w:szCs w:val="18"/>
              </w:rPr>
            </w:pPr>
            <w:r>
              <w:rPr>
                <w:rFonts w:ascii="宋体" w:hAnsi="宋体" w:cs="宋体" w:eastAsia="宋体" w:hint="default"/>
                <w:sz w:val="18"/>
                <w:szCs w:val="18"/>
              </w:rPr>
              <w:t>国务院</w:t>
            </w:r>
          </w:p>
        </w:tc>
        <w:tc>
          <w:tcPr>
            <w:tcW w:w="5608" w:type="dxa"/>
            <w:tcBorders>
              <w:top w:val="single" w:sz="8" w:space="0" w:color="000000"/>
              <w:left w:val="nil" w:sz="6" w:space="0" w:color="auto"/>
              <w:bottom w:val="single" w:sz="8" w:space="0" w:color="000000"/>
              <w:right w:val="nil" w:sz="6" w:space="0" w:color="auto"/>
            </w:tcBorders>
          </w:tcPr>
          <w:p>
            <w:pPr>
              <w:pStyle w:val="TableParagraph"/>
              <w:spacing w:line="316" w:lineRule="auto" w:before="10"/>
              <w:ind w:left="129" w:right="75"/>
              <w:jc w:val="both"/>
              <w:rPr>
                <w:rFonts w:ascii="宋体" w:hAnsi="宋体" w:cs="宋体" w:eastAsia="宋体" w:hint="default"/>
                <w:sz w:val="18"/>
                <w:szCs w:val="18"/>
              </w:rPr>
            </w:pPr>
            <w:r>
              <w:rPr>
                <w:rFonts w:ascii="宋体" w:hAnsi="宋体" w:cs="宋体" w:eastAsia="宋体" w:hint="default"/>
                <w:sz w:val="18"/>
                <w:szCs w:val="18"/>
              </w:rPr>
              <w:t>《关于促进医药产业健康发展的指导意见》提出要探索医疗器械生产 企业与金融租赁公司、融资租赁公司合作，为各类所有制医疗机构提 供分期付款采购大型医疗设备的服务。</w:t>
            </w:r>
          </w:p>
        </w:tc>
      </w:tr>
      <w:tr>
        <w:trPr>
          <w:trHeight w:val="656" w:hRule="exact"/>
        </w:trPr>
        <w:tc>
          <w:tcPr>
            <w:tcW w:w="1451"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right="293"/>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p>
        </w:tc>
        <w:tc>
          <w:tcPr>
            <w:tcW w:w="1324" w:type="dxa"/>
            <w:tcBorders>
              <w:top w:val="single" w:sz="8" w:space="0" w:color="000000"/>
              <w:left w:val="nil" w:sz="6" w:space="0" w:color="auto"/>
              <w:bottom w:val="single" w:sz="8" w:space="0" w:color="000000"/>
              <w:right w:val="nil" w:sz="6" w:space="0" w:color="auto"/>
            </w:tcBorders>
          </w:tcPr>
          <w:p>
            <w:pPr>
              <w:pStyle w:val="TableParagraph"/>
              <w:spacing w:line="240" w:lineRule="auto" w:before="10"/>
              <w:ind w:left="164" w:right="0"/>
              <w:jc w:val="center"/>
              <w:rPr>
                <w:rFonts w:ascii="宋体" w:hAnsi="宋体" w:cs="宋体" w:eastAsia="宋体" w:hint="default"/>
                <w:sz w:val="18"/>
                <w:szCs w:val="18"/>
              </w:rPr>
            </w:pPr>
            <w:r>
              <w:rPr>
                <w:rFonts w:ascii="宋体" w:hAnsi="宋体" w:cs="宋体" w:eastAsia="宋体" w:hint="default"/>
                <w:sz w:val="18"/>
                <w:szCs w:val="18"/>
              </w:rPr>
              <w:t>厦门自贸区</w:t>
            </w:r>
          </w:p>
        </w:tc>
        <w:tc>
          <w:tcPr>
            <w:tcW w:w="5608" w:type="dxa"/>
            <w:tcBorders>
              <w:top w:val="single" w:sz="8" w:space="0" w:color="000000"/>
              <w:left w:val="nil" w:sz="6" w:space="0" w:color="auto"/>
              <w:bottom w:val="single" w:sz="8" w:space="0" w:color="000000"/>
              <w:right w:val="nil" w:sz="6" w:space="0" w:color="auto"/>
            </w:tcBorders>
          </w:tcPr>
          <w:p>
            <w:pPr>
              <w:pStyle w:val="TableParagraph"/>
              <w:spacing w:line="300" w:lineRule="auto" w:before="10"/>
              <w:ind w:left="129" w:right="75"/>
              <w:jc w:val="left"/>
              <w:rPr>
                <w:rFonts w:ascii="宋体" w:hAnsi="宋体" w:cs="宋体" w:eastAsia="宋体" w:hint="default"/>
                <w:sz w:val="18"/>
                <w:szCs w:val="18"/>
              </w:rPr>
            </w:pPr>
            <w:r>
              <w:rPr>
                <w:rFonts w:ascii="宋体" w:hAnsi="宋体" w:cs="宋体" w:eastAsia="宋体" w:hint="default"/>
                <w:sz w:val="18"/>
                <w:szCs w:val="18"/>
              </w:rPr>
              <w:t>关于大型医疗器械融资租赁监管改革的若干意见，</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年年中厦门市 市场监督管理局出台相关细则和指导意见。</w:t>
            </w:r>
          </w:p>
        </w:tc>
      </w:tr>
    </w:tbl>
    <w:p>
      <w:pPr>
        <w:pStyle w:val="BodyText"/>
        <w:spacing w:line="240" w:lineRule="auto" w:before="10"/>
        <w:ind w:left="441" w:right="0"/>
        <w:jc w:val="left"/>
      </w:pPr>
      <w:r>
        <w:rPr/>
        <w:t>党和政府的政策导向，与公司致力于成为中国领先的民生信息服务综合运营商的发展理念相契合，对公司而言是巨大的</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8"/>
        <w:rPr>
          <w:rFonts w:ascii="宋体" w:hAnsi="宋体" w:cs="宋体" w:eastAsia="宋体" w:hint="default"/>
          <w:sz w:val="21"/>
          <w:szCs w:val="21"/>
        </w:rPr>
      </w:pPr>
    </w:p>
    <w:p>
      <w:pPr>
        <w:pStyle w:val="BodyText"/>
        <w:spacing w:line="309" w:lineRule="auto" w:before="44"/>
        <w:ind w:right="0"/>
        <w:jc w:val="left"/>
      </w:pPr>
      <w:r>
        <w:rPr>
          <w:spacing w:val="-4"/>
        </w:rPr>
        <w:t>发展契机。通过多年的积累和创新，公司在服务范围、水平及深度上保持着领先优势。</w:t>
      </w:r>
      <w:r>
        <w:rPr>
          <w:rFonts w:ascii="Times New Roman" w:hAnsi="Times New Roman" w:cs="Times New Roman" w:eastAsia="Times New Roman" w:hint="default"/>
          <w:spacing w:val="-4"/>
        </w:rPr>
        <w:t>2019</w:t>
      </w:r>
      <w:r>
        <w:rPr>
          <w:spacing w:val="-4"/>
        </w:rPr>
        <w:t>年，政府在民生服务上继续发力，</w:t>
      </w:r>
      <w:r>
        <w:rPr>
          <w:spacing w:val="-35"/>
        </w:rPr>
        <w:t> </w:t>
      </w:r>
      <w:r>
        <w:rPr>
          <w:spacing w:val="-35"/>
        </w:rPr>
      </w:r>
      <w:r>
        <w:rPr>
          <w:spacing w:val="-2"/>
        </w:rPr>
        <w:t>公司在原有的技术优势下，将快速响应行业需求新变化，不断提升产品服务及质量，加大宣传，做好市场推广策略和行动方</w:t>
      </w:r>
      <w:r>
        <w:rPr>
          <w:spacing w:val="-65"/>
        </w:rPr>
        <w:t> </w:t>
      </w:r>
      <w:r>
        <w:rPr>
          <w:spacing w:val="-65"/>
        </w:rPr>
      </w:r>
      <w:r>
        <w:rPr/>
        <w:t>案以期占据竞争优势。</w:t>
      </w:r>
    </w:p>
    <w:p>
      <w:pPr>
        <w:pStyle w:val="BodyText"/>
        <w:spacing w:line="316" w:lineRule="auto" w:before="24"/>
        <w:ind w:left="441" w:right="1125"/>
        <w:jc w:val="left"/>
      </w:pPr>
      <w:r>
        <w:rPr/>
        <w:t>（二）公司发展战略 公司围绕</w:t>
      </w:r>
      <w:r>
        <w:rPr>
          <w:rFonts w:ascii="Times New Roman" w:hAnsi="Times New Roman" w:cs="Times New Roman" w:eastAsia="Times New Roman" w:hint="default"/>
        </w:rPr>
        <w:t>“</w:t>
      </w:r>
      <w:r>
        <w:rPr/>
        <w:t>医疗保障、卫生健康、人力资源和社会保障</w:t>
      </w:r>
      <w:r>
        <w:rPr>
          <w:rFonts w:ascii="Times New Roman" w:hAnsi="Times New Roman" w:cs="Times New Roman" w:eastAsia="Times New Roman" w:hint="default"/>
        </w:rPr>
        <w:t>”</w:t>
      </w:r>
      <w:r>
        <w:rPr/>
        <w:t>等民生重要领域，提供全方位的整体解决方案和综合运营服务，</w:t>
      </w:r>
    </w:p>
    <w:p>
      <w:pPr>
        <w:pStyle w:val="BodyText"/>
        <w:spacing w:line="316" w:lineRule="auto"/>
        <w:ind w:right="0"/>
        <w:jc w:val="left"/>
      </w:pPr>
      <w:r>
        <w:rPr>
          <w:spacing w:val="-2"/>
        </w:rPr>
        <w:t>致力于成为中国领先的民生信息服务综合运营商。公司深度整合政府、企业和社会大众不同层面的民生信息服务需求，依托</w:t>
      </w:r>
      <w:r>
        <w:rPr>
          <w:spacing w:val="-63"/>
        </w:rPr>
        <w:t> </w:t>
      </w:r>
      <w:r>
        <w:rPr>
          <w:spacing w:val="-63"/>
        </w:rPr>
      </w:r>
      <w:r>
        <w:rPr>
          <w:spacing w:val="-2"/>
        </w:rPr>
        <w:t>社保卡业务、民生行业应用软件、云平台、智能终端等全面的软硬件产品应用体系，逐步构建起线上线下一体化的综合运营</w:t>
      </w:r>
      <w:r>
        <w:rPr>
          <w:spacing w:val="-64"/>
        </w:rPr>
        <w:t> </w:t>
      </w:r>
      <w:r>
        <w:rPr>
          <w:spacing w:val="-64"/>
        </w:rPr>
      </w:r>
      <w:r>
        <w:rPr>
          <w:spacing w:val="-2"/>
        </w:rPr>
        <w:t>服务模式，形成应用、平台、渠道、运营的组合优势，以大数据为驱动，支撑医疗保障、健康医疗、民生服务、产业金融等</w:t>
      </w:r>
      <w:r>
        <w:rPr>
          <w:spacing w:val="-70"/>
        </w:rPr>
        <w:t> </w:t>
      </w:r>
      <w:r>
        <w:rPr>
          <w:spacing w:val="-70"/>
        </w:rPr>
      </w:r>
      <w:r>
        <w:rPr>
          <w:spacing w:val="-4"/>
        </w:rPr>
        <w:t>业务的发展，为政府、企业和社会公众提供并优化包括健康医疗、人社公共服务、医保控费、医保移动支付、商业保险服务、</w:t>
      </w:r>
      <w:r>
        <w:rPr>
          <w:spacing w:val="-44"/>
        </w:rPr>
        <w:t> </w:t>
      </w:r>
      <w:r>
        <w:rPr>
          <w:spacing w:val="-44"/>
        </w:rPr>
      </w:r>
      <w:r>
        <w:rPr/>
        <w:t>劳动就业、金融等更多、更便捷、更实惠的各类民生信息服务。</w:t>
      </w:r>
    </w:p>
    <w:p>
      <w:pPr>
        <w:pStyle w:val="BodyText"/>
        <w:spacing w:line="319" w:lineRule="auto" w:before="19"/>
        <w:ind w:left="441" w:right="1145"/>
        <w:jc w:val="left"/>
      </w:pPr>
      <w:r>
        <w:rPr/>
        <w:t>（三）经营计划 公司将继续坚持以</w:t>
      </w:r>
      <w:r>
        <w:rPr>
          <w:rFonts w:ascii="Times New Roman" w:hAnsi="Times New Roman" w:cs="Times New Roman" w:eastAsia="Times New Roman" w:hint="default"/>
        </w:rPr>
        <w:t>“</w:t>
      </w:r>
      <w:r>
        <w:rPr/>
        <w:t>让天下没有难过的人生</w:t>
      </w:r>
      <w:r>
        <w:rPr>
          <w:rFonts w:ascii="Times New Roman" w:hAnsi="Times New Roman" w:cs="Times New Roman" w:eastAsia="Times New Roman" w:hint="default"/>
        </w:rPr>
        <w:t>”</w:t>
      </w:r>
      <w:r>
        <w:rPr/>
        <w:t>为宗旨，通过</w:t>
      </w:r>
      <w:r>
        <w:rPr>
          <w:rFonts w:ascii="Times New Roman" w:hAnsi="Times New Roman" w:cs="Times New Roman" w:eastAsia="Times New Roman" w:hint="default"/>
        </w:rPr>
        <w:t>“</w:t>
      </w:r>
      <w:r>
        <w:rPr/>
        <w:t>做强行业、创新发展、精细管理、强化协同、人才成长</w:t>
      </w:r>
      <w:r>
        <w:rPr>
          <w:rFonts w:ascii="Times New Roman" w:hAnsi="Times New Roman" w:cs="Times New Roman" w:eastAsia="Times New Roman" w:hint="default"/>
        </w:rPr>
        <w:t>”</w:t>
      </w:r>
      <w:r>
        <w:rPr/>
        <w:t>等重</w:t>
      </w:r>
    </w:p>
    <w:p>
      <w:pPr>
        <w:pStyle w:val="BodyText"/>
        <w:spacing w:line="233" w:lineRule="exact"/>
        <w:ind w:right="1133"/>
        <w:jc w:val="left"/>
      </w:pPr>
      <w:r>
        <w:rPr/>
        <w:t>点策略，推进公司战略纵深发展。（该经营计划并不构成公司对投资者的业绩承诺）</w:t>
      </w:r>
    </w:p>
    <w:p>
      <w:pPr>
        <w:pStyle w:val="BodyText"/>
        <w:spacing w:line="300" w:lineRule="auto" w:before="76"/>
        <w:ind w:right="1043" w:firstLine="288"/>
        <w:jc w:val="both"/>
      </w:pPr>
      <w:r>
        <w:rPr>
          <w:rFonts w:ascii="Times New Roman" w:hAnsi="Times New Roman" w:cs="Times New Roman" w:eastAsia="Times New Roman" w:hint="default"/>
          <w:spacing w:val="-2"/>
        </w:rPr>
        <w:t>1.</w:t>
      </w:r>
      <w:r>
        <w:rPr>
          <w:spacing w:val="-2"/>
        </w:rPr>
        <w:t>做强行业。深度挖掘医疗保障、卫生健康、人力资源和社会保障、产业金融等领域信息化机会，重点拓展医保、医疗、</w:t>
      </w:r>
      <w:r>
        <w:rPr/>
        <w:t> 民生服务、智能物联等信息化领域市场，进一步夯实业务，做强行业。</w:t>
      </w:r>
    </w:p>
    <w:p>
      <w:pPr>
        <w:pStyle w:val="BodyText"/>
        <w:spacing w:line="300" w:lineRule="auto" w:before="31"/>
        <w:ind w:right="1043" w:firstLine="288"/>
        <w:jc w:val="both"/>
      </w:pPr>
      <w:r>
        <w:rPr>
          <w:rFonts w:ascii="Times New Roman" w:hAnsi="Times New Roman" w:cs="Times New Roman" w:eastAsia="Times New Roman" w:hint="default"/>
          <w:spacing w:val="-2"/>
        </w:rPr>
        <w:t>2.</w:t>
      </w:r>
      <w:r>
        <w:rPr>
          <w:spacing w:val="-2"/>
        </w:rPr>
        <w:t>创新发展。继续加强创新和研发投入，发挥新技术应用研究中心和产品运营中心作用，持续深化行业创新、产品创新、</w:t>
      </w:r>
      <w:r>
        <w:rPr/>
        <w:t> 模式创新。</w:t>
      </w:r>
    </w:p>
    <w:p>
      <w:pPr>
        <w:pStyle w:val="BodyText"/>
        <w:spacing w:line="300" w:lineRule="auto" w:before="31"/>
        <w:ind w:right="1166" w:firstLine="288"/>
        <w:jc w:val="both"/>
      </w:pPr>
      <w:r>
        <w:rPr>
          <w:rFonts w:ascii="Times New Roman" w:hAnsi="Times New Roman" w:cs="Times New Roman" w:eastAsia="Times New Roman" w:hint="default"/>
        </w:rPr>
        <w:t>3.</w:t>
      </w:r>
      <w:r>
        <w:rPr/>
        <w:t>精细管理。加强产品和项目管理，持续完善产品研发流程和周期，实行精细化管理，做到目标细化、财务量化，进一 步提能增效。</w:t>
      </w:r>
    </w:p>
    <w:p>
      <w:pPr>
        <w:pStyle w:val="BodyText"/>
        <w:spacing w:line="240" w:lineRule="auto" w:before="31"/>
        <w:ind w:left="441" w:right="0"/>
        <w:jc w:val="left"/>
      </w:pPr>
      <w:r>
        <w:rPr>
          <w:rFonts w:ascii="Times New Roman" w:hAnsi="Times New Roman" w:cs="Times New Roman" w:eastAsia="Times New Roman" w:hint="default"/>
        </w:rPr>
        <w:t>4.</w:t>
      </w:r>
      <w:r>
        <w:rPr/>
        <w:t>强化协同。完善并强化公司内部有效沟通机制，形成良好的沟通渠道，进一步强化信息化管理水平，提升协同效率。</w:t>
      </w:r>
    </w:p>
    <w:p>
      <w:pPr>
        <w:pStyle w:val="BodyText"/>
        <w:spacing w:line="300" w:lineRule="auto" w:before="63"/>
        <w:ind w:right="1166" w:firstLine="288"/>
        <w:jc w:val="both"/>
      </w:pPr>
      <w:r>
        <w:rPr>
          <w:rFonts w:ascii="Times New Roman" w:hAnsi="Times New Roman" w:cs="Times New Roman" w:eastAsia="Times New Roman" w:hint="default"/>
        </w:rPr>
        <w:t>5.</w:t>
      </w:r>
      <w:r>
        <w:rPr/>
        <w:t>人才成长。加强外部招聘，引进优秀人才；强化内部培训，加快公司优秀年轻骨干员工的培养和成长，建立优秀人才 梯队。</w:t>
      </w:r>
    </w:p>
    <w:p>
      <w:pPr>
        <w:pStyle w:val="BodyText"/>
        <w:spacing w:line="240" w:lineRule="auto" w:before="31"/>
        <w:ind w:left="441" w:right="1133"/>
        <w:jc w:val="left"/>
      </w:pPr>
      <w:r>
        <w:rPr/>
        <w:t>（四）可能面对的风险</w:t>
      </w:r>
    </w:p>
    <w:p>
      <w:pPr>
        <w:pStyle w:val="BodyText"/>
        <w:spacing w:line="300" w:lineRule="auto" w:before="76"/>
        <w:ind w:left="441" w:right="1133"/>
        <w:jc w:val="left"/>
      </w:pPr>
      <w:r>
        <w:rPr>
          <w:rFonts w:ascii="Times New Roman" w:hAnsi="Times New Roman" w:cs="Times New Roman" w:eastAsia="Times New Roman" w:hint="default"/>
        </w:rPr>
        <w:t>1.</w:t>
      </w:r>
      <w:r>
        <w:rPr/>
        <w:t>技术风险 </w:t>
      </w:r>
      <w:r>
        <w:rPr>
          <w:spacing w:val="-1"/>
        </w:rPr>
        <w:t>持续的技术及产品开发是公司不断发展壮大的基础。由于软件等信息技术类产品具有技术更新快、产品生命周期短的特</w:t>
      </w:r>
    </w:p>
    <w:p>
      <w:pPr>
        <w:pStyle w:val="BodyText"/>
        <w:spacing w:line="316" w:lineRule="auto" w:before="31"/>
        <w:ind w:right="0"/>
        <w:jc w:val="left"/>
      </w:pPr>
      <w:r>
        <w:rPr>
          <w:spacing w:val="-2"/>
        </w:rPr>
        <w:t>点，用户对软件及相关产品的功能要求不断提高，公司需要不断进行新技术、新产品的研发和升级。如果公司不能准确把握</w:t>
      </w:r>
      <w:r>
        <w:rPr>
          <w:spacing w:val="-65"/>
        </w:rPr>
        <w:t> </w:t>
      </w:r>
      <w:r>
        <w:rPr>
          <w:spacing w:val="-65"/>
        </w:rPr>
      </w:r>
      <w:r>
        <w:rPr/>
        <w:t>技术、产品及市场的发展趋势，研发出符合市场需求的新产品，将面临丧失技术和市场优势导致发展速度减缓的风险。</w:t>
      </w:r>
    </w:p>
    <w:p>
      <w:pPr>
        <w:pStyle w:val="BodyText"/>
        <w:spacing w:line="316" w:lineRule="auto" w:before="19"/>
        <w:ind w:right="1131" w:firstLine="288"/>
        <w:jc w:val="both"/>
      </w:pPr>
      <w:r>
        <w:rPr>
          <w:spacing w:val="-1"/>
        </w:rPr>
        <w:t>公司拥有的系列核心技术在国内处于领先水平，是核心竞争力的关键构成要素。公司关键技术由相对独立的多个核心技</w:t>
      </w:r>
      <w:r>
        <w:rPr/>
        <w:t> </w:t>
      </w:r>
      <w:r>
        <w:rPr>
          <w:spacing w:val="-2"/>
        </w:rPr>
        <w:t>术研发小组掌握。公司已经采取了诸如核心技术人员持股、建立健全内部保密制度、申请专利及著作权保护、严格执行研发</w:t>
      </w:r>
      <w:r>
        <w:rPr>
          <w:spacing w:val="-65"/>
        </w:rPr>
        <w:t> </w:t>
      </w:r>
      <w:r>
        <w:rPr>
          <w:spacing w:val="-65"/>
        </w:rPr>
      </w:r>
      <w:r>
        <w:rPr>
          <w:spacing w:val="-2"/>
        </w:rPr>
        <w:t>全过程的规范化管理等措施防范技术风险，并且，公司核心技术体系完备，个别技术失密并不能造成公司核心技术体系的失</w:t>
      </w:r>
      <w:r>
        <w:rPr>
          <w:spacing w:val="-65"/>
        </w:rPr>
        <w:t> </w:t>
      </w:r>
      <w:r>
        <w:rPr>
          <w:spacing w:val="-65"/>
        </w:rPr>
      </w:r>
      <w:r>
        <w:rPr/>
        <w:t>密。</w:t>
      </w:r>
    </w:p>
    <w:p>
      <w:pPr>
        <w:pStyle w:val="BodyText"/>
        <w:spacing w:line="300" w:lineRule="auto" w:before="19"/>
        <w:ind w:left="441" w:right="1031"/>
        <w:jc w:val="left"/>
      </w:pPr>
      <w:r>
        <w:rPr>
          <w:rFonts w:ascii="Times New Roman" w:hAnsi="Times New Roman" w:cs="Times New Roman" w:eastAsia="Times New Roman" w:hint="default"/>
        </w:rPr>
        <w:t>2.</w:t>
      </w:r>
      <w:r>
        <w:rPr/>
        <w:t>运营风险 </w:t>
      </w:r>
      <w:r>
        <w:rPr>
          <w:spacing w:val="-2"/>
        </w:rPr>
        <w:t>随着公司业务的发展，公司的产品和服务类别更加丰富，客户范围不断扩大，这也对公司的运营能力提出了更大的挑战。</w:t>
      </w:r>
    </w:p>
    <w:p>
      <w:pPr>
        <w:pStyle w:val="BodyText"/>
        <w:spacing w:line="316" w:lineRule="auto" w:before="31"/>
        <w:ind w:right="0"/>
        <w:jc w:val="left"/>
      </w:pPr>
      <w:r>
        <w:rPr>
          <w:spacing w:val="-2"/>
        </w:rPr>
        <w:t>若公司在产品销售或售后服务方面处理问题不到位或者不尽完善，可能给公司的声誉带来一定的不利影响。公司从产品销售</w:t>
      </w:r>
      <w:r>
        <w:rPr>
          <w:spacing w:val="-64"/>
        </w:rPr>
        <w:t> </w:t>
      </w:r>
      <w:r>
        <w:rPr>
          <w:spacing w:val="-64"/>
        </w:rPr>
      </w:r>
      <w:r>
        <w:rPr/>
        <w:t>到售后服务，已针对客户需求建立了较为完善的售后服务体系，树立了公司的品牌形象。</w:t>
      </w:r>
    </w:p>
    <w:p>
      <w:pPr>
        <w:pStyle w:val="BodyText"/>
        <w:spacing w:line="300" w:lineRule="auto" w:before="19"/>
        <w:ind w:left="441" w:right="1133"/>
        <w:jc w:val="left"/>
      </w:pPr>
      <w:r>
        <w:rPr>
          <w:rFonts w:ascii="Times New Roman" w:hAnsi="Times New Roman" w:cs="Times New Roman" w:eastAsia="Times New Roman" w:hint="default"/>
        </w:rPr>
        <w:t>3.</w:t>
      </w:r>
      <w:r>
        <w:rPr/>
        <w:t>市场风险 </w:t>
      </w:r>
      <w:r>
        <w:rPr>
          <w:spacing w:val="-1"/>
        </w:rPr>
        <w:t>互联网、云计算、大数据等新技术促使民生信息服务行业发展进入新阶段，这对公司的综合竞争力提出更高的要求。若</w:t>
      </w:r>
    </w:p>
    <w:p>
      <w:pPr>
        <w:pStyle w:val="BodyText"/>
        <w:spacing w:line="316" w:lineRule="auto" w:before="31"/>
        <w:ind w:right="0"/>
        <w:jc w:val="left"/>
      </w:pPr>
      <w:r>
        <w:rPr>
          <w:spacing w:val="-2"/>
        </w:rPr>
        <w:t>公司不能准确把握行业发展趋势，迅速响应行业发展需求，业务发展将会受到不利影响。作为资深的行业先行者，公司对行</w:t>
      </w:r>
      <w:r>
        <w:rPr>
          <w:spacing w:val="-64"/>
        </w:rPr>
        <w:t> </w:t>
      </w:r>
      <w:r>
        <w:rPr>
          <w:spacing w:val="-64"/>
        </w:rPr>
      </w:r>
      <w:r>
        <w:rPr>
          <w:spacing w:val="-4"/>
        </w:rPr>
        <w:t>业发展具有深刻的理解及准确的把握，前瞻性地把握行业发展新业态、新趋势进行行业战略部署，并融合基础业务创新发展，</w:t>
      </w:r>
      <w:r>
        <w:rPr>
          <w:spacing w:val="-44"/>
        </w:rPr>
        <w:t> </w:t>
      </w:r>
      <w:r>
        <w:rPr>
          <w:spacing w:val="-44"/>
        </w:rPr>
      </w:r>
      <w:r>
        <w:rPr/>
        <w:t>保持市场竞争优势。</w:t>
      </w:r>
    </w:p>
    <w:p>
      <w:pPr>
        <w:pStyle w:val="BodyText"/>
        <w:spacing w:line="319" w:lineRule="auto" w:before="19"/>
        <w:ind w:right="1130" w:firstLine="288"/>
        <w:jc w:val="both"/>
      </w:pPr>
      <w:r>
        <w:rPr>
          <w:spacing w:val="-1"/>
        </w:rPr>
        <w:t>互联网医疗受国家产业政策扶持及行业巨大发展前景趋势影响，国内外众多公司纷纷加大对医疗信息化、互联网医疗行</w:t>
      </w:r>
      <w:r>
        <w:rPr/>
        <w:t> </w:t>
      </w:r>
      <w:r>
        <w:rPr>
          <w:spacing w:val="-2"/>
        </w:rPr>
        <w:t>业的投入力度，行业竞争的日趋激烈，可能对公司业务发展产生不利影响。公司立足已有医疗卫生业务基础优势稳步推进互</w:t>
      </w:r>
      <w:r>
        <w:rPr>
          <w:spacing w:val="-63"/>
        </w:rPr>
        <w:t> </w:t>
      </w:r>
      <w:r>
        <w:rPr>
          <w:spacing w:val="-63"/>
        </w:rPr>
      </w:r>
      <w:r>
        <w:rPr/>
        <w:t>联网医疗业务发展，并通过不断增强核心竞争优势来降低市场风险。</w:t>
      </w:r>
    </w:p>
    <w:p>
      <w:pPr>
        <w:pStyle w:val="BodyText"/>
        <w:spacing w:line="240" w:lineRule="auto" w:before="17"/>
        <w:ind w:left="441" w:right="1133"/>
        <w:jc w:val="left"/>
      </w:pPr>
      <w:r>
        <w:rPr>
          <w:rFonts w:ascii="Times New Roman" w:hAnsi="Times New Roman" w:cs="Times New Roman" w:eastAsia="Times New Roman" w:hint="default"/>
        </w:rPr>
        <w:t>4.</w:t>
      </w:r>
      <w:r>
        <w:rPr/>
        <w:t>人力资源风险</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4" w:lineRule="auto" w:before="44"/>
        <w:ind w:right="1130" w:firstLine="288"/>
        <w:jc w:val="both"/>
      </w:pPr>
      <w:r>
        <w:rPr>
          <w:spacing w:val="-1"/>
        </w:rPr>
        <w:t>软件企业一般都面临人员流动大、知识结构更新快的问题，行业内的市场竞争也越来越体现为高素质人才的竞争。若核</w:t>
      </w:r>
      <w:r>
        <w:rPr/>
        <w:t> </w:t>
      </w:r>
      <w:r>
        <w:rPr>
          <w:spacing w:val="-2"/>
        </w:rPr>
        <w:t>心骨干人员流失、无法吸引新的优秀人才，将对公司生产经营带来一定的影响。为稳定公司人才队伍，保证公司持续发展的</w:t>
      </w:r>
      <w:r>
        <w:rPr>
          <w:spacing w:val="-65"/>
        </w:rPr>
        <w:t> </w:t>
      </w:r>
      <w:r>
        <w:rPr>
          <w:spacing w:val="-65"/>
        </w:rPr>
      </w:r>
      <w:r>
        <w:rPr>
          <w:spacing w:val="-2"/>
        </w:rPr>
        <w:t>动力，公司通过构建具有竞争力的薪酬福利体系、建立公平有序的竞争晋升机制、提供全面完善的培训计划、创造开放协作</w:t>
      </w:r>
      <w:r>
        <w:rPr>
          <w:spacing w:val="-65"/>
        </w:rPr>
        <w:t> </w:t>
      </w:r>
      <w:r>
        <w:rPr>
          <w:spacing w:val="-65"/>
        </w:rPr>
      </w:r>
      <w:r>
        <w:rPr>
          <w:spacing w:val="-2"/>
        </w:rPr>
        <w:t>的工作环境和提倡</w:t>
      </w:r>
      <w:r>
        <w:rPr>
          <w:rFonts w:ascii="Times New Roman" w:hAnsi="Times New Roman" w:cs="Times New Roman" w:eastAsia="Times New Roman" w:hint="default"/>
          <w:spacing w:val="-2"/>
        </w:rPr>
        <w:t>“</w:t>
      </w:r>
      <w:r>
        <w:rPr>
          <w:spacing w:val="-2"/>
        </w:rPr>
        <w:t>专注、创新</w:t>
      </w:r>
      <w:r>
        <w:rPr>
          <w:rFonts w:ascii="Times New Roman" w:hAnsi="Times New Roman" w:cs="Times New Roman" w:eastAsia="Times New Roman" w:hint="default"/>
          <w:spacing w:val="-2"/>
        </w:rPr>
        <w:t>”</w:t>
      </w:r>
      <w:r>
        <w:rPr>
          <w:spacing w:val="-2"/>
        </w:rPr>
        <w:t>的企业文化来吸引、培养人才。同时在新的管理架构下，通过公司核心骨干人员持有子公司</w:t>
      </w:r>
      <w:r>
        <w:rPr>
          <w:spacing w:val="-45"/>
        </w:rPr>
        <w:t> </w:t>
      </w:r>
      <w:r>
        <w:rPr>
          <w:spacing w:val="-45"/>
        </w:rPr>
      </w:r>
      <w:r>
        <w:rPr/>
        <w:t>股权保持原有骨干团队的稳定性和积极性，增强公司凝聚力，避免核心骨干人员的流失。</w:t>
      </w:r>
    </w:p>
    <w:p>
      <w:pPr>
        <w:pStyle w:val="BodyText"/>
        <w:spacing w:line="300" w:lineRule="auto" w:before="20"/>
        <w:ind w:left="441" w:right="1133"/>
        <w:jc w:val="left"/>
      </w:pPr>
      <w:r>
        <w:rPr>
          <w:rFonts w:ascii="Times New Roman" w:hAnsi="Times New Roman" w:cs="Times New Roman" w:eastAsia="Times New Roman" w:hint="default"/>
        </w:rPr>
        <w:t>5.</w:t>
      </w:r>
      <w:r>
        <w:rPr/>
        <w:t>业务升级风险及其带来的管理风险 </w:t>
      </w:r>
      <w:r>
        <w:rPr>
          <w:spacing w:val="-1"/>
        </w:rPr>
        <w:t>互联网正在深刻变革行业发展，公司正积极向互联网运营型企业升级，以保持行业发展的领先地位。但互联网是行业发</w:t>
      </w:r>
    </w:p>
    <w:p>
      <w:pPr>
        <w:pStyle w:val="BodyText"/>
        <w:spacing w:line="319" w:lineRule="auto" w:before="31"/>
        <w:ind w:right="1128"/>
        <w:jc w:val="both"/>
      </w:pPr>
      <w:r>
        <w:rPr>
          <w:spacing w:val="-2"/>
        </w:rPr>
        <w:t>展新热点，从商业模式的探索、建立、成型以及业绩的释放需要较长周期和较大投入，且市场竞争十分激烈，人才技术要求</w:t>
      </w:r>
      <w:r>
        <w:rPr>
          <w:spacing w:val="-67"/>
        </w:rPr>
        <w:t> </w:t>
      </w:r>
      <w:r>
        <w:rPr>
          <w:spacing w:val="-67"/>
        </w:rPr>
      </w:r>
      <w:r>
        <w:rPr>
          <w:spacing w:val="-2"/>
        </w:rPr>
        <w:t>较高，发展存在较大的不确定性。公司通过深化基础业务发展为业务升级奠定坚实基础，并以创新为企业发展驱动力，持续</w:t>
      </w:r>
      <w:r>
        <w:rPr>
          <w:spacing w:val="-65"/>
        </w:rPr>
        <w:t> </w:t>
      </w:r>
      <w:r>
        <w:rPr>
          <w:spacing w:val="-65"/>
        </w:rPr>
      </w:r>
      <w:r>
        <w:rPr>
          <w:spacing w:val="-2"/>
        </w:rPr>
        <w:t>加大技术人才团队培养及研发投入，提升公司核心技术竞争力。公司从战略层面强化业务规划，结合行业发展探索适合的商</w:t>
      </w:r>
      <w:r>
        <w:rPr>
          <w:spacing w:val="-61"/>
        </w:rPr>
        <w:t> </w:t>
      </w:r>
      <w:r>
        <w:rPr>
          <w:spacing w:val="-61"/>
        </w:rPr>
      </w:r>
      <w:r>
        <w:rPr>
          <w:spacing w:val="-2"/>
        </w:rPr>
        <w:t>业运营模式，稳步推进业务升级。随着公司业务升级的不断深化，可能带来一系列管理风险。针对管理风险公司采取以下几</w:t>
      </w:r>
      <w:r>
        <w:rPr>
          <w:spacing w:val="-65"/>
        </w:rPr>
        <w:t> </w:t>
      </w:r>
      <w:r>
        <w:rPr>
          <w:spacing w:val="-65"/>
        </w:rPr>
      </w:r>
      <w:r>
        <w:rPr/>
        <w:t>个方面的措施：</w:t>
      </w:r>
    </w:p>
    <w:p>
      <w:pPr>
        <w:pStyle w:val="BodyText"/>
        <w:spacing w:line="300" w:lineRule="auto" w:before="17"/>
        <w:ind w:right="1211" w:firstLine="288"/>
        <w:jc w:val="both"/>
      </w:pPr>
      <w:r>
        <w:rPr>
          <w:rFonts w:ascii="Times New Roman" w:hAnsi="Times New Roman" w:cs="Times New Roman" w:eastAsia="Times New Roman" w:hint="default"/>
        </w:rPr>
        <w:t>1</w:t>
      </w:r>
      <w:r>
        <w:rPr/>
        <w:t>）完善法人管理结构，规范公司运作体系，加强内部控制体系的建设和执行。建立健全适应业务发展的组织模式，提 升组织管理的灵活性和适应性。</w:t>
      </w:r>
    </w:p>
    <w:p>
      <w:pPr>
        <w:pStyle w:val="BodyText"/>
        <w:spacing w:line="240" w:lineRule="auto" w:before="31"/>
        <w:ind w:left="441" w:right="1133"/>
        <w:jc w:val="left"/>
      </w:pPr>
      <w:r>
        <w:rPr>
          <w:rFonts w:ascii="Times New Roman" w:hAnsi="Times New Roman" w:cs="Times New Roman" w:eastAsia="Times New Roman" w:hint="default"/>
        </w:rPr>
        <w:t>2</w:t>
      </w:r>
      <w:r>
        <w:rPr/>
        <w:t>）提高公司管理层特别是核心团队的管理素质和决策能力，并不断完善激励机制，吸引高素质的职业管理人才。</w:t>
      </w:r>
    </w:p>
    <w:p>
      <w:pPr>
        <w:pStyle w:val="BodyText"/>
        <w:spacing w:line="300" w:lineRule="auto" w:before="63"/>
        <w:ind w:right="1131" w:firstLine="288"/>
        <w:jc w:val="both"/>
      </w:pPr>
      <w:r>
        <w:rPr>
          <w:rFonts w:ascii="Times New Roman" w:hAnsi="Times New Roman" w:cs="Times New Roman" w:eastAsia="Times New Roman" w:hint="default"/>
        </w:rPr>
        <w:t>3</w:t>
      </w:r>
      <w:r>
        <w:rPr/>
        <w:t>）管理层积极探索有效的经营管理模式，以</w:t>
      </w:r>
      <w:r>
        <w:rPr>
          <w:rFonts w:ascii="Times New Roman" w:hAnsi="Times New Roman" w:cs="Times New Roman" w:eastAsia="Times New Roman" w:hint="default"/>
        </w:rPr>
        <w:t>“</w:t>
      </w:r>
      <w:r>
        <w:rPr/>
        <w:t>公司控股</w:t>
      </w:r>
      <w:r>
        <w:rPr>
          <w:rFonts w:ascii="Times New Roman" w:hAnsi="Times New Roman" w:cs="Times New Roman" w:eastAsia="Times New Roman" w:hint="default"/>
        </w:rPr>
        <w:t>+</w:t>
      </w:r>
      <w:r>
        <w:rPr/>
        <w:t>核心骨干持股</w:t>
      </w:r>
      <w:r>
        <w:rPr>
          <w:rFonts w:ascii="Times New Roman" w:hAnsi="Times New Roman" w:cs="Times New Roman" w:eastAsia="Times New Roman" w:hint="default"/>
        </w:rPr>
        <w:t>”</w:t>
      </w:r>
      <w:r>
        <w:rPr/>
        <w:t>的模式成立了一系列创业产品子公司，结合原有 </w:t>
      </w:r>
      <w:r>
        <w:rPr>
          <w:spacing w:val="-2"/>
        </w:rPr>
        <w:t>区域子公司及产品子公司的架构，将主要业务下沉至各分子公司，形成了</w:t>
      </w:r>
      <w:r>
        <w:rPr>
          <w:rFonts w:ascii="Times New Roman" w:hAnsi="Times New Roman" w:cs="Times New Roman" w:eastAsia="Times New Roman" w:hint="default"/>
          <w:spacing w:val="-2"/>
        </w:rPr>
        <w:t>“</w:t>
      </w:r>
      <w:r>
        <w:rPr>
          <w:spacing w:val="-2"/>
        </w:rPr>
        <w:t>母公司职能中心</w:t>
      </w:r>
      <w:r>
        <w:rPr>
          <w:rFonts w:ascii="Times New Roman" w:hAnsi="Times New Roman" w:cs="Times New Roman" w:eastAsia="Times New Roman" w:hint="default"/>
          <w:spacing w:val="-2"/>
        </w:rPr>
        <w:t>+</w:t>
      </w:r>
      <w:r>
        <w:rPr>
          <w:spacing w:val="-2"/>
        </w:rPr>
        <w:t>区域子公司</w:t>
      </w:r>
      <w:r>
        <w:rPr>
          <w:rFonts w:ascii="Times New Roman" w:hAnsi="Times New Roman" w:cs="Times New Roman" w:eastAsia="Times New Roman" w:hint="default"/>
          <w:spacing w:val="-2"/>
        </w:rPr>
        <w:t>+</w:t>
      </w:r>
      <w:r>
        <w:rPr>
          <w:spacing w:val="-2"/>
        </w:rPr>
        <w:t>产品子公司</w:t>
      </w:r>
      <w:r>
        <w:rPr>
          <w:rFonts w:ascii="Times New Roman" w:hAnsi="Times New Roman" w:cs="Times New Roman" w:eastAsia="Times New Roman" w:hint="default"/>
          <w:spacing w:val="-2"/>
        </w:rPr>
        <w:t>”</w:t>
      </w:r>
      <w:r>
        <w:rPr>
          <w:spacing w:val="-2"/>
        </w:rPr>
        <w:t>的新的</w:t>
      </w:r>
      <w:r>
        <w:rPr>
          <w:spacing w:val="-65"/>
        </w:rPr>
        <w:t> </w:t>
      </w:r>
      <w:r>
        <w:rPr>
          <w:spacing w:val="-65"/>
        </w:rPr>
      </w:r>
      <w:r>
        <w:rPr/>
        <w:t>管理架构，既充分调动了管理团队及员工积极性和创造性，又使公司在战略方向、项目和风险上得到有效控制。</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十、接待调研、沟通、采访等活动登记表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401" w:hRule="exact"/>
        </w:trPr>
        <w:tc>
          <w:tcPr>
            <w:tcW w:w="2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25"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4"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4">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2"/>
                <w:w w:val="99"/>
                <w:sz w:val="18"/>
                <w:szCs w:val="18"/>
              </w:rPr>
              <w:t> </w:t>
            </w:r>
            <w:r>
              <w:rPr>
                <w:rFonts w:ascii="宋体" w:hAnsi="宋体" w:cs="宋体" w:eastAsia="宋体" w:hint="default"/>
                <w:spacing w:val="-82"/>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4">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z w:val="18"/>
                <w:szCs w:val="18"/>
              </w:rPr>
              <w:t>联众：</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日投资者关系活 动记录表》</w:t>
            </w:r>
          </w:p>
        </w:tc>
      </w:tr>
      <w:tr>
        <w:trPr>
          <w:trHeight w:val="1339"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4">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both"/>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both"/>
              <w:rPr>
                <w:rFonts w:ascii="宋体" w:hAnsi="宋体" w:cs="宋体" w:eastAsia="宋体" w:hint="default"/>
                <w:sz w:val="18"/>
                <w:szCs w:val="18"/>
              </w:rPr>
            </w:pPr>
            <w:r>
              <w:rPr>
                <w:rFonts w:ascii="宋体" w:hAnsi="宋体" w:cs="宋体" w:eastAsia="宋体" w:hint="default"/>
                <w:spacing w:val="-4"/>
                <w:w w:val="99"/>
                <w:sz w:val="18"/>
                <w:szCs w:val="18"/>
              </w:rPr>
              <w:t>（</w:t>
            </w:r>
            <w:hyperlink r:id="rId14">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日投资者关系活 动记录表》</w:t>
            </w:r>
          </w:p>
        </w:tc>
      </w:tr>
      <w:tr>
        <w:trPr>
          <w:trHeight w:val="674"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hyperlink r:id="rId14">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//irm.</w:t>
              </w:r>
              <w:r>
                <w:rPr>
                  <w:rFonts w:ascii="Times New Roman" w:hAnsi="Times New Roman" w:cs="Times New Roman" w:eastAsia="Times New Roman" w:hint="default"/>
                  <w:spacing w:val="-2"/>
                  <w:sz w:val="18"/>
                  <w:szCs w:val="18"/>
                </w:rPr>
                <w:t>p</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1"/>
                  <w:sz w:val="18"/>
                  <w:szCs w:val="18"/>
                </w:rPr>
                <w:t>e</w:t>
              </w:r>
              <w:r>
                <w:rPr>
                  <w:rFonts w:ascii="Times New Roman" w:hAnsi="Times New Roman" w:cs="Times New Roman" w:eastAsia="Times New Roman" w:hint="default"/>
                  <w:sz w:val="18"/>
                  <w:szCs w:val="18"/>
                </w:rPr>
                <w:t>t/</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1"/>
                  <w:w w:val="99"/>
                  <w:sz w:val="18"/>
                  <w:szCs w:val="18"/>
                </w:rPr>
                <w:t>s</w:t>
              </w:r>
              <w:r>
                <w:rPr>
                  <w:rFonts w:ascii="Times New Roman" w:hAnsi="Times New Roman" w:cs="Times New Roman" w:eastAsia="Times New Roman" w:hint="default"/>
                  <w:spacing w:val="1"/>
                  <w:sz w:val="18"/>
                  <w:szCs w:val="18"/>
                </w:rPr>
                <w:t>g</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3"/>
                  <w:w w:val="99"/>
                  <w:sz w:val="18"/>
                  <w:szCs w:val="18"/>
                </w:rPr>
                <w:t>/</w:t>
              </w:r>
              <w:r>
                <w:rPr>
                  <w:rFonts w:ascii="Times New Roman" w:hAnsi="Times New Roman" w:cs="Times New Roman" w:eastAsia="Times New Roman" w:hint="default"/>
                  <w:w w:val="99"/>
                  <w:sz w:val="18"/>
                  <w:szCs w:val="18"/>
                </w:rPr>
                <w:t>S</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pacing w:val="3"/>
                  <w:sz w:val="18"/>
                  <w:szCs w:val="18"/>
                </w:rPr>
                <w:t>/</w:t>
              </w:r>
            </w:hyperlink>
            <w:r>
              <w:rPr>
                <w:rFonts w:ascii="宋体" w:hAnsi="宋体" w:cs="宋体" w:eastAsia="宋体" w:hint="default"/>
                <w:spacing w:val="-118"/>
                <w:sz w:val="18"/>
                <w:szCs w:val="18"/>
              </w:rPr>
              <w:t>）</w:t>
            </w:r>
            <w:r>
              <w:rPr>
                <w:rFonts w:ascii="宋体" w:hAnsi="宋体" w:cs="宋体" w:eastAsia="宋体" w:hint="default"/>
                <w:sz w:val="18"/>
                <w:szCs w:val="18"/>
              </w:rPr>
              <w:t>《易</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180"/>
        <w:gridCol w:w="2177"/>
        <w:gridCol w:w="2177"/>
        <w:gridCol w:w="3037"/>
      </w:tblGrid>
      <w:tr>
        <w:trPr>
          <w:trHeight w:val="675" w:hRule="exact"/>
        </w:trPr>
        <w:tc>
          <w:tcPr>
            <w:tcW w:w="2180"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3" w:right="19"/>
              <w:jc w:val="left"/>
              <w:rPr>
                <w:rFonts w:ascii="宋体" w:hAnsi="宋体" w:cs="宋体" w:eastAsia="宋体" w:hint="default"/>
                <w:sz w:val="18"/>
                <w:szCs w:val="18"/>
              </w:rPr>
            </w:pPr>
            <w:r>
              <w:rPr>
                <w:rFonts w:ascii="宋体" w:hAnsi="宋体" w:cs="宋体" w:eastAsia="宋体" w:hint="default"/>
                <w:spacing w:val="-5"/>
                <w:sz w:val="18"/>
                <w:szCs w:val="18"/>
              </w:rPr>
              <w:t>联众：</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日投资者关系活 动记录表》</w:t>
            </w:r>
          </w:p>
        </w:tc>
      </w:tr>
      <w:tr>
        <w:trPr>
          <w:trHeight w:val="1337" w:hRule="exact"/>
        </w:trPr>
        <w:tc>
          <w:tcPr>
            <w:tcW w:w="21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投资者关系互动平台</w:t>
            </w:r>
          </w:p>
          <w:p>
            <w:pPr>
              <w:pStyle w:val="TableParagraph"/>
              <w:spacing w:line="300" w:lineRule="auto" w:before="76"/>
              <w:ind w:left="23" w:right="17"/>
              <w:jc w:val="left"/>
              <w:rPr>
                <w:rFonts w:ascii="宋体" w:hAnsi="宋体" w:cs="宋体" w:eastAsia="宋体" w:hint="default"/>
                <w:sz w:val="18"/>
                <w:szCs w:val="18"/>
              </w:rPr>
            </w:pPr>
            <w:r>
              <w:rPr>
                <w:rFonts w:ascii="宋体" w:hAnsi="宋体" w:cs="宋体" w:eastAsia="宋体" w:hint="default"/>
                <w:spacing w:val="-4"/>
                <w:w w:val="99"/>
                <w:sz w:val="18"/>
                <w:szCs w:val="18"/>
              </w:rPr>
              <w:t>（</w:t>
            </w:r>
            <w:hyperlink r:id="rId14">
              <w:r>
                <w:rPr>
                  <w:rFonts w:ascii="Times New Roman" w:hAnsi="Times New Roman" w:cs="Times New Roman" w:eastAsia="Times New Roman" w:hint="default"/>
                  <w:spacing w:val="-4"/>
                  <w:w w:val="99"/>
                  <w:sz w:val="18"/>
                  <w:szCs w:val="18"/>
                </w:rPr>
                <w:t>http://irm.p5w.net/ssgs/S300096/</w:t>
              </w:r>
            </w:hyperlink>
            <w:r>
              <w:rPr>
                <w:rFonts w:ascii="宋体" w:hAnsi="宋体" w:cs="宋体" w:eastAsia="宋体" w:hint="default"/>
                <w:spacing w:val="-4"/>
                <w:w w:val="99"/>
                <w:sz w:val="18"/>
                <w:szCs w:val="18"/>
              </w:rPr>
              <w:t>）《易</w:t>
            </w:r>
            <w:r>
              <w:rPr>
                <w:rFonts w:ascii="宋体" w:hAnsi="宋体" w:cs="宋体" w:eastAsia="宋体" w:hint="default"/>
                <w:spacing w:val="-81"/>
                <w:w w:val="99"/>
                <w:sz w:val="18"/>
                <w:szCs w:val="18"/>
              </w:rPr>
              <w:t> </w:t>
            </w:r>
            <w:r>
              <w:rPr>
                <w:rFonts w:ascii="宋体" w:hAnsi="宋体" w:cs="宋体" w:eastAsia="宋体" w:hint="default"/>
                <w:spacing w:val="-81"/>
                <w:w w:val="99"/>
                <w:sz w:val="18"/>
                <w:szCs w:val="18"/>
              </w:rPr>
            </w:r>
            <w:r>
              <w:rPr>
                <w:rFonts w:ascii="宋体" w:hAnsi="宋体" w:cs="宋体" w:eastAsia="宋体" w:hint="default"/>
                <w:sz w:val="18"/>
                <w:szCs w:val="18"/>
              </w:rPr>
              <w:t>联众：</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日投资者关系 活动记录表》</w:t>
            </w:r>
          </w:p>
        </w:tc>
      </w:tr>
    </w:tbl>
    <w:p>
      <w:pPr>
        <w:spacing w:after="0" w:line="30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218.649002pt;margin-top:712.776001pt;width:316.3pt;height:19.75pt;mso-position-horizontal-relative:page;mso-position-vertical-relative:page;z-index:-1326904" type="#_x0000_t202" filled="false" stroked="false">
            <v:textbox inset="0,0,0,0">
              <w:txbxContent>
                <w:p>
                  <w:pPr>
                    <w:pStyle w:val="BodyText"/>
                    <w:spacing w:line="240" w:lineRule="auto" w:before="51"/>
                    <w:ind w:left="0" w:right="0"/>
                    <w:jc w:val="left"/>
                  </w:pPr>
                  <w:r>
                    <w:rPr/>
                    <w:t>（元）</w:t>
                  </w:r>
                </w:p>
              </w:txbxContent>
            </v:textbox>
            <w10:wrap type="none"/>
          </v:shape>
        </w:pict>
      </w: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472"/>
        <w:jc w:val="center"/>
        <w:rPr>
          <w:b w:val="0"/>
          <w:bCs w:val="0"/>
        </w:rPr>
      </w:pPr>
      <w:bookmarkStart w:name="_bookmark4" w:id="5"/>
      <w:bookmarkEnd w:id="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报告期内普通股利润分配政策，特别是现金分红政策的制定、执行或调整情况</w:t>
      </w:r>
    </w:p>
    <w:p>
      <w:pPr>
        <w:pStyle w:val="BodyText"/>
        <w:spacing w:line="338" w:lineRule="auto" w:before="117"/>
        <w:ind w:left="513" w:right="1031" w:hanging="36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w:t>
      </w:r>
      <w:r>
        <w:rPr>
          <w:spacing w:val="-4"/>
        </w:rPr>
        <w:t>报告期内，公司严格按照《公司章程》相关利润分配政策和审议程序实施利润分配方案，分红标准和分红比例明确清晰，</w:t>
      </w:r>
    </w:p>
    <w:p>
      <w:pPr>
        <w:pStyle w:val="BodyText"/>
        <w:spacing w:line="319" w:lineRule="auto" w:before="2"/>
        <w:ind w:right="1130"/>
        <w:jc w:val="both"/>
      </w:pPr>
      <w:r>
        <w:rPr>
          <w:spacing w:val="-2"/>
        </w:rPr>
        <w:t>相关的审议程序和决策机制完备，公司利润分配预案拟定和决策时，独立董事尽职履责并发挥了应有的作用，公司也充分考</w:t>
      </w:r>
      <w:r>
        <w:rPr>
          <w:spacing w:val="-63"/>
        </w:rPr>
        <w:t> </w:t>
      </w:r>
      <w:r>
        <w:rPr>
          <w:spacing w:val="-63"/>
        </w:rPr>
      </w:r>
      <w:r>
        <w:rPr>
          <w:spacing w:val="-2"/>
        </w:rPr>
        <w:t>虑了中小股东的意见和诉求，相关的议案经董事会、监事会审议通过后提交股东大会审议，并由独立董事发表独立意见，审</w:t>
      </w:r>
      <w:r>
        <w:rPr>
          <w:spacing w:val="-63"/>
        </w:rPr>
        <w:t> </w:t>
      </w:r>
      <w:r>
        <w:rPr>
          <w:spacing w:val="-63"/>
        </w:rPr>
      </w:r>
      <w:r>
        <w:rPr/>
        <w:t>议通过后在规定时间内实施，切实保证了全体股东的利益。</w:t>
      </w:r>
    </w:p>
    <w:p>
      <w:pPr>
        <w:pStyle w:val="BodyText"/>
        <w:spacing w:line="300" w:lineRule="auto" w:before="17"/>
        <w:ind w:right="1131" w:firstLine="360"/>
        <w:jc w:val="both"/>
      </w:pP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19</w:t>
      </w:r>
      <w:r>
        <w:rPr>
          <w:spacing w:val="-3"/>
        </w:rPr>
        <w:t>日，公司第四届董事会第九次会议审议通过了《</w:t>
      </w:r>
      <w:r>
        <w:rPr>
          <w:rFonts w:ascii="Times New Roman" w:hAnsi="Times New Roman" w:cs="Times New Roman" w:eastAsia="Times New Roman" w:hint="default"/>
          <w:spacing w:val="-3"/>
        </w:rPr>
        <w:t>2018</w:t>
      </w:r>
      <w:r>
        <w:rPr>
          <w:spacing w:val="-3"/>
        </w:rPr>
        <w:t>年度利润分配预案》：以</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日总股本</w:t>
      </w:r>
      <w:r>
        <w:rPr>
          <w:rFonts w:ascii="Times New Roman" w:hAnsi="Times New Roman" w:cs="Times New Roman" w:eastAsia="Times New Roman" w:hint="default"/>
          <w:spacing w:val="-3"/>
        </w:rPr>
        <w:t>43,000</w:t>
      </w:r>
      <w:r>
        <w:rPr>
          <w:rFonts w:ascii="Times New Roman" w:hAnsi="Times New Roman" w:cs="Times New Roman" w:eastAsia="Times New Roman" w:hint="default"/>
        </w:rPr>
        <w:t> </w:t>
      </w:r>
      <w:r>
        <w:rPr>
          <w:spacing w:val="-1"/>
        </w:rPr>
        <w:t>万股为基数，向全体股东实施每</w:t>
      </w:r>
      <w:r>
        <w:rPr>
          <w:rFonts w:ascii="Times New Roman" w:hAnsi="Times New Roman" w:cs="Times New Roman" w:eastAsia="Times New Roman" w:hint="default"/>
          <w:spacing w:val="-1"/>
        </w:rPr>
        <w:t>10</w:t>
      </w:r>
      <w:r>
        <w:rPr>
          <w:spacing w:val="-1"/>
        </w:rPr>
        <w:t>股派发现金红利</w:t>
      </w:r>
      <w:r>
        <w:rPr>
          <w:rFonts w:ascii="Times New Roman" w:hAnsi="Times New Roman" w:cs="Times New Roman" w:eastAsia="Times New Roman" w:hint="default"/>
          <w:spacing w:val="-1"/>
        </w:rPr>
        <w:t>0.05</w:t>
      </w:r>
      <w:r>
        <w:rPr>
          <w:spacing w:val="-1"/>
        </w:rPr>
        <w:t>元（含税），合计派发现金红利</w:t>
      </w:r>
      <w:r>
        <w:rPr>
          <w:rFonts w:ascii="Times New Roman" w:hAnsi="Times New Roman" w:cs="Times New Roman" w:eastAsia="Times New Roman" w:hint="default"/>
          <w:spacing w:val="-1"/>
        </w:rPr>
        <w:t>2,150,000</w:t>
      </w:r>
      <w:r>
        <w:rPr>
          <w:spacing w:val="-1"/>
        </w:rPr>
        <w:t>元，剩余未分配利润结转至</w:t>
      </w:r>
      <w:r>
        <w:rPr>
          <w:spacing w:val="-75"/>
        </w:rPr>
        <w:t> </w:t>
      </w:r>
      <w:r>
        <w:rPr>
          <w:spacing w:val="-75"/>
        </w:rPr>
      </w:r>
      <w:r>
        <w:rPr/>
        <w:t>下一年度。公司独立董事对此发表了同意意见。</w:t>
      </w:r>
    </w:p>
    <w:p>
      <w:pPr>
        <w:pStyle w:val="BodyText"/>
        <w:spacing w:line="300" w:lineRule="auto" w:before="31"/>
        <w:ind w:right="1136" w:firstLine="36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日，公司</w:t>
      </w:r>
      <w:r>
        <w:rPr>
          <w:rFonts w:ascii="Times New Roman" w:hAnsi="Times New Roman" w:cs="Times New Roman" w:eastAsia="Times New Roman" w:hint="default"/>
        </w:rPr>
        <w:t>2018</w:t>
      </w:r>
      <w:r>
        <w:rPr/>
        <w:t>年年度股东大会审议通过了《</w:t>
      </w:r>
      <w:r>
        <w:rPr>
          <w:rFonts w:ascii="Times New Roman" w:hAnsi="Times New Roman" w:cs="Times New Roman" w:eastAsia="Times New Roman" w:hint="default"/>
        </w:rPr>
        <w:t>2018</w:t>
      </w:r>
      <w:r>
        <w:rPr/>
        <w:t>年度利润分配预案》，同意董事会提出的</w:t>
      </w:r>
      <w:r>
        <w:rPr>
          <w:rFonts w:ascii="Times New Roman" w:hAnsi="Times New Roman" w:cs="Times New Roman" w:eastAsia="Times New Roman" w:hint="default"/>
        </w:rPr>
        <w:t>2018</w:t>
      </w:r>
      <w:r>
        <w:rPr/>
        <w:t>年度利润分 配预案。</w:t>
      </w:r>
    </w:p>
    <w:p>
      <w:pPr>
        <w:pStyle w:val="BodyText"/>
        <w:spacing w:line="240" w:lineRule="auto" w:before="72"/>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13</w:t>
      </w:r>
      <w:r>
        <w:rPr/>
        <w:t>日，公司发布了《</w:t>
      </w:r>
      <w:r>
        <w:rPr>
          <w:rFonts w:ascii="Times New Roman" w:hAnsi="Times New Roman" w:cs="Times New Roman" w:eastAsia="Times New Roman" w:hint="default"/>
        </w:rPr>
        <w:t>2018</w:t>
      </w:r>
      <w:r>
        <w:rPr/>
        <w:t>年年度权益分派实施公告》，上述权益分派方案于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21</w:t>
      </w:r>
      <w:r>
        <w:rPr/>
        <w:t>日实施完毕。</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8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1133"/>
        <w:jc w:val="left"/>
      </w:pPr>
      <w:r>
        <w:rPr/>
        <w:t>公司报告期利润分配预案及资本公积金转增股本预案与公司章程和分红管理办法等的相关规定一致</w:t>
      </w:r>
    </w:p>
    <w:p>
      <w:pPr>
        <w:pStyle w:val="BodyText"/>
        <w:spacing w:line="348" w:lineRule="auto" w:before="118"/>
        <w:ind w:right="42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 </w:t>
      </w:r>
      <w:r>
        <w:rPr/>
        <w:t>不适用 公司报告期利润分配预案及资本公积金转增股本预案符合公司章程等的相关规定。 本年度利润分配及资本公积金转增股本情况</w:t>
      </w:r>
    </w:p>
    <w:p>
      <w:pPr>
        <w:spacing w:line="240" w:lineRule="auto" w:before="0"/>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3717"/>
        <w:gridCol w:w="5852"/>
      </w:tblGrid>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0.05</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2,150,000.00</w:t>
            </w:r>
          </w:p>
        </w:tc>
      </w:tr>
      <w:tr>
        <w:trPr>
          <w:trHeight w:val="404" w:hRule="exact"/>
        </w:trPr>
        <w:tc>
          <w:tcPr>
            <w:tcW w:w="371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w:t>
            </w:r>
          </w:p>
        </w:tc>
        <w:tc>
          <w:tcPr>
            <w:tcW w:w="5852" w:type="dxa"/>
            <w:tcBorders>
              <w:top w:val="single" w:sz="4" w:space="0" w:color="000000"/>
              <w:left w:val="single" w:sz="13" w:space="0" w:color="FFFFFF"/>
              <w:bottom w:val="single" w:sz="4" w:space="0" w:color="000000"/>
              <w:right w:val="single" w:sz="13" w:space="0" w:color="FFFFFF"/>
            </w:tcBorders>
          </w:tcPr>
          <w:p>
            <w:pPr>
              <w:pStyle w:val="TableParagraph"/>
              <w:spacing w:line="240" w:lineRule="auto" w:before="93"/>
              <w:ind w:right="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元）</w:t>
            </w:r>
          </w:p>
        </w:tc>
        <w:tc>
          <w:tcPr>
            <w:tcW w:w="5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2,150,000.00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08"/>
        <w:gridCol w:w="5863"/>
      </w:tblGrid>
      <w:tr>
        <w:trPr>
          <w:trHeight w:val="402"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78,314,923.14</w:t>
            </w:r>
          </w:p>
        </w:tc>
      </w:tr>
      <w:tr>
        <w:trPr>
          <w:trHeight w:val="714" w:hRule="exact"/>
        </w:trPr>
        <w:tc>
          <w:tcPr>
            <w:tcW w:w="3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72"/>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3"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2"/>
                <w:sz w:val="18"/>
                <w:szCs w:val="18"/>
              </w:rPr>
              <w:t>公司发展阶段属成熟期且无重大资金支出安排的，进行利润分配时，现金分红在本次利润分配中所占比例最低应达到</w:t>
            </w:r>
            <w:r>
              <w:rPr>
                <w:rFonts w:ascii="宋体" w:hAnsi="宋体" w:cs="宋体" w:eastAsia="宋体" w:hint="default"/>
                <w:spacing w:val="-11"/>
                <w:sz w:val="18"/>
                <w:szCs w:val="18"/>
              </w:rPr>
              <w:t> </w:t>
            </w:r>
            <w:r>
              <w:rPr>
                <w:rFonts w:ascii="Times New Roman" w:hAnsi="Times New Roman" w:cs="Times New Roman" w:eastAsia="Times New Roman" w:hint="default"/>
                <w:spacing w:val="-1"/>
                <w:sz w:val="18"/>
                <w:szCs w:val="18"/>
              </w:rPr>
              <w:t>80</w:t>
            </w:r>
            <w:r>
              <w:rPr>
                <w:rFonts w:ascii="宋体" w:hAnsi="宋体" w:cs="宋体" w:eastAsia="宋体" w:hint="default"/>
                <w:spacing w:val="-1"/>
                <w:sz w:val="18"/>
                <w:szCs w:val="18"/>
              </w:rPr>
              <w:t>％</w:t>
            </w:r>
          </w:p>
        </w:tc>
      </w:tr>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0"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2317"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经容诚会计师事务所（特殊普通合伙）审计，公司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年度实现归属于上市公司股东的净利润为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10,505,744.63 </w:t>
            </w:r>
            <w:r>
              <w:rPr>
                <w:rFonts w:ascii="宋体" w:hAnsi="宋体" w:cs="宋体" w:eastAsia="宋体" w:hint="default"/>
                <w:sz w:val="18"/>
                <w:szCs w:val="18"/>
              </w:rPr>
              <w:t>元，</w:t>
            </w:r>
          </w:p>
          <w:p>
            <w:pPr>
              <w:pStyle w:val="TableParagraph"/>
              <w:spacing w:line="300" w:lineRule="auto" w:before="60"/>
              <w:ind w:left="24" w:right="17"/>
              <w:jc w:val="left"/>
              <w:rPr>
                <w:rFonts w:ascii="Times New Roman" w:hAnsi="Times New Roman" w:cs="Times New Roman" w:eastAsia="Times New Roman" w:hint="default"/>
                <w:sz w:val="18"/>
                <w:szCs w:val="18"/>
              </w:rPr>
            </w:pPr>
            <w:r>
              <w:rPr>
                <w:rFonts w:ascii="宋体" w:hAnsi="宋体" w:cs="宋体" w:eastAsia="宋体" w:hint="default"/>
                <w:sz w:val="18"/>
                <w:szCs w:val="18"/>
              </w:rPr>
              <w:t>母公司实现净利润 </w:t>
            </w:r>
            <w:r>
              <w:rPr>
                <w:rFonts w:ascii="Times New Roman" w:hAnsi="Times New Roman" w:cs="Times New Roman" w:eastAsia="Times New Roman" w:hint="default"/>
                <w:sz w:val="18"/>
                <w:szCs w:val="18"/>
              </w:rPr>
              <w:t>-10,107,896.73 </w:t>
            </w:r>
            <w:r>
              <w:rPr>
                <w:rFonts w:ascii="宋体" w:hAnsi="宋体" w:cs="宋体" w:eastAsia="宋体" w:hint="default"/>
                <w:sz w:val="18"/>
                <w:szCs w:val="18"/>
              </w:rPr>
              <w:t>元，根据《公司法》和《公司章程》的有关规定，因母公司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年度实现净利润为负 数，</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年度公司不提取法定盈余公积金，加上年初未分配利润</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96,968,028.92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元，因执行新金融工具准则，调减年初留 存收益</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6,395,209.05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元，弥补母公司</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年度亏损</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10,107,896.73 </w:t>
            </w:r>
            <w:r>
              <w:rPr>
                <w:rFonts w:ascii="宋体" w:hAnsi="宋体" w:cs="宋体" w:eastAsia="宋体" w:hint="default"/>
                <w:sz w:val="18"/>
                <w:szCs w:val="18"/>
              </w:rPr>
              <w:t>元，减去</w:t>
            </w:r>
            <w:r>
              <w:rPr>
                <w:rFonts w:ascii="宋体" w:hAnsi="宋体" w:cs="宋体" w:eastAsia="宋体" w:hint="default"/>
                <w:spacing w:val="-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年派发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年度现金红利</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2,150,000.00</w:t>
            </w:r>
          </w:p>
          <w:p>
            <w:pPr>
              <w:pStyle w:val="TableParagraph"/>
              <w:spacing w:line="240" w:lineRule="auto" w:before="13"/>
              <w:ind w:left="24" w:right="0"/>
              <w:jc w:val="left"/>
              <w:rPr>
                <w:rFonts w:ascii="宋体" w:hAnsi="宋体" w:cs="宋体" w:eastAsia="宋体" w:hint="default"/>
                <w:sz w:val="18"/>
                <w:szCs w:val="18"/>
              </w:rPr>
            </w:pPr>
            <w:r>
              <w:rPr>
                <w:rFonts w:ascii="宋体" w:hAnsi="宋体" w:cs="宋体" w:eastAsia="宋体" w:hint="default"/>
                <w:sz w:val="18"/>
                <w:szCs w:val="18"/>
              </w:rPr>
              <w:t>元，截至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日，母公司可供股东分配的利润为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78,314,923.14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10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本年度利润分配预案为：以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日总股本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43,000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万股为基数，向全体股东实施每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股派发现金红利</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0.05</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元（含税</w:t>
            </w:r>
            <w:r>
              <w:rPr>
                <w:rFonts w:ascii="宋体" w:hAnsi="宋体" w:cs="宋体" w:eastAsia="宋体" w:hint="default"/>
                <w:spacing w:val="-92"/>
                <w:sz w:val="18"/>
                <w:szCs w:val="18"/>
              </w:rPr>
              <w:t>）</w:t>
            </w:r>
            <w:r>
              <w:rPr>
                <w:rFonts w:ascii="宋体" w:hAnsi="宋体" w:cs="宋体" w:eastAsia="宋体" w:hint="default"/>
                <w:sz w:val="18"/>
                <w:szCs w:val="18"/>
              </w:rPr>
              <w:t>，合计派发现金</w:t>
            </w:r>
            <w:r>
              <w:rPr>
                <w:rFonts w:ascii="宋体" w:hAnsi="宋体" w:cs="宋体" w:eastAsia="宋体" w:hint="default"/>
                <w:spacing w:val="2"/>
                <w:sz w:val="18"/>
                <w:szCs w:val="18"/>
              </w:rPr>
              <w:t>红</w:t>
            </w:r>
            <w:r>
              <w:rPr>
                <w:rFonts w:ascii="宋体" w:hAnsi="宋体" w:cs="宋体" w:eastAsia="宋体" w:hint="default"/>
                <w:sz w:val="18"/>
                <w:szCs w:val="18"/>
              </w:rPr>
              <w:t>利</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元，剩余未分配</w:t>
            </w:r>
            <w:r>
              <w:rPr>
                <w:rFonts w:ascii="宋体" w:hAnsi="宋体" w:cs="宋体" w:eastAsia="宋体" w:hint="default"/>
                <w:spacing w:val="-3"/>
                <w:sz w:val="18"/>
                <w:szCs w:val="18"/>
              </w:rPr>
              <w:t>利</w:t>
            </w:r>
            <w:r>
              <w:rPr>
                <w:rFonts w:ascii="宋体" w:hAnsi="宋体" w:cs="宋体" w:eastAsia="宋体" w:hint="default"/>
                <w:sz w:val="18"/>
                <w:szCs w:val="18"/>
              </w:rPr>
              <w:t>润结转至下一年度。</w:t>
            </w:r>
          </w:p>
        </w:tc>
      </w:tr>
    </w:tbl>
    <w:p>
      <w:pPr>
        <w:pStyle w:val="BodyText"/>
        <w:spacing w:line="240" w:lineRule="auto" w:before="51"/>
        <w:ind w:right="1133"/>
        <w:jc w:val="left"/>
      </w:pPr>
      <w:r>
        <w:rPr/>
        <w:t>公司近</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年（包括本报告期</w:t>
      </w:r>
      <w:r>
        <w:rPr>
          <w:spacing w:val="-3"/>
        </w:rPr>
        <w:t>）</w:t>
      </w:r>
      <w:r>
        <w:rPr/>
        <w:t>的普通股股利分配方案（预案</w:t>
      </w:r>
      <w:r>
        <w:rPr>
          <w:spacing w:val="-89"/>
        </w:rPr>
        <w:t>）</w:t>
      </w:r>
      <w:r>
        <w:rPr/>
        <w:t>、资本公积金转增股本方案（预案）情况</w:t>
      </w:r>
    </w:p>
    <w:p>
      <w:pPr>
        <w:pStyle w:val="BodyText"/>
        <w:spacing w:line="240" w:lineRule="auto" w:before="101"/>
        <w:ind w:right="1133"/>
        <w:jc w:val="left"/>
        <w:rPr>
          <w:rFonts w:ascii="Times New Roman" w:hAnsi="Times New Roman" w:cs="Times New Roman" w:eastAsia="Times New Roman" w:hint="default"/>
        </w:rPr>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2017</w:t>
      </w:r>
      <w:r>
        <w:rPr/>
        <w:t>年度利润分配预案为：以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w:t>
      </w:r>
    </w:p>
    <w:p>
      <w:pPr>
        <w:pStyle w:val="BodyText"/>
        <w:spacing w:line="240" w:lineRule="auto" w:before="63"/>
        <w:ind w:right="1133"/>
        <w:jc w:val="left"/>
      </w:pPr>
      <w:r>
        <w:rPr/>
        <w:t>元（含税），合计派发现金红利</w:t>
      </w:r>
      <w:r>
        <w:rPr>
          <w:rFonts w:ascii="Times New Roman" w:hAnsi="Times New Roman" w:cs="Times New Roman" w:eastAsia="Times New Roman" w:hint="default"/>
        </w:rPr>
        <w:t>2,150,000</w:t>
      </w:r>
      <w:r>
        <w:rPr/>
        <w:t>元，剩余未分配利润结转至下一年度。</w:t>
      </w:r>
    </w:p>
    <w:p>
      <w:pPr>
        <w:pStyle w:val="BodyText"/>
        <w:spacing w:line="240" w:lineRule="auto" w:before="63"/>
        <w:ind w:right="1133"/>
        <w:jc w:val="left"/>
        <w:rPr>
          <w:rFonts w:ascii="Times New Roman" w:hAnsi="Times New Roman" w:cs="Times New Roman" w:eastAsia="Times New Roman" w:hint="default"/>
        </w:rPr>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年度利润分配预案为：以</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w:t>
      </w:r>
    </w:p>
    <w:p>
      <w:pPr>
        <w:pStyle w:val="BodyText"/>
        <w:spacing w:line="240" w:lineRule="auto" w:before="63"/>
        <w:ind w:right="1133"/>
        <w:jc w:val="left"/>
      </w:pPr>
      <w:r>
        <w:rPr/>
        <w:t>元（含税），合计派发现金红利</w:t>
      </w:r>
      <w:r>
        <w:rPr>
          <w:rFonts w:ascii="Times New Roman" w:hAnsi="Times New Roman" w:cs="Times New Roman" w:eastAsia="Times New Roman" w:hint="default"/>
        </w:rPr>
        <w:t>2,150,000</w:t>
      </w:r>
      <w:r>
        <w:rPr/>
        <w:t>元，剩余未分配利润结转至下一年度。</w:t>
      </w:r>
    </w:p>
    <w:p>
      <w:pPr>
        <w:pStyle w:val="BodyText"/>
        <w:spacing w:line="319" w:lineRule="auto" w:before="63"/>
        <w:ind w:right="121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年度利润分配预案为：以</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日总股本</w:t>
      </w:r>
      <w:r>
        <w:rPr>
          <w:rFonts w:ascii="Times New Roman" w:hAnsi="Times New Roman" w:cs="Times New Roman" w:eastAsia="Times New Roman" w:hint="default"/>
        </w:rPr>
        <w:t>43,000</w:t>
      </w:r>
      <w:r>
        <w:rPr/>
        <w:t>万股为基数，向全体股东实施每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0.05 </w:t>
      </w:r>
      <w:r>
        <w:rPr/>
        <w:t>元（含税），合计派发现金红利</w:t>
      </w:r>
      <w:r>
        <w:rPr>
          <w:rFonts w:ascii="Times New Roman" w:hAnsi="Times New Roman" w:cs="Times New Roman" w:eastAsia="Times New Roman" w:hint="default"/>
        </w:rPr>
        <w:t>2,150,000</w:t>
      </w:r>
      <w:r>
        <w:rPr/>
        <w:t>元，剩余未分配利润结转至下一年度。 公司近三年（包括本报告期）普通股现金分红情况表</w:t>
      </w:r>
    </w:p>
    <w:p>
      <w:pPr>
        <w:pStyle w:val="BodyText"/>
        <w:spacing w:line="240" w:lineRule="auto" w:before="5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7"/>
        <w:gridCol w:w="1195"/>
        <w:gridCol w:w="1196"/>
        <w:gridCol w:w="1195"/>
        <w:gridCol w:w="1198"/>
        <w:gridCol w:w="1195"/>
        <w:gridCol w:w="1196"/>
        <w:gridCol w:w="1198"/>
      </w:tblGrid>
      <w:tr>
        <w:trPr>
          <w:trHeight w:val="2276"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right="0"/>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7"/>
              <w:ind w:left="52" w:right="51"/>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2" w:right="50"/>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412" w:right="140" w:hanging="269"/>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52" w:right="53" w:firstLine="2"/>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10,505,744.63</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20.46%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20.46%</w:t>
            </w:r>
          </w:p>
        </w:tc>
      </w:tr>
      <w:tr>
        <w:trPr>
          <w:trHeight w:val="403"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14,664,775.38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14.66%</w:t>
            </w:r>
          </w:p>
        </w:tc>
      </w:tr>
      <w:tr>
        <w:trPr>
          <w:trHeight w:val="401" w:hRule="exact"/>
        </w:trPr>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18,121,725.29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11.86%</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2,150,000.00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sz w:val="18"/>
              </w:rPr>
              <w:t>11.86%</w:t>
            </w:r>
          </w:p>
        </w:tc>
      </w:tr>
    </w:tbl>
    <w:p>
      <w:pPr>
        <w:pStyle w:val="BodyText"/>
        <w:spacing w:line="240" w:lineRule="auto" w:before="51"/>
        <w:ind w:right="1133"/>
        <w:jc w:val="left"/>
      </w:pPr>
      <w:r>
        <w:rPr/>
        <w:t>公司报告期内盈利且母公司可供普通股股东分配利润为正但未提出普通股现金红利分配预案</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6" w:lineRule="auto"/>
        <w:ind w:right="1133"/>
        <w:jc w:val="left"/>
        <w:rPr>
          <w:b w:val="0"/>
          <w:bCs w:val="0"/>
        </w:rPr>
      </w:pP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2838"/>
        <w:gridCol w:w="1123"/>
        <w:gridCol w:w="1128"/>
        <w:gridCol w:w="1126"/>
        <w:gridCol w:w="1126"/>
        <w:gridCol w:w="1121"/>
        <w:gridCol w:w="1106"/>
      </w:tblGrid>
      <w:tr>
        <w:trPr>
          <w:trHeight w:val="403" w:hRule="exact"/>
        </w:trPr>
        <w:tc>
          <w:tcPr>
            <w:tcW w:w="2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9"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5355" w:hRule="exact"/>
        </w:trPr>
        <w:tc>
          <w:tcPr>
            <w:tcW w:w="28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关于关联交 易方面的承 诺</w:t>
            </w:r>
          </w:p>
        </w:tc>
        <w:tc>
          <w:tcPr>
            <w:tcW w:w="1126"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如本人及本 人所控制的 其他企业与 易联众不可 避免地出现 </w:t>
            </w:r>
            <w:r>
              <w:rPr>
                <w:rFonts w:ascii="宋体" w:hAnsi="宋体" w:cs="宋体" w:eastAsia="宋体" w:hint="default"/>
                <w:spacing w:val="-2"/>
                <w:sz w:val="18"/>
                <w:szCs w:val="18"/>
              </w:rPr>
              <w:t>关联交易，将</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根据《公司 </w:t>
            </w:r>
            <w:r>
              <w:rPr>
                <w:rFonts w:ascii="宋体" w:hAnsi="宋体" w:cs="宋体" w:eastAsia="宋体" w:hint="default"/>
                <w:spacing w:val="-2"/>
                <w:sz w:val="18"/>
                <w:szCs w:val="18"/>
              </w:rPr>
              <w:t>法》等国家法</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律、法规和</w:t>
            </w:r>
          </w:p>
          <w:p>
            <w:pPr>
              <w:pStyle w:val="TableParagraph"/>
              <w:spacing w:line="316" w:lineRule="auto" w:before="19"/>
              <w:ind w:left="23" w:right="10"/>
              <w:jc w:val="left"/>
              <w:rPr>
                <w:rFonts w:ascii="宋体" w:hAnsi="宋体" w:cs="宋体" w:eastAsia="宋体" w:hint="default"/>
                <w:sz w:val="18"/>
                <w:szCs w:val="18"/>
              </w:rPr>
            </w:pPr>
            <w:r>
              <w:rPr>
                <w:rFonts w:ascii="宋体" w:hAnsi="宋体" w:cs="宋体" w:eastAsia="宋体" w:hint="default"/>
                <w:sz w:val="18"/>
                <w:szCs w:val="18"/>
              </w:rPr>
              <w:t>《公司章程》 及易联众关 于关联交易 的有关制度 的规定，依照 市场规则，本 着一般商业 原则签订书 面协议，公平 合理地进行 交易，以维护 易联众及所 有股东的利 益，本人将不 利用在易联 众中的第一 大股东地位， 为本人及本 人所控制的 其他企业在 与易联众的 关联交易中 谋取不正当 利益。</w:t>
            </w:r>
          </w:p>
        </w:tc>
        <w:tc>
          <w:tcPr>
            <w:tcW w:w="112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r>
        <w:trPr>
          <w:trHeight w:val="703" w:hRule="exact"/>
        </w:trPr>
        <w:tc>
          <w:tcPr>
            <w:tcW w:w="283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4" w:lineRule="auto" w:before="51"/>
              <w:ind w:left="24" w:right="102"/>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 作承诺</w:t>
            </w: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4328" w:hRule="exact"/>
        </w:trPr>
        <w:tc>
          <w:tcPr>
            <w:tcW w:w="2838" w:type="dxa"/>
            <w:vMerge w:val="restart"/>
            <w:tcBorders>
              <w:top w:val="nil" w:sz="6" w:space="0" w:color="auto"/>
              <w:left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r>
        <w:trPr>
          <w:trHeight w:val="1028" w:hRule="exact"/>
        </w:trPr>
        <w:tc>
          <w:tcPr>
            <w:tcW w:w="2838"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3" w:right="190"/>
              <w:jc w:val="both"/>
              <w:rPr>
                <w:rFonts w:ascii="宋体" w:hAnsi="宋体" w:cs="宋体" w:eastAsia="宋体" w:hint="default"/>
                <w:sz w:val="18"/>
                <w:szCs w:val="18"/>
              </w:rPr>
            </w:pPr>
            <w:r>
              <w:rPr>
                <w:rFonts w:ascii="宋体" w:hAnsi="宋体" w:cs="宋体" w:eastAsia="宋体" w:hint="default"/>
                <w:sz w:val="18"/>
                <w:szCs w:val="18"/>
              </w:rPr>
              <w:t>在本人作为 易联众第一 大股东期间</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3"/>
              <w:ind w:left="23" w:right="19"/>
              <w:jc w:val="left"/>
              <w:rPr>
                <w:rFonts w:ascii="宋体" w:hAnsi="宋体" w:cs="宋体" w:eastAsia="宋体" w:hint="default"/>
                <w:sz w:val="18"/>
                <w:szCs w:val="18"/>
              </w:rPr>
            </w:pPr>
            <w:r>
              <w:rPr>
                <w:rFonts w:ascii="宋体" w:hAnsi="宋体" w:cs="宋体" w:eastAsia="宋体" w:hint="default"/>
                <w:sz w:val="18"/>
                <w:szCs w:val="18"/>
              </w:rPr>
              <w:t>在做出该承 </w:t>
            </w:r>
            <w:r>
              <w:rPr>
                <w:rFonts w:ascii="宋体" w:hAnsi="宋体" w:cs="宋体" w:eastAsia="宋体" w:hint="default"/>
                <w:spacing w:val="-5"/>
                <w:sz w:val="18"/>
                <w:szCs w:val="18"/>
              </w:rPr>
              <w:t>诺以后，张曦</w:t>
            </w:r>
            <w:r>
              <w:rPr>
                <w:rFonts w:ascii="宋体" w:hAnsi="宋体" w:cs="宋体" w:eastAsia="宋体" w:hint="default"/>
                <w:sz w:val="18"/>
                <w:szCs w:val="18"/>
              </w:rPr>
              <w:t> 先生没有直</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11908"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不会从事与 易联众相同 或相似的业 务；不会直接 投资、收购与 易联众业务 相同或相似 的企业和项 目，不会以任 何方式为竞 争企业提供 帮助；如因任 何原因引起 与易联众发 生同业竞争， 将积极采取 有效措施，放 弃此类同业 竞争。</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22"/>
              <w:jc w:val="left"/>
              <w:rPr>
                <w:rFonts w:ascii="宋体" w:hAnsi="宋体" w:cs="宋体" w:eastAsia="宋体" w:hint="default"/>
                <w:sz w:val="18"/>
                <w:szCs w:val="18"/>
              </w:rPr>
            </w:pPr>
            <w:r>
              <w:rPr>
                <w:rFonts w:ascii="宋体" w:hAnsi="宋体" w:cs="宋体" w:eastAsia="宋体" w:hint="default"/>
                <w:spacing w:val="-5"/>
                <w:sz w:val="18"/>
                <w:szCs w:val="18"/>
              </w:rPr>
              <w:t>接投资、收购</w:t>
            </w:r>
            <w:r>
              <w:rPr>
                <w:rFonts w:ascii="宋体" w:hAnsi="宋体" w:cs="宋体" w:eastAsia="宋体" w:hint="default"/>
                <w:sz w:val="18"/>
                <w:szCs w:val="18"/>
              </w:rPr>
              <w:t> 与易联众存 在竞争的企 </w:t>
            </w:r>
            <w:r>
              <w:rPr>
                <w:rFonts w:ascii="宋体" w:hAnsi="宋体" w:cs="宋体" w:eastAsia="宋体" w:hint="default"/>
                <w:spacing w:val="-5"/>
                <w:sz w:val="18"/>
                <w:szCs w:val="18"/>
              </w:rPr>
              <w:t>业和项目。在</w:t>
            </w:r>
            <w:r>
              <w:rPr>
                <w:rFonts w:ascii="宋体" w:hAnsi="宋体" w:cs="宋体" w:eastAsia="宋体" w:hint="default"/>
                <w:sz w:val="18"/>
                <w:szCs w:val="18"/>
              </w:rPr>
              <w:t> 做出该承诺 </w:t>
            </w:r>
            <w:r>
              <w:rPr>
                <w:rFonts w:ascii="宋体" w:hAnsi="宋体" w:cs="宋体" w:eastAsia="宋体" w:hint="default"/>
                <w:spacing w:val="-5"/>
                <w:sz w:val="18"/>
                <w:szCs w:val="18"/>
              </w:rPr>
              <w:t>之前，张曦先</w:t>
            </w:r>
            <w:r>
              <w:rPr>
                <w:rFonts w:ascii="宋体" w:hAnsi="宋体" w:cs="宋体" w:eastAsia="宋体" w:hint="default"/>
                <w:sz w:val="18"/>
                <w:szCs w:val="18"/>
              </w:rPr>
              <w:t> 生于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09" w:lineRule="auto"/>
              <w:ind w:left="23" w:right="19"/>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月投资了南 京海泰医疗 信息系统有 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40% </w:t>
            </w:r>
            <w:r>
              <w:rPr>
                <w:rFonts w:ascii="宋体" w:hAnsi="宋体" w:cs="宋体" w:eastAsia="宋体" w:hint="default"/>
                <w:spacing w:val="-5"/>
                <w:sz w:val="18"/>
                <w:szCs w:val="18"/>
              </w:rPr>
              <w:t>股权（以下简</w:t>
            </w:r>
            <w:r>
              <w:rPr>
                <w:rFonts w:ascii="宋体" w:hAnsi="宋体" w:cs="宋体" w:eastAsia="宋体" w:hint="default"/>
                <w:sz w:val="18"/>
                <w:szCs w:val="18"/>
              </w:rPr>
              <w:t> 称</w:t>
            </w:r>
            <w:r>
              <w:rPr>
                <w:rFonts w:ascii="Times New Roman" w:hAnsi="Times New Roman" w:cs="Times New Roman" w:eastAsia="Times New Roman" w:hint="default"/>
                <w:sz w:val="18"/>
                <w:szCs w:val="18"/>
              </w:rPr>
              <w:t>“</w:t>
            </w:r>
            <w:r>
              <w:rPr>
                <w:rFonts w:ascii="宋体" w:hAnsi="宋体" w:cs="宋体" w:eastAsia="宋体" w:hint="default"/>
                <w:sz w:val="18"/>
                <w:szCs w:val="18"/>
              </w:rPr>
              <w:t>海泰医 </w:t>
            </w:r>
            <w:r>
              <w:rPr>
                <w:rFonts w:ascii="宋体" w:hAnsi="宋体" w:cs="宋体" w:eastAsia="宋体" w:hint="default"/>
                <w:spacing w:val="-32"/>
                <w:w w:val="100"/>
                <w:sz w:val="18"/>
                <w:szCs w:val="18"/>
              </w:rPr>
              <w:t>疗</w:t>
            </w:r>
            <w:r>
              <w:rPr>
                <w:rFonts w:ascii="Times New Roman" w:hAnsi="Times New Roman" w:cs="Times New Roman" w:eastAsia="Times New Roman" w:hint="default"/>
                <w:spacing w:val="-32"/>
                <w:w w:val="100"/>
                <w:sz w:val="18"/>
                <w:szCs w:val="18"/>
              </w:rPr>
              <w:t>”</w:t>
            </w:r>
            <w:r>
              <w:rPr>
                <w:rFonts w:ascii="宋体" w:hAnsi="宋体" w:cs="宋体" w:eastAsia="宋体" w:hint="default"/>
                <w:spacing w:val="-32"/>
                <w:w w:val="100"/>
                <w:sz w:val="18"/>
                <w:szCs w:val="18"/>
              </w:rPr>
              <w:t>），于</w:t>
            </w:r>
            <w:r>
              <w:rPr>
                <w:rFonts w:ascii="宋体" w:hAnsi="宋体" w:cs="宋体" w:eastAsia="宋体" w:hint="default"/>
                <w:spacing w:val="-44"/>
                <w:w w:val="100"/>
                <w:sz w:val="18"/>
                <w:szCs w:val="18"/>
              </w:rPr>
              <w:t> </w:t>
            </w:r>
            <w:r>
              <w:rPr>
                <w:rFonts w:ascii="Times New Roman" w:hAnsi="Times New Roman" w:cs="Times New Roman" w:eastAsia="Times New Roman" w:hint="default"/>
                <w:spacing w:val="1"/>
                <w:sz w:val="18"/>
                <w:szCs w:val="18"/>
              </w:rPr>
              <w:t>2016</w:t>
            </w:r>
            <w:r>
              <w:rPr>
                <w:rFonts w:ascii="Times New Roman" w:hAnsi="Times New Roman" w:cs="Times New Roman" w:eastAsia="Times New Roman" w:hint="default"/>
                <w:sz w:val="18"/>
                <w:szCs w:val="18"/>
              </w:rPr>
            </w:r>
          </w:p>
          <w:p>
            <w:pPr>
              <w:pStyle w:val="TableParagraph"/>
              <w:spacing w:line="314" w:lineRule="auto" w:before="5"/>
              <w:ind w:left="23" w:right="22"/>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月转让 海泰医疗全 部股权予以 无关联第三 </w:t>
            </w:r>
            <w:r>
              <w:rPr>
                <w:rFonts w:ascii="宋体" w:hAnsi="宋体" w:cs="宋体" w:eastAsia="宋体" w:hint="default"/>
                <w:spacing w:val="-5"/>
                <w:sz w:val="18"/>
                <w:szCs w:val="18"/>
              </w:rPr>
              <w:t>方。针对该事</w:t>
            </w:r>
            <w:r>
              <w:rPr>
                <w:rFonts w:ascii="宋体" w:hAnsi="宋体" w:cs="宋体" w:eastAsia="宋体" w:hint="default"/>
                <w:sz w:val="18"/>
                <w:szCs w:val="18"/>
              </w:rPr>
              <w:t> </w:t>
            </w:r>
            <w:r>
              <w:rPr>
                <w:rFonts w:ascii="宋体" w:hAnsi="宋体" w:cs="宋体" w:eastAsia="宋体" w:hint="default"/>
                <w:spacing w:val="-5"/>
                <w:sz w:val="18"/>
                <w:szCs w:val="18"/>
              </w:rPr>
              <w:t>项，厦门证监</w:t>
            </w:r>
            <w:r>
              <w:rPr>
                <w:rFonts w:ascii="宋体" w:hAnsi="宋体" w:cs="宋体" w:eastAsia="宋体" w:hint="default"/>
                <w:sz w:val="18"/>
                <w:szCs w:val="18"/>
              </w:rPr>
              <w:t> 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2" w:lineRule="auto" w:before="1"/>
              <w:ind w:left="23" w:right="22"/>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日向张 曦先生出具 </w:t>
            </w:r>
            <w:r>
              <w:rPr>
                <w:rFonts w:ascii="宋体" w:hAnsi="宋体" w:cs="宋体" w:eastAsia="宋体" w:hint="default"/>
                <w:spacing w:val="-5"/>
                <w:sz w:val="18"/>
                <w:szCs w:val="18"/>
              </w:rPr>
              <w:t>了警示函，深</w:t>
            </w:r>
            <w:r>
              <w:rPr>
                <w:rFonts w:ascii="宋体" w:hAnsi="宋体" w:cs="宋体" w:eastAsia="宋体" w:hint="default"/>
                <w:sz w:val="18"/>
                <w:szCs w:val="18"/>
              </w:rPr>
              <w:t> 交所于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p>
          <w:p>
            <w:pPr>
              <w:pStyle w:val="TableParagraph"/>
              <w:spacing w:line="314" w:lineRule="auto" w:before="3"/>
              <w:ind w:left="23" w:right="22"/>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向张曦先生 出具了监管 </w:t>
            </w:r>
            <w:r>
              <w:rPr>
                <w:rFonts w:ascii="宋体" w:hAnsi="宋体" w:cs="宋体" w:eastAsia="宋体" w:hint="default"/>
                <w:spacing w:val="-5"/>
                <w:sz w:val="18"/>
                <w:szCs w:val="18"/>
              </w:rPr>
              <w:t>函。张曦先生</w:t>
            </w:r>
            <w:r>
              <w:rPr>
                <w:rFonts w:ascii="宋体" w:hAnsi="宋体" w:cs="宋体" w:eastAsia="宋体" w:hint="default"/>
                <w:sz w:val="18"/>
                <w:szCs w:val="18"/>
              </w:rPr>
              <w:t> 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314" w:lineRule="auto" w:before="1"/>
              <w:ind w:left="23" w:right="-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日向厦 门证监局提 交了整改报 </w:t>
            </w:r>
            <w:r>
              <w:rPr>
                <w:rFonts w:ascii="宋体" w:hAnsi="宋体" w:cs="宋体" w:eastAsia="宋体" w:hint="default"/>
                <w:spacing w:val="-5"/>
                <w:sz w:val="18"/>
                <w:szCs w:val="18"/>
              </w:rPr>
              <w:t>告书，表示将</w:t>
            </w:r>
            <w:r>
              <w:rPr>
                <w:rFonts w:ascii="宋体" w:hAnsi="宋体" w:cs="宋体" w:eastAsia="宋体" w:hint="default"/>
                <w:sz w:val="18"/>
                <w:szCs w:val="18"/>
              </w:rPr>
              <w:t> 加强法律法 </w:t>
            </w:r>
            <w:r>
              <w:rPr>
                <w:rFonts w:ascii="宋体" w:hAnsi="宋体" w:cs="宋体" w:eastAsia="宋体" w:hint="default"/>
                <w:spacing w:val="-5"/>
                <w:sz w:val="18"/>
                <w:szCs w:val="18"/>
              </w:rPr>
              <w:t>规学习，坚决</w:t>
            </w:r>
            <w:r>
              <w:rPr>
                <w:rFonts w:ascii="宋体" w:hAnsi="宋体" w:cs="宋体" w:eastAsia="宋体" w:hint="default"/>
                <w:sz w:val="18"/>
                <w:szCs w:val="18"/>
              </w:rPr>
              <w:t> 杜绝此类事 件再次发生。</w:t>
            </w:r>
          </w:p>
        </w:tc>
      </w:tr>
      <w:tr>
        <w:trPr>
          <w:trHeight w:val="196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5"/>
              <w:ind w:left="26" w:right="191"/>
              <w:jc w:val="both"/>
              <w:rPr>
                <w:rFonts w:ascii="宋体" w:hAnsi="宋体" w:cs="宋体" w:eastAsia="宋体" w:hint="default"/>
                <w:sz w:val="18"/>
                <w:szCs w:val="18"/>
              </w:rPr>
            </w:pPr>
            <w:r>
              <w:rPr>
                <w:rFonts w:ascii="宋体" w:hAnsi="宋体" w:cs="宋体" w:eastAsia="宋体" w:hint="default"/>
                <w:sz w:val="18"/>
                <w:szCs w:val="18"/>
              </w:rPr>
              <w:t>关于保持上 市公司独立 性的承诺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23" w:right="10"/>
              <w:jc w:val="left"/>
              <w:rPr>
                <w:rFonts w:ascii="宋体" w:hAnsi="宋体" w:cs="宋体" w:eastAsia="宋体" w:hint="default"/>
                <w:sz w:val="18"/>
                <w:szCs w:val="18"/>
              </w:rPr>
            </w:pPr>
            <w:r>
              <w:rPr>
                <w:rFonts w:ascii="宋体" w:hAnsi="宋体" w:cs="宋体" w:eastAsia="宋体" w:hint="default"/>
                <w:sz w:val="18"/>
                <w:szCs w:val="18"/>
              </w:rPr>
              <w:t>关于保持上 市公司独立 性的承诺函： </w:t>
            </w:r>
            <w:r>
              <w:rPr>
                <w:rFonts w:ascii="Times New Roman" w:hAnsi="Times New Roman" w:cs="Times New Roman" w:eastAsia="Times New Roman" w:hint="default"/>
                <w:sz w:val="18"/>
                <w:szCs w:val="18"/>
              </w:rPr>
              <w:t>1</w:t>
            </w:r>
            <w:r>
              <w:rPr>
                <w:rFonts w:ascii="宋体" w:hAnsi="宋体" w:cs="宋体" w:eastAsia="宋体" w:hint="default"/>
                <w:sz w:val="18"/>
                <w:szCs w:val="18"/>
              </w:rPr>
              <w:t>、人员独立</w:t>
            </w:r>
          </w:p>
          <w:p>
            <w:pPr>
              <w:pStyle w:val="TableParagraph"/>
              <w:spacing w:line="300" w:lineRule="auto"/>
              <w:ind w:left="23" w:right="98"/>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）保证易 联众的总经</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理、副总经</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理、财务负责</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人、董事会秘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书等高级管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理人员在易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联众专职工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作，不在本人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企业中担任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除董事、监事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以外的其他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职务，且不在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其他企业中</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领薪</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）保</w:t>
            </w:r>
            <w:r>
              <w:rPr>
                <w:rFonts w:ascii="宋体" w:hAnsi="宋体" w:cs="宋体" w:eastAsia="宋体" w:hint="default"/>
                <w:sz w:val="18"/>
                <w:szCs w:val="18"/>
              </w:rPr>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证易联众的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财务人员独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立，不在本人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企业中兼职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或领取报酬。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联众拥有完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整独立的劳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动、人事及薪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酬管理体系，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该等体系和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间完全独立。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、资产独立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联众具有独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立完整的资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产，易联众的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资产全部处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于易联众的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控制之下，并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为易联众独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立拥有和运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营</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本人控制的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其他企业不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以任何方式</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326856"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5"/>
                    <w:rPr>
                      <w:rFonts w:ascii="Times New Roman" w:hAnsi="Times New Roman" w:cs="Times New Roman" w:eastAsia="Times New Roman" w:hint="default"/>
                      <w:sz w:val="24"/>
                      <w:szCs w:val="24"/>
                    </w:rPr>
                  </w:pPr>
                </w:p>
                <w:p>
                  <w:pPr>
                    <w:pStyle w:val="BodyText"/>
                    <w:spacing w:line="240" w:lineRule="auto"/>
                    <w:ind w:left="0" w:right="0"/>
                    <w:jc w:val="left"/>
                  </w:pPr>
                  <w:r>
                    <w:rPr/>
                    <w:t>、</w:t>
                  </w:r>
                </w:p>
                <w:p>
                  <w:pPr>
                    <w:pStyle w:val="BodyText"/>
                    <w:spacing w:line="240" w:lineRule="auto" w:before="76"/>
                    <w:ind w:left="0" w:right="0"/>
                    <w:jc w:val="lef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违法违规占</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用易联众的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资金、资产。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以易联众的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资产为本人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控制的其他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企业的债务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违规提供担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保。</w:t>
            </w:r>
            <w:r>
              <w:rPr>
                <w:rFonts w:ascii="Times New Roman" w:hAnsi="Times New Roman" w:cs="Times New Roman" w:eastAsia="Times New Roman" w:hint="default"/>
                <w:sz w:val="18"/>
                <w:szCs w:val="18"/>
              </w:rPr>
              <w:t>3</w:t>
            </w:r>
            <w:r>
              <w:rPr>
                <w:rFonts w:ascii="宋体" w:hAnsi="宋体" w:cs="宋体" w:eastAsia="宋体" w:hint="default"/>
                <w:sz w:val="18"/>
                <w:szCs w:val="18"/>
              </w:rPr>
              <w:t>、财务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74"/>
              <w:jc w:val="center"/>
              <w:rPr>
                <w:rFonts w:ascii="宋体" w:hAnsi="宋体" w:cs="宋体" w:eastAsia="宋体" w:hint="default"/>
                <w:sz w:val="18"/>
                <w:szCs w:val="18"/>
              </w:rPr>
            </w:pPr>
            <w:r>
              <w:rPr>
                <w:rFonts w:ascii="宋体" w:hAnsi="宋体" w:cs="宋体" w:eastAsia="宋体" w:hint="default"/>
                <w:sz w:val="18"/>
                <w:szCs w:val="18"/>
              </w:rPr>
              <w:t>独立（</w:t>
            </w:r>
            <w:r>
              <w:rPr>
                <w:rFonts w:ascii="Times New Roman" w:hAnsi="Times New Roman" w:cs="Times New Roman" w:eastAsia="Times New Roman" w:hint="default"/>
                <w:sz w:val="18"/>
                <w:szCs w:val="18"/>
              </w:rPr>
              <w:t>1</w:t>
            </w:r>
            <w:r>
              <w:rPr>
                <w:rFonts w:ascii="宋体" w:hAnsi="宋体" w:cs="宋体" w:eastAsia="宋体" w:hint="default"/>
                <w:sz w:val="18"/>
                <w:szCs w:val="18"/>
              </w:rPr>
              <w:t>）保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66"/>
              <w:jc w:val="center"/>
              <w:rPr>
                <w:rFonts w:ascii="宋体" w:hAnsi="宋体" w:cs="宋体" w:eastAsia="宋体" w:hint="default"/>
                <w:sz w:val="18"/>
                <w:szCs w:val="18"/>
              </w:rPr>
            </w:pPr>
            <w:r>
              <w:rPr>
                <w:rFonts w:ascii="宋体" w:hAnsi="宋体" w:cs="宋体" w:eastAsia="宋体" w:hint="default"/>
                <w:sz w:val="18"/>
                <w:szCs w:val="18"/>
              </w:rPr>
              <w:t>证易联众建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立独立的财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务部门和独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立的财务核</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算体系</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具有规范、独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立的财务会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计制度和对</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子公司的财</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务管理制度。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联众独立在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银行开户，不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共用银行账</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户</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易联众能够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作出独立的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财务决策，本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他企业不通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过违法违规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的方式干预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易联众的资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金使用、调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度</w:t>
            </w:r>
            <w:r>
              <w:rPr>
                <w:rFonts w:ascii="宋体" w:hAnsi="宋体" w:cs="宋体" w:eastAsia="宋体" w:hint="default"/>
                <w:spacing w:val="-96"/>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5"/>
                <w:sz w:val="18"/>
                <w:szCs w:val="18"/>
              </w:rPr>
              <w:t>）</w:t>
            </w:r>
            <w:r>
              <w:rPr>
                <w:rFonts w:ascii="宋体" w:hAnsi="宋体" w:cs="宋体" w:eastAsia="宋体" w:hint="default"/>
                <w:sz w:val="18"/>
                <w:szCs w:val="18"/>
              </w:rPr>
              <w:t>保证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易联众依法</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独立纳税。</w:t>
            </w:r>
            <w:r>
              <w:rPr>
                <w:rFonts w:ascii="Times New Roman" w:hAnsi="Times New Roman" w:cs="Times New Roman" w:eastAsia="Times New Roman" w:hint="default"/>
                <w:sz w:val="18"/>
                <w:szCs w:val="18"/>
              </w:rPr>
              <w:t>4</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机构独立（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依法建立健</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61.630005pt;margin-top:72.47998pt;width:61.8pt;height:686.55pt;mso-position-horizontal-relative:page;mso-position-vertical-relative:page;z-index:-132680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47"/>
                    <w:ind w:left="0" w:right="0"/>
                    <w:jc w:val="left"/>
                  </w:pPr>
                  <w:r>
                    <w:rPr/>
                    <w:t>、</w:t>
                  </w:r>
                </w:p>
                <w:p>
                  <w:pPr>
                    <w:pStyle w:val="BodyText"/>
                    <w:spacing w:line="240" w:lineRule="auto" w:before="76"/>
                    <w:ind w:left="0" w:right="0"/>
                    <w:jc w:val="left"/>
                  </w:pPr>
                  <w:r>
                    <w:rPr/>
                    <w:t>）</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全股份公司</w:t>
            </w:r>
          </w:p>
        </w:tc>
        <w:tc>
          <w:tcPr>
            <w:tcW w:w="1126" w:type="dxa"/>
            <w:vMerge w:val="restart"/>
            <w:tcBorders>
              <w:top w:val="single" w:sz="4" w:space="0" w:color="000000"/>
              <w:left w:val="single" w:sz="4" w:space="0" w:color="000000"/>
              <w:right w:val="single" w:sz="4" w:space="0" w:color="000000"/>
            </w:tcBorders>
          </w:tcPr>
          <w:p>
            <w:pPr>
              <w:pStyle w:val="TableParagraph"/>
              <w:spacing w:line="13730"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74"/>
                <w:sz w:val="20"/>
                <w:szCs w:val="20"/>
              </w:rPr>
              <w:pict>
                <v:group style="width:55.8pt;height:686.55pt;mso-position-horizontal-relative:char;mso-position-vertical-relative:line" coordorigin="0,0" coordsize="1116,13731">
                  <v:group style="position:absolute;left:0;top:0;width:1116;height:13731" coordorigin="0,0" coordsize="1116,13731">
                    <v:shape style="position:absolute;left:0;top:0;width:1116;height:13731" coordorigin="0,0" coordsize="1116,13731" path="m0,13730l1116,13730,1116,0,0,0,0,13730xe" filled="true" fillcolor="#ffffff" stroked="false">
                      <v:path arrowok="t"/>
                      <v:fill type="solid"/>
                    </v:shape>
                  </v:group>
                </v:group>
              </w:pict>
            </w:r>
            <w:r>
              <w:rPr>
                <w:rFonts w:ascii="Times New Roman" w:hAnsi="Times New Roman" w:cs="Times New Roman" w:eastAsia="Times New Roman" w:hint="default"/>
                <w:position w:val="-274"/>
                <w:sz w:val="20"/>
                <w:szCs w:val="20"/>
              </w:rPr>
            </w: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法人治理结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构，拥有独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立、完整的组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织机构</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的股东大会、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董事会、独立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董事、监事</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会、高级管理</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人员等依照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法律、法规和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公司章程独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立行使职权。</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）保证易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联众拥有独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立、完整的组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织机构，与本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人控制的其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他企业间不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存在机构混</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同的情形。</w:t>
            </w:r>
            <w:r>
              <w:rPr>
                <w:rFonts w:ascii="Times New Roman" w:hAnsi="Times New Roman" w:cs="Times New Roman" w:eastAsia="Times New Roman" w:hint="default"/>
                <w:sz w:val="18"/>
                <w:szCs w:val="18"/>
              </w:rPr>
              <w:t>5</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85"/>
              <w:jc w:val="center"/>
              <w:rPr>
                <w:rFonts w:ascii="Times New Roman" w:hAnsi="Times New Roman" w:cs="Times New Roman" w:eastAsia="Times New Roman" w:hint="default"/>
                <w:sz w:val="18"/>
                <w:szCs w:val="18"/>
              </w:rPr>
            </w:pPr>
            <w:r>
              <w:rPr>
                <w:rFonts w:ascii="宋体" w:hAnsi="宋体" w:cs="宋体" w:eastAsia="宋体" w:hint="default"/>
                <w:sz w:val="18"/>
                <w:szCs w:val="18"/>
              </w:rPr>
              <w:t>业务独立（</w:t>
            </w:r>
            <w:r>
              <w:rPr>
                <w:rFonts w:ascii="Times New Roman" w:hAnsi="Times New Roman" w:cs="Times New Roman" w:eastAsia="Times New Roman" w:hint="default"/>
                <w:sz w:val="18"/>
                <w:szCs w:val="18"/>
              </w:rPr>
              <w:t>1</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拥有独立开</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展经营活动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的资产、人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员、资质和能</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力，具有面向</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市场独立自</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主持续经营</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的能力</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宋体" w:hAnsi="宋体" w:cs="宋体" w:eastAsia="宋体"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保证尽量减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少本人控制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的其他企业</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与易联众的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关联交易，无</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法避免或有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合理原因的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关联交易则</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按照</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公开</w:t>
            </w:r>
            <w:r>
              <w:rPr>
                <w:rFonts w:ascii="宋体" w:hAnsi="宋体" w:cs="宋体" w:eastAsia="宋体" w:hint="default"/>
                <w:spacing w:val="-89"/>
                <w:sz w:val="18"/>
                <w:szCs w:val="18"/>
              </w:rPr>
              <w:t>、</w:t>
            </w:r>
            <w:r>
              <w:rPr>
                <w:rFonts w:ascii="宋体" w:hAnsi="宋体" w:cs="宋体" w:eastAsia="宋体" w:hint="default"/>
                <w:sz w:val="18"/>
                <w:szCs w:val="18"/>
              </w:rPr>
              <w:t>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 w:right="0"/>
              <w:jc w:val="center"/>
              <w:rPr>
                <w:rFonts w:ascii="宋体" w:hAnsi="宋体" w:cs="宋体" w:eastAsia="宋体" w:hint="default"/>
                <w:sz w:val="18"/>
                <w:szCs w:val="18"/>
              </w:rPr>
            </w:pPr>
            <w:r>
              <w:rPr>
                <w:rFonts w:ascii="宋体" w:hAnsi="宋体" w:cs="宋体" w:eastAsia="宋体" w:hint="default"/>
                <w:sz w:val="18"/>
                <w:szCs w:val="18"/>
              </w:rPr>
              <w:t>平</w:t>
            </w:r>
            <w:r>
              <w:rPr>
                <w:rFonts w:ascii="宋体" w:hAnsi="宋体" w:cs="宋体" w:eastAsia="宋体" w:hint="default"/>
                <w:spacing w:val="-89"/>
                <w:sz w:val="18"/>
                <w:szCs w:val="18"/>
              </w:rPr>
              <w:t>、</w:t>
            </w:r>
            <w:r>
              <w:rPr>
                <w:rFonts w:ascii="宋体" w:hAnsi="宋体" w:cs="宋体" w:eastAsia="宋体" w:hint="default"/>
                <w:sz w:val="18"/>
                <w:szCs w:val="18"/>
              </w:rPr>
              <w:t>公正</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的原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1" w:right="0"/>
              <w:jc w:val="center"/>
              <w:rPr>
                <w:rFonts w:ascii="宋体" w:hAnsi="宋体" w:cs="宋体" w:eastAsia="宋体" w:hint="default"/>
                <w:sz w:val="18"/>
                <w:szCs w:val="18"/>
              </w:rPr>
            </w:pPr>
            <w:r>
              <w:rPr>
                <w:rFonts w:ascii="宋体" w:hAnsi="宋体" w:cs="宋体" w:eastAsia="宋体" w:hint="default"/>
                <w:sz w:val="18"/>
                <w:szCs w:val="18"/>
              </w:rPr>
              <w:t>则依法进行。</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74"/>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、保证易联</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48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众在其他方 面与本人控 制的其他企 业保持独立。 如违反上述 承诺，并因此 给易联众造 成经济损失， 本人将向易 联众进行赔 偿。</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0036"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首次公开发行或再融资时所作承诺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关于避免同 业竞争的承 诺</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、本人将</w:t>
            </w:r>
            <w:r>
              <w:rPr>
                <w:rFonts w:ascii="宋体" w:hAnsi="宋体" w:cs="宋体" w:eastAsia="宋体" w:hint="default"/>
                <w:sz w:val="18"/>
                <w:szCs w:val="18"/>
              </w:rPr>
              <w:t> 不从事与易 联众相同或 者相近的业 务，以避免对 易联众的生 产经营构成 直接或间接 的竞争；保证 将努力促使 本人的其他 控股企业不 直接或间接 从事、参与或 进行与易联 众的生产、经 营相竞争的 任何经营活 动。</w:t>
            </w:r>
            <w:r>
              <w:rPr>
                <w:rFonts w:ascii="宋体" w:hAnsi="宋体" w:cs="宋体" w:eastAsia="宋体" w:hint="default"/>
                <w:spacing w:val="-8"/>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、如本 人及除易联 众以外本人 的其他控股 企业与易联 众之间存在 有竞争性同 类业务，由此 在市场份额、 商业机会及 资源配置等 方面可能对</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8"/>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6603"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易联众带来 不公平的影 </w:t>
            </w:r>
            <w:r>
              <w:rPr>
                <w:rFonts w:ascii="宋体" w:hAnsi="宋体" w:cs="宋体" w:eastAsia="宋体" w:hint="default"/>
                <w:spacing w:val="-2"/>
                <w:sz w:val="18"/>
                <w:szCs w:val="18"/>
              </w:rPr>
              <w:t>响时，本人及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其除易联众 以外本人的 其他控股企 业自愿放弃 与易联众的 业务竞争。 自本承诺出 </w:t>
            </w:r>
            <w:r>
              <w:rPr>
                <w:rFonts w:ascii="宋体" w:hAnsi="宋体" w:cs="宋体" w:eastAsia="宋体" w:hint="default"/>
                <w:spacing w:val="-2"/>
                <w:sz w:val="18"/>
                <w:szCs w:val="18"/>
              </w:rPr>
              <w:t>具之日起，本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人承诺，赔偿</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易联众因本 人违反本承 诺任何条款 而遭受或产 生的任何损 </w:t>
            </w:r>
            <w:r>
              <w:rPr>
                <w:rFonts w:ascii="宋体" w:hAnsi="宋体" w:cs="宋体" w:eastAsia="宋体" w:hint="default"/>
                <w:spacing w:val="-2"/>
                <w:sz w:val="18"/>
                <w:szCs w:val="18"/>
              </w:rPr>
              <w:t>失或开支。本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承诺自出具 之日起不可 撤销。</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7228"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 联众存在竞 争关系的任 何经济实体、 机构、经济组 织的权益；或 以其他任何 形式取得该 经济实体、机 构、经济组织 的控制权；本 人如有出售 与易联众生 产、经营相关 的任何资产、</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3"/>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7540"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0"/>
              <w:jc w:val="left"/>
              <w:rPr>
                <w:rFonts w:ascii="宋体" w:hAnsi="宋体" w:cs="宋体" w:eastAsia="宋体" w:hint="default"/>
                <w:sz w:val="18"/>
                <w:szCs w:val="18"/>
              </w:rPr>
            </w:pPr>
            <w:r>
              <w:rPr>
                <w:rFonts w:ascii="宋体" w:hAnsi="宋体" w:cs="宋体" w:eastAsia="宋体" w:hint="default"/>
                <w:sz w:val="18"/>
                <w:szCs w:val="18"/>
              </w:rPr>
              <w:t>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众副总经理 前，本承诺为 有效之承诺。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291"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7"/>
              <w:jc w:val="both"/>
              <w:rPr>
                <w:rFonts w:ascii="宋体" w:hAnsi="宋体" w:cs="宋体" w:eastAsia="宋体" w:hint="default"/>
                <w:sz w:val="18"/>
                <w:szCs w:val="18"/>
              </w:rPr>
            </w:pPr>
            <w:r>
              <w:rPr>
                <w:rFonts w:ascii="宋体" w:hAnsi="宋体" w:cs="宋体" w:eastAsia="宋体" w:hint="default"/>
                <w:spacing w:val="-3"/>
                <w:sz w:val="18"/>
                <w:szCs w:val="18"/>
              </w:rPr>
              <w:t>陈江生；郭骁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昌；何军；江</w:t>
            </w:r>
            <w:r>
              <w:rPr>
                <w:rFonts w:ascii="宋体" w:hAnsi="宋体" w:cs="宋体" w:eastAsia="宋体" w:hint="default"/>
                <w:sz w:val="18"/>
                <w:szCs w:val="18"/>
              </w:rPr>
              <w:t> 敦忠；毛峰； </w:t>
            </w:r>
            <w:r>
              <w:rPr>
                <w:rFonts w:ascii="宋体" w:hAnsi="宋体" w:cs="宋体" w:eastAsia="宋体" w:hint="default"/>
                <w:spacing w:val="-3"/>
                <w:sz w:val="18"/>
                <w:szCs w:val="18"/>
              </w:rPr>
              <w:t>施建安；吴天</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恩；游海涛</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316" w:lineRule="auto"/>
              <w:ind w:left="26" w:right="191"/>
              <w:jc w:val="both"/>
              <w:rPr>
                <w:rFonts w:ascii="宋体" w:hAnsi="宋体" w:cs="宋体" w:eastAsia="宋体" w:hint="default"/>
                <w:sz w:val="18"/>
                <w:szCs w:val="18"/>
              </w:rPr>
            </w:pPr>
            <w:r>
              <w:rPr>
                <w:rFonts w:ascii="宋体" w:hAnsi="宋体" w:cs="宋体" w:eastAsia="宋体" w:hint="default"/>
                <w:sz w:val="18"/>
                <w:szCs w:val="18"/>
              </w:rPr>
              <w:t>关于同业竞 争方面的承 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本人将不在 中国境内外 直接或间接 从事或参与 任何在商业 上对易联众 构成竞争的 业务及活动 或拥有与易 联众存在竞 争关系的任 何经济实体、 机构、经济组 织的权益；或 以其他任何 形式取得该 经济实体、机 构、经济组织 的控制权；本 人如有出售</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0"/>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p>
            <w:pPr>
              <w:pStyle w:val="TableParagraph"/>
              <w:spacing w:line="316" w:lineRule="auto" w:before="20"/>
              <w:ind w:left="23" w:right="22"/>
              <w:jc w:val="left"/>
              <w:rPr>
                <w:rFonts w:ascii="宋体" w:hAnsi="宋体" w:cs="宋体" w:eastAsia="宋体" w:hint="default"/>
                <w:sz w:val="18"/>
                <w:szCs w:val="18"/>
              </w:rPr>
            </w:pPr>
            <w:r>
              <w:rPr>
                <w:rFonts w:ascii="宋体" w:hAnsi="宋体" w:cs="宋体" w:eastAsia="宋体" w:hint="default"/>
                <w:sz w:val="18"/>
                <w:szCs w:val="18"/>
              </w:rPr>
              <w:t>（随着公司 </w:t>
            </w:r>
            <w:r>
              <w:rPr>
                <w:rFonts w:ascii="宋体" w:hAnsi="宋体" w:cs="宋体" w:eastAsia="宋体" w:hint="default"/>
                <w:spacing w:val="-5"/>
                <w:sz w:val="18"/>
                <w:szCs w:val="18"/>
              </w:rPr>
              <w:t>的发展，部分</w:t>
            </w:r>
            <w:r>
              <w:rPr>
                <w:rFonts w:ascii="宋体" w:hAnsi="宋体" w:cs="宋体" w:eastAsia="宋体" w:hint="default"/>
                <w:sz w:val="18"/>
                <w:szCs w:val="18"/>
              </w:rPr>
              <w:t> 人员的工作 岗位发生了 </w:t>
            </w:r>
            <w:r>
              <w:rPr>
                <w:rFonts w:ascii="宋体" w:hAnsi="宋体" w:cs="宋体" w:eastAsia="宋体" w:hint="default"/>
                <w:spacing w:val="-5"/>
                <w:sz w:val="18"/>
                <w:szCs w:val="18"/>
              </w:rPr>
              <w:t>变动，上述承</w:t>
            </w:r>
            <w:r>
              <w:rPr>
                <w:rFonts w:ascii="宋体" w:hAnsi="宋体" w:cs="宋体" w:eastAsia="宋体" w:hint="default"/>
                <w:sz w:val="18"/>
                <w:szCs w:val="18"/>
              </w:rPr>
              <w:t> 诺人均继续 履行关于同 业竞争方面 </w:t>
            </w:r>
            <w:r>
              <w:rPr>
                <w:rFonts w:ascii="宋体" w:hAnsi="宋体" w:cs="宋体" w:eastAsia="宋体" w:hint="default"/>
                <w:spacing w:val="-19"/>
                <w:sz w:val="18"/>
                <w:szCs w:val="18"/>
              </w:rPr>
              <w:t>的承诺。）</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31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vMerge w:val="restart"/>
            <w:tcBorders>
              <w:top w:val="single" w:sz="4" w:space="0" w:color="000000"/>
              <w:left w:val="single" w:sz="4" w:space="0" w:color="000000"/>
              <w:right w:val="single" w:sz="4" w:space="0" w:color="000000"/>
            </w:tcBorders>
          </w:tcPr>
          <w:p>
            <w:pPr/>
          </w:p>
        </w:tc>
        <w:tc>
          <w:tcPr>
            <w:tcW w:w="1128" w:type="dxa"/>
            <w:vMerge w:val="restart"/>
            <w:tcBorders>
              <w:top w:val="single" w:sz="4" w:space="0" w:color="000000"/>
              <w:left w:val="single" w:sz="4" w:space="0" w:color="000000"/>
              <w:right w:val="single" w:sz="4" w:space="0" w:color="000000"/>
            </w:tcBorders>
          </w:tcPr>
          <w:p>
            <w:pPr/>
          </w:p>
        </w:tc>
        <w:tc>
          <w:tcPr>
            <w:tcW w:w="112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166"/>
              <w:jc w:val="center"/>
              <w:rPr>
                <w:rFonts w:ascii="宋体" w:hAnsi="宋体" w:cs="宋体" w:eastAsia="宋体" w:hint="default"/>
                <w:sz w:val="18"/>
                <w:szCs w:val="18"/>
              </w:rPr>
            </w:pPr>
            <w:r>
              <w:rPr>
                <w:rFonts w:ascii="宋体" w:hAnsi="宋体" w:cs="宋体" w:eastAsia="宋体" w:hint="default"/>
                <w:sz w:val="18"/>
                <w:szCs w:val="18"/>
              </w:rPr>
              <w:t>与易联众生</w:t>
            </w:r>
          </w:p>
        </w:tc>
        <w:tc>
          <w:tcPr>
            <w:tcW w:w="1126" w:type="dxa"/>
            <w:vMerge w:val="restart"/>
            <w:tcBorders>
              <w:top w:val="single" w:sz="4" w:space="0" w:color="000000"/>
              <w:left w:val="single" w:sz="4" w:space="0" w:color="000000"/>
              <w:right w:val="single" w:sz="4" w:space="0" w:color="000000"/>
            </w:tcBorders>
          </w:tcPr>
          <w:p>
            <w:pPr/>
          </w:p>
        </w:tc>
        <w:tc>
          <w:tcPr>
            <w:tcW w:w="1121" w:type="dxa"/>
            <w:vMerge w:val="restart"/>
            <w:tcBorders>
              <w:top w:val="single" w:sz="4" w:space="0" w:color="000000"/>
              <w:left w:val="single" w:sz="4" w:space="0" w:color="000000"/>
              <w:right w:val="single" w:sz="4" w:space="0" w:color="000000"/>
            </w:tcBorders>
          </w:tcPr>
          <w:p>
            <w:pPr/>
          </w:p>
        </w:tc>
        <w:tc>
          <w:tcPr>
            <w:tcW w:w="1106" w:type="dxa"/>
            <w:vMerge w:val="restart"/>
            <w:tcBorders>
              <w:top w:val="single" w:sz="4" w:space="0" w:color="000000"/>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产、经营相关</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的任何资产、</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1" w:right="0"/>
              <w:jc w:val="center"/>
              <w:rPr>
                <w:rFonts w:ascii="宋体" w:hAnsi="宋体" w:cs="宋体" w:eastAsia="宋体" w:hint="default"/>
                <w:sz w:val="18"/>
                <w:szCs w:val="18"/>
              </w:rPr>
            </w:pPr>
            <w:r>
              <w:rPr>
                <w:rFonts w:ascii="宋体" w:hAnsi="宋体" w:cs="宋体" w:eastAsia="宋体" w:hint="default"/>
                <w:sz w:val="18"/>
                <w:szCs w:val="18"/>
              </w:rPr>
              <w:t>业务或权益，</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易联众均享</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有优先购买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权；且本人保</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证在出售或</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转让有关资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产或业务时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给予易联众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的条件不高</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于本人或本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人控制的企</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业向任何其</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他第三人提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供的条件；本</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人愿意承担</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因违反上述</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承诺而给易</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联众造成的</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全部经济损</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 w:right="0"/>
              <w:jc w:val="center"/>
              <w:rPr>
                <w:rFonts w:ascii="宋体" w:hAnsi="宋体" w:cs="宋体" w:eastAsia="宋体" w:hint="default"/>
                <w:sz w:val="18"/>
                <w:szCs w:val="18"/>
              </w:rPr>
            </w:pPr>
            <w:r>
              <w:rPr>
                <w:rFonts w:ascii="宋体" w:hAnsi="宋体" w:cs="宋体" w:eastAsia="宋体" w:hint="default"/>
                <w:sz w:val="18"/>
                <w:szCs w:val="18"/>
              </w:rPr>
              <w:t>失。本人在不</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再担任易联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众产品市场</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发展部总经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山西易联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众信息技术</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有限公司总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社保事业部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常务副总经</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易联众研</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发管理部总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社保事业部</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徽易联众信</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息技术有限</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7"/>
              <w:jc w:val="center"/>
              <w:rPr>
                <w:rFonts w:ascii="Times New Roman" w:hAnsi="Times New Roman" w:cs="Times New Roman" w:eastAsia="Times New Roman" w:hint="default"/>
                <w:sz w:val="18"/>
                <w:szCs w:val="18"/>
              </w:rPr>
            </w:pPr>
            <w:r>
              <w:rPr>
                <w:rFonts w:ascii="宋体" w:hAnsi="宋体" w:cs="宋体" w:eastAsia="宋体" w:hint="default"/>
                <w:sz w:val="18"/>
                <w:szCs w:val="18"/>
              </w:rPr>
              <w:t>公司总经理</w:t>
            </w:r>
            <w:r>
              <w:rPr>
                <w:rFonts w:ascii="Times New Roman" w:hAnsi="Times New Roman" w:cs="Times New Roman" w:eastAsia="Times New Roman" w:hint="default"/>
                <w:sz w:val="18"/>
                <w:szCs w:val="18"/>
              </w:rPr>
              <w:t>/</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07"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66"/>
              <w:jc w:val="center"/>
              <w:rPr>
                <w:rFonts w:ascii="宋体" w:hAnsi="宋体" w:cs="宋体" w:eastAsia="宋体" w:hint="default"/>
                <w:sz w:val="18"/>
                <w:szCs w:val="18"/>
              </w:rPr>
            </w:pPr>
            <w:r>
              <w:rPr>
                <w:rFonts w:ascii="宋体" w:hAnsi="宋体" w:cs="宋体" w:eastAsia="宋体" w:hint="default"/>
                <w:sz w:val="18"/>
                <w:szCs w:val="18"/>
              </w:rPr>
              <w:t>安徽易联众</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信息技术有</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2" w:hRule="exact"/>
        </w:trPr>
        <w:tc>
          <w:tcPr>
            <w:tcW w:w="2837" w:type="dxa"/>
            <w:vMerge/>
            <w:tcBorders>
              <w:left w:val="single" w:sz="4" w:space="0" w:color="000000"/>
              <w:right w:val="single" w:sz="4" w:space="0" w:color="000000"/>
            </w:tcBorders>
            <w:shd w:val="clear" w:color="auto" w:fill="D2D2D2"/>
          </w:tcPr>
          <w:p>
            <w:pPr/>
          </w:p>
        </w:tc>
        <w:tc>
          <w:tcPr>
            <w:tcW w:w="1123" w:type="dxa"/>
            <w:vMerge/>
            <w:tcBorders>
              <w:left w:val="single" w:sz="4" w:space="0" w:color="000000"/>
              <w:right w:val="single" w:sz="4" w:space="0" w:color="000000"/>
            </w:tcBorders>
          </w:tcPr>
          <w:p>
            <w:pPr/>
          </w:p>
        </w:tc>
        <w:tc>
          <w:tcPr>
            <w:tcW w:w="1128" w:type="dxa"/>
            <w:vMerge/>
            <w:tcBorders>
              <w:left w:val="single" w:sz="4" w:space="0" w:color="000000"/>
              <w:right w:val="single" w:sz="4" w:space="0" w:color="000000"/>
            </w:tcBorders>
          </w:tcPr>
          <w:p>
            <w:pPr/>
          </w:p>
        </w:tc>
        <w:tc>
          <w:tcPr>
            <w:tcW w:w="112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66"/>
              <w:jc w:val="center"/>
              <w:rPr>
                <w:rFonts w:ascii="宋体" w:hAnsi="宋体" w:cs="宋体" w:eastAsia="宋体" w:hint="default"/>
                <w:sz w:val="18"/>
                <w:szCs w:val="18"/>
              </w:rPr>
            </w:pPr>
            <w:r>
              <w:rPr>
                <w:rFonts w:ascii="宋体" w:hAnsi="宋体" w:cs="宋体" w:eastAsia="宋体" w:hint="default"/>
                <w:sz w:val="18"/>
                <w:szCs w:val="18"/>
              </w:rPr>
              <w:t>限公司副总</w:t>
            </w:r>
          </w:p>
        </w:tc>
        <w:tc>
          <w:tcPr>
            <w:tcW w:w="1126" w:type="dxa"/>
            <w:vMerge/>
            <w:tcBorders>
              <w:left w:val="single" w:sz="4" w:space="0" w:color="000000"/>
              <w:right w:val="single" w:sz="4" w:space="0" w:color="000000"/>
            </w:tcBorders>
          </w:tcPr>
          <w:p>
            <w:pPr/>
          </w:p>
        </w:tc>
        <w:tc>
          <w:tcPr>
            <w:tcW w:w="1121" w:type="dxa"/>
            <w:vMerge/>
            <w:tcBorders>
              <w:left w:val="single" w:sz="4" w:space="0" w:color="000000"/>
              <w:right w:val="single" w:sz="4" w:space="0" w:color="000000"/>
            </w:tcBorders>
          </w:tcPr>
          <w:p>
            <w:pPr/>
          </w:p>
        </w:tc>
        <w:tc>
          <w:tcPr>
            <w:tcW w:w="1106" w:type="dxa"/>
            <w:vMerge/>
            <w:tcBorders>
              <w:left w:val="single" w:sz="4" w:space="0" w:color="000000"/>
              <w:right w:val="single" w:sz="4" w:space="0" w:color="000000"/>
            </w:tcBorders>
          </w:tcPr>
          <w:p>
            <w:pPr/>
          </w:p>
        </w:tc>
      </w:tr>
      <w:tr>
        <w:trPr>
          <w:trHeight w:val="317"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vMerge/>
            <w:tcBorders>
              <w:left w:val="single" w:sz="4" w:space="0" w:color="000000"/>
              <w:bottom w:val="single" w:sz="4" w:space="0" w:color="000000"/>
              <w:right w:val="single" w:sz="4" w:space="0" w:color="000000"/>
            </w:tcBorders>
          </w:tcPr>
          <w:p>
            <w:pPr/>
          </w:p>
        </w:tc>
        <w:tc>
          <w:tcPr>
            <w:tcW w:w="1128" w:type="dxa"/>
            <w:vMerge/>
            <w:tcBorders>
              <w:left w:val="single" w:sz="4" w:space="0" w:color="000000"/>
              <w:bottom w:val="single" w:sz="4" w:space="0" w:color="000000"/>
              <w:right w:val="single" w:sz="4" w:space="0" w:color="000000"/>
            </w:tcBorders>
          </w:tcPr>
          <w:p>
            <w:pPr/>
          </w:p>
        </w:tc>
        <w:tc>
          <w:tcPr>
            <w:tcW w:w="112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经理</w:t>
            </w:r>
            <w:r>
              <w:rPr>
                <w:rFonts w:ascii="Times New Roman" w:hAnsi="Times New Roman" w:cs="Times New Roman" w:eastAsia="Times New Roman" w:hint="default"/>
                <w:sz w:val="18"/>
                <w:szCs w:val="18"/>
              </w:rPr>
              <w:t>/</w:t>
            </w:r>
            <w:r>
              <w:rPr>
                <w:rFonts w:ascii="宋体" w:hAnsi="宋体" w:cs="宋体" w:eastAsia="宋体" w:hint="default"/>
                <w:sz w:val="18"/>
                <w:szCs w:val="18"/>
              </w:rPr>
              <w:t>山西易</w:t>
            </w:r>
          </w:p>
        </w:tc>
        <w:tc>
          <w:tcPr>
            <w:tcW w:w="1126" w:type="dxa"/>
            <w:vMerge/>
            <w:tcBorders>
              <w:left w:val="single" w:sz="4" w:space="0" w:color="000000"/>
              <w:bottom w:val="single" w:sz="4" w:space="0" w:color="000000"/>
              <w:right w:val="single" w:sz="4" w:space="0" w:color="000000"/>
            </w:tcBorders>
          </w:tcPr>
          <w:p>
            <w:pPr/>
          </w:p>
        </w:tc>
        <w:tc>
          <w:tcPr>
            <w:tcW w:w="1121" w:type="dxa"/>
            <w:vMerge/>
            <w:tcBorders>
              <w:left w:val="single" w:sz="4" w:space="0" w:color="000000"/>
              <w:bottom w:val="single" w:sz="4" w:space="0" w:color="000000"/>
              <w:right w:val="single" w:sz="4" w:space="0" w:color="000000"/>
            </w:tcBorders>
          </w:tcPr>
          <w:p>
            <w:pPr/>
          </w:p>
        </w:tc>
        <w:tc>
          <w:tcPr>
            <w:tcW w:w="1106"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9"/>
      </w:tblGrid>
      <w:tr>
        <w:trPr>
          <w:trHeight w:val="2547" w:hRule="exact"/>
        </w:trPr>
        <w:tc>
          <w:tcPr>
            <w:tcW w:w="2837" w:type="dxa"/>
            <w:vMerge w:val="restart"/>
            <w:tcBorders>
              <w:top w:val="single" w:sz="4" w:space="0" w:color="000000"/>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1"/>
              <w:ind w:left="23" w:right="19"/>
              <w:jc w:val="left"/>
              <w:rPr>
                <w:rFonts w:ascii="宋体" w:hAnsi="宋体" w:cs="宋体" w:eastAsia="宋体" w:hint="default"/>
                <w:sz w:val="18"/>
                <w:szCs w:val="18"/>
              </w:rPr>
            </w:pPr>
            <w:r>
              <w:rPr>
                <w:rFonts w:ascii="宋体" w:hAnsi="宋体" w:cs="宋体" w:eastAsia="宋体" w:hint="default"/>
                <w:sz w:val="18"/>
                <w:szCs w:val="18"/>
              </w:rPr>
              <w:t>联众信息技 术有限公司 副总经理</w:t>
            </w:r>
            <w:r>
              <w:rPr>
                <w:rFonts w:ascii="Times New Roman" w:hAnsi="Times New Roman" w:cs="Times New Roman" w:eastAsia="Times New Roman" w:hint="default"/>
                <w:sz w:val="18"/>
                <w:szCs w:val="18"/>
              </w:rPr>
              <w:t>/</w:t>
            </w:r>
            <w:r>
              <w:rPr>
                <w:rFonts w:ascii="宋体" w:hAnsi="宋体" w:cs="宋体" w:eastAsia="宋体" w:hint="default"/>
                <w:sz w:val="18"/>
                <w:szCs w:val="18"/>
              </w:rPr>
              <w:t>易 联众研发管 理部副总经 </w:t>
            </w:r>
            <w:r>
              <w:rPr>
                <w:rFonts w:ascii="宋体" w:hAnsi="宋体" w:cs="宋体" w:eastAsia="宋体" w:hint="default"/>
                <w:spacing w:val="-2"/>
                <w:sz w:val="18"/>
                <w:szCs w:val="18"/>
              </w:rPr>
              <w:t>理前，本承诺</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为有效之承 诺。</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9" w:type="dxa"/>
            <w:tcBorders>
              <w:top w:val="single" w:sz="4" w:space="0" w:color="000000"/>
              <w:left w:val="single" w:sz="4" w:space="0" w:color="000000"/>
              <w:bottom w:val="single" w:sz="4" w:space="0" w:color="000000"/>
              <w:right w:val="single" w:sz="4" w:space="0" w:color="000000"/>
            </w:tcBorders>
          </w:tcPr>
          <w:p>
            <w:pPr/>
          </w:p>
        </w:tc>
      </w:tr>
      <w:tr>
        <w:trPr>
          <w:trHeight w:val="6954" w:hRule="exact"/>
        </w:trPr>
        <w:tc>
          <w:tcPr>
            <w:tcW w:w="2837" w:type="dxa"/>
            <w:vMerge/>
            <w:tcBorders>
              <w:left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7"/>
              <w:jc w:val="left"/>
              <w:rPr>
                <w:rFonts w:ascii="宋体" w:hAnsi="宋体" w:cs="宋体" w:eastAsia="宋体" w:hint="default"/>
                <w:sz w:val="18"/>
                <w:szCs w:val="18"/>
              </w:rPr>
            </w:pPr>
            <w:r>
              <w:rPr>
                <w:rFonts w:ascii="宋体" w:hAnsi="宋体" w:cs="宋体" w:eastAsia="宋体" w:hint="default"/>
                <w:sz w:val="18"/>
                <w:szCs w:val="18"/>
              </w:rPr>
              <w:t>柴世峰；陈 键；陈智勇； </w:t>
            </w:r>
            <w:r>
              <w:rPr>
                <w:rFonts w:ascii="宋体" w:hAnsi="宋体" w:cs="宋体" w:eastAsia="宋体" w:hint="default"/>
                <w:spacing w:val="-3"/>
                <w:sz w:val="18"/>
                <w:szCs w:val="18"/>
              </w:rPr>
              <w:t>程凌芳；丁德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明；丁志刚； </w:t>
            </w:r>
            <w:r>
              <w:rPr>
                <w:rFonts w:ascii="宋体" w:hAnsi="宋体" w:cs="宋体" w:eastAsia="宋体" w:hint="default"/>
                <w:spacing w:val="-3"/>
                <w:sz w:val="18"/>
                <w:szCs w:val="18"/>
              </w:rPr>
              <w:t>郜恩光；郭骁</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昌；黄邦杰； 黄剑铭；林 强；毛峰；沈</w:t>
            </w:r>
            <w:r>
              <w:rPr>
                <w:rFonts w:ascii="宋体" w:hAnsi="宋体" w:cs="宋体" w:eastAsia="宋体" w:hint="default"/>
                <w:sz w:val="18"/>
                <w:szCs w:val="18"/>
              </w:rPr>
              <w:t> 晋安；吴天 恩；姚建彬； </w:t>
            </w:r>
            <w:r>
              <w:rPr>
                <w:rFonts w:ascii="宋体" w:hAnsi="宋体" w:cs="宋体" w:eastAsia="宋体" w:hint="default"/>
                <w:spacing w:val="-3"/>
                <w:sz w:val="18"/>
                <w:szCs w:val="18"/>
              </w:rPr>
              <w:t>尹拴亮；张和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平</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若本公司因 自成立之日 起至在深交 所上市之日 止为员工缴 纳的各项社 保及住房公 积金不符合 规定而承担 任何罚款或 损失，本人及 其他股东均 承诺承担相 关连带责任， 共同为本公 司补缴各项 社会保险及 住房公积金、 承担任何罚 款等一切可 能给本公司 造成的损失。</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r>
        <w:trPr>
          <w:trHeight w:val="4419" w:hRule="exact"/>
        </w:trPr>
        <w:tc>
          <w:tcPr>
            <w:tcW w:w="2837" w:type="dxa"/>
            <w:vMerge/>
            <w:tcBorders>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
              <w:jc w:val="left"/>
              <w:rPr>
                <w:rFonts w:ascii="宋体" w:hAnsi="宋体" w:cs="宋体" w:eastAsia="宋体" w:hint="default"/>
                <w:sz w:val="18"/>
                <w:szCs w:val="18"/>
              </w:rPr>
            </w:pPr>
            <w:r>
              <w:rPr>
                <w:rFonts w:ascii="宋体" w:hAnsi="宋体" w:cs="宋体" w:eastAsia="宋体" w:hint="default"/>
                <w:spacing w:val="-3"/>
                <w:sz w:val="18"/>
                <w:szCs w:val="18"/>
              </w:rPr>
              <w:t>陈海燕；陈江</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生；陈立志； </w:t>
            </w:r>
            <w:r>
              <w:rPr>
                <w:rFonts w:ascii="宋体" w:hAnsi="宋体" w:cs="宋体" w:eastAsia="宋体" w:hint="default"/>
                <w:spacing w:val="-3"/>
                <w:sz w:val="18"/>
                <w:szCs w:val="18"/>
              </w:rPr>
              <w:t>陈益刚；迟海</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宁；高亚进； </w:t>
            </w:r>
            <w:r>
              <w:rPr>
                <w:rFonts w:ascii="宋体" w:hAnsi="宋体" w:cs="宋体" w:eastAsia="宋体" w:hint="default"/>
                <w:spacing w:val="-3"/>
                <w:sz w:val="18"/>
                <w:szCs w:val="18"/>
              </w:rPr>
              <w:t>古培坚；郝纪</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清；何军；黄</w:t>
            </w:r>
            <w:r>
              <w:rPr>
                <w:rFonts w:ascii="宋体" w:hAnsi="宋体" w:cs="宋体" w:eastAsia="宋体" w:hint="default"/>
                <w:sz w:val="18"/>
                <w:szCs w:val="18"/>
              </w:rPr>
              <w:t> 文灿；黄晓 晖；黄勇华； 江敦忠；雷 彪；黎宗辉； </w:t>
            </w:r>
            <w:r>
              <w:rPr>
                <w:rFonts w:ascii="宋体" w:hAnsi="宋体" w:cs="宋体" w:eastAsia="宋体" w:hint="default"/>
                <w:spacing w:val="-3"/>
                <w:sz w:val="18"/>
                <w:szCs w:val="18"/>
              </w:rPr>
              <w:t>李其铿；刘晓</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东；卢苗；罗</w:t>
            </w:r>
            <w:r>
              <w:rPr>
                <w:rFonts w:ascii="宋体" w:hAnsi="宋体" w:cs="宋体" w:eastAsia="宋体" w:hint="default"/>
                <w:sz w:val="18"/>
                <w:szCs w:val="18"/>
              </w:rPr>
              <w:t> 建森；牛平； 饶俊伟；邵</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
              <w:jc w:val="left"/>
              <w:rPr>
                <w:rFonts w:ascii="宋体" w:hAnsi="宋体" w:cs="宋体" w:eastAsia="宋体" w:hint="default"/>
                <w:sz w:val="18"/>
                <w:szCs w:val="18"/>
              </w:rPr>
            </w:pPr>
            <w:r>
              <w:rPr>
                <w:rFonts w:ascii="宋体" w:hAnsi="宋体" w:cs="宋体" w:eastAsia="宋体" w:hint="default"/>
                <w:sz w:val="18"/>
                <w:szCs w:val="18"/>
              </w:rPr>
              <w:t>若本公司因 员工缴纳的 各项社保及 住房公积金 不符合规定 而承担任何 罚款或损失， 本人及其他 股东均承诺 承担相关连 带责任，共同 为本公司补 缴各项社会 保险及住房</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11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4" w:lineRule="auto" w:before="63"/>
              <w:ind w:left="23" w:right="-5"/>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承诺人严格 </w:t>
            </w:r>
            <w:r>
              <w:rPr>
                <w:rFonts w:ascii="宋体" w:hAnsi="宋体" w:cs="宋体" w:eastAsia="宋体" w:hint="default"/>
                <w:spacing w:val="-5"/>
                <w:sz w:val="18"/>
                <w:szCs w:val="18"/>
              </w:rPr>
              <w:t>信守承诺，未</w:t>
            </w:r>
            <w:r>
              <w:rPr>
                <w:rFonts w:ascii="宋体" w:hAnsi="宋体" w:cs="宋体" w:eastAsia="宋体" w:hint="default"/>
                <w:sz w:val="18"/>
                <w:szCs w:val="18"/>
              </w:rPr>
              <w:t> 出现违反该 承诺的情况。</w:t>
            </w:r>
          </w:p>
        </w:tc>
      </w:tr>
    </w:tbl>
    <w:p>
      <w:pPr>
        <w:spacing w:after="0" w:line="314"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837"/>
        <w:gridCol w:w="1123"/>
        <w:gridCol w:w="1128"/>
        <w:gridCol w:w="1126"/>
        <w:gridCol w:w="1126"/>
        <w:gridCol w:w="1121"/>
        <w:gridCol w:w="1106"/>
      </w:tblGrid>
      <w:tr>
        <w:trPr>
          <w:trHeight w:val="192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7"/>
              <w:jc w:val="left"/>
              <w:rPr>
                <w:rFonts w:ascii="宋体" w:hAnsi="宋体" w:cs="宋体" w:eastAsia="宋体" w:hint="default"/>
                <w:sz w:val="18"/>
                <w:szCs w:val="18"/>
              </w:rPr>
            </w:pPr>
            <w:r>
              <w:rPr>
                <w:rFonts w:ascii="宋体" w:hAnsi="宋体" w:cs="宋体" w:eastAsia="宋体" w:hint="default"/>
                <w:sz w:val="18"/>
                <w:szCs w:val="18"/>
              </w:rPr>
              <w:t>楠；施建安； </w:t>
            </w:r>
            <w:r>
              <w:rPr>
                <w:rFonts w:ascii="宋体" w:hAnsi="宋体" w:cs="宋体" w:eastAsia="宋体" w:hint="default"/>
                <w:spacing w:val="-3"/>
                <w:sz w:val="18"/>
                <w:szCs w:val="18"/>
              </w:rPr>
              <w:t>孙文松；吴文</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飞；许永锋； 杨靖；游海 涛；张学勤； 郑仁贵</w:t>
            </w:r>
          </w:p>
        </w:tc>
        <w:tc>
          <w:tcPr>
            <w:tcW w:w="1128" w:type="dxa"/>
            <w:tcBorders>
              <w:top w:val="single" w:sz="4" w:space="0" w:color="000000"/>
              <w:left w:val="single" w:sz="4" w:space="0" w:color="000000"/>
              <w:bottom w:val="single" w:sz="4" w:space="0" w:color="000000"/>
              <w:right w:val="single" w:sz="4" w:space="0" w:color="000000"/>
            </w:tcBorders>
          </w:tcPr>
          <w:p>
            <w:pP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3" w:right="19"/>
              <w:jc w:val="left"/>
              <w:rPr>
                <w:rFonts w:ascii="宋体" w:hAnsi="宋体" w:cs="宋体" w:eastAsia="宋体" w:hint="default"/>
                <w:sz w:val="18"/>
                <w:szCs w:val="18"/>
              </w:rPr>
            </w:pPr>
            <w:r>
              <w:rPr>
                <w:rFonts w:ascii="宋体" w:hAnsi="宋体" w:cs="宋体" w:eastAsia="宋体" w:hint="default"/>
                <w:spacing w:val="-2"/>
                <w:sz w:val="18"/>
                <w:szCs w:val="18"/>
              </w:rPr>
              <w:t>公积金、承担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任何罚款等 一切可能给 本公司造成 的损失。</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
        </w:tc>
        <w:tc>
          <w:tcPr>
            <w:tcW w:w="110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26" w:type="dxa"/>
            <w:tcBorders>
              <w:top w:val="single" w:sz="4" w:space="0" w:color="000000"/>
              <w:left w:val="single" w:sz="4" w:space="0" w:color="000000"/>
              <w:bottom w:val="single" w:sz="4" w:space="0" w:color="000000"/>
              <w:right w:val="single" w:sz="4" w:space="0" w:color="000000"/>
            </w:tcBorders>
          </w:tcPr>
          <w:p>
            <w:pPr/>
          </w:p>
        </w:tc>
        <w:tc>
          <w:tcPr>
            <w:tcW w:w="1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028" w:hRule="exact"/>
        </w:trPr>
        <w:tc>
          <w:tcPr>
            <w:tcW w:w="2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02"/>
              <w:jc w:val="both"/>
              <w:rPr>
                <w:rFonts w:ascii="宋体" w:hAnsi="宋体" w:cs="宋体" w:eastAsia="宋体" w:hint="default"/>
                <w:sz w:val="18"/>
                <w:szCs w:val="18"/>
              </w:rPr>
            </w:pPr>
            <w:r>
              <w:rPr>
                <w:rFonts w:ascii="宋体" w:hAnsi="宋体" w:cs="宋体" w:eastAsia="宋体" w:hint="default"/>
                <w:sz w:val="18"/>
                <w:szCs w:val="18"/>
              </w:rPr>
              <w:t>如承诺超期未履行完毕的，应当详 细说明未完成履行的具体原因及下 一步的工作计划</w:t>
            </w:r>
          </w:p>
        </w:tc>
        <w:tc>
          <w:tcPr>
            <w:tcW w:w="673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0"/>
        <w:rPr>
          <w:rFonts w:ascii="Times New Roman" w:hAnsi="Times New Roman" w:cs="Times New Roman" w:eastAsia="Times New Roman" w:hint="default"/>
          <w:sz w:val="21"/>
          <w:szCs w:val="21"/>
        </w:rPr>
      </w:pPr>
    </w:p>
    <w:p>
      <w:pPr>
        <w:pStyle w:val="Heading3"/>
        <w:spacing w:line="259" w:lineRule="auto" w:before="36"/>
        <w:ind w:right="1133"/>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三、控股股东及其关联方对上市公司的非经营性占用资金情况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49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公司报告期不存在控股股东及其关联方对上市公司的非经营性占用资金。</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1"/>
        <w:rPr>
          <w:rFonts w:ascii="宋体" w:hAnsi="宋体" w:cs="宋体" w:eastAsia="宋体" w:hint="default"/>
          <w:b/>
          <w:bCs/>
          <w:sz w:val="25"/>
          <w:szCs w:val="25"/>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六、董事会关于报告期会计政策、会计估计变更或重大会计差错更正的说明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0" w:lineRule="auto" w:before="103"/>
        <w:ind w:right="0"/>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1</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日召开第四届董事会第九次会议、第四届监事会第八次会议审议通过了《关于会计政策变更的议</w:t>
      </w:r>
      <w:r>
        <w:rPr/>
        <w:t> 案》，其中涉及本报告期的会计政策变更事项如下：</w:t>
      </w:r>
    </w:p>
    <w:p>
      <w:pPr>
        <w:pStyle w:val="BodyText"/>
        <w:spacing w:line="300" w:lineRule="auto" w:before="31"/>
        <w:ind w:right="0"/>
        <w:jc w:val="left"/>
      </w:pPr>
      <w:r>
        <w:rPr>
          <w:rFonts w:ascii="宋体" w:hAnsi="宋体" w:cs="宋体" w:eastAsia="宋体" w:hint="default"/>
          <w:spacing w:val="90"/>
        </w:rPr>
        <w:t> </w:t>
      </w:r>
      <w:r>
        <w:rPr>
          <w:rFonts w:ascii="宋体" w:hAnsi="宋体" w:cs="宋体" w:eastAsia="宋体" w:hint="default"/>
        </w:rPr>
        <w:t>  </w:t>
      </w:r>
      <w:r>
        <w:rPr>
          <w:spacing w:val="-2"/>
        </w:rPr>
        <w:t>财政部于</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31</w:t>
      </w:r>
      <w:r>
        <w:rPr>
          <w:spacing w:val="-2"/>
        </w:rPr>
        <w:t>日修订发布了《企业会计准则第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7</w:t>
      </w:r>
      <w:r>
        <w:rPr>
          <w:spacing w:val="-2"/>
        </w:rPr>
        <w:t>号）、《企业会</w:t>
      </w:r>
      <w:r>
        <w:rPr/>
        <w:t> </w:t>
      </w:r>
      <w:r>
        <w:rPr>
          <w:spacing w:val="-2"/>
        </w:rPr>
        <w:t>计准则第</w:t>
      </w:r>
      <w:r>
        <w:rPr>
          <w:rFonts w:ascii="Times New Roman" w:hAnsi="Times New Roman" w:cs="Times New Roman" w:eastAsia="Times New Roman" w:hint="default"/>
          <w:spacing w:val="-2"/>
        </w:rPr>
        <w:t>23</w:t>
      </w:r>
      <w:r>
        <w:rPr>
          <w:spacing w:val="-2"/>
        </w:rPr>
        <w:t>号</w:t>
      </w:r>
      <w:r>
        <w:rPr>
          <w:rFonts w:ascii="Times New Roman" w:hAnsi="Times New Roman" w:cs="Times New Roman" w:eastAsia="Times New Roman" w:hint="default"/>
          <w:spacing w:val="-2"/>
        </w:rPr>
        <w:t>——</w:t>
      </w:r>
      <w:r>
        <w:rPr>
          <w:spacing w:val="-2"/>
        </w:rPr>
        <w:t>金融资产转移》（财会〔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8</w:t>
      </w:r>
      <w:r>
        <w:rPr>
          <w:spacing w:val="-2"/>
        </w:rPr>
        <w:t>号）、《企业会计准则第</w:t>
      </w:r>
      <w:r>
        <w:rPr>
          <w:rFonts w:ascii="Times New Roman" w:hAnsi="Times New Roman" w:cs="Times New Roman" w:eastAsia="Times New Roman" w:hint="default"/>
          <w:spacing w:val="-2"/>
        </w:rPr>
        <w:t>24</w:t>
      </w:r>
      <w:r>
        <w:rPr>
          <w:spacing w:val="-2"/>
        </w:rPr>
        <w:t>号</w:t>
      </w:r>
      <w:r>
        <w:rPr>
          <w:rFonts w:ascii="Times New Roman" w:hAnsi="Times New Roman" w:cs="Times New Roman" w:eastAsia="Times New Roman" w:hint="default"/>
          <w:spacing w:val="-2"/>
        </w:rPr>
        <w:t>——</w:t>
      </w:r>
      <w:r>
        <w:rPr>
          <w:spacing w:val="-2"/>
        </w:rPr>
        <w:t>套期会计》（财会〔</w:t>
      </w:r>
      <w:r>
        <w:rPr>
          <w:rFonts w:ascii="Times New Roman" w:hAnsi="Times New Roman" w:cs="Times New Roman" w:eastAsia="Times New Roman" w:hint="default"/>
          <w:spacing w:val="-2"/>
        </w:rPr>
        <w:t>2017</w:t>
      </w:r>
      <w:r>
        <w:rPr>
          <w:spacing w:val="-2"/>
        </w:rPr>
        <w:t>〕</w:t>
      </w:r>
      <w:r>
        <w:rPr>
          <w:rFonts w:ascii="Times New Roman" w:hAnsi="Times New Roman" w:cs="Times New Roman" w:eastAsia="Times New Roman" w:hint="default"/>
          <w:spacing w:val="-2"/>
        </w:rPr>
        <w:t>9</w:t>
      </w:r>
      <w:r>
        <w:rPr>
          <w:spacing w:val="-2"/>
        </w:rPr>
        <w:t>号），并</w:t>
      </w:r>
      <w:r>
        <w:rPr>
          <w:spacing w:val="-61"/>
        </w:rPr>
        <w:t> </w:t>
      </w:r>
      <w:r>
        <w:rPr>
          <w:spacing w:val="-61"/>
        </w:rPr>
      </w:r>
      <w:r>
        <w:rPr/>
        <w:t>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w:t>
      </w:r>
      <w:r>
        <w:rPr/>
        <w:t>日修订发布了《企业会计准则第</w:t>
      </w:r>
      <w:r>
        <w:rPr>
          <w:rFonts w:ascii="Times New Roman" w:hAnsi="Times New Roman" w:cs="Times New Roman" w:eastAsia="Times New Roman" w:hint="default"/>
        </w:rPr>
        <w:t>37</w:t>
      </w:r>
      <w:r>
        <w:rPr/>
        <w:t>号</w:t>
      </w:r>
      <w:r>
        <w:rPr>
          <w:rFonts w:ascii="Times New Roman" w:hAnsi="Times New Roman" w:cs="Times New Roman" w:eastAsia="Times New Roman" w:hint="default"/>
        </w:rPr>
        <w:t>——</w:t>
      </w:r>
      <w:r>
        <w:rPr/>
        <w:t>金融工具列报》（财会〔</w:t>
      </w:r>
      <w:r>
        <w:rPr>
          <w:rFonts w:ascii="Times New Roman" w:hAnsi="Times New Roman" w:cs="Times New Roman" w:eastAsia="Times New Roman" w:hint="default"/>
        </w:rPr>
        <w:t>2017</w:t>
      </w:r>
      <w:r>
        <w:rPr/>
        <w:t>〕</w:t>
      </w:r>
      <w:r>
        <w:rPr>
          <w:rFonts w:ascii="Times New Roman" w:hAnsi="Times New Roman" w:cs="Times New Roman" w:eastAsia="Times New Roman" w:hint="default"/>
        </w:rPr>
        <w:t>14</w:t>
      </w:r>
      <w:r>
        <w:rPr/>
        <w:t>号）（以上四项准则统称</w:t>
      </w:r>
      <w:r>
        <w:rPr>
          <w:rFonts w:ascii="Times New Roman" w:hAnsi="Times New Roman" w:cs="Times New Roman" w:eastAsia="Times New Roman" w:hint="default"/>
        </w:rPr>
        <w:t>“</w:t>
      </w:r>
      <w:r>
        <w:rPr/>
        <w:t>新金融 </w:t>
      </w:r>
      <w:r>
        <w:rPr>
          <w:spacing w:val="-2"/>
        </w:rPr>
        <w:t>工具准则</w:t>
      </w:r>
      <w:r>
        <w:rPr>
          <w:rFonts w:ascii="Times New Roman" w:hAnsi="Times New Roman" w:cs="Times New Roman" w:eastAsia="Times New Roman" w:hint="default"/>
          <w:spacing w:val="-2"/>
        </w:rPr>
        <w:t>”</w:t>
      </w:r>
      <w:r>
        <w:rPr>
          <w:spacing w:val="-2"/>
        </w:rPr>
        <w:t>），要求在境内外同时上市的企业以及在境外上市并采用国际财务报告准则或企业会计准则编制财务报告的企业，</w:t>
      </w:r>
      <w:r>
        <w:rPr>
          <w:spacing w:val="-53"/>
        </w:rPr>
        <w:t> </w:t>
      </w:r>
      <w:r>
        <w:rPr>
          <w:spacing w:val="-53"/>
        </w:rPr>
      </w:r>
      <w:r>
        <w:rPr/>
        <w:t>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日起施行；其他境内上市企业自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日起施行。</w:t>
      </w:r>
    </w:p>
    <w:p>
      <w:pPr>
        <w:pStyle w:val="BodyText"/>
        <w:spacing w:line="316" w:lineRule="auto" w:before="13"/>
        <w:ind w:right="0"/>
        <w:jc w:val="left"/>
      </w:pPr>
      <w:r>
        <w:rPr>
          <w:rFonts w:ascii="宋体" w:hAnsi="宋体" w:cs="宋体" w:eastAsia="宋体" w:hint="default"/>
          <w:spacing w:val="90"/>
        </w:rPr>
        <w:t> </w:t>
      </w:r>
      <w:r>
        <w:rPr>
          <w:rFonts w:ascii="宋体" w:hAnsi="宋体" w:cs="宋体" w:eastAsia="宋体" w:hint="default"/>
        </w:rPr>
        <w:t>  </w:t>
      </w:r>
      <w:r>
        <w:rPr>
          <w:spacing w:val="-2"/>
        </w:rPr>
        <w:t>根据衔接规定，企业无需按照新金融工具准则追溯调整前期可比数。因此，本次变更不会对会计政策变更之前公司资产</w:t>
      </w:r>
      <w:r>
        <w:rPr/>
        <w:t> </w:t>
      </w:r>
      <w:r>
        <w:rPr>
          <w:spacing w:val="-2"/>
        </w:rPr>
        <w:t>总额、负债总额、净资产及净利润产生影响。公司从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日起执行新金融工具准则，并于</w:t>
      </w:r>
      <w:r>
        <w:rPr>
          <w:rFonts w:ascii="Times New Roman" w:hAnsi="Times New Roman" w:cs="Times New Roman" w:eastAsia="Times New Roman" w:hint="default"/>
          <w:spacing w:val="-2"/>
        </w:rPr>
        <w:t>2019</w:t>
      </w:r>
      <w:r>
        <w:rPr>
          <w:spacing w:val="-2"/>
        </w:rPr>
        <w:t>年第一季度财务报告起</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按新金融工具准则要求进行会计报表披露。</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日披露在巨潮资讯网上的《关于会计政策变更的公告》。</w:t>
      </w:r>
    </w:p>
    <w:p>
      <w:pPr>
        <w:pStyle w:val="BodyText"/>
        <w:spacing w:line="300" w:lineRule="auto" w:before="63"/>
        <w:ind w:right="113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22</w:t>
      </w:r>
      <w:r>
        <w:rPr>
          <w:spacing w:val="-2"/>
        </w:rPr>
        <w:t>日召开第四届董事会第十二次会议、第四届监事会第十次会议审议通过了《关于会计政策变更的</w:t>
      </w:r>
      <w:r>
        <w:rPr/>
        <w:t> 议案》：</w:t>
      </w:r>
    </w:p>
    <w:p>
      <w:pPr>
        <w:pStyle w:val="BodyText"/>
        <w:spacing w:line="300" w:lineRule="auto" w:before="31"/>
        <w:ind w:right="1131"/>
        <w:jc w:val="both"/>
      </w:pPr>
      <w:r>
        <w:rPr>
          <w:rFonts w:ascii="宋体" w:hAnsi="宋体" w:cs="宋体" w:eastAsia="宋体" w:hint="default"/>
          <w:spacing w:val="90"/>
        </w:rPr>
        <w:t> </w:t>
      </w:r>
      <w:r>
        <w:rPr>
          <w:rFonts w:ascii="宋体" w:hAnsi="宋体" w:cs="宋体" w:eastAsia="宋体" w:hint="default"/>
        </w:rPr>
        <w:t>  </w:t>
      </w:r>
      <w:r>
        <w:rPr>
          <w:spacing w:val="-2"/>
        </w:rPr>
        <w:t>财政部于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30</w:t>
      </w:r>
      <w:r>
        <w:rPr>
          <w:spacing w:val="-2"/>
        </w:rPr>
        <w:t>日发布了《关于修订印发</w:t>
      </w:r>
      <w:r>
        <w:rPr>
          <w:rFonts w:ascii="Times New Roman" w:hAnsi="Times New Roman" w:cs="Times New Roman" w:eastAsia="Times New Roman" w:hint="default"/>
          <w:spacing w:val="-2"/>
        </w:rPr>
        <w:t>2019</w:t>
      </w:r>
      <w:r>
        <w:rPr>
          <w:spacing w:val="-2"/>
        </w:rPr>
        <w:t>年度一般企业财务报表格式的通知》（财会〔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号）（以下简</w:t>
      </w:r>
      <w:r>
        <w:rPr/>
        <w:t> 称</w:t>
      </w:r>
      <w:r>
        <w:rPr>
          <w:rFonts w:ascii="Times New Roman" w:hAnsi="Times New Roman" w:cs="Times New Roman" w:eastAsia="Times New Roman" w:hint="default"/>
        </w:rPr>
        <w:t>“</w:t>
      </w:r>
      <w:r>
        <w:rPr/>
        <w:t>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w:t>
      </w:r>
      <w:r>
        <w:rPr>
          <w:rFonts w:ascii="Times New Roman" w:hAnsi="Times New Roman" w:cs="Times New Roman" w:eastAsia="Times New Roman" w:hint="default"/>
        </w:rPr>
        <w:t>”</w:t>
      </w:r>
      <w:r>
        <w:rPr/>
        <w:t>），要求执行企业会计准则的非金融企业</w:t>
      </w:r>
      <w:r>
        <w:rPr>
          <w:rFonts w:ascii="Times New Roman" w:hAnsi="Times New Roman" w:cs="Times New Roman" w:eastAsia="Times New Roman" w:hint="default"/>
        </w:rPr>
        <w:t>2019</w:t>
      </w:r>
      <w:r>
        <w:rPr/>
        <w:t>年度中期财务报表和年度财务报表及以后期间的财务报 </w:t>
      </w:r>
      <w:r>
        <w:rPr>
          <w:spacing w:val="-2"/>
        </w:rPr>
        <w:t>表均按照企业会计准则和财会〔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号的规定编制。根据财会〔</w:t>
      </w:r>
      <w:r>
        <w:rPr>
          <w:rFonts w:ascii="Times New Roman" w:hAnsi="Times New Roman" w:cs="Times New Roman" w:eastAsia="Times New Roman" w:hint="default"/>
          <w:spacing w:val="-2"/>
        </w:rPr>
        <w:t>2019</w:t>
      </w:r>
      <w:r>
        <w:rPr>
          <w:spacing w:val="-2"/>
        </w:rPr>
        <w:t>〕</w:t>
      </w:r>
      <w:r>
        <w:rPr>
          <w:rFonts w:ascii="Times New Roman" w:hAnsi="Times New Roman" w:cs="Times New Roman" w:eastAsia="Times New Roman" w:hint="default"/>
          <w:spacing w:val="-2"/>
        </w:rPr>
        <w:t>6</w:t>
      </w:r>
      <w:r>
        <w:rPr>
          <w:spacing w:val="-2"/>
        </w:rPr>
        <w:t>号的有关要求，公司属于已执行新金融准则但未</w:t>
      </w:r>
      <w:r>
        <w:rPr>
          <w:spacing w:val="-62"/>
        </w:rPr>
        <w:t> </w:t>
      </w:r>
      <w:r>
        <w:rPr>
          <w:spacing w:val="-62"/>
        </w:rPr>
      </w:r>
      <w:r>
        <w:rPr/>
        <w:t>执行新收入准则和新租赁准则的企业，应当结合财会〔</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6</w:t>
      </w:r>
      <w:r>
        <w:rPr/>
        <w:t>号的规定对财务报表格式及部分科目列报进行相应调整。</w:t>
      </w:r>
    </w:p>
    <w:p>
      <w:pPr>
        <w:pStyle w:val="BodyText"/>
        <w:spacing w:line="309" w:lineRule="auto" w:before="13"/>
        <w:ind w:right="1130"/>
        <w:jc w:val="both"/>
      </w:pPr>
      <w:r>
        <w:rPr>
          <w:rFonts w:ascii="宋体" w:hAnsi="宋体" w:cs="宋体" w:eastAsia="宋体" w:hint="default"/>
          <w:spacing w:val="90"/>
        </w:rPr>
        <w:t> </w:t>
      </w:r>
      <w:r>
        <w:rPr>
          <w:rFonts w:ascii="宋体" w:hAnsi="宋体" w:cs="宋体" w:eastAsia="宋体" w:hint="default"/>
        </w:rPr>
        <w:t>  </w:t>
      </w:r>
      <w:r>
        <w:rPr>
          <w:spacing w:val="-2"/>
        </w:rPr>
        <w:t>本次会计政策变更只涉及财务报表项目的列报和调整，不涉及对公司以前年度的追溯调整，不会对公司以前年度及</w:t>
      </w:r>
      <w:r>
        <w:rPr>
          <w:rFonts w:ascii="Times New Roman" w:hAnsi="Times New Roman" w:cs="Times New Roman" w:eastAsia="Times New Roman" w:hint="default"/>
          <w:spacing w:val="-2"/>
        </w:rPr>
        <w:t>2019</w:t>
      </w:r>
      <w:r>
        <w:rPr>
          <w:rFonts w:ascii="Times New Roman" w:hAnsi="Times New Roman" w:cs="Times New Roman" w:eastAsia="Times New Roman" w:hint="default"/>
        </w:rPr>
        <w:t> </w:t>
      </w:r>
      <w:r>
        <w:rPr/>
        <w:t>年度财务报告的资产总额、负债总额、净资产、净利润、股东权益产生影响。</w:t>
      </w:r>
      <w:r>
        <w:rPr>
          <w:spacing w:val="-17"/>
        </w:rPr>
        <w:t> </w:t>
      </w:r>
      <w:r>
        <w:rPr/>
        <w:t>上述会计政策变更对公司财务状况、经营成</w:t>
      </w:r>
      <w:r>
        <w:rPr/>
        <w:t> 果和现金流量无重大影响。</w:t>
      </w:r>
    </w:p>
    <w:p>
      <w:pPr>
        <w:pStyle w:val="BodyText"/>
        <w:spacing w:line="240" w:lineRule="auto" w:before="25"/>
        <w:ind w:right="0"/>
        <w:jc w:val="both"/>
      </w:pPr>
      <w:r>
        <w:rPr>
          <w:rFonts w:ascii="宋体" w:hAnsi="宋体" w:cs="宋体" w:eastAsia="宋体" w:hint="default"/>
          <w:spacing w:val="90"/>
        </w:rPr>
        <w:t> </w:t>
      </w:r>
      <w:r>
        <w:rPr>
          <w:rFonts w:ascii="宋体" w:hAnsi="宋体" w:cs="宋体" w:eastAsia="宋体" w:hint="default"/>
        </w:rPr>
        <w:t>  </w:t>
      </w:r>
      <w:r>
        <w:rPr/>
        <w:t>具体内容详见公司于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26</w:t>
      </w:r>
      <w:r>
        <w:rPr/>
        <w:t>日披露在巨潮资讯网上的《关于会计政策变更的公告》。</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七、与上年度财务报告相比，合并报表范围发生变化的情况说明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309" w:lineRule="auto" w:before="101"/>
        <w:ind w:right="113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1</w:t>
      </w:r>
      <w:r>
        <w:rPr>
          <w:spacing w:val="-2"/>
        </w:rPr>
        <w:t>、本报告期内新设子公司</w:t>
      </w:r>
      <w:r>
        <w:rPr>
          <w:rFonts w:ascii="Times New Roman" w:hAnsi="Times New Roman" w:cs="Times New Roman" w:eastAsia="Times New Roman" w:hint="default"/>
          <w:spacing w:val="-2"/>
        </w:rPr>
        <w:t>9</w:t>
      </w:r>
      <w:r>
        <w:rPr>
          <w:spacing w:val="-2"/>
        </w:rPr>
        <w:t>家，包括：陕西易联众金纳信息技术有限公司、湖南易联众鑫卫信息科技有限公司、山西易</w:t>
      </w:r>
      <w:r>
        <w:rPr/>
        <w:t> </w:t>
      </w:r>
      <w:r>
        <w:rPr>
          <w:spacing w:val="-2"/>
        </w:rPr>
        <w:t>联众惠民科技有限公司、安徽易联众科技发展有限公司、福州灵医科技有限公司、北京珩泰科技发展有限公司、吉林易联旭</w:t>
      </w:r>
      <w:r>
        <w:rPr>
          <w:spacing w:val="-65"/>
        </w:rPr>
        <w:t> </w:t>
      </w:r>
      <w:r>
        <w:rPr>
          <w:spacing w:val="-65"/>
        </w:rPr>
      </w:r>
      <w:r>
        <w:rPr/>
        <w:t>信息技术有限公司、山东易联众网络科技有限公司、河南易联众盈信息技术有限公司。</w:t>
      </w:r>
    </w:p>
    <w:p>
      <w:pPr>
        <w:pStyle w:val="BodyText"/>
        <w:spacing w:line="240" w:lineRule="auto" w:before="24"/>
        <w:ind w:left="513" w:right="0"/>
        <w:jc w:val="left"/>
      </w:pPr>
      <w:r>
        <w:rPr/>
        <w:t>由控股子公司民生科技于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日注册成立的控股孙公司北京易联众民生科技有限公司，注册资本</w:t>
      </w:r>
      <w:r>
        <w:rPr>
          <w:rFonts w:ascii="Times New Roman" w:hAnsi="Times New Roman" w:cs="Times New Roman" w:eastAsia="Times New Roman" w:hint="default"/>
        </w:rPr>
        <w:t>500</w:t>
      </w:r>
      <w:r>
        <w:rPr/>
        <w:t>万元。截止</w:t>
      </w:r>
    </w:p>
    <w:p>
      <w:pPr>
        <w:pStyle w:val="BodyText"/>
        <w:spacing w:line="300" w:lineRule="auto" w:before="63"/>
        <w:ind w:left="513" w:right="0" w:hanging="361"/>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日，民生科技尚未支付投资款，北京易联众民生科技有限公司也尚未开展生产经营活动。 </w:t>
      </w:r>
      <w:r>
        <w:rPr>
          <w:spacing w:val="-1"/>
        </w:rPr>
        <w:t>由本公司于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27</w:t>
      </w:r>
      <w:r>
        <w:rPr>
          <w:spacing w:val="-1"/>
        </w:rPr>
        <w:t>日注册成立的控股子公司吉林易联旭信息技术有限公司，注册资本</w:t>
      </w:r>
      <w:r>
        <w:rPr>
          <w:rFonts w:ascii="Times New Roman" w:hAnsi="Times New Roman" w:cs="Times New Roman" w:eastAsia="Times New Roman" w:hint="default"/>
          <w:spacing w:val="-1"/>
        </w:rPr>
        <w:t>2,000</w:t>
      </w:r>
      <w:r>
        <w:rPr>
          <w:spacing w:val="-1"/>
        </w:rPr>
        <w:t>万元，截止</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p>
    <w:p>
      <w:pPr>
        <w:pStyle w:val="BodyText"/>
        <w:spacing w:line="300" w:lineRule="auto" w:before="13"/>
        <w:ind w:left="513" w:right="1123" w:hanging="361"/>
        <w:jc w:val="left"/>
        <w:rPr>
          <w:rFonts w:ascii="Times New Roman" w:hAnsi="Times New Roman" w:cs="Times New Roman" w:eastAsia="Times New Roman" w:hint="default"/>
        </w:rPr>
      </w:pPr>
      <w:r>
        <w:rPr>
          <w:rFonts w:ascii="Times New Roman" w:hAnsi="Times New Roman" w:cs="Times New Roman" w:eastAsia="Times New Roman" w:hint="default"/>
        </w:rPr>
        <w:t>31</w:t>
      </w:r>
      <w:r>
        <w:rPr/>
        <w:t>日，本公司尚未支付投资款，吉林易联旭信息技术有限公司也尚未开展生产经营活动。 由本公司于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日注册成立的控股子公司山东易联众网络科技有限公司，注册资本</w:t>
      </w:r>
      <w:r>
        <w:rPr>
          <w:rFonts w:ascii="Times New Roman" w:hAnsi="Times New Roman" w:cs="Times New Roman" w:eastAsia="Times New Roman" w:hint="default"/>
        </w:rPr>
        <w:t>500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316" w:lineRule="auto" w:before="13"/>
        <w:ind w:left="513" w:right="1133" w:hanging="361"/>
        <w:jc w:val="left"/>
      </w:pPr>
      <w:r>
        <w:rPr/>
        <w:t>日，本公司尚未支付投资款，山东易联众网络科技有限公司也尚未开展生产经营活动。 由本公司于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日注册成立的控股子公司河南易联众盈信息技术有限公司，注册资本</w:t>
      </w:r>
      <w:r>
        <w:rPr>
          <w:rFonts w:ascii="Times New Roman" w:hAnsi="Times New Roman" w:cs="Times New Roman" w:eastAsia="Times New Roman" w:hint="default"/>
        </w:rPr>
        <w:t>3,000</w:t>
      </w:r>
      <w:r>
        <w:rPr/>
        <w:t>万元，截止</w:t>
      </w:r>
      <w:r>
        <w:rPr>
          <w:rFonts w:ascii="Times New Roman" w:hAnsi="Times New Roman" w:cs="Times New Roman" w:eastAsia="Times New Roman" w:hint="default"/>
        </w:rPr>
        <w:t>2019</w:t>
      </w:r>
      <w:r>
        <w:rPr/>
        <w:t>年</w:t>
      </w:r>
    </w:p>
    <w:p>
      <w:pPr>
        <w:pStyle w:val="BodyText"/>
        <w:spacing w:line="300" w:lineRule="auto"/>
        <w:ind w:left="513" w:right="0" w:hanging="361"/>
        <w:jc w:val="left"/>
      </w:pP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日，本公司尚未支付投资款，河南易联众盈信息技术有限公司也尚未开展生产经营活动。 </w:t>
      </w:r>
      <w:r>
        <w:rPr>
          <w:spacing w:val="-2"/>
        </w:rPr>
        <w:t>由本公司于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日注册成立的控股子公司北京珩泰科技发展有限公司，注册资本</w:t>
      </w:r>
      <w:r>
        <w:rPr>
          <w:rFonts w:ascii="Times New Roman" w:hAnsi="Times New Roman" w:cs="Times New Roman" w:eastAsia="Times New Roman" w:hint="default"/>
          <w:spacing w:val="-2"/>
        </w:rPr>
        <w:t>300</w:t>
      </w:r>
      <w:r>
        <w:rPr>
          <w:spacing w:val="-2"/>
        </w:rPr>
        <w:t>万元，截止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p>
    <w:p>
      <w:pPr>
        <w:pStyle w:val="BodyText"/>
        <w:spacing w:line="240" w:lineRule="auto" w:before="13"/>
        <w:ind w:right="0"/>
        <w:jc w:val="both"/>
      </w:pPr>
      <w:r>
        <w:rPr/>
        <w:t>本公司尚未支付投资款，北京珩泰科技发展有限公司也尚未开展生产经营活动。</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、处置子公司丧失控制权的有两家：湖州百路源投资管理有限公司、厦门易联众商业保理有限公司。</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日注销子公司福州市鼓楼区易思达系统集成有限公司。</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八、聘任、解聘会计师事务所情况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现聘任的会计事务所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0"/>
        <w:gridCol w:w="4779"/>
      </w:tblGrid>
      <w:tr>
        <w:trPr>
          <w:trHeight w:val="403"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容诚会计师事务所（特殊普通合伙）</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120</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许瑞生、李新星</w:t>
            </w:r>
          </w:p>
        </w:tc>
      </w:tr>
      <w:tr>
        <w:trPr>
          <w:trHeight w:val="714" w:hRule="exact"/>
        </w:trPr>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许瑞生审计服务的连续年限为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年；李新星审计服务的连续</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年限为 </w:t>
            </w:r>
            <w:r>
              <w:rPr>
                <w:rFonts w:ascii="Times New Roman" w:hAnsi="Times New Roman" w:cs="Times New Roman" w:eastAsia="Times New Roman" w:hint="default"/>
                <w:sz w:val="18"/>
                <w:szCs w:val="18"/>
              </w:rPr>
              <w:t>1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p>
        </w:tc>
      </w:tr>
    </w:tbl>
    <w:p>
      <w:pPr>
        <w:pStyle w:val="BodyText"/>
        <w:spacing w:line="240" w:lineRule="auto" w:before="51"/>
        <w:ind w:right="1133"/>
        <w:jc w:val="left"/>
      </w:pPr>
      <w:r>
        <w:rPr/>
        <w:t>是否改聘会计师事务所</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是否在审计期间改聘会计师事务所</w:t>
      </w:r>
    </w:p>
    <w:p>
      <w:pPr>
        <w:pStyle w:val="BodyText"/>
        <w:spacing w:line="338" w:lineRule="auto" w:before="117"/>
        <w:ind w:right="78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更换会计师事务所是否履行审批程序</w:t>
      </w:r>
    </w:p>
    <w:p>
      <w:pPr>
        <w:pStyle w:val="BodyText"/>
        <w:spacing w:line="340" w:lineRule="auto" w:before="43"/>
        <w:ind w:right="80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聘任、解聘会计师事务所情况说明</w:t>
      </w:r>
    </w:p>
    <w:p>
      <w:pPr>
        <w:pStyle w:val="BodyText"/>
        <w:spacing w:line="304" w:lineRule="auto" w:before="39"/>
        <w:ind w:right="0" w:firstLine="360"/>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24</w:t>
      </w:r>
      <w:r>
        <w:rPr/>
        <w:t>日分别召开公司第四届董事会第十五次会议和第四届监事会第十三次会议、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 </w:t>
      </w:r>
      <w:r>
        <w:rPr>
          <w:rFonts w:ascii="Times New Roman" w:hAnsi="Times New Roman" w:cs="Times New Roman" w:eastAsia="Times New Roman" w:hint="default"/>
          <w:spacing w:val="-2"/>
        </w:rPr>
        <w:t>2019</w:t>
      </w:r>
      <w:r>
        <w:rPr>
          <w:spacing w:val="-2"/>
        </w:rPr>
        <w:t>年第二次临时股东大会，审议通过了《关于聘任</w:t>
      </w:r>
      <w:r>
        <w:rPr>
          <w:rFonts w:ascii="Times New Roman" w:hAnsi="Times New Roman" w:cs="Times New Roman" w:eastAsia="Times New Roman" w:hint="default"/>
          <w:spacing w:val="-2"/>
        </w:rPr>
        <w:t>2019</w:t>
      </w:r>
      <w:r>
        <w:rPr>
          <w:spacing w:val="-2"/>
        </w:rPr>
        <w:t>年度审计机构的议案》。鉴于公司</w:t>
      </w:r>
      <w:r>
        <w:rPr>
          <w:rFonts w:ascii="Times New Roman" w:hAnsi="Times New Roman" w:cs="Times New Roman" w:eastAsia="Times New Roman" w:hint="default"/>
          <w:spacing w:val="-2"/>
        </w:rPr>
        <w:t>2018</w:t>
      </w:r>
      <w:r>
        <w:rPr>
          <w:spacing w:val="-2"/>
        </w:rPr>
        <w:t>年度财务报表审计团队离开</w:t>
      </w:r>
      <w:r>
        <w:rPr>
          <w:spacing w:val="-55"/>
        </w:rPr>
        <w:t> </w:t>
      </w:r>
      <w:r>
        <w:rPr>
          <w:spacing w:val="-55"/>
        </w:rPr>
      </w:r>
      <w:r>
        <w:rPr>
          <w:spacing w:val="-2"/>
        </w:rPr>
        <w:t>致同会计师事务所（特殊普通合伙）加入华普天健会计师事务所（特殊普通合伙），并且华普天健会计师事务所（特殊普通</w:t>
      </w:r>
      <w:r>
        <w:rPr>
          <w:spacing w:val="-70"/>
        </w:rPr>
        <w:t> </w:t>
      </w:r>
      <w:r>
        <w:rPr>
          <w:spacing w:val="-70"/>
        </w:rPr>
      </w:r>
      <w:r>
        <w:rPr>
          <w:spacing w:val="-2"/>
        </w:rPr>
        <w:t>合伙）已更名为容诚会计师事务所（特殊普通合伙）。为保持审计工作的连续性和稳定性，保证公司</w:t>
      </w:r>
      <w:r>
        <w:rPr>
          <w:rFonts w:ascii="Times New Roman" w:hAnsi="Times New Roman" w:cs="Times New Roman" w:eastAsia="Times New Roman" w:hint="default"/>
          <w:spacing w:val="-2"/>
        </w:rPr>
        <w:t>2019</w:t>
      </w:r>
      <w:r>
        <w:rPr>
          <w:spacing w:val="-2"/>
        </w:rPr>
        <w:t>年度财务报表的审</w:t>
      </w:r>
      <w:r>
        <w:rPr>
          <w:spacing w:val="-62"/>
        </w:rPr>
        <w:t> </w:t>
      </w:r>
      <w:r>
        <w:rPr>
          <w:spacing w:val="-62"/>
        </w:rPr>
      </w:r>
      <w:r>
        <w:rPr>
          <w:spacing w:val="-2"/>
        </w:rPr>
        <w:t>计质量，公司决定聘任容诚会计师事务所（特殊普通合伙）为公司</w:t>
      </w:r>
      <w:r>
        <w:rPr>
          <w:rFonts w:ascii="Times New Roman" w:hAnsi="Times New Roman" w:cs="Times New Roman" w:eastAsia="Times New Roman" w:hint="default"/>
          <w:spacing w:val="-2"/>
        </w:rPr>
        <w:t>2019</w:t>
      </w:r>
      <w:r>
        <w:rPr>
          <w:spacing w:val="-2"/>
        </w:rPr>
        <w:t>年度审计机构，聘期自</w:t>
      </w:r>
      <w:r>
        <w:rPr>
          <w:rFonts w:ascii="Times New Roman" w:hAnsi="Times New Roman" w:cs="Times New Roman" w:eastAsia="Times New Roman" w:hint="default"/>
          <w:spacing w:val="-2"/>
        </w:rPr>
        <w:t>2019</w:t>
      </w:r>
      <w:r>
        <w:rPr>
          <w:spacing w:val="-2"/>
        </w:rPr>
        <w:t>年第二次临时股东大会审</w:t>
      </w:r>
      <w:r>
        <w:rPr>
          <w:spacing w:val="-57"/>
        </w:rPr>
        <w:t> </w:t>
      </w:r>
      <w:r>
        <w:rPr>
          <w:spacing w:val="-57"/>
        </w:rPr>
      </w:r>
      <w:r>
        <w:rPr/>
        <w:t>议通过之日起至下一次年度股东大会形成有关聘任会计师事务所的决议之日止。</w:t>
      </w:r>
    </w:p>
    <w:p>
      <w:pPr>
        <w:pStyle w:val="BodyText"/>
        <w:spacing w:line="240" w:lineRule="auto" w:before="68"/>
        <w:ind w:right="1133"/>
        <w:jc w:val="left"/>
      </w:pPr>
      <w:r>
        <w:rPr/>
        <w:t>聘请内部控制审计会计师事务所、财务顾问或保荐人情况</w:t>
      </w:r>
    </w:p>
    <w:p>
      <w:pPr>
        <w:pStyle w:val="BodyText"/>
        <w:spacing w:line="240" w:lineRule="auto" w:before="117"/>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1133"/>
        <w:jc w:val="left"/>
        <w:rPr>
          <w:b w:val="0"/>
          <w:bCs w:val="0"/>
        </w:rPr>
      </w:pPr>
      <w:r>
        <w:rPr/>
        <w:t>九、年度报告披露后面临暂停上市和终止上市情况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十、破产重整相关事项</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公司报告期未发生破产重整相关事项。</w:t>
      </w:r>
    </w:p>
    <w:p>
      <w:pPr>
        <w:spacing w:line="240" w:lineRule="auto" w:before="8"/>
        <w:rPr>
          <w:rFonts w:ascii="宋体" w:hAnsi="宋体" w:cs="宋体" w:eastAsia="宋体" w:hint="default"/>
          <w:sz w:val="19"/>
          <w:szCs w:val="19"/>
        </w:rPr>
      </w:pPr>
    </w:p>
    <w:p>
      <w:pPr>
        <w:pStyle w:val="Heading2"/>
        <w:spacing w:line="240" w:lineRule="auto"/>
        <w:ind w:right="1133"/>
        <w:jc w:val="left"/>
        <w:rPr>
          <w:b w:val="0"/>
          <w:bCs w:val="0"/>
        </w:rPr>
      </w:pPr>
      <w:r>
        <w:rPr/>
        <w:t>十一、重大诉讼、仲裁事项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十二、处罚及整改情况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1133"/>
        <w:jc w:val="left"/>
        <w:rPr>
          <w:b w:val="0"/>
          <w:bCs w:val="0"/>
        </w:rPr>
      </w:pPr>
      <w:r>
        <w:rPr/>
        <w:t>十三、公司及其控股股东、实际控制人的诚信状况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十四、公司股权激励计划、员工持股计划或其他员工激励措施的实施情况</w:t>
      </w:r>
      <w:r>
        <w:rPr>
          <w:b w:val="0"/>
          <w:bCs w:val="0"/>
        </w:rPr>
      </w:r>
    </w:p>
    <w:p>
      <w:pPr>
        <w:spacing w:line="240" w:lineRule="auto" w:before="6"/>
        <w:rPr>
          <w:rFonts w:ascii="宋体" w:hAnsi="宋体" w:cs="宋体" w:eastAsia="宋体" w:hint="default"/>
          <w:b/>
          <w:bCs/>
          <w:sz w:val="26"/>
          <w:szCs w:val="26"/>
        </w:rPr>
      </w:pPr>
    </w:p>
    <w:p>
      <w:pPr>
        <w:pStyle w:val="BodyText"/>
        <w:spacing w:line="340" w:lineRule="auto"/>
        <w:ind w:right="44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公司报告期无股权激励计划、员工持股计划或其他员工激励措施及其实施情况。</w:t>
      </w:r>
    </w:p>
    <w:p>
      <w:pPr>
        <w:spacing w:after="0" w:line="3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公司报告期未发生资产或股权收购、出售的关联交易。</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、共同对外投资的关联交易</w:t>
      </w:r>
      <w:r>
        <w:rPr>
          <w:b w:val="0"/>
          <w:bCs w:val="0"/>
        </w:rPr>
      </w:r>
    </w:p>
    <w:p>
      <w:pPr>
        <w:spacing w:line="240" w:lineRule="auto" w:before="4"/>
        <w:rPr>
          <w:rFonts w:ascii="宋体" w:hAnsi="宋体" w:cs="宋体" w:eastAsia="宋体" w:hint="default"/>
          <w:b/>
          <w:bCs/>
          <w:sz w:val="26"/>
          <w:szCs w:val="26"/>
        </w:rPr>
      </w:pPr>
    </w:p>
    <w:p>
      <w:pPr>
        <w:pStyle w:val="BodyText"/>
        <w:spacing w:line="340" w:lineRule="auto"/>
        <w:ind w:right="71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公司报告期未发生共同对外投资的关联交易。</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公司报告期不存在关联债权债务往来。</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441" w:right="1133"/>
        <w:jc w:val="left"/>
      </w:pPr>
      <w:r>
        <w:rPr/>
        <w:t>（</w:t>
      </w:r>
      <w:r>
        <w:rPr>
          <w:rFonts w:ascii="Times New Roman" w:hAnsi="Times New Roman" w:cs="Times New Roman" w:eastAsia="Times New Roman" w:hint="default"/>
        </w:rPr>
        <w:t>1</w:t>
      </w:r>
      <w:r>
        <w:rPr/>
        <w:t>）关于控股子公司签署运营服务项目协议暨关联交易事项</w:t>
      </w:r>
    </w:p>
    <w:p>
      <w:pPr>
        <w:pStyle w:val="BodyText"/>
        <w:spacing w:line="300" w:lineRule="auto" w:before="63"/>
        <w:ind w:right="1133" w:firstLine="28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日，公司第四届董事会第十四次会议审议通过了《关于控股子公司签署运营服务项目协议暨关联交易的议 </w:t>
      </w:r>
      <w:r>
        <w:rPr>
          <w:spacing w:val="-2"/>
        </w:rPr>
        <w:t>案》。为了充分发挥公司及挂号网（杭州）科技有限公司（以下简称</w:t>
      </w:r>
      <w:r>
        <w:rPr>
          <w:rFonts w:ascii="Times New Roman" w:hAnsi="Times New Roman" w:cs="Times New Roman" w:eastAsia="Times New Roman" w:hint="default"/>
          <w:spacing w:val="-2"/>
        </w:rPr>
        <w:t>“</w:t>
      </w:r>
      <w:r>
        <w:rPr>
          <w:spacing w:val="-2"/>
        </w:rPr>
        <w:t>挂号网</w:t>
      </w:r>
      <w:r>
        <w:rPr>
          <w:rFonts w:ascii="Times New Roman" w:hAnsi="Times New Roman" w:cs="Times New Roman" w:eastAsia="Times New Roman" w:hint="default"/>
          <w:spacing w:val="-2"/>
        </w:rPr>
        <w:t>”</w:t>
      </w:r>
      <w:r>
        <w:rPr>
          <w:spacing w:val="-2"/>
        </w:rPr>
        <w:t>）在各自领域的优势，落实合作内容，创造更</w:t>
      </w:r>
      <w:r>
        <w:rPr>
          <w:spacing w:val="-48"/>
        </w:rPr>
        <w:t> </w:t>
      </w:r>
      <w:r>
        <w:rPr>
          <w:spacing w:val="-48"/>
        </w:rPr>
      </w:r>
      <w:r>
        <w:rPr>
          <w:spacing w:val="-5"/>
        </w:rPr>
        <w:t>大的市场空间，公司控股子公司易联众民生（厦门）科技有限公司（以下简称</w:t>
      </w:r>
      <w:r>
        <w:rPr>
          <w:rFonts w:ascii="Times New Roman" w:hAnsi="Times New Roman" w:cs="Times New Roman" w:eastAsia="Times New Roman" w:hint="default"/>
          <w:spacing w:val="-5"/>
        </w:rPr>
        <w:t>“</w:t>
      </w:r>
      <w:r>
        <w:rPr>
          <w:spacing w:val="-5"/>
        </w:rPr>
        <w:t>民生科技</w:t>
      </w:r>
      <w:r>
        <w:rPr>
          <w:rFonts w:ascii="Times New Roman" w:hAnsi="Times New Roman" w:cs="Times New Roman" w:eastAsia="Times New Roman" w:hint="default"/>
          <w:spacing w:val="-5"/>
        </w:rPr>
        <w:t>”</w:t>
      </w:r>
      <w:r>
        <w:rPr>
          <w:spacing w:val="-5"/>
        </w:rPr>
        <w:t>）拟与公司关联法人挂号网签署《运</w:t>
      </w:r>
      <w:r>
        <w:rPr>
          <w:spacing w:val="-55"/>
        </w:rPr>
        <w:t> </w:t>
      </w:r>
      <w:r>
        <w:rPr>
          <w:spacing w:val="-55"/>
        </w:rPr>
      </w:r>
      <w:r>
        <w:rPr/>
        <w:t>营服务项目协议》，为挂号网及其关联公司提供相关运营产品与服务，合同总金额为人民币 </w:t>
      </w:r>
      <w:r>
        <w:rPr>
          <w:rFonts w:ascii="Times New Roman" w:hAnsi="Times New Roman" w:cs="Times New Roman" w:eastAsia="Times New Roman" w:hint="default"/>
        </w:rPr>
        <w:t>572</w:t>
      </w:r>
      <w:r>
        <w:rPr>
          <w:rFonts w:ascii="Times New Roman" w:hAnsi="Times New Roman" w:cs="Times New Roman" w:eastAsia="Times New Roman" w:hint="default"/>
          <w:spacing w:val="13"/>
        </w:rPr>
        <w:t> </w:t>
      </w:r>
      <w:r>
        <w:rPr/>
        <w:t>万元。</w:t>
      </w:r>
    </w:p>
    <w:p>
      <w:pPr>
        <w:pStyle w:val="BodyText"/>
        <w:spacing w:line="240" w:lineRule="auto" w:before="13"/>
        <w:ind w:left="441" w:right="1133"/>
        <w:jc w:val="left"/>
      </w:pPr>
      <w:r>
        <w:rPr/>
        <w:t>（</w:t>
      </w:r>
      <w:r>
        <w:rPr>
          <w:rFonts w:ascii="Times New Roman" w:hAnsi="Times New Roman" w:cs="Times New Roman" w:eastAsia="Times New Roman" w:hint="default"/>
        </w:rPr>
        <w:t>2</w:t>
      </w:r>
      <w:r>
        <w:rPr/>
        <w:t>）关于公司控股股东、实际控制人及关联方为公司申请银行授信额度提供担保暨关联交易事项</w:t>
      </w:r>
    </w:p>
    <w:p>
      <w:pPr>
        <w:pStyle w:val="BodyText"/>
        <w:spacing w:line="314" w:lineRule="auto" w:before="63"/>
        <w:ind w:right="0" w:firstLine="288"/>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日，公司第四届董事会第十三次会议审议通过了《关于向广发银行股份有限公司福州分行申请综合授信 </w:t>
      </w:r>
      <w:r>
        <w:rPr>
          <w:spacing w:val="-4"/>
        </w:rPr>
        <w:t>额度并提供担保的议案》、《关于向赣州银行股份有限公司申请流动资金贷款授信额度并提供担保的议案》。公司控股股东、</w:t>
      </w:r>
      <w:r>
        <w:rPr>
          <w:spacing w:val="-46"/>
        </w:rPr>
        <w:t> </w:t>
      </w:r>
      <w:r>
        <w:rPr>
          <w:spacing w:val="-46"/>
        </w:rPr>
      </w:r>
      <w:r>
        <w:rPr>
          <w:spacing w:val="-2"/>
        </w:rPr>
        <w:t>实际控制人张曦先生为公司向上述两家银行申请授信额度提供连带责任担保，公司关联法人厦门建德开发有限公司为公司拟</w:t>
      </w:r>
      <w:r>
        <w:rPr>
          <w:spacing w:val="-64"/>
        </w:rPr>
        <w:t> </w:t>
      </w:r>
      <w:r>
        <w:rPr>
          <w:spacing w:val="-64"/>
        </w:rPr>
      </w:r>
      <w:r>
        <w:rPr/>
        <w:t>向赣州银行股份有限公司申请流动资金贷款授信额度提供最高额连带责任担保，担保的主债权发生期间与综合授信期限一 致，免于支付担保费用。</w:t>
      </w:r>
    </w:p>
    <w:p>
      <w:pPr>
        <w:pStyle w:val="BodyText"/>
        <w:spacing w:line="307" w:lineRule="auto" w:before="20"/>
        <w:ind w:right="0" w:firstLine="288"/>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28</w:t>
      </w:r>
      <w:r>
        <w:rPr/>
        <w:t>日，公司第四届董事会第十五次会议审议通过了《关于公司控股股东、实际控制人为公司申请银行授 </w:t>
      </w:r>
      <w:r>
        <w:rPr>
          <w:spacing w:val="-2"/>
        </w:rPr>
        <w:t>信额度提供担保暨关联交易的议案》。为支持公司业务发展，公司控股股东、实际控制人张曦先生为公司拟向招商银行股份</w:t>
      </w:r>
      <w:r>
        <w:rPr>
          <w:spacing w:val="-66"/>
        </w:rPr>
        <w:t> </w:t>
      </w:r>
      <w:r>
        <w:rPr>
          <w:spacing w:val="-66"/>
        </w:rPr>
      </w:r>
      <w:r>
        <w:rPr/>
        <w:t>有限公司厦门分行申请</w:t>
      </w:r>
      <w:r>
        <w:rPr>
          <w:rFonts w:ascii="Times New Roman" w:hAnsi="Times New Roman" w:cs="Times New Roman" w:eastAsia="Times New Roman" w:hint="default"/>
        </w:rPr>
        <w:t>5,000</w:t>
      </w:r>
      <w:r>
        <w:rPr/>
        <w:t>万元人民币的综合授信额度提供连带责任担保，担保的主债权发生期间与综合授信期限一致， 免于支付担保费用。</w:t>
      </w:r>
    </w:p>
    <w:p>
      <w:pPr>
        <w:pStyle w:val="BodyText"/>
        <w:spacing w:line="307" w:lineRule="auto" w:before="26"/>
        <w:ind w:right="0" w:firstLine="288"/>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19</w:t>
      </w:r>
      <w:r>
        <w:rPr/>
        <w:t>日，公司第四届董事会第十八次会议审议通过了《关于公司控股股东、实际控制人为公司申请银行授 </w:t>
      </w:r>
      <w:r>
        <w:rPr>
          <w:spacing w:val="-2"/>
        </w:rPr>
        <w:t>信额度提供担保暨关联交易的议案》。为支持公司业务发展，公司控股股东、实际控制人张曦先生为公司拟向中国民生银行</w:t>
      </w:r>
      <w:r>
        <w:rPr>
          <w:spacing w:val="-66"/>
        </w:rPr>
        <w:t> </w:t>
      </w:r>
      <w:r>
        <w:rPr>
          <w:spacing w:val="-66"/>
        </w:rPr>
      </w:r>
      <w:r>
        <w:rPr>
          <w:spacing w:val="-1"/>
        </w:rPr>
        <w:t>股份有限公司厦门分行申请</w:t>
      </w:r>
      <w:r>
        <w:rPr>
          <w:rFonts w:ascii="Times New Roman" w:hAnsi="Times New Roman" w:cs="Times New Roman" w:eastAsia="Times New Roman" w:hint="default"/>
          <w:spacing w:val="-1"/>
        </w:rPr>
        <w:t>10,000</w:t>
      </w:r>
      <w:r>
        <w:rPr>
          <w:spacing w:val="-1"/>
        </w:rPr>
        <w:t>万元人民币的综合授信额度提供连带责任担保，担保的主债权发生期间与综合授信期限一</w:t>
      </w:r>
      <w:r>
        <w:rPr>
          <w:spacing w:val="-68"/>
        </w:rPr>
        <w:t> </w:t>
      </w:r>
      <w:r>
        <w:rPr>
          <w:spacing w:val="-68"/>
        </w:rPr>
      </w:r>
      <w:r>
        <w:rPr/>
        <w:t>致，免于支付担保费用。</w:t>
      </w:r>
    </w:p>
    <w:p>
      <w:pPr>
        <w:spacing w:after="0" w:line="307"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441" w:right="1133"/>
        <w:jc w:val="left"/>
      </w:pPr>
      <w:r>
        <w:rPr/>
        <w:t>（</w:t>
      </w:r>
      <w:r>
        <w:rPr>
          <w:rFonts w:ascii="Times New Roman" w:hAnsi="Times New Roman" w:cs="Times New Roman" w:eastAsia="Times New Roman" w:hint="default"/>
        </w:rPr>
        <w:t>3</w:t>
      </w:r>
      <w:r>
        <w:rPr/>
        <w:t>）关于控股孙公司签订采购合同暨关联交易事项</w:t>
      </w:r>
    </w:p>
    <w:p>
      <w:pPr>
        <w:pStyle w:val="BodyText"/>
        <w:spacing w:line="300" w:lineRule="auto" w:before="63"/>
        <w:ind w:right="1130" w:firstLine="288"/>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日，公司第四届董事会第十九次会议审议通过了《关于控股孙公司福建易联众医卫信息技术有限公司签订</w:t>
      </w:r>
      <w:r>
        <w:rPr/>
        <w:t> </w:t>
      </w:r>
      <w:r>
        <w:rPr>
          <w:spacing w:val="-3"/>
        </w:rPr>
        <w:t>采购合同暨关联交易的议案》。公司控股孙公司福建易联众医卫信息技术有限公司（以下简称</w:t>
      </w:r>
      <w:r>
        <w:rPr>
          <w:rFonts w:ascii="Times New Roman" w:hAnsi="Times New Roman" w:cs="Times New Roman" w:eastAsia="Times New Roman" w:hint="default"/>
          <w:spacing w:val="-3"/>
        </w:rPr>
        <w:t>“</w:t>
      </w:r>
      <w:r>
        <w:rPr>
          <w:spacing w:val="-3"/>
        </w:rPr>
        <w:t>医卫公司</w:t>
      </w:r>
      <w:r>
        <w:rPr>
          <w:rFonts w:ascii="Times New Roman" w:hAnsi="Times New Roman" w:cs="Times New Roman" w:eastAsia="Times New Roman" w:hint="default"/>
          <w:spacing w:val="-3"/>
        </w:rPr>
        <w:t>”</w:t>
      </w:r>
      <w:r>
        <w:rPr>
          <w:spacing w:val="-3"/>
        </w:rPr>
        <w:t>）拟与公司持股</w:t>
      </w:r>
      <w:r>
        <w:rPr>
          <w:rFonts w:ascii="Times New Roman" w:hAnsi="Times New Roman" w:cs="Times New Roman" w:eastAsia="Times New Roman" w:hint="default"/>
          <w:spacing w:val="-3"/>
        </w:rPr>
        <w:t>5%</w:t>
      </w:r>
      <w:r>
        <w:rPr>
          <w:rFonts w:ascii="Times New Roman" w:hAnsi="Times New Roman" w:cs="Times New Roman" w:eastAsia="Times New Roman" w:hint="default"/>
          <w:spacing w:val="-2"/>
        </w:rPr>
        <w:t> </w:t>
      </w:r>
      <w:r>
        <w:rPr>
          <w:spacing w:val="-2"/>
        </w:rPr>
        <w:t>以上股东微医集团（浙江）有限公司（以下简称</w:t>
      </w:r>
      <w:r>
        <w:rPr>
          <w:rFonts w:ascii="Times New Roman" w:hAnsi="Times New Roman" w:cs="Times New Roman" w:eastAsia="Times New Roman" w:hint="default"/>
          <w:spacing w:val="-2"/>
        </w:rPr>
        <w:t>“</w:t>
      </w:r>
      <w:r>
        <w:rPr>
          <w:spacing w:val="-2"/>
        </w:rPr>
        <w:t>微医集团</w:t>
      </w:r>
      <w:r>
        <w:rPr>
          <w:rFonts w:ascii="Times New Roman" w:hAnsi="Times New Roman" w:cs="Times New Roman" w:eastAsia="Times New Roman" w:hint="default"/>
          <w:spacing w:val="-2"/>
        </w:rPr>
        <w:t>”</w:t>
      </w:r>
      <w:r>
        <w:rPr>
          <w:spacing w:val="-2"/>
        </w:rPr>
        <w:t>）签订《南平健共体项目采购合同》，由医卫公司向微医集团提</w:t>
      </w:r>
      <w:r>
        <w:rPr>
          <w:spacing w:val="-44"/>
        </w:rPr>
        <w:t> </w:t>
      </w:r>
      <w:r>
        <w:rPr>
          <w:spacing w:val="-44"/>
        </w:rPr>
      </w:r>
      <w:r>
        <w:rPr/>
        <w:t>供南平健共体项目相关软件系统，合同总金额为人民币</w:t>
      </w:r>
      <w:r>
        <w:rPr>
          <w:rFonts w:ascii="Times New Roman" w:hAnsi="Times New Roman" w:cs="Times New Roman" w:eastAsia="Times New Roman" w:hint="default"/>
        </w:rPr>
        <w:t>560</w:t>
      </w:r>
      <w:r>
        <w:rPr/>
        <w:t>万元。</w:t>
      </w:r>
    </w:p>
    <w:p>
      <w:pPr>
        <w:pStyle w:val="BodyText"/>
        <w:spacing w:line="309" w:lineRule="auto" w:before="13"/>
        <w:ind w:right="1131" w:firstLine="288"/>
        <w:jc w:val="both"/>
      </w:pPr>
      <w:r>
        <w:rPr>
          <w:spacing w:val="-1"/>
        </w:rPr>
        <w:t>同日，公司第四届董事会第十九次会议审议通过了《关于控股孙公司福建易联众保睿通信息科技有限公司签订采购合同</w:t>
      </w:r>
      <w:r>
        <w:rPr/>
        <w:t> </w:t>
      </w:r>
      <w:r>
        <w:rPr>
          <w:spacing w:val="-2"/>
        </w:rPr>
        <w:t>暨关联交易的议案》。公司控股孙公司福建易联众保睿通信息科技有限公司（以下简称</w:t>
      </w:r>
      <w:r>
        <w:rPr>
          <w:rFonts w:ascii="Times New Roman" w:hAnsi="Times New Roman" w:cs="Times New Roman" w:eastAsia="Times New Roman" w:hint="default"/>
          <w:spacing w:val="-2"/>
        </w:rPr>
        <w:t>“</w:t>
      </w:r>
      <w:r>
        <w:rPr>
          <w:spacing w:val="-2"/>
        </w:rPr>
        <w:t>保睿通</w:t>
      </w:r>
      <w:r>
        <w:rPr>
          <w:rFonts w:ascii="Times New Roman" w:hAnsi="Times New Roman" w:cs="Times New Roman" w:eastAsia="Times New Roman" w:hint="default"/>
          <w:spacing w:val="-2"/>
        </w:rPr>
        <w:t>”</w:t>
      </w:r>
      <w:r>
        <w:rPr>
          <w:spacing w:val="-2"/>
        </w:rPr>
        <w:t>）拟与微医集团签订《南平</w:t>
      </w:r>
      <w:r>
        <w:rPr>
          <w:spacing w:val="-46"/>
        </w:rPr>
        <w:t> </w:t>
      </w:r>
      <w:r>
        <w:rPr>
          <w:spacing w:val="-46"/>
        </w:rPr>
      </w:r>
      <w:r>
        <w:rPr/>
        <w:t>健共体智慧医保项目采购合同》，由微医集团向保睿通购买南平健共体项目相关软件系统，合同总金额为人民币</w:t>
      </w:r>
      <w:r>
        <w:rPr>
          <w:rFonts w:ascii="Times New Roman" w:hAnsi="Times New Roman" w:cs="Times New Roman" w:eastAsia="Times New Roman" w:hint="default"/>
        </w:rPr>
        <w:t>630</w:t>
      </w:r>
      <w:r>
        <w:rPr/>
        <w:t>万元。</w:t>
      </w:r>
    </w:p>
    <w:p>
      <w:pPr>
        <w:pStyle w:val="BodyText"/>
        <w:spacing w:line="240" w:lineRule="auto" w:before="5"/>
        <w:ind w:left="441" w:right="1133"/>
        <w:jc w:val="left"/>
      </w:pPr>
      <w:r>
        <w:rPr/>
        <w:t>（</w:t>
      </w:r>
      <w:r>
        <w:rPr>
          <w:rFonts w:ascii="Times New Roman" w:hAnsi="Times New Roman" w:cs="Times New Roman" w:eastAsia="Times New Roman" w:hint="default"/>
        </w:rPr>
        <w:t>4</w:t>
      </w:r>
      <w:r>
        <w:rPr/>
        <w:t>）关于控股孙公司签订技术开发（委托）合同暨关联交易事项</w:t>
      </w:r>
    </w:p>
    <w:p>
      <w:pPr>
        <w:pStyle w:val="BodyText"/>
        <w:spacing w:line="307" w:lineRule="auto" w:before="63"/>
        <w:ind w:right="1132" w:firstLine="288"/>
        <w:jc w:val="both"/>
      </w:pP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10</w:t>
      </w:r>
      <w:r>
        <w:rPr>
          <w:spacing w:val="-1"/>
        </w:rPr>
        <w:t>日，公司第四届董事会第十九次会议审议通过了《关于控股孙公司福建易联众保睿通信息科技有限公司签</w:t>
      </w:r>
      <w:r>
        <w:rPr/>
        <w:t> </w:t>
      </w:r>
      <w:r>
        <w:rPr>
          <w:spacing w:val="-2"/>
        </w:rPr>
        <w:t>订技术开发（委托）合同暨关联交易的议案》。公司控股孙公司保睿通拟与公司关联法人山东微医泰山慢病互联网医院有限</w:t>
      </w:r>
      <w:r>
        <w:rPr>
          <w:spacing w:val="-66"/>
        </w:rPr>
        <w:t> </w:t>
      </w:r>
      <w:r>
        <w:rPr>
          <w:spacing w:val="-66"/>
        </w:rPr>
      </w:r>
      <w:r>
        <w:rPr>
          <w:spacing w:val="-2"/>
        </w:rPr>
        <w:t>公司（以下简称</w:t>
      </w:r>
      <w:r>
        <w:rPr>
          <w:rFonts w:ascii="Times New Roman" w:hAnsi="Times New Roman" w:cs="Times New Roman" w:eastAsia="Times New Roman" w:hint="default"/>
          <w:spacing w:val="-2"/>
        </w:rPr>
        <w:t>“</w:t>
      </w:r>
      <w:r>
        <w:rPr>
          <w:spacing w:val="-2"/>
        </w:rPr>
        <w:t>山东微医</w:t>
      </w:r>
      <w:r>
        <w:rPr>
          <w:rFonts w:ascii="Times New Roman" w:hAnsi="Times New Roman" w:cs="Times New Roman" w:eastAsia="Times New Roman" w:hint="default"/>
          <w:spacing w:val="-2"/>
        </w:rPr>
        <w:t>”</w:t>
      </w:r>
      <w:r>
        <w:rPr>
          <w:spacing w:val="-2"/>
        </w:rPr>
        <w:t>）签订《技术开发（委托）合同》，由山东微医委托保睿通研究开发泰安市医保智能控费系统建</w:t>
      </w:r>
      <w:r>
        <w:rPr>
          <w:spacing w:val="-46"/>
        </w:rPr>
        <w:t> </w:t>
      </w:r>
      <w:r>
        <w:rPr>
          <w:spacing w:val="-46"/>
        </w:rPr>
      </w:r>
      <w:r>
        <w:rPr/>
        <w:t>设项目，合同总金额为人民币</w:t>
      </w:r>
      <w:r>
        <w:rPr>
          <w:rFonts w:ascii="Times New Roman" w:hAnsi="Times New Roman" w:cs="Times New Roman" w:eastAsia="Times New Roman" w:hint="default"/>
        </w:rPr>
        <w:t>550</w:t>
      </w:r>
      <w:r>
        <w:rPr/>
        <w:t>万元。</w:t>
      </w:r>
    </w:p>
    <w:p>
      <w:pPr>
        <w:pStyle w:val="BodyText"/>
        <w:spacing w:line="240" w:lineRule="auto" w:before="48"/>
        <w:ind w:right="1133"/>
        <w:jc w:val="left"/>
      </w:pPr>
      <w:r>
        <w:rPr/>
        <w:pict>
          <v:group style="position:absolute;margin-left:229.970001pt;margin-top:75.671707pt;width:132.050pt;height:35.3pt;mso-position-horizontal-relative:page;mso-position-vertical-relative:paragraph;z-index:-1326784" coordorigin="4599,1513" coordsize="2641,706">
            <v:group style="position:absolute;left:4599;top:1513;width:2641;height:156" coordorigin="4599,1513" coordsize="2641,156">
              <v:shape style="position:absolute;left:4599;top:1513;width:2641;height:156" coordorigin="4599,1513" coordsize="2641,156" path="m4599,1669l7240,1669,7240,1513,4599,1513,4599,1669xe" filled="true" fillcolor="#ffffff" stroked="false">
                <v:path arrowok="t"/>
                <v:fill type="solid"/>
              </v:shape>
            </v:group>
            <v:group style="position:absolute;left:4599;top:2063;width:2641;height:156" coordorigin="4599,2063" coordsize="2641,156">
              <v:shape style="position:absolute;left:4599;top:2063;width:2641;height:156" coordorigin="4599,2063" coordsize="2641,156" path="m4599,2219l7240,2219,7240,2063,4599,2063,4599,2219xe" filled="true" fillcolor="#ffffff" stroked="false">
                <v:path arrowok="t"/>
                <v:fill type="solid"/>
              </v:shape>
            </v:group>
            <v:group style="position:absolute;left:4621;top:1669;width:2595;height:394" coordorigin="4621,1669" coordsize="2595,394">
              <v:shape style="position:absolute;left:4621;top:1669;width:2595;height:394" coordorigin="4621,1669" coordsize="2595,394" path="m4621,2063l7216,2063,7216,1669,4621,1669,4621,2063xe" filled="true" fillcolor="#ffffff" stroked="false">
                <v:path arrowok="t"/>
                <v:fill type="solid"/>
              </v:shape>
            </v:group>
            <w10:wrap type="none"/>
          </v:group>
        </w:pict>
      </w:r>
      <w:r>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459"/>
        <w:gridCol w:w="2650"/>
        <w:gridCol w:w="3461"/>
      </w:tblGrid>
      <w:tr>
        <w:trPr>
          <w:trHeight w:val="403" w:hRule="exact"/>
        </w:trPr>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9"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8"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13"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left"/>
              <w:rPr>
                <w:rFonts w:ascii="宋体" w:hAnsi="宋体" w:cs="宋体" w:eastAsia="宋体" w:hint="default"/>
                <w:sz w:val="18"/>
                <w:szCs w:val="18"/>
              </w:rPr>
            </w:pPr>
            <w:r>
              <w:rPr>
                <w:rFonts w:ascii="宋体" w:hAnsi="宋体" w:cs="宋体" w:eastAsia="宋体" w:hint="default"/>
                <w:sz w:val="18"/>
                <w:szCs w:val="18"/>
              </w:rPr>
              <w:t>《关于向银行申请授信额度并由关联方提 </w:t>
            </w:r>
            <w:r>
              <w:rPr>
                <w:rFonts w:ascii="宋体" w:hAnsi="宋体" w:cs="宋体" w:eastAsia="宋体" w:hint="default"/>
                <w:spacing w:val="-5"/>
                <w:sz w:val="18"/>
                <w:szCs w:val="18"/>
              </w:rPr>
              <w:t>供担保的公告》（公告编号：</w:t>
            </w:r>
            <w:r>
              <w:rPr>
                <w:rFonts w:ascii="Times New Roman" w:hAnsi="Times New Roman" w:cs="Times New Roman" w:eastAsia="Times New Roman" w:hint="default"/>
                <w:spacing w:val="-5"/>
                <w:sz w:val="18"/>
                <w:szCs w:val="18"/>
              </w:rPr>
              <w:t>2019-061</w:t>
            </w:r>
            <w:r>
              <w:rPr>
                <w:rFonts w:ascii="宋体" w:hAnsi="宋体" w:cs="宋体" w:eastAsia="宋体" w:hint="default"/>
                <w:spacing w:val="-5"/>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71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9"/>
              <w:jc w:val="left"/>
              <w:rPr>
                <w:rFonts w:ascii="Times New Roman" w:hAnsi="Times New Roman" w:cs="Times New Roman" w:eastAsia="Times New Roman" w:hint="default"/>
                <w:sz w:val="18"/>
                <w:szCs w:val="18"/>
              </w:rPr>
            </w:pPr>
            <w:r>
              <w:rPr>
                <w:rFonts w:ascii="宋体" w:hAnsi="宋体" w:cs="宋体" w:eastAsia="宋体" w:hint="default"/>
                <w:sz w:val="18"/>
                <w:szCs w:val="18"/>
              </w:rPr>
              <w:t>《关于控股子公司签署运营服务项目协议 </w:t>
            </w:r>
            <w:r>
              <w:rPr>
                <w:rFonts w:ascii="宋体" w:hAnsi="宋体" w:cs="宋体" w:eastAsia="宋体" w:hint="default"/>
                <w:spacing w:val="-4"/>
                <w:sz w:val="18"/>
                <w:szCs w:val="18"/>
              </w:rPr>
              <w:t>暨关联交易的公告》（公告编号：</w:t>
            </w:r>
            <w:r>
              <w:rPr>
                <w:rFonts w:ascii="Times New Roman" w:hAnsi="Times New Roman" w:cs="Times New Roman" w:eastAsia="Times New Roman" w:hint="default"/>
                <w:spacing w:val="-4"/>
                <w:sz w:val="18"/>
                <w:szCs w:val="18"/>
              </w:rPr>
              <w:t>2019-064</w:t>
            </w:r>
            <w:r>
              <w:rPr>
                <w:rFonts w:ascii="Times New Roman" w:hAnsi="Times New Roman" w:cs="Times New Roman" w:eastAsia="Times New Roman" w:hint="default"/>
                <w:sz w:val="18"/>
                <w:szCs w:val="18"/>
              </w:rPr>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03"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p>
            <w:pPr>
              <w:pStyle w:val="TableParagraph"/>
              <w:spacing w:line="189" w:lineRule="exact"/>
              <w:ind w:left="-133" w:right="0"/>
              <w:jc w:val="left"/>
              <w:rPr>
                <w:rFonts w:ascii="宋体" w:hAnsi="宋体" w:cs="宋体" w:eastAsia="宋体" w:hint="default"/>
                <w:sz w:val="18"/>
                <w:szCs w:val="18"/>
              </w:rPr>
            </w:pPr>
            <w:r>
              <w:rPr>
                <w:rFonts w:ascii="宋体" w:hAnsi="宋体" w:cs="宋体" w:eastAsia="宋体" w:hint="default"/>
                <w:sz w:val="18"/>
                <w:szCs w:val="18"/>
              </w:rPr>
              <w:t>）</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pacing w:val="-1"/>
                <w:sz w:val="18"/>
                <w:szCs w:val="18"/>
              </w:rPr>
              <w:t>《关于公司控股股东、实际控制人为公司申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请银行授信额度提供担保暨关联交易的公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2019-075</w:t>
            </w:r>
            <w:r>
              <w:rPr>
                <w:rFonts w:ascii="宋体" w:hAnsi="宋体" w:cs="宋体" w:eastAsia="宋体" w:hint="default"/>
                <w:spacing w:val="-6"/>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7"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
                <w:sz w:val="18"/>
                <w:szCs w:val="18"/>
              </w:rPr>
              <w:t>《关于公司控股股东、实际控制人为公司申</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请银行授信额度提供担保暨关联交易的公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2019-083</w:t>
            </w:r>
            <w:r>
              <w:rPr>
                <w:rFonts w:ascii="宋体" w:hAnsi="宋体" w:cs="宋体" w:eastAsia="宋体" w:hint="default"/>
                <w:spacing w:val="-6"/>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《关于控股孙公司福建易联众医卫信息技 术有限公司签订采购合同暨关联交易的公 </w:t>
            </w:r>
            <w:r>
              <w:rPr>
                <w:rFonts w:ascii="宋体" w:hAnsi="宋体" w:cs="宋体" w:eastAsia="宋体" w:hint="default"/>
                <w:spacing w:val="-6"/>
                <w:sz w:val="18"/>
                <w:szCs w:val="18"/>
              </w:rPr>
              <w:t>告》（公告编号：</w:t>
            </w:r>
            <w:r>
              <w:rPr>
                <w:rFonts w:ascii="Times New Roman" w:hAnsi="Times New Roman" w:cs="Times New Roman" w:eastAsia="Times New Roman" w:hint="default"/>
                <w:spacing w:val="-6"/>
                <w:sz w:val="18"/>
                <w:szCs w:val="18"/>
              </w:rPr>
              <w:t>2019-090</w:t>
            </w:r>
            <w:r>
              <w:rPr>
                <w:rFonts w:ascii="宋体" w:hAnsi="宋体" w:cs="宋体" w:eastAsia="宋体" w:hint="default"/>
                <w:spacing w:val="-6"/>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8"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《关于控股孙公司福建易联众保睿通信息 </w:t>
            </w:r>
            <w:r>
              <w:rPr>
                <w:rFonts w:ascii="宋体" w:hAnsi="宋体" w:cs="宋体" w:eastAsia="宋体" w:hint="default"/>
                <w:spacing w:val="-1"/>
                <w:sz w:val="18"/>
                <w:szCs w:val="18"/>
              </w:rPr>
              <w:t>科技有限公司签订技术开发（委托）合同暨</w:t>
            </w:r>
            <w:r>
              <w:rPr>
                <w:rFonts w:ascii="宋体" w:hAnsi="宋体" w:cs="宋体" w:eastAsia="宋体" w:hint="default"/>
                <w:sz w:val="18"/>
                <w:szCs w:val="18"/>
              </w:rPr>
              <w:t> </w:t>
            </w:r>
            <w:r>
              <w:rPr>
                <w:rFonts w:ascii="宋体" w:hAnsi="宋体" w:cs="宋体" w:eastAsia="宋体" w:hint="default"/>
                <w:spacing w:val="-4"/>
                <w:sz w:val="18"/>
                <w:szCs w:val="18"/>
              </w:rPr>
              <w:t>关联交易的公告》（公告编号：</w:t>
            </w:r>
            <w:r>
              <w:rPr>
                <w:rFonts w:ascii="Times New Roman" w:hAnsi="Times New Roman" w:cs="Times New Roman" w:eastAsia="Times New Roman" w:hint="default"/>
                <w:spacing w:val="-4"/>
                <w:sz w:val="18"/>
                <w:szCs w:val="18"/>
              </w:rPr>
              <w:t>2019-091</w:t>
            </w:r>
            <w:r>
              <w:rPr>
                <w:rFonts w:ascii="宋体" w:hAnsi="宋体" w:cs="宋体" w:eastAsia="宋体" w:hint="default"/>
                <w:spacing w:val="-4"/>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1025" w:hRule="exact"/>
        </w:trPr>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3"/>
              <w:jc w:val="both"/>
              <w:rPr>
                <w:rFonts w:ascii="宋体" w:hAnsi="宋体" w:cs="宋体" w:eastAsia="宋体" w:hint="default"/>
                <w:sz w:val="18"/>
                <w:szCs w:val="18"/>
              </w:rPr>
            </w:pPr>
            <w:r>
              <w:rPr>
                <w:rFonts w:ascii="宋体" w:hAnsi="宋体" w:cs="宋体" w:eastAsia="宋体" w:hint="default"/>
                <w:sz w:val="18"/>
                <w:szCs w:val="18"/>
              </w:rPr>
              <w:t>《关于控股孙公司福建易联众保睿通信息 科技有限公司签订采购合同暨关联交易的 </w:t>
            </w:r>
            <w:r>
              <w:rPr>
                <w:rFonts w:ascii="宋体" w:hAnsi="宋体" w:cs="宋体" w:eastAsia="宋体" w:hint="default"/>
                <w:spacing w:val="-6"/>
                <w:sz w:val="18"/>
                <w:szCs w:val="18"/>
              </w:rPr>
              <w:t>公告》（公告编号：</w:t>
            </w:r>
            <w:r>
              <w:rPr>
                <w:rFonts w:ascii="Times New Roman" w:hAnsi="Times New Roman" w:cs="Times New Roman" w:eastAsia="Times New Roman" w:hint="default"/>
                <w:spacing w:val="-6"/>
                <w:sz w:val="18"/>
                <w:szCs w:val="18"/>
              </w:rPr>
              <w:t>2019-092</w:t>
            </w:r>
            <w:r>
              <w:rPr>
                <w:rFonts w:ascii="宋体" w:hAnsi="宋体" w:cs="宋体" w:eastAsia="宋体" w:hint="default"/>
                <w:spacing w:val="-6"/>
                <w:sz w:val="18"/>
                <w:szCs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w:t>
            </w:r>
          </w:p>
        </w:tc>
        <w:tc>
          <w:tcPr>
            <w:tcW w:w="3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公司报告期不存在托管情况。</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公司报告期不存在承包情况。</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租赁情况说明</w:t>
      </w:r>
    </w:p>
    <w:p>
      <w:pPr>
        <w:pStyle w:val="BodyText"/>
        <w:spacing w:line="240" w:lineRule="auto" w:before="43"/>
        <w:ind w:left="441" w:right="1133"/>
        <w:jc w:val="left"/>
      </w:pPr>
      <w:r>
        <w:rPr>
          <w:rFonts w:ascii="Times New Roman" w:hAnsi="Times New Roman" w:cs="Times New Roman" w:eastAsia="Times New Roman" w:hint="default"/>
        </w:rPr>
        <w:t>1</w:t>
      </w:r>
      <w:r>
        <w:rPr/>
        <w:t>）关于办理固定资产售后回租融资租赁业务的事项</w:t>
      </w:r>
    </w:p>
    <w:p>
      <w:pPr>
        <w:pStyle w:val="BodyText"/>
        <w:spacing w:line="304" w:lineRule="auto" w:before="63"/>
        <w:ind w:right="1038" w:firstLine="288"/>
        <w:jc w:val="left"/>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9</w:t>
      </w:r>
      <w:r>
        <w:rPr>
          <w:spacing w:val="-2"/>
        </w:rPr>
        <w:t>日，公司第三届董事会第三十一次会议审议通过了《关于公司办理固定资产售后回租融资租赁业务的议案》。</w:t>
      </w:r>
      <w:r>
        <w:rPr/>
        <w:t> </w:t>
      </w:r>
      <w:r>
        <w:rPr>
          <w:spacing w:val="-2"/>
        </w:rPr>
        <w:t>公司向厦门弘信博格融资租赁有限公司申请固定资产售后回租融资租赁业务，租赁物为公司部分机器设备及运输设备，公司</w:t>
      </w:r>
      <w:r>
        <w:rPr>
          <w:spacing w:val="-64"/>
        </w:rPr>
        <w:t> </w:t>
      </w:r>
      <w:r>
        <w:rPr>
          <w:spacing w:val="-64"/>
        </w:rPr>
      </w:r>
      <w:r>
        <w:rPr>
          <w:spacing w:val="-2"/>
        </w:rPr>
        <w:t>将上述租赁物出售给厦门弘信博格融资租赁有限公司，并回租使用，融资额度</w:t>
      </w:r>
      <w:r>
        <w:rPr>
          <w:rFonts w:ascii="Times New Roman" w:hAnsi="Times New Roman" w:cs="Times New Roman" w:eastAsia="Times New Roman" w:hint="default"/>
          <w:spacing w:val="-2"/>
        </w:rPr>
        <w:t>800</w:t>
      </w:r>
      <w:r>
        <w:rPr>
          <w:spacing w:val="-2"/>
        </w:rPr>
        <w:t>万元，期限</w:t>
      </w:r>
      <w:r>
        <w:rPr>
          <w:rFonts w:ascii="Times New Roman" w:hAnsi="Times New Roman" w:cs="Times New Roman" w:eastAsia="Times New Roman" w:hint="default"/>
          <w:spacing w:val="-2"/>
        </w:rPr>
        <w:t>2</w:t>
      </w:r>
      <w:r>
        <w:rPr>
          <w:spacing w:val="-2"/>
        </w:rPr>
        <w:t>年。</w:t>
      </w:r>
      <w:r>
        <w:rPr>
          <w:rFonts w:ascii="Times New Roman" w:hAnsi="Times New Roman" w:cs="Times New Roman" w:eastAsia="Times New Roman" w:hint="default"/>
          <w:spacing w:val="-2"/>
        </w:rPr>
        <w:t>2019</w:t>
      </w:r>
      <w:r>
        <w:rPr>
          <w:spacing w:val="-2"/>
        </w:rPr>
        <w:t>年上半年公司共支付</w:t>
      </w:r>
      <w:r>
        <w:rPr>
          <w:spacing w:val="-60"/>
        </w:rPr>
        <w:t> </w:t>
      </w:r>
      <w:r>
        <w:rPr>
          <w:spacing w:val="-60"/>
        </w:rPr>
      </w:r>
      <w:r>
        <w:rPr>
          <w:spacing w:val="-2"/>
        </w:rPr>
        <w:t>租金</w:t>
      </w:r>
      <w:r>
        <w:rPr>
          <w:rFonts w:ascii="Times New Roman" w:hAnsi="Times New Roman" w:cs="Times New Roman" w:eastAsia="Times New Roman" w:hint="default"/>
          <w:spacing w:val="-2"/>
        </w:rPr>
        <w:t>2,108,346</w:t>
      </w:r>
      <w:r>
        <w:rPr>
          <w:spacing w:val="-2"/>
        </w:rPr>
        <w:t>元。截止</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日，公司已偿还上述售后回租融资租赁业务全部本金和利息，合同已届满终止，相关固定</w:t>
      </w:r>
      <w:r>
        <w:rPr>
          <w:spacing w:val="-56"/>
        </w:rPr>
        <w:t> </w:t>
      </w:r>
      <w:r>
        <w:rPr>
          <w:spacing w:val="-56"/>
        </w:rPr>
      </w:r>
      <w:r>
        <w:rPr/>
        <w:t>资产所有权转归公司所有。</w:t>
      </w:r>
    </w:p>
    <w:p>
      <w:pPr>
        <w:pStyle w:val="BodyText"/>
        <w:spacing w:line="240" w:lineRule="auto" w:before="28"/>
        <w:ind w:left="441" w:right="1133"/>
        <w:jc w:val="left"/>
      </w:pPr>
      <w:r>
        <w:rPr>
          <w:rFonts w:ascii="Times New Roman" w:hAnsi="Times New Roman" w:cs="Times New Roman" w:eastAsia="Times New Roman" w:hint="default"/>
        </w:rPr>
        <w:t>2</w:t>
      </w:r>
      <w:r>
        <w:rPr/>
        <w:t>）关于原全资子公司房屋租赁暨关联交易的事项</w:t>
      </w:r>
    </w:p>
    <w:p>
      <w:pPr>
        <w:pStyle w:val="BodyText"/>
        <w:spacing w:line="304" w:lineRule="auto" w:before="63"/>
        <w:ind w:right="1123" w:firstLine="288"/>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日，公司第三届董事会第三十二次会议审议通过了《关于全资子公司房屋租赁暨关联交易的议案》，原公 </w:t>
      </w:r>
      <w:r>
        <w:rPr>
          <w:spacing w:val="-2"/>
        </w:rPr>
        <w:t>司全资子公司厦门易联众商业保理有限公司（以下简称</w:t>
      </w:r>
      <w:r>
        <w:rPr>
          <w:rFonts w:ascii="Times New Roman" w:hAnsi="Times New Roman" w:cs="Times New Roman" w:eastAsia="Times New Roman" w:hint="default"/>
          <w:spacing w:val="-2"/>
        </w:rPr>
        <w:t>“</w:t>
      </w:r>
      <w:r>
        <w:rPr>
          <w:spacing w:val="-2"/>
        </w:rPr>
        <w:t>保理公司</w:t>
      </w:r>
      <w:r>
        <w:rPr>
          <w:rFonts w:ascii="Times New Roman" w:hAnsi="Times New Roman" w:cs="Times New Roman" w:eastAsia="Times New Roman" w:hint="default"/>
          <w:spacing w:val="-2"/>
        </w:rPr>
        <w:t>”</w:t>
      </w:r>
      <w:r>
        <w:rPr>
          <w:spacing w:val="-2"/>
        </w:rPr>
        <w:t>，公司已于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月转让保理公司全部股权）与北京喜</w:t>
      </w:r>
      <w:r>
        <w:rPr>
          <w:spacing w:val="-39"/>
        </w:rPr>
        <w:t> </w:t>
      </w:r>
      <w:r>
        <w:rPr>
          <w:spacing w:val="-39"/>
        </w:rPr>
      </w:r>
      <w:r>
        <w:rPr>
          <w:spacing w:val="-2"/>
        </w:rPr>
        <w:t>盟资产管理有限公司（其原控股股东、实际控制人为公司控股股东、董事长张曦先生）签订《写字楼租赁合同》，向其租赁</w:t>
      </w:r>
      <w:r>
        <w:rPr>
          <w:spacing w:val="-73"/>
        </w:rPr>
        <w:t> </w:t>
      </w:r>
      <w:r>
        <w:rPr>
          <w:spacing w:val="-73"/>
        </w:rPr>
      </w:r>
      <w:r>
        <w:rPr/>
        <w:t>位于北京市朝阳区朝阳公园南路</w:t>
      </w:r>
      <w:r>
        <w:rPr>
          <w:rFonts w:ascii="Times New Roman" w:hAnsi="Times New Roman" w:cs="Times New Roman" w:eastAsia="Times New Roman" w:hint="default"/>
        </w:rPr>
        <w:t>10</w:t>
      </w:r>
      <w:r>
        <w:rPr/>
        <w:t>号院</w:t>
      </w:r>
      <w:r>
        <w:rPr>
          <w:rFonts w:ascii="Times New Roman" w:hAnsi="Times New Roman" w:cs="Times New Roman" w:eastAsia="Times New Roman" w:hint="default"/>
        </w:rPr>
        <w:t>1</w:t>
      </w:r>
      <w:r>
        <w:rPr/>
        <w:t>号楼</w:t>
      </w:r>
      <w:r>
        <w:rPr>
          <w:rFonts w:ascii="Times New Roman" w:hAnsi="Times New Roman" w:cs="Times New Roman" w:eastAsia="Times New Roman" w:hint="default"/>
        </w:rPr>
        <w:t>11</w:t>
      </w:r>
      <w:r>
        <w:rPr/>
        <w:t>层</w:t>
      </w:r>
      <w:r>
        <w:rPr>
          <w:rFonts w:ascii="Times New Roman" w:hAnsi="Times New Roman" w:cs="Times New Roman" w:eastAsia="Times New Roman" w:hint="default"/>
        </w:rPr>
        <w:t>1101</w:t>
      </w:r>
      <w:r>
        <w:rPr/>
        <w:t>、</w:t>
      </w:r>
      <w:r>
        <w:rPr>
          <w:rFonts w:ascii="Times New Roman" w:hAnsi="Times New Roman" w:cs="Times New Roman" w:eastAsia="Times New Roman" w:hint="default"/>
        </w:rPr>
        <w:t>1102</w:t>
      </w:r>
      <w:r>
        <w:rPr>
          <w:rFonts w:ascii="Times New Roman" w:hAnsi="Times New Roman" w:cs="Times New Roman" w:eastAsia="Times New Roman" w:hint="default"/>
          <w:spacing w:val="-2"/>
        </w:rPr>
        <w:t> </w:t>
      </w:r>
      <w:r>
        <w:rPr>
          <w:spacing w:val="-6"/>
        </w:rPr>
        <w:t>室，租赁期限为</w:t>
      </w:r>
      <w:r>
        <w:rPr>
          <w:rFonts w:ascii="Times New Roman" w:hAnsi="Times New Roman" w:cs="Times New Roman" w:eastAsia="Times New Roman" w:hint="default"/>
          <w:spacing w:val="-6"/>
        </w:rPr>
        <w:t>3</w:t>
      </w:r>
      <w:r>
        <w:rPr>
          <w:spacing w:val="-6"/>
        </w:rPr>
        <w:t>年，自</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1</w:t>
      </w:r>
      <w:r>
        <w:rPr>
          <w:spacing w:val="-6"/>
        </w:rPr>
        <w:t>日至</w:t>
      </w:r>
      <w:r>
        <w:rPr>
          <w:rFonts w:ascii="Times New Roman" w:hAnsi="Times New Roman" w:cs="Times New Roman" w:eastAsia="Times New Roman" w:hint="default"/>
          <w:spacing w:val="-6"/>
        </w:rPr>
        <w:t>2020</w:t>
      </w:r>
      <w:r>
        <w:rPr>
          <w:spacing w:val="-6"/>
        </w:rPr>
        <w:t>年</w:t>
      </w:r>
      <w:r>
        <w:rPr>
          <w:rFonts w:ascii="Times New Roman" w:hAnsi="Times New Roman" w:cs="Times New Roman" w:eastAsia="Times New Roman" w:hint="default"/>
          <w:spacing w:val="-6"/>
        </w:rPr>
        <w:t>5</w:t>
      </w:r>
      <w:r>
        <w:rPr>
          <w:spacing w:val="-6"/>
        </w:rPr>
        <w:t>月</w:t>
      </w:r>
      <w:r>
        <w:rPr>
          <w:rFonts w:ascii="Times New Roman" w:hAnsi="Times New Roman" w:cs="Times New Roman" w:eastAsia="Times New Roman" w:hint="default"/>
          <w:spacing w:val="-6"/>
        </w:rPr>
        <w:t>31</w:t>
      </w:r>
      <w:r>
        <w:rPr>
          <w:spacing w:val="-6"/>
        </w:rPr>
        <w:t>日止。</w:t>
      </w:r>
      <w:r>
        <w:rPr>
          <w:rFonts w:ascii="Times New Roman" w:hAnsi="Times New Roman" w:cs="Times New Roman" w:eastAsia="Times New Roman" w:hint="default"/>
          <w:spacing w:val="-6"/>
        </w:rPr>
        <w:t>2019</w:t>
      </w:r>
      <w:r>
        <w:rPr>
          <w:rFonts w:ascii="Times New Roman" w:hAnsi="Times New Roman" w:cs="Times New Roman" w:eastAsia="Times New Roman" w:hint="default"/>
        </w:rPr>
        <w:t> </w:t>
      </w:r>
      <w:r>
        <w:rPr/>
        <w:t>年保理公司共支付租金及物业费</w:t>
      </w:r>
      <w:r>
        <w:rPr>
          <w:rFonts w:ascii="Times New Roman" w:hAnsi="Times New Roman" w:cs="Times New Roman" w:eastAsia="Times New Roman" w:hint="default"/>
        </w:rPr>
        <w:t>2,893,792.09</w:t>
      </w:r>
      <w:r>
        <w:rPr/>
        <w:t>元。</w:t>
      </w:r>
    </w:p>
    <w:p>
      <w:pPr>
        <w:pStyle w:val="BodyText"/>
        <w:spacing w:line="240" w:lineRule="auto" w:before="50"/>
        <w:ind w:right="1133"/>
        <w:jc w:val="left"/>
      </w:pPr>
      <w:r>
        <w:rPr/>
        <w:t>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01"/>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BodyText"/>
        <w:spacing w:line="240" w:lineRule="auto" w:before="103"/>
        <w:ind w:right="1133"/>
        <w:jc w:val="left"/>
      </w:pPr>
      <w:r>
        <w:rPr/>
        <w:t>公司报告期不存在为公司带来的损益达到公司报告期利润总额</w:t>
      </w:r>
      <w:r>
        <w:rPr>
          <w:spacing w:val="-44"/>
        </w:rPr>
        <w:t> </w:t>
      </w:r>
      <w:r>
        <w:rPr>
          <w:rFonts w:ascii="Times New Roman" w:hAnsi="Times New Roman" w:cs="Times New Roman" w:eastAsia="Times New Roman" w:hint="default"/>
        </w:rPr>
        <w:t>10%</w:t>
      </w:r>
      <w:r>
        <w:rPr/>
        <w:t>以上的租赁项目。</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、重大担保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）担保情况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8"/>
        <w:gridCol w:w="928"/>
        <w:gridCol w:w="923"/>
        <w:gridCol w:w="1296"/>
        <w:gridCol w:w="1064"/>
        <w:gridCol w:w="1034"/>
        <w:gridCol w:w="1049"/>
        <w:gridCol w:w="792"/>
        <w:gridCol w:w="780"/>
      </w:tblGrid>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1"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7"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0" w:right="95"/>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9"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2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401" w:hRule="exact"/>
        </w:trPr>
        <w:tc>
          <w:tcPr>
            <w:tcW w:w="9574"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8" w:hRule="exact"/>
        </w:trPr>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95" w:right="100"/>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9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实际发生日期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37" w:right="7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1"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3" w:right="24"/>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bl>
    <w:p>
      <w:pPr>
        <w:spacing w:after="0" w:line="319"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709"/>
        <w:gridCol w:w="923"/>
        <w:gridCol w:w="911"/>
        <w:gridCol w:w="1313"/>
        <w:gridCol w:w="1044"/>
        <w:gridCol w:w="1054"/>
        <w:gridCol w:w="1047"/>
        <w:gridCol w:w="785"/>
        <w:gridCol w:w="790"/>
      </w:tblGrid>
      <w:tr>
        <w:trPr>
          <w:trHeight w:val="402"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r>
        <w:trPr>
          <w:trHeight w:val="1026"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3" w:right="97"/>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88"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427" w:right="65" w:hanging="361"/>
              <w:jc w:val="left"/>
              <w:rPr>
                <w:rFonts w:ascii="宋体" w:hAnsi="宋体" w:cs="宋体" w:eastAsia="宋体" w:hint="default"/>
                <w:sz w:val="18"/>
                <w:szCs w:val="18"/>
              </w:rPr>
            </w:pPr>
            <w:r>
              <w:rPr>
                <w:rFonts w:ascii="宋体" w:hAnsi="宋体" w:cs="宋体" w:eastAsia="宋体" w:hint="default"/>
                <w:sz w:val="18"/>
                <w:szCs w:val="18"/>
              </w:rPr>
              <w:t>实际担保金 额</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163"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7"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08" w:right="24"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8" w:right="29"/>
              <w:jc w:val="left"/>
              <w:rPr>
                <w:rFonts w:ascii="宋体" w:hAnsi="宋体" w:cs="宋体" w:eastAsia="宋体" w:hint="default"/>
                <w:sz w:val="18"/>
                <w:szCs w:val="18"/>
              </w:rPr>
            </w:pPr>
            <w:r>
              <w:rPr>
                <w:rFonts w:ascii="宋体" w:hAnsi="宋体" w:cs="宋体" w:eastAsia="宋体" w:hint="default"/>
                <w:sz w:val="18"/>
                <w:szCs w:val="18"/>
              </w:rPr>
              <w:t>是否为关 联方担保</w:t>
            </w:r>
          </w:p>
        </w:tc>
      </w:tr>
      <w:tr>
        <w:trPr>
          <w:trHeight w:val="713"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53"/>
              <w:jc w:val="left"/>
              <w:rPr>
                <w:rFonts w:ascii="宋体" w:hAnsi="宋体" w:cs="宋体" w:eastAsia="宋体" w:hint="default"/>
                <w:sz w:val="18"/>
                <w:szCs w:val="18"/>
              </w:rPr>
            </w:pPr>
            <w:r>
              <w:rPr>
                <w:rFonts w:ascii="宋体" w:hAnsi="宋体" w:cs="宋体" w:eastAsia="宋体" w:hint="default"/>
                <w:sz w:val="18"/>
                <w:szCs w:val="18"/>
              </w:rPr>
              <w:t>厦门易联众融资租赁 有限公司</w:t>
            </w:r>
          </w:p>
        </w:tc>
        <w:tc>
          <w:tcPr>
            <w:tcW w:w="9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4" w:right="0"/>
              <w:jc w:val="left"/>
              <w:rPr>
                <w:rFonts w:ascii="Times New Roman" w:hAnsi="Times New Roman" w:cs="Times New Roman" w:eastAsia="Times New Roman" w:hint="default"/>
                <w:sz w:val="18"/>
                <w:szCs w:val="18"/>
              </w:rPr>
            </w:pPr>
            <w:r>
              <w:rPr>
                <w:rFonts w:ascii="Times New Roman"/>
                <w:sz w:val="18"/>
              </w:rPr>
              <w:t>3,950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07" w:right="0"/>
              <w:jc w:val="left"/>
              <w:rPr>
                <w:rFonts w:ascii="Times New Roman" w:hAnsi="Times New Roman" w:cs="Times New Roman" w:eastAsia="Times New Roman" w:hint="default"/>
                <w:sz w:val="18"/>
                <w:szCs w:val="18"/>
              </w:rPr>
            </w:pPr>
            <w:r>
              <w:rPr>
                <w:rFonts w:ascii="Times New Roman"/>
                <w:sz w:val="18"/>
              </w:rPr>
              <w:t>3,950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连带责任保 证</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7"/>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82"/>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w:t>
            </w:r>
          </w:p>
        </w:tc>
      </w:tr>
      <w:tr>
        <w:trPr>
          <w:trHeight w:val="715"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76"/>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82"/>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6"/>
              <w:ind w:left="24" w:right="82"/>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3,950</w:t>
            </w:r>
          </w:p>
        </w:tc>
      </w:tr>
      <w:tr>
        <w:trPr>
          <w:trHeight w:val="719" w:hRule="exact"/>
        </w:trPr>
        <w:tc>
          <w:tcPr>
            <w:tcW w:w="26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224"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20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82"/>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397" w:hRule="exact"/>
        </w:trPr>
        <w:tc>
          <w:tcPr>
            <w:tcW w:w="95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22"/>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4" w:right="20"/>
              <w:jc w:val="left"/>
              <w:rPr>
                <w:rFonts w:ascii="宋体" w:hAnsi="宋体" w:cs="宋体" w:eastAsia="宋体" w:hint="default"/>
                <w:sz w:val="18"/>
                <w:szCs w:val="18"/>
              </w:rPr>
            </w:pPr>
            <w:r>
              <w:rPr>
                <w:rFonts w:ascii="宋体" w:hAnsi="宋体" w:cs="宋体" w:eastAsia="宋体" w:hint="default"/>
                <w:spacing w:val="-3"/>
                <w:sz w:val="18"/>
                <w:szCs w:val="18"/>
              </w:rPr>
              <w:t>对未到期担保，报告期内已发生担保责任或可能承担连带清偿</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责任的情况说明（如有）</w:t>
            </w:r>
          </w:p>
        </w:tc>
        <w:tc>
          <w:tcPr>
            <w:tcW w:w="4719" w:type="dxa"/>
            <w:gridSpan w:val="5"/>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8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9"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1133"/>
        <w:jc w:val="left"/>
      </w:pPr>
      <w:r>
        <w:rPr/>
        <w:t>采用复合方式担保的具体情况说明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）违规对外担保情况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公司报告期无违规对外担保情况。</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公司报告期不存在委托理财。</w:t>
      </w:r>
    </w:p>
    <w:p>
      <w:pPr>
        <w:spacing w:after="0" w:line="338"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）委托贷款情况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公司报告期不存在委托贷款。</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公司报告期不存在其他重大合同。</w:t>
      </w:r>
    </w:p>
    <w:p>
      <w:pPr>
        <w:spacing w:line="240" w:lineRule="auto" w:before="9"/>
        <w:rPr>
          <w:rFonts w:ascii="宋体" w:hAnsi="宋体" w:cs="宋体" w:eastAsia="宋体" w:hint="default"/>
          <w:sz w:val="19"/>
          <w:szCs w:val="19"/>
        </w:rPr>
      </w:pPr>
    </w:p>
    <w:p>
      <w:pPr>
        <w:pStyle w:val="Heading2"/>
        <w:spacing w:line="240" w:lineRule="auto"/>
        <w:ind w:right="1133"/>
        <w:jc w:val="left"/>
        <w:rPr>
          <w:b w:val="0"/>
          <w:bCs w:val="0"/>
        </w:rPr>
      </w:pP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、履行社会责任情况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2" w:firstLine="288"/>
        <w:jc w:val="left"/>
      </w:pPr>
      <w:r>
        <w:rPr>
          <w:spacing w:val="-2"/>
        </w:rPr>
        <w:t>公司积极履行应尽的社会义务，在不断为股东创造价值的同时，积极承担对员工、客户、社会等其他利益相关者的责任。</w:t>
      </w:r>
      <w:r>
        <w:rPr/>
        <w:t> </w:t>
      </w:r>
      <w:r>
        <w:rPr>
          <w:spacing w:val="-4"/>
        </w:rPr>
        <w:t>通过建立健全公司内部管理和控制制度，组织协调各职能部门工作，持续深入开展公司治理活动。公司严格按照《公司章程》</w:t>
      </w:r>
      <w:r>
        <w:rPr>
          <w:spacing w:val="-46"/>
        </w:rPr>
        <w:t> </w:t>
      </w:r>
      <w:r>
        <w:rPr>
          <w:spacing w:val="-46"/>
        </w:rPr>
      </w:r>
      <w:r>
        <w:rPr>
          <w:spacing w:val="-2"/>
        </w:rPr>
        <w:t>的规定和要求，规范股东大会的召集、召开及表决程序，通过现场、网络等合法有效的方式，让更多的股东特别是中小股东</w:t>
      </w:r>
      <w:r>
        <w:rPr>
          <w:spacing w:val="-66"/>
        </w:rPr>
        <w:t> </w:t>
      </w:r>
      <w:r>
        <w:rPr>
          <w:spacing w:val="-66"/>
        </w:rPr>
      </w:r>
      <w:r>
        <w:rPr>
          <w:spacing w:val="-2"/>
        </w:rPr>
        <w:t>能够参加股东大会，确保股东对公司重大事项的知情权、参与权和表决权。公司严格按照《公司法》、《深圳证券交易所创</w:t>
      </w:r>
      <w:r>
        <w:rPr>
          <w:spacing w:val="-69"/>
        </w:rPr>
        <w:t> </w:t>
      </w:r>
      <w:r>
        <w:rPr>
          <w:spacing w:val="-69"/>
        </w:rPr>
      </w:r>
      <w:r>
        <w:rPr>
          <w:spacing w:val="-2"/>
        </w:rPr>
        <w:t>业板股票上市规则》、《上市公司信息披露管理办法》等相关法律法规及规范性文件的要求，及时、准确、真实、完整、公</w:t>
      </w:r>
      <w:r>
        <w:rPr>
          <w:spacing w:val="-68"/>
        </w:rPr>
        <w:t> </w:t>
      </w:r>
      <w:r>
        <w:rPr>
          <w:spacing w:val="-68"/>
        </w:rPr>
      </w:r>
      <w:r>
        <w:rPr>
          <w:spacing w:val="-2"/>
        </w:rPr>
        <w:t>平地进行信息披露，通过投资者电话、电子邮箱、公司网站和投资者关系互动平台等多种方式与投资者进行沟通交流，提高</w:t>
      </w:r>
      <w:r>
        <w:rPr>
          <w:spacing w:val="-64"/>
        </w:rPr>
        <w:t> </w:t>
      </w:r>
      <w:r>
        <w:rPr>
          <w:spacing w:val="-64"/>
        </w:rPr>
      </w:r>
      <w:r>
        <w:rPr/>
        <w:t>公司的透明度。公司非常重视对投资者的合理回报，制定了相对稳定的利润分配政策和分红方案以回报股东。</w:t>
      </w:r>
    </w:p>
    <w:p>
      <w:pPr>
        <w:pStyle w:val="BodyText"/>
        <w:spacing w:line="316" w:lineRule="auto" w:before="19"/>
        <w:ind w:right="1034" w:firstLine="288"/>
        <w:jc w:val="left"/>
      </w:pPr>
      <w:r>
        <w:rPr/>
        <w:t>公司一直坚持以人为本的人才理念，重视员工的未来职业发展规划，严格遵守《劳动法》、《劳动合同法》等相关法律 法规，注重员工的安全、劳动保护和身心健康，尊重和维护员工的个人权益；坚持以内部培训为主，委外培训为辅的原则， </w:t>
      </w:r>
      <w:r>
        <w:rPr>
          <w:spacing w:val="-2"/>
        </w:rPr>
        <w:t>通过项目经理培训、新员工培训、核心干部培训、高级管理人员培训、业务培训、技术沙龙等内容丰富、形式灵活的培训活</w:t>
      </w:r>
      <w:r>
        <w:rPr>
          <w:spacing w:val="-68"/>
        </w:rPr>
        <w:t> </w:t>
      </w:r>
      <w:r>
        <w:rPr>
          <w:spacing w:val="-68"/>
        </w:rPr>
      </w:r>
      <w:r>
        <w:rPr>
          <w:spacing w:val="-2"/>
        </w:rPr>
        <w:t>动使员工得到切实的提高和发展；建立了较为完善的薪酬福利、绩效考核体系，为员工提供了良好的劳动环境，重视人才培</w:t>
      </w:r>
      <w:r>
        <w:rPr>
          <w:spacing w:val="-64"/>
        </w:rPr>
        <w:t> </w:t>
      </w:r>
      <w:r>
        <w:rPr>
          <w:spacing w:val="-64"/>
        </w:rPr>
      </w:r>
      <w:r>
        <w:rPr/>
        <w:t>养，实现员工与企业的共同成长。</w:t>
      </w:r>
    </w:p>
    <w:p>
      <w:pPr>
        <w:pStyle w:val="BodyText"/>
        <w:spacing w:line="316" w:lineRule="auto" w:before="19"/>
        <w:ind w:right="0" w:firstLine="288"/>
        <w:jc w:val="left"/>
      </w:pPr>
      <w:r>
        <w:rPr/>
        <w:t>公司通过持续的技术创新来满足客户的需求，通过加强产品质量来提升客户服务满意度，从而塑造良好的口碑。公司始 </w:t>
      </w:r>
      <w:r>
        <w:rPr>
          <w:spacing w:val="-4"/>
        </w:rPr>
        <w:t>终将依法经营作为公司运行的基本原则，注重企业经济效益与社会效益的共赢。公司严格遵守国家法律、法规、政策的规定，</w:t>
      </w:r>
      <w:r>
        <w:rPr>
          <w:spacing w:val="-46"/>
        </w:rPr>
        <w:t> </w:t>
      </w:r>
      <w:r>
        <w:rPr>
          <w:spacing w:val="-46"/>
        </w:rPr>
      </w:r>
      <w:r>
        <w:rPr/>
        <w:t>始终依法经营，积极纳税，发展就业岗位，支持地方经济的发展。</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公司报告年度暂未开展精准扶贫工作，也暂无后续精准扶贫计划。</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、环境保护相关的情况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5714"/>
        <w:jc w:val="left"/>
      </w:pPr>
      <w:r>
        <w:rPr/>
        <w:t>上市公司及其子公司是否属于环境保护部门公布的重点排污单位 否</w:t>
      </w:r>
    </w:p>
    <w:p>
      <w:pPr>
        <w:pStyle w:val="BodyText"/>
        <w:spacing w:line="316" w:lineRule="auto" w:before="29"/>
        <w:ind w:right="1135" w:firstLine="360"/>
        <w:jc w:val="both"/>
      </w:pPr>
      <w:r>
        <w:rPr>
          <w:spacing w:val="-2"/>
        </w:rPr>
        <w:t>公司及子公司在日常生产经营中认真执行《中华人民共和国环境保护法》、《中华人民共和国水污染防治法》、《中华</w:t>
      </w:r>
      <w:r>
        <w:rPr/>
        <w:t> </w:t>
      </w:r>
      <w:r>
        <w:rPr>
          <w:spacing w:val="-2"/>
        </w:rPr>
        <w:t>人民共和国大气污染防治法》、《中华人民共和国环境噪声污染防治法》、《中华人民共和国固体废物污染防治法》等环保</w:t>
      </w:r>
      <w:r>
        <w:rPr>
          <w:spacing w:val="-69"/>
        </w:rPr>
        <w:t> </w:t>
      </w:r>
      <w:r>
        <w:rPr>
          <w:spacing w:val="-69"/>
        </w:rPr>
      </w:r>
      <w:r>
        <w:rPr/>
        <w:t>方面的法律法规，报告期内未出现因违法违规而受到处罚的情况。</w:t>
      </w:r>
    </w:p>
    <w:p>
      <w:pPr>
        <w:spacing w:after="0" w:line="316" w:lineRule="auto"/>
        <w:jc w:val="both"/>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十八、其他重大事项的说明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w:t>
      </w:r>
      <w:r>
        <w:rPr/>
        <w:t>、关于控股股东、实际控制人及其一致行动人持股情况调整及权益变动的事项</w:t>
      </w:r>
    </w:p>
    <w:p>
      <w:pPr>
        <w:pStyle w:val="BodyText"/>
        <w:spacing w:line="302" w:lineRule="auto" w:before="63"/>
        <w:ind w:right="1130"/>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日，公司接到控股股东张曦先生通知，获悉张曦先生为优化持股结构，拟通过其全资控股的厦门麟 </w:t>
      </w:r>
      <w:r>
        <w:rPr>
          <w:spacing w:val="-1"/>
        </w:rPr>
        <w:t>真以协议转让方式受让其委托兴业国际信托有限公司设立的</w:t>
      </w:r>
      <w:r>
        <w:rPr>
          <w:rFonts w:ascii="Times New Roman" w:hAnsi="Times New Roman" w:cs="Times New Roman" w:eastAsia="Times New Roman" w:hint="default"/>
          <w:spacing w:val="-1"/>
        </w:rPr>
        <w:t>“</w:t>
      </w:r>
      <w:r>
        <w:rPr>
          <w:spacing w:val="-1"/>
        </w:rPr>
        <w:t>兴业信托－兴运扶摇</w:t>
      </w:r>
      <w:r>
        <w:rPr>
          <w:rFonts w:ascii="Times New Roman" w:hAnsi="Times New Roman" w:cs="Times New Roman" w:eastAsia="Times New Roman" w:hint="default"/>
          <w:spacing w:val="-1"/>
        </w:rPr>
        <w:t>6</w:t>
      </w:r>
      <w:r>
        <w:rPr>
          <w:spacing w:val="-1"/>
        </w:rPr>
        <w:t>号集合资金信托计划</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信托计</w:t>
      </w:r>
      <w:r>
        <w:rPr>
          <w:spacing w:val="-88"/>
        </w:rPr>
        <w:t> </w:t>
      </w:r>
      <w:r>
        <w:rPr>
          <w:spacing w:val="-2"/>
        </w:rPr>
        <w:t>划</w:t>
      </w:r>
      <w:r>
        <w:rPr>
          <w:rFonts w:ascii="Times New Roman" w:hAnsi="Times New Roman" w:cs="Times New Roman" w:eastAsia="Times New Roman" w:hint="default"/>
          <w:spacing w:val="-2"/>
        </w:rPr>
        <w:t>”</w:t>
      </w:r>
      <w:r>
        <w:rPr>
          <w:spacing w:val="-2"/>
        </w:rPr>
        <w:t>）所持有的公司无限售条件流通股</w:t>
      </w:r>
      <w:r>
        <w:rPr>
          <w:rFonts w:ascii="Times New Roman" w:hAnsi="Times New Roman" w:cs="Times New Roman" w:eastAsia="Times New Roman" w:hint="default"/>
          <w:spacing w:val="-2"/>
        </w:rPr>
        <w:t>36,775,000</w:t>
      </w:r>
      <w:r>
        <w:rPr>
          <w:spacing w:val="-2"/>
        </w:rPr>
        <w:t>股，占公司总股本的</w:t>
      </w:r>
      <w:r>
        <w:rPr>
          <w:rFonts w:ascii="Times New Roman" w:hAnsi="Times New Roman" w:cs="Times New Roman" w:eastAsia="Times New Roman" w:hint="default"/>
          <w:spacing w:val="-2"/>
        </w:rPr>
        <w:t>8.552%</w:t>
      </w:r>
      <w:r>
        <w:rPr>
          <w:spacing w:val="-2"/>
        </w:rPr>
        <w:t>。信托计划的管理人兴业国际信托有限公司与厦</w:t>
      </w:r>
      <w:r>
        <w:rPr>
          <w:spacing w:val="-59"/>
        </w:rPr>
        <w:t> </w:t>
      </w:r>
      <w:r>
        <w:rPr>
          <w:spacing w:val="-59"/>
        </w:rPr>
      </w:r>
      <w:r>
        <w:rPr/>
        <w:t>门麟真已于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28</w:t>
      </w:r>
      <w:r>
        <w:rPr/>
        <w:t>日签订了《易联众信息技术股份有限公司股票转让协议》。</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日，公司收到张曦先生通 </w:t>
      </w:r>
      <w:r>
        <w:rPr>
          <w:spacing w:val="-2"/>
        </w:rPr>
        <w:t>知，获悉上述协议转让事宜已办理完成相关的过户登记手续，并取得由中国证券登记结算有限责任公司出具的《证券过户登</w:t>
      </w:r>
      <w:r>
        <w:rPr>
          <w:spacing w:val="-63"/>
        </w:rPr>
        <w:t> </w:t>
      </w:r>
      <w:r>
        <w:rPr>
          <w:spacing w:val="-63"/>
        </w:rPr>
      </w:r>
      <w:r>
        <w:rPr>
          <w:spacing w:val="-2"/>
        </w:rPr>
        <w:t>记确认书》。本次持股调整后，信托计划不再持有公司股份；张曦先生持有公司股份的数量不变，仍为</w:t>
      </w:r>
      <w:r>
        <w:rPr>
          <w:rFonts w:ascii="Times New Roman" w:hAnsi="Times New Roman" w:cs="Times New Roman" w:eastAsia="Times New Roman" w:hint="default"/>
          <w:spacing w:val="-2"/>
        </w:rPr>
        <w:t>128,875,867</w:t>
      </w:r>
      <w:r>
        <w:rPr>
          <w:spacing w:val="-2"/>
        </w:rPr>
        <w:t>股，占公</w:t>
      </w:r>
      <w:r>
        <w:rPr>
          <w:spacing w:val="-56"/>
        </w:rPr>
        <w:t> </w:t>
      </w:r>
      <w:r>
        <w:rPr>
          <w:spacing w:val="-56"/>
        </w:rPr>
      </w:r>
      <w:r>
        <w:rPr/>
        <w:t>司总股本的</w:t>
      </w:r>
      <w:r>
        <w:rPr>
          <w:rFonts w:ascii="Times New Roman" w:hAnsi="Times New Roman" w:cs="Times New Roman" w:eastAsia="Times New Roman" w:hint="default"/>
        </w:rPr>
        <w:t>29.971%</w:t>
      </w:r>
      <w:r>
        <w:rPr/>
        <w:t>。具体内容详见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日公司披露在巨潮资讯网上的《关于控股股东、实际控制人持股情况调整 完成的公告》（</w:t>
      </w:r>
      <w:r>
        <w:rPr>
          <w:rFonts w:ascii="Times New Roman" w:hAnsi="Times New Roman" w:cs="Times New Roman" w:eastAsia="Times New Roman" w:hint="default"/>
        </w:rPr>
        <w:t>2019-021</w:t>
      </w:r>
      <w:r>
        <w:rPr/>
        <w:t>）。</w:t>
      </w:r>
    </w:p>
    <w:p>
      <w:pPr>
        <w:pStyle w:val="BodyText"/>
        <w:spacing w:line="300" w:lineRule="auto" w:before="11"/>
        <w:ind w:right="1131"/>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26</w:t>
      </w:r>
      <w:r>
        <w:rPr>
          <w:spacing w:val="-2"/>
        </w:rPr>
        <w:t>日，公司控股股东、实际控制人张曦先生将其通过全资控股的厦门麟真持有的本公司</w:t>
      </w:r>
      <w:r>
        <w:rPr>
          <w:rFonts w:ascii="Times New Roman" w:hAnsi="Times New Roman" w:cs="Times New Roman" w:eastAsia="Times New Roman" w:hint="default"/>
          <w:spacing w:val="-2"/>
        </w:rPr>
        <w:t>19,410,000</w:t>
      </w:r>
      <w:r>
        <w:rPr>
          <w:spacing w:val="-2"/>
        </w:rPr>
        <w:t>股无</w:t>
      </w:r>
      <w:r>
        <w:rPr>
          <w:spacing w:val="-3"/>
        </w:rPr>
        <w:t> </w:t>
      </w:r>
      <w:r>
        <w:rPr>
          <w:spacing w:val="-1"/>
        </w:rPr>
        <w:t>限售条件流通股以大宗交易的方式减持，减持股份占公司总股本的</w:t>
      </w:r>
      <w:r>
        <w:rPr>
          <w:rFonts w:ascii="Times New Roman" w:hAnsi="Times New Roman" w:cs="Times New Roman" w:eastAsia="Times New Roman" w:hint="default"/>
          <w:spacing w:val="-1"/>
        </w:rPr>
        <w:t>4.51%</w:t>
      </w:r>
      <w:r>
        <w:rPr>
          <w:spacing w:val="-1"/>
        </w:rPr>
        <w:t>。具体内容详见</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27</w:t>
      </w:r>
      <w:r>
        <w:rPr>
          <w:spacing w:val="-1"/>
        </w:rPr>
        <w:t>日公司披露在巨潮资</w:t>
      </w:r>
      <w:r>
        <w:rPr>
          <w:spacing w:val="-44"/>
        </w:rPr>
        <w:t> </w:t>
      </w:r>
      <w:r>
        <w:rPr>
          <w:spacing w:val="-44"/>
        </w:rPr>
      </w:r>
      <w:r>
        <w:rPr/>
        <w:t>讯网上的《关于控股股东减持股份的公告》（公告编号：</w:t>
      </w:r>
      <w:r>
        <w:rPr>
          <w:rFonts w:ascii="Times New Roman" w:hAnsi="Times New Roman" w:cs="Times New Roman" w:eastAsia="Times New Roman" w:hint="default"/>
        </w:rPr>
        <w:t>2019-101</w:t>
      </w:r>
      <w:r>
        <w:rPr/>
        <w:t>）。</w:t>
      </w:r>
    </w:p>
    <w:p>
      <w:pPr>
        <w:pStyle w:val="BodyText"/>
        <w:spacing w:line="300" w:lineRule="auto" w:before="13"/>
        <w:ind w:right="1128"/>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7"/>
        </w:rPr>
        <w:t> </w:t>
      </w: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10</w:t>
      </w:r>
      <w:r>
        <w:rPr>
          <w:spacing w:val="-2"/>
        </w:rPr>
        <w:t>日，公司控股股东、实际控制人张曦先生全资控股的厦门麟真与西藏五维资产管理有限公司（以下简</w:t>
      </w:r>
      <w:r>
        <w:rPr/>
        <w:t> </w:t>
      </w:r>
      <w:r>
        <w:rPr>
          <w:spacing w:val="-5"/>
        </w:rPr>
        <w:t>称</w:t>
      </w:r>
      <w:r>
        <w:rPr>
          <w:rFonts w:ascii="Times New Roman" w:hAnsi="Times New Roman" w:cs="Times New Roman" w:eastAsia="Times New Roman" w:hint="default"/>
          <w:spacing w:val="-5"/>
        </w:rPr>
        <w:t>“</w:t>
      </w:r>
      <w:r>
        <w:rPr>
          <w:spacing w:val="-5"/>
        </w:rPr>
        <w:t>西藏五维</w:t>
      </w:r>
      <w:r>
        <w:rPr>
          <w:rFonts w:ascii="Times New Roman" w:hAnsi="Times New Roman" w:cs="Times New Roman" w:eastAsia="Times New Roman" w:hint="default"/>
          <w:spacing w:val="-5"/>
        </w:rPr>
        <w:t>”</w:t>
      </w:r>
      <w:r>
        <w:rPr>
          <w:spacing w:val="-5"/>
        </w:rPr>
        <w:t>）签署了《股份转让协议》，拟将其持有的公司</w:t>
      </w:r>
      <w:r>
        <w:rPr>
          <w:rFonts w:ascii="Times New Roman" w:hAnsi="Times New Roman" w:cs="Times New Roman" w:eastAsia="Times New Roman" w:hint="default"/>
          <w:spacing w:val="-5"/>
        </w:rPr>
        <w:t>23,400,000</w:t>
      </w:r>
      <w:r>
        <w:rPr>
          <w:spacing w:val="-5"/>
        </w:rPr>
        <w:t>股无限售条件流通股，占公司总股本的</w:t>
      </w:r>
      <w:r>
        <w:rPr>
          <w:rFonts w:ascii="Times New Roman" w:hAnsi="Times New Roman" w:cs="Times New Roman" w:eastAsia="Times New Roman" w:hint="default"/>
          <w:spacing w:val="-5"/>
        </w:rPr>
        <w:t>5.44%</w:t>
      </w:r>
      <w:r>
        <w:rPr>
          <w:spacing w:val="-5"/>
        </w:rPr>
        <w:t>，以</w:t>
      </w:r>
      <w:r>
        <w:rPr>
          <w:rFonts w:ascii="Times New Roman" w:hAnsi="Times New Roman" w:cs="Times New Roman" w:eastAsia="Times New Roman" w:hint="default"/>
          <w:spacing w:val="-5"/>
        </w:rPr>
        <w:t>9.829</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spacing w:val="-1"/>
        </w:rPr>
        <w:t>元</w:t>
      </w:r>
      <w:r>
        <w:rPr>
          <w:rFonts w:ascii="Times New Roman" w:hAnsi="Times New Roman" w:cs="Times New Roman" w:eastAsia="Times New Roman" w:hint="default"/>
          <w:spacing w:val="-1"/>
        </w:rPr>
        <w:t>/</w:t>
      </w:r>
      <w:r>
        <w:rPr>
          <w:spacing w:val="-1"/>
        </w:rPr>
        <w:t>股的价格，通过协议转让的方式转让给西藏五维。具体内容详见</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2</w:t>
      </w:r>
      <w:r>
        <w:rPr>
          <w:spacing w:val="-1"/>
        </w:rPr>
        <w:t>月</w:t>
      </w:r>
      <w:r>
        <w:rPr>
          <w:rFonts w:ascii="Times New Roman" w:hAnsi="Times New Roman" w:cs="Times New Roman" w:eastAsia="Times New Roman" w:hint="default"/>
          <w:spacing w:val="-1"/>
        </w:rPr>
        <w:t>10</w:t>
      </w:r>
      <w:r>
        <w:rPr>
          <w:spacing w:val="-1"/>
        </w:rPr>
        <w:t>日公司披露在巨潮资讯网上的《关于控股股</w:t>
      </w:r>
      <w:r>
        <w:rPr>
          <w:spacing w:val="-79"/>
        </w:rPr>
        <w:t> </w:t>
      </w:r>
      <w:r>
        <w:rPr>
          <w:spacing w:val="-79"/>
        </w:rPr>
      </w:r>
      <w:r>
        <w:rPr/>
        <w:t>东拟协议转让公司部分股份暨权益变动的提示性公告》（公告编号：</w:t>
      </w:r>
      <w:r>
        <w:rPr>
          <w:rFonts w:ascii="Times New Roman" w:hAnsi="Times New Roman" w:cs="Times New Roman" w:eastAsia="Times New Roman" w:hint="default"/>
        </w:rPr>
        <w:t>2020-008</w:t>
      </w:r>
      <w:r>
        <w:rPr/>
        <w:t>）。</w:t>
      </w:r>
    </w:p>
    <w:p>
      <w:pPr>
        <w:pStyle w:val="BodyText"/>
        <w:spacing w:line="300" w:lineRule="auto" w:before="13"/>
        <w:ind w:right="113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日，公司收到张曦先生通知，获悉上述协议转让事宜已办理完成相关的过户登记手续，并取得由中国证券 登记结算有限责任公司深圳分公司出具的《证券过户登记确认书》。具体内容详见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16</w:t>
      </w:r>
      <w:r>
        <w:rPr/>
        <w:t>日公司披露在巨潮资讯网上 </w:t>
      </w:r>
      <w:r>
        <w:rPr>
          <w:spacing w:val="-1"/>
        </w:rPr>
        <w:t>的《关于控股股东协议转让部分公司股份完成过户登记的公告》（</w:t>
      </w:r>
      <w:r>
        <w:rPr>
          <w:rFonts w:ascii="Times New Roman" w:hAnsi="Times New Roman" w:cs="Times New Roman" w:eastAsia="Times New Roman" w:hint="default"/>
          <w:spacing w:val="-1"/>
        </w:rPr>
        <w:t>2020-017</w:t>
      </w:r>
      <w:r>
        <w:rPr>
          <w:spacing w:val="-1"/>
        </w:rPr>
        <w:t>）。上述协议转让的股份已办理完毕过户登记手</w:t>
      </w:r>
      <w:r>
        <w:rPr/>
        <w:t> 续。</w:t>
      </w:r>
    </w:p>
    <w:p>
      <w:pPr>
        <w:pStyle w:val="BodyText"/>
        <w:spacing w:line="300" w:lineRule="auto" w:before="31"/>
        <w:ind w:right="1131"/>
        <w:jc w:val="both"/>
      </w:pPr>
      <w:r>
        <w:rPr>
          <w:rFonts w:ascii="宋体" w:hAnsi="宋体" w:cs="宋体" w:eastAsia="宋体" w:hint="default"/>
          <w:spacing w:val="90"/>
        </w:rPr>
        <w:t> </w:t>
      </w:r>
      <w:r>
        <w:rPr>
          <w:rFonts w:ascii="宋体" w:hAnsi="宋体" w:cs="宋体" w:eastAsia="宋体" w:hint="default"/>
        </w:rPr>
        <w:t>  </w:t>
      </w:r>
      <w:r>
        <w:rPr>
          <w:spacing w:val="-1"/>
        </w:rPr>
        <w:t>截至本报告披露日，张曦先生合计持有公司股份</w:t>
      </w:r>
      <w:r>
        <w:rPr>
          <w:rFonts w:ascii="Times New Roman" w:hAnsi="Times New Roman" w:cs="Times New Roman" w:eastAsia="Times New Roman" w:hint="default"/>
          <w:spacing w:val="-1"/>
        </w:rPr>
        <w:t>86,065,867</w:t>
      </w:r>
      <w:r>
        <w:rPr>
          <w:spacing w:val="-1"/>
        </w:rPr>
        <w:t>股，占公司总股本的</w:t>
      </w:r>
      <w:r>
        <w:rPr>
          <w:rFonts w:ascii="Times New Roman" w:hAnsi="Times New Roman" w:cs="Times New Roman" w:eastAsia="Times New Roman" w:hint="default"/>
          <w:spacing w:val="-1"/>
        </w:rPr>
        <w:t>20.02%</w:t>
      </w:r>
      <w:r>
        <w:rPr>
          <w:spacing w:val="-1"/>
        </w:rPr>
        <w:t>。其中通过个人普通股份证券账</w:t>
      </w:r>
      <w:r>
        <w:rPr/>
        <w:t> 户直接持有</w:t>
      </w:r>
      <w:r>
        <w:rPr>
          <w:rFonts w:ascii="Times New Roman" w:hAnsi="Times New Roman" w:cs="Times New Roman" w:eastAsia="Times New Roman" w:hint="default"/>
        </w:rPr>
        <w:t>69,681,649</w:t>
      </w:r>
      <w:r>
        <w:rPr/>
        <w:t>股，占公司总股本的</w:t>
      </w:r>
      <w:r>
        <w:rPr>
          <w:rFonts w:ascii="Times New Roman" w:hAnsi="Times New Roman" w:cs="Times New Roman" w:eastAsia="Times New Roman" w:hint="default"/>
        </w:rPr>
        <w:t>16.21%</w:t>
      </w:r>
      <w:r>
        <w:rPr/>
        <w:t>；通过厦门麟真持有</w:t>
      </w:r>
      <w:r>
        <w:rPr>
          <w:rFonts w:ascii="Times New Roman" w:hAnsi="Times New Roman" w:cs="Times New Roman" w:eastAsia="Times New Roman" w:hint="default"/>
        </w:rPr>
        <w:t>16,384,218</w:t>
      </w:r>
      <w:r>
        <w:rPr/>
        <w:t>股，占公司总股本的</w:t>
      </w:r>
      <w:r>
        <w:rPr>
          <w:rFonts w:ascii="Times New Roman" w:hAnsi="Times New Roman" w:cs="Times New Roman" w:eastAsia="Times New Roman" w:hint="default"/>
        </w:rPr>
        <w:t>3.81%</w:t>
      </w:r>
      <w:r>
        <w:rPr/>
        <w:t>。</w:t>
      </w:r>
    </w:p>
    <w:p>
      <w:pPr>
        <w:pStyle w:val="BodyText"/>
        <w:spacing w:line="240" w:lineRule="auto" w:before="1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w:t>
      </w:r>
      <w:r>
        <w:rPr/>
        <w:t>、关于控股股东、实际控制人部分股权质押及延期购回、解除质押及重新进行股票质押式回购交易的事项</w:t>
      </w:r>
    </w:p>
    <w:p>
      <w:pPr>
        <w:pStyle w:val="BodyText"/>
        <w:spacing w:line="300" w:lineRule="auto" w:before="63"/>
        <w:ind w:right="1130"/>
        <w:jc w:val="left"/>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28</w:t>
      </w:r>
      <w:r>
        <w:rPr/>
        <w:t>日，公司控股股东、实际控制人张曦先生与东吴证券股份有限公司（以下简称</w:t>
      </w:r>
      <w:r>
        <w:rPr>
          <w:rFonts w:ascii="Times New Roman" w:hAnsi="Times New Roman" w:cs="Times New Roman" w:eastAsia="Times New Roman" w:hint="default"/>
        </w:rPr>
        <w:t>“</w:t>
      </w:r>
      <w:r>
        <w:rPr/>
        <w:t>东吴证券</w:t>
      </w:r>
      <w:r>
        <w:rPr>
          <w:rFonts w:ascii="Times New Roman" w:hAnsi="Times New Roman" w:cs="Times New Roman" w:eastAsia="Times New Roman" w:hint="default"/>
        </w:rPr>
        <w:t>”</w:t>
      </w:r>
      <w:r>
        <w:rPr/>
        <w:t>）就其持 有的本公司</w:t>
      </w:r>
      <w:r>
        <w:rPr>
          <w:rFonts w:ascii="Times New Roman" w:hAnsi="Times New Roman" w:cs="Times New Roman" w:eastAsia="Times New Roman" w:hint="default"/>
        </w:rPr>
        <w:t>200</w:t>
      </w:r>
      <w:r>
        <w:rPr/>
        <w:t>股股份办理了解除质押手续，并就其直接持有的本公司</w:t>
      </w:r>
      <w:r>
        <w:rPr>
          <w:rFonts w:ascii="Times New Roman" w:hAnsi="Times New Roman" w:cs="Times New Roman" w:eastAsia="Times New Roman" w:hint="default"/>
        </w:rPr>
        <w:t>69,606,549</w:t>
      </w:r>
      <w:r>
        <w:rPr/>
        <w:t>股股份办理了股票质押式回购延期购回交 </w:t>
      </w:r>
      <w:r>
        <w:rPr>
          <w:spacing w:val="-2"/>
        </w:rPr>
        <w:t>易。具体内容详见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日公司披露在巨潮资讯网上的《关于控股股东部分股份解除质押及延期购回的公告》（公告编</w:t>
      </w:r>
      <w:r>
        <w:rPr>
          <w:spacing w:val="-60"/>
        </w:rPr>
        <w:t> </w:t>
      </w:r>
      <w:r>
        <w:rPr>
          <w:spacing w:val="-60"/>
        </w:rPr>
      </w:r>
      <w:r>
        <w:rPr/>
        <w:t>号：</w:t>
      </w:r>
      <w:r>
        <w:rPr>
          <w:rFonts w:ascii="Times New Roman" w:hAnsi="Times New Roman" w:cs="Times New Roman" w:eastAsia="Times New Roman" w:hint="default"/>
        </w:rPr>
        <w:t>2019-001</w:t>
      </w:r>
      <w:r>
        <w:rPr/>
        <w:t>）。</w:t>
      </w:r>
    </w:p>
    <w:p>
      <w:pPr>
        <w:pStyle w:val="BodyText"/>
        <w:spacing w:line="300" w:lineRule="auto" w:before="13"/>
        <w:ind w:right="1136"/>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w:t>
      </w:r>
      <w:r>
        <w:rPr/>
        <w:t>日，公司控股股东、实际控制人张曦先生与湖州恒澜投资管理合伙企业（有限合伙）就其通过全资控 股的厦门麟真持有的本公司</w:t>
      </w:r>
      <w:r>
        <w:rPr>
          <w:rFonts w:ascii="Times New Roman" w:hAnsi="Times New Roman" w:cs="Times New Roman" w:eastAsia="Times New Roman" w:hint="default"/>
        </w:rPr>
        <w:t>36,775,000</w:t>
      </w:r>
      <w:r>
        <w:rPr/>
        <w:t>股股份办理了股权质押手续。具体内容详见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4</w:t>
      </w:r>
      <w:r>
        <w:rPr/>
        <w:t>日公司披露在巨潮资讯网上的</w:t>
      </w:r>
    </w:p>
    <w:p>
      <w:pPr>
        <w:pStyle w:val="BodyText"/>
        <w:spacing w:line="240" w:lineRule="auto" w:before="13"/>
        <w:ind w:right="0"/>
        <w:jc w:val="both"/>
      </w:pPr>
      <w:r>
        <w:rPr/>
        <w:t>《关于控股股东部分股权质押的公告》（公告编号：</w:t>
      </w:r>
      <w:r>
        <w:rPr>
          <w:rFonts w:ascii="Times New Roman" w:hAnsi="Times New Roman" w:cs="Times New Roman" w:eastAsia="Times New Roman" w:hint="default"/>
        </w:rPr>
        <w:t>2019-023</w:t>
      </w:r>
      <w:r>
        <w:rPr/>
        <w:t>）。</w:t>
      </w:r>
    </w:p>
    <w:p>
      <w:pPr>
        <w:pStyle w:val="BodyText"/>
        <w:spacing w:line="300" w:lineRule="auto" w:before="63"/>
        <w:ind w:right="1138"/>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日，公司控股股东、实际控制人张曦先生与东吴证券就其持有的本公司</w:t>
      </w:r>
      <w:r>
        <w:rPr>
          <w:rFonts w:ascii="Times New Roman" w:hAnsi="Times New Roman" w:cs="Times New Roman" w:eastAsia="Times New Roman" w:hint="default"/>
        </w:rPr>
        <w:t>69,606,549</w:t>
      </w:r>
      <w:r>
        <w:rPr/>
        <w:t>股股份办理了股票 质押式回购延期购回交易。具体内容详见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23</w:t>
      </w:r>
      <w:r>
        <w:rPr/>
        <w:t>日公司披露在巨潮资讯网上的《关于控股股东部分股份办理股票质押 式回购交易延期购回的公告》（公告编号：</w:t>
      </w:r>
      <w:r>
        <w:rPr>
          <w:rFonts w:ascii="Times New Roman" w:hAnsi="Times New Roman" w:cs="Times New Roman" w:eastAsia="Times New Roman" w:hint="default"/>
        </w:rPr>
        <w:t>2019-066</w:t>
      </w:r>
      <w:r>
        <w:rPr/>
        <w:t>）</w:t>
      </w:r>
    </w:p>
    <w:p>
      <w:pPr>
        <w:pStyle w:val="BodyText"/>
        <w:spacing w:line="300" w:lineRule="auto" w:before="13"/>
        <w:ind w:right="1130" w:firstLine="72"/>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17</w:t>
      </w:r>
      <w:r>
        <w:rPr/>
        <w:t>日，公司控股股东、实际控制人张曦先生与东吴证券就其持有的本公司</w:t>
      </w:r>
      <w:r>
        <w:rPr>
          <w:rFonts w:ascii="Times New Roman" w:hAnsi="Times New Roman" w:cs="Times New Roman" w:eastAsia="Times New Roman" w:hint="default"/>
        </w:rPr>
        <w:t>25,067,763</w:t>
      </w:r>
      <w:r>
        <w:rPr/>
        <w:t>股股票办理了解 </w:t>
      </w:r>
      <w:r>
        <w:rPr>
          <w:spacing w:val="-2"/>
        </w:rPr>
        <w:t>除质押手续。具体内容详见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日公司披露在巨潮资讯网上的《关于控股股东部分股份解除质押的公告》（公告编</w:t>
      </w:r>
      <w:r>
        <w:rPr>
          <w:spacing w:val="-59"/>
        </w:rPr>
        <w:t> </w:t>
      </w:r>
      <w:r>
        <w:rPr>
          <w:spacing w:val="-59"/>
        </w:rPr>
      </w:r>
      <w:r>
        <w:rPr/>
        <w:t>号：</w:t>
      </w:r>
      <w:r>
        <w:rPr>
          <w:rFonts w:ascii="Times New Roman" w:hAnsi="Times New Roman" w:cs="Times New Roman" w:eastAsia="Times New Roman" w:hint="default"/>
        </w:rPr>
        <w:t>2019-095</w:t>
      </w:r>
      <w:r>
        <w:rPr/>
        <w:t>）。</w:t>
      </w:r>
    </w:p>
    <w:p>
      <w:pPr>
        <w:pStyle w:val="BodyText"/>
        <w:spacing w:line="300" w:lineRule="auto" w:before="13"/>
        <w:ind w:right="1128"/>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19</w:t>
      </w:r>
      <w:r>
        <w:rPr>
          <w:spacing w:val="-2"/>
        </w:rPr>
        <w:t>日，公司控股股东、实际控制人张曦先生与东吴证券就其持有的本公司</w:t>
      </w:r>
      <w:r>
        <w:rPr>
          <w:rFonts w:ascii="Times New Roman" w:hAnsi="Times New Roman" w:cs="Times New Roman" w:eastAsia="Times New Roman" w:hint="default"/>
          <w:spacing w:val="-2"/>
        </w:rPr>
        <w:t>14,846,262</w:t>
      </w:r>
      <w:r>
        <w:rPr>
          <w:spacing w:val="-2"/>
        </w:rPr>
        <w:t>股股票办理了解除</w:t>
      </w:r>
      <w:r>
        <w:rPr/>
        <w:t> 质押并就其持有的</w:t>
      </w:r>
      <w:r>
        <w:rPr>
          <w:rFonts w:ascii="Times New Roman" w:hAnsi="Times New Roman" w:cs="Times New Roman" w:eastAsia="Times New Roman" w:hint="default"/>
        </w:rPr>
        <w:t>39,914,125</w:t>
      </w:r>
      <w:r>
        <w:rPr/>
        <w:t>股股票重新进行了股票质押式回购交易业务。具体内容详见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w:t>
      </w:r>
      <w:r>
        <w:rPr/>
        <w:t>日公司披露在巨潮资 讯网上的《关于控股股东部分股份解除质押及重新进行股票质押式回购交易的公告》（公告编号：</w:t>
      </w:r>
      <w:r>
        <w:rPr>
          <w:rFonts w:ascii="Times New Roman" w:hAnsi="Times New Roman" w:cs="Times New Roman" w:eastAsia="Times New Roman" w:hint="default"/>
        </w:rPr>
        <w:t>2019-096</w:t>
      </w:r>
      <w:r>
        <w:rPr/>
        <w:t>）。</w:t>
      </w:r>
    </w:p>
    <w:p>
      <w:pPr>
        <w:pStyle w:val="BodyText"/>
        <w:spacing w:line="300" w:lineRule="auto" w:before="13"/>
        <w:ind w:right="1128"/>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23</w:t>
      </w:r>
      <w:r>
        <w:rPr>
          <w:spacing w:val="-2"/>
        </w:rPr>
        <w:t>日，公司控股股东、实际控制人张曦先生与东吴证券就其持有的本公司</w:t>
      </w:r>
      <w:r>
        <w:rPr>
          <w:rFonts w:ascii="Times New Roman" w:hAnsi="Times New Roman" w:cs="Times New Roman" w:eastAsia="Times New Roman" w:hint="default"/>
          <w:spacing w:val="-2"/>
        </w:rPr>
        <w:t>22,024,000</w:t>
      </w:r>
      <w:r>
        <w:rPr>
          <w:spacing w:val="-2"/>
        </w:rPr>
        <w:t>股股票办理了解除</w:t>
      </w:r>
      <w:r>
        <w:rPr/>
        <w:t> </w:t>
      </w:r>
      <w:r>
        <w:rPr>
          <w:spacing w:val="-2"/>
        </w:rPr>
        <w:t>质押并重新进行了股票质押式回购交易业务。具体内容详见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25</w:t>
      </w:r>
      <w:r>
        <w:rPr>
          <w:spacing w:val="-2"/>
        </w:rPr>
        <w:t>日公司披露在巨潮资讯网上的《关于控股股东部分</w:t>
      </w:r>
    </w:p>
    <w:p>
      <w:pPr>
        <w:spacing w:after="0" w:line="30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股份解除质押及重新进行股票质押式回购交易的公告》（公告编号：</w:t>
      </w:r>
      <w:r>
        <w:rPr>
          <w:rFonts w:ascii="Times New Roman" w:hAnsi="Times New Roman" w:cs="Times New Roman" w:eastAsia="Times New Roman" w:hint="default"/>
        </w:rPr>
        <w:t>2019-098</w:t>
      </w:r>
      <w:r>
        <w:rPr/>
        <w:t>）。</w:t>
      </w:r>
    </w:p>
    <w:p>
      <w:pPr>
        <w:pStyle w:val="BodyText"/>
        <w:spacing w:line="309" w:lineRule="auto" w:before="63"/>
        <w:ind w:right="1133"/>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日，公司控股股东、实际控制人张曦先生与东吴证券就其持有的本公司</w:t>
      </w:r>
      <w:r>
        <w:rPr>
          <w:rFonts w:ascii="Times New Roman" w:hAnsi="Times New Roman" w:cs="Times New Roman" w:eastAsia="Times New Roman" w:hint="default"/>
        </w:rPr>
        <w:t>7,668,524</w:t>
      </w:r>
      <w:r>
        <w:rPr/>
        <w:t>股股票办理了解除 </w:t>
      </w:r>
      <w:r>
        <w:rPr>
          <w:spacing w:val="-2"/>
        </w:rPr>
        <w:t>质押并重新进行了股票质押式回购交易业务。同时张曦先生与湖州恒澜投资管理合伙企业（有限合伙）就其通过全资控股的</w:t>
      </w:r>
      <w:r>
        <w:rPr>
          <w:spacing w:val="-66"/>
        </w:rPr>
        <w:t> </w:t>
      </w:r>
      <w:r>
        <w:rPr>
          <w:spacing w:val="-66"/>
        </w:rPr>
      </w:r>
      <w:r>
        <w:rPr/>
        <w:t>厦门麟真所持有的本公司</w:t>
      </w:r>
      <w:r>
        <w:rPr>
          <w:rFonts w:ascii="Times New Roman" w:hAnsi="Times New Roman" w:cs="Times New Roman" w:eastAsia="Times New Roman" w:hint="default"/>
        </w:rPr>
        <w:t>19,410,318</w:t>
      </w:r>
      <w:r>
        <w:rPr/>
        <w:t>股股票办理了解除质押手续。具体内容详见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日公司披露在巨潮资讯网上的</w:t>
      </w:r>
    </w:p>
    <w:p>
      <w:pPr>
        <w:pStyle w:val="BodyText"/>
        <w:spacing w:line="240" w:lineRule="auto" w:before="5"/>
        <w:ind w:right="0"/>
        <w:jc w:val="both"/>
      </w:pPr>
      <w:r>
        <w:rPr/>
        <w:t>《关于控股股东部分股份解除质押及重新进行股票质押式回购交易的公告》（公告编号：</w:t>
      </w:r>
      <w:r>
        <w:rPr>
          <w:rFonts w:ascii="Times New Roman" w:hAnsi="Times New Roman" w:cs="Times New Roman" w:eastAsia="Times New Roman" w:hint="default"/>
        </w:rPr>
        <w:t>2019-100</w:t>
      </w:r>
      <w:r>
        <w:rPr/>
        <w:t>）。</w:t>
      </w:r>
    </w:p>
    <w:p>
      <w:pPr>
        <w:pStyle w:val="BodyText"/>
        <w:spacing w:line="300" w:lineRule="auto" w:before="63"/>
        <w:ind w:right="1127"/>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27</w:t>
      </w:r>
      <w:r>
        <w:rPr/>
        <w:t>日，公司控股股东、实际控制人张曦先生与湖州恒澜投资管理合伙企业（有限合伙）就其通过全资 </w:t>
      </w:r>
      <w:r>
        <w:rPr>
          <w:spacing w:val="-2"/>
        </w:rPr>
        <w:t>控股的厦门麟真持有的本公司</w:t>
      </w:r>
      <w:r>
        <w:rPr>
          <w:rFonts w:ascii="Times New Roman" w:hAnsi="Times New Roman" w:cs="Times New Roman" w:eastAsia="Times New Roman" w:hint="default"/>
          <w:spacing w:val="-2"/>
        </w:rPr>
        <w:t>3,008,900</w:t>
      </w:r>
      <w:r>
        <w:rPr>
          <w:spacing w:val="-2"/>
        </w:rPr>
        <w:t>股股票办理了解除质押手续。具体内容详见</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日公司披露在巨潮资讯网上</w:t>
      </w:r>
      <w:r>
        <w:rPr>
          <w:spacing w:val="-48"/>
        </w:rPr>
        <w:t> </w:t>
      </w:r>
      <w:r>
        <w:rPr/>
        <w:t>的《关于控股股东部分股份解除质押的公告》（公告编号：</w:t>
      </w:r>
      <w:r>
        <w:rPr>
          <w:rFonts w:ascii="Times New Roman" w:hAnsi="Times New Roman" w:cs="Times New Roman" w:eastAsia="Times New Roman" w:hint="default"/>
        </w:rPr>
        <w:t>2019-102</w:t>
      </w:r>
      <w:r>
        <w:rPr/>
        <w:t>）。</w:t>
      </w:r>
    </w:p>
    <w:p>
      <w:pPr>
        <w:pStyle w:val="BodyText"/>
        <w:spacing w:line="300" w:lineRule="auto" w:before="13"/>
        <w:ind w:right="1129"/>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4"/>
        </w:rPr>
        <w:t> </w:t>
      </w:r>
      <w:r>
        <w:rPr>
          <w:spacing w:val="-2"/>
        </w:rPr>
        <w:t>（</w:t>
      </w:r>
      <w:r>
        <w:rPr>
          <w:rFonts w:ascii="Times New Roman" w:hAnsi="Times New Roman" w:cs="Times New Roman" w:eastAsia="Times New Roman" w:hint="default"/>
          <w:spacing w:val="-2"/>
        </w:rPr>
        <w:t>9</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17</w:t>
      </w:r>
      <w:r>
        <w:rPr>
          <w:spacing w:val="-2"/>
        </w:rPr>
        <w:t>日，公司控股股东、实际控制人张曦先生与湖州恒澜投资管理合伙企业（有限合伙）就其通过全资控</w:t>
      </w:r>
      <w:r>
        <w:rPr/>
        <w:t> </w:t>
      </w:r>
      <w:r>
        <w:rPr>
          <w:spacing w:val="-2"/>
        </w:rPr>
        <w:t>股的厦门麟真持有的本公司</w:t>
      </w:r>
      <w:r>
        <w:rPr>
          <w:rFonts w:ascii="Times New Roman" w:hAnsi="Times New Roman" w:cs="Times New Roman" w:eastAsia="Times New Roman" w:hint="default"/>
          <w:spacing w:val="-2"/>
        </w:rPr>
        <w:t>36,775,000</w:t>
      </w:r>
      <w:r>
        <w:rPr>
          <w:spacing w:val="-2"/>
        </w:rPr>
        <w:t>股股票办理了解除质押手续。具体内容详见</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18</w:t>
      </w:r>
      <w:r>
        <w:rPr>
          <w:spacing w:val="-2"/>
        </w:rPr>
        <w:t>日公司披露在巨潮资讯网上的</w:t>
      </w:r>
    </w:p>
    <w:p>
      <w:pPr>
        <w:pStyle w:val="BodyText"/>
        <w:spacing w:line="240" w:lineRule="auto" w:before="13"/>
        <w:ind w:right="0"/>
        <w:jc w:val="both"/>
      </w:pPr>
      <w:r>
        <w:rPr/>
        <w:t>《关于控股股东部分股份解除质押暨股份转让进展的公告》（公告编号：</w:t>
      </w:r>
      <w:r>
        <w:rPr>
          <w:rFonts w:ascii="Times New Roman" w:hAnsi="Times New Roman" w:cs="Times New Roman" w:eastAsia="Times New Roman" w:hint="default"/>
        </w:rPr>
        <w:t>2020-009</w:t>
      </w:r>
      <w:r>
        <w:rPr/>
        <w:t>）。</w:t>
      </w:r>
    </w:p>
    <w:p>
      <w:pPr>
        <w:pStyle w:val="BodyText"/>
        <w:spacing w:line="300" w:lineRule="auto" w:before="63"/>
        <w:ind w:right="1132"/>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2"/>
        </w:rPr>
        <w:t> </w:t>
      </w:r>
      <w:r>
        <w:rPr>
          <w:spacing w:val="-1"/>
        </w:rPr>
        <w:t>（</w:t>
      </w:r>
      <w:r>
        <w:rPr>
          <w:rFonts w:ascii="Times New Roman" w:hAnsi="Times New Roman" w:cs="Times New Roman" w:eastAsia="Times New Roman" w:hint="default"/>
          <w:spacing w:val="-1"/>
        </w:rPr>
        <w:t>10</w:t>
      </w:r>
      <w:r>
        <w:rPr>
          <w:spacing w:val="-1"/>
        </w:rPr>
        <w:t>）</w:t>
      </w: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4</w:t>
      </w:r>
      <w:r>
        <w:rPr>
          <w:spacing w:val="-1"/>
        </w:rPr>
        <w:t>日</w:t>
      </w:r>
      <w:r>
        <w:rPr>
          <w:rFonts w:ascii="Times New Roman" w:hAnsi="Times New Roman" w:cs="Times New Roman" w:eastAsia="Times New Roman" w:hint="default"/>
          <w:spacing w:val="-1"/>
        </w:rPr>
        <w:t>-5</w:t>
      </w:r>
      <w:r>
        <w:rPr>
          <w:spacing w:val="-1"/>
        </w:rPr>
        <w:t>日，公司控股股东、实际控制人张曦先生与厦门同安舜隆小额贷款股份有限公司就其通过全资控</w:t>
      </w:r>
      <w:r>
        <w:rPr/>
        <w:t> 股的厦门麟真持有的本公司</w:t>
      </w:r>
      <w:r>
        <w:rPr>
          <w:rFonts w:ascii="Times New Roman" w:hAnsi="Times New Roman" w:cs="Times New Roman" w:eastAsia="Times New Roman" w:hint="default"/>
        </w:rPr>
        <w:t>16,380,000</w:t>
      </w:r>
      <w:r>
        <w:rPr/>
        <w:t>股股票办理了股权质押手续。具体内容详见</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6</w:t>
      </w:r>
      <w:r>
        <w:rPr/>
        <w:t>日公司披露在巨潮资讯网上的</w:t>
      </w:r>
    </w:p>
    <w:p>
      <w:pPr>
        <w:pStyle w:val="BodyText"/>
        <w:spacing w:line="240" w:lineRule="auto" w:before="13"/>
        <w:ind w:right="0"/>
        <w:jc w:val="both"/>
      </w:pPr>
      <w:r>
        <w:rPr/>
        <w:t>《关于控股股东部分股份质押的公告》（公告编号：</w:t>
      </w:r>
      <w:r>
        <w:rPr>
          <w:rFonts w:ascii="Times New Roman" w:hAnsi="Times New Roman" w:cs="Times New Roman" w:eastAsia="Times New Roman" w:hint="default"/>
        </w:rPr>
        <w:t>2020-016</w:t>
      </w:r>
      <w:r>
        <w:rPr/>
        <w:t>）。</w:t>
      </w:r>
    </w:p>
    <w:p>
      <w:pPr>
        <w:pStyle w:val="BodyText"/>
        <w:spacing w:line="300" w:lineRule="auto" w:before="63"/>
        <w:ind w:right="1124"/>
        <w:jc w:val="both"/>
      </w:pPr>
      <w:r>
        <w:rPr>
          <w:rFonts w:ascii="宋体" w:hAnsi="宋体" w:cs="宋体" w:eastAsia="宋体" w:hint="default"/>
          <w:spacing w:val="90"/>
        </w:rPr>
        <w:t> </w:t>
      </w:r>
      <w:r>
        <w:rPr>
          <w:rFonts w:ascii="宋体" w:hAnsi="宋体" w:cs="宋体" w:eastAsia="宋体" w:hint="default"/>
        </w:rPr>
        <w:t>  </w:t>
      </w:r>
      <w:r>
        <w:rPr/>
        <w:t>截至本报告披露日，张曦先生直接和间接持有的公司股份累计被质押</w:t>
      </w:r>
      <w:r>
        <w:rPr>
          <w:rFonts w:ascii="Times New Roman" w:hAnsi="Times New Roman" w:cs="Times New Roman" w:eastAsia="Times New Roman" w:hint="default"/>
        </w:rPr>
        <w:t>85,986,649</w:t>
      </w:r>
      <w:r>
        <w:rPr/>
        <w:t>股，占其持有公司股份总数的</w:t>
      </w:r>
      <w:r>
        <w:rPr>
          <w:rFonts w:ascii="Times New Roman" w:hAnsi="Times New Roman" w:cs="Times New Roman" w:eastAsia="Times New Roman" w:hint="default"/>
        </w:rPr>
        <w:t>78.55%</w:t>
      </w:r>
      <w:r>
        <w:rPr/>
        <w:t>， 占公司总股本的</w:t>
      </w:r>
      <w:r>
        <w:rPr>
          <w:rFonts w:ascii="Times New Roman" w:hAnsi="Times New Roman" w:cs="Times New Roman" w:eastAsia="Times New Roman" w:hint="default"/>
        </w:rPr>
        <w:t>20%</w:t>
      </w:r>
      <w:r>
        <w:rPr/>
        <w:t>。</w:t>
      </w:r>
    </w:p>
    <w:p>
      <w:pPr>
        <w:pStyle w:val="BodyText"/>
        <w:spacing w:line="240" w:lineRule="auto" w:before="1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3</w:t>
      </w:r>
      <w:r>
        <w:rPr/>
        <w:t>、关于股东权益变动、增持及股权质押的事项</w:t>
      </w:r>
    </w:p>
    <w:p>
      <w:pPr>
        <w:pStyle w:val="BodyText"/>
        <w:spacing w:line="300" w:lineRule="auto" w:before="63"/>
        <w:ind w:right="1135"/>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2"/>
        </w:rPr>
        <w:t> </w:t>
      </w: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10</w:t>
      </w:r>
      <w:r>
        <w:rPr>
          <w:spacing w:val="-2"/>
        </w:rPr>
        <w:t>日，公司收到微医集团出具的《简式权益变动报告书》，本次权益变动后，微医集团合计持有公司股</w:t>
      </w:r>
      <w:r>
        <w:rPr/>
        <w:t> 份</w:t>
      </w:r>
      <w:r>
        <w:rPr>
          <w:rFonts w:ascii="Times New Roman" w:hAnsi="Times New Roman" w:cs="Times New Roman" w:eastAsia="Times New Roman" w:hint="default"/>
        </w:rPr>
        <w:t>21,500,000</w:t>
      </w:r>
      <w:r>
        <w:rPr/>
        <w:t>股，占公司总股本的</w:t>
      </w:r>
      <w:r>
        <w:rPr>
          <w:rFonts w:ascii="Times New Roman" w:hAnsi="Times New Roman" w:cs="Times New Roman" w:eastAsia="Times New Roman" w:hint="default"/>
        </w:rPr>
        <w:t>5%</w:t>
      </w:r>
      <w:r>
        <w:rPr/>
        <w:t>。</w:t>
      </w:r>
    </w:p>
    <w:p>
      <w:pPr>
        <w:pStyle w:val="BodyText"/>
        <w:spacing w:line="240" w:lineRule="auto" w:before="13"/>
        <w:ind w:right="0"/>
        <w:jc w:val="both"/>
        <w:rPr>
          <w:rFonts w:ascii="Times New Roman" w:hAnsi="Times New Roman" w:cs="Times New Roman" w:eastAsia="Times New Roman" w:hint="default"/>
        </w:rPr>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15</w:t>
      </w:r>
      <w:r>
        <w:rPr/>
        <w:t>日</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23</w:t>
      </w:r>
      <w:r>
        <w:rPr/>
        <w:t>日，微医集团通过证券交易系统集中竞价交易、大宗交易方式累计增持公司股份</w:t>
      </w:r>
      <w:r>
        <w:rPr>
          <w:rFonts w:ascii="Times New Roman" w:hAnsi="Times New Roman" w:cs="Times New Roman" w:eastAsia="Times New Roman" w:hint="default"/>
        </w:rPr>
        <w:t>19,700,000</w:t>
      </w:r>
    </w:p>
    <w:p>
      <w:pPr>
        <w:pStyle w:val="BodyText"/>
        <w:spacing w:line="240" w:lineRule="auto" w:before="63"/>
        <w:ind w:right="0"/>
        <w:jc w:val="both"/>
      </w:pPr>
      <w:r>
        <w:rPr/>
        <w:t>股，占公司总股本的</w:t>
      </w:r>
      <w:r>
        <w:rPr>
          <w:rFonts w:ascii="Times New Roman" w:hAnsi="Times New Roman" w:cs="Times New Roman" w:eastAsia="Times New Roman" w:hint="default"/>
        </w:rPr>
        <w:t>4.58%</w:t>
      </w:r>
      <w:r>
        <w:rPr/>
        <w:t>。截至公告日，微医集团合计持有公司股份</w:t>
      </w:r>
      <w:r>
        <w:rPr>
          <w:rFonts w:ascii="Times New Roman" w:hAnsi="Times New Roman" w:cs="Times New Roman" w:eastAsia="Times New Roman" w:hint="default"/>
        </w:rPr>
        <w:t>41,200,000</w:t>
      </w:r>
      <w:r>
        <w:rPr/>
        <w:t>股，占公司总股本的</w:t>
      </w:r>
      <w:r>
        <w:rPr>
          <w:rFonts w:ascii="Times New Roman" w:hAnsi="Times New Roman" w:cs="Times New Roman" w:eastAsia="Times New Roman" w:hint="default"/>
        </w:rPr>
        <w:t>9.58%</w:t>
      </w:r>
      <w:r>
        <w:rPr/>
        <w:t>。</w:t>
      </w:r>
    </w:p>
    <w:p>
      <w:pPr>
        <w:pStyle w:val="BodyText"/>
        <w:spacing w:line="300" w:lineRule="auto" w:before="63"/>
        <w:ind w:right="1138"/>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26</w:t>
      </w:r>
      <w:r>
        <w:rPr/>
        <w:t>日，微医集团与上海浦东发展银行股份有限公司杭州萧山支行就其持有的公司</w:t>
      </w:r>
      <w:r>
        <w:rPr>
          <w:rFonts w:ascii="Times New Roman" w:hAnsi="Times New Roman" w:cs="Times New Roman" w:eastAsia="Times New Roman" w:hint="default"/>
        </w:rPr>
        <w:t>41,200,000</w:t>
      </w:r>
      <w:r>
        <w:rPr/>
        <w:t>股股份办理 了股权质押手续。</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t>具体内容详见公司披露在巨潮资讯网上的相关公告。</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4</w:t>
      </w:r>
      <w:r>
        <w:rPr/>
        <w:t>、关于公司董事、监事、高级管理人员变动事项</w:t>
      </w:r>
    </w:p>
    <w:p>
      <w:pPr>
        <w:pStyle w:val="BodyText"/>
        <w:spacing w:line="300" w:lineRule="auto" w:before="63"/>
        <w:ind w:right="1132"/>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17</w:t>
      </w:r>
      <w:r>
        <w:rPr>
          <w:spacing w:val="-2"/>
        </w:rPr>
        <w:t>日，公司董事会收到公司副总经理孙中海先生递交的书面辞职报告。孙中海先生因个人原因申请辞去</w:t>
      </w:r>
      <w:r>
        <w:rPr/>
        <w:t> 所担任的公司副总经理职务。辞职后，孙中海先生将不再在公司担任任何职务。</w:t>
      </w:r>
    </w:p>
    <w:p>
      <w:pPr>
        <w:pStyle w:val="BodyText"/>
        <w:spacing w:line="307" w:lineRule="auto" w:before="31"/>
        <w:ind w:right="1130"/>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29</w:t>
      </w:r>
      <w:r>
        <w:rPr>
          <w:spacing w:val="-2"/>
        </w:rPr>
        <w:t>日，公司第四届董事会第七次会议召开。公司董事应亚珍女士和张昱女士因个人原因申请辞去公司第</w:t>
      </w:r>
      <w:r>
        <w:rPr/>
        <w:t> </w:t>
      </w:r>
      <w:r>
        <w:rPr>
          <w:spacing w:val="-2"/>
        </w:rPr>
        <w:t>四届董事会董事职务，辞职后，应亚珍女士将继续担任公司总经理，张昱女士将继续担任公司其他职务，上述两名董事辞职</w:t>
      </w:r>
      <w:r>
        <w:rPr>
          <w:spacing w:val="-64"/>
        </w:rPr>
        <w:t> </w:t>
      </w:r>
      <w:r>
        <w:rPr>
          <w:spacing w:val="-64"/>
        </w:rPr>
      </w:r>
      <w:r>
        <w:rPr>
          <w:spacing w:val="-2"/>
        </w:rPr>
        <w:t>不会导致公司董事会成员人数低于法定最低人数，不影响公司董事会正常运行，其辞职报告自送达董事会之日起生效。鉴于</w:t>
      </w:r>
      <w:r>
        <w:rPr>
          <w:spacing w:val="-63"/>
        </w:rPr>
        <w:t> </w:t>
      </w:r>
      <w:r>
        <w:rPr>
          <w:spacing w:val="-63"/>
        </w:rPr>
      </w:r>
      <w:r>
        <w:rPr/>
        <w:t>上述情况，公司第四届董事会提名廖杰远先生、孔祥谱先生为公司第四届董事会非独立董事候选人。</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日，公司 </w:t>
      </w:r>
      <w:r>
        <w:rPr>
          <w:spacing w:val="-2"/>
        </w:rPr>
        <w:t>召开</w:t>
      </w:r>
      <w:r>
        <w:rPr>
          <w:rFonts w:ascii="Times New Roman" w:hAnsi="Times New Roman" w:cs="Times New Roman" w:eastAsia="Times New Roman" w:hint="default"/>
          <w:spacing w:val="-2"/>
        </w:rPr>
        <w:t>2019</w:t>
      </w:r>
      <w:r>
        <w:rPr>
          <w:spacing w:val="-2"/>
        </w:rPr>
        <w:t>年第一次临时股东大会审议通过《关于补选第四届董事会非独立董事的议案》，廖杰远先生、孔祥谱先生当选为公</w:t>
      </w:r>
      <w:r>
        <w:rPr>
          <w:spacing w:val="-62"/>
        </w:rPr>
        <w:t> </w:t>
      </w:r>
      <w:r>
        <w:rPr>
          <w:spacing w:val="-62"/>
        </w:rPr>
      </w:r>
      <w:r>
        <w:rPr/>
        <w:t>司第四届董事会非独立董事，任期自股东大会通过之日起至第四届董事会届满之日止。</w:t>
      </w:r>
    </w:p>
    <w:p>
      <w:pPr>
        <w:pStyle w:val="BodyText"/>
        <w:spacing w:line="300" w:lineRule="auto" w:before="26"/>
        <w:ind w:right="1132"/>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3</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27</w:t>
      </w:r>
      <w:r>
        <w:rPr>
          <w:spacing w:val="-2"/>
        </w:rPr>
        <w:t>日，公司第四届董事会第八次会议审议通过了《关于选举廖杰远先生为公司第四届董事会副董事长的</w:t>
      </w:r>
      <w:r>
        <w:rPr/>
        <w:t> 议案》，同意选举廖杰远先生为公司第四届董事会副董事长，任期自本次会议通过之日起至第四届董事会届满之日止。</w:t>
      </w:r>
    </w:p>
    <w:p>
      <w:pPr>
        <w:pStyle w:val="BodyText"/>
        <w:spacing w:line="300" w:lineRule="auto" w:before="31"/>
        <w:ind w:right="1132"/>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4"/>
        </w:rPr>
        <w:t> </w:t>
      </w:r>
      <w:r>
        <w:rPr>
          <w:spacing w:val="-2"/>
        </w:rPr>
        <w:t>（</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日，公司第四届董事会第九次会议审议通过了《关于聘任公司副总经理的议案》，同意聘任张昱女士</w:t>
      </w:r>
      <w:r>
        <w:rPr/>
        <w:t> 为公司副总经理，负责市场战略规划，任期自本次会议通过之日起至第四届董事会届满之日止。</w:t>
      </w:r>
    </w:p>
    <w:p>
      <w:pPr>
        <w:pStyle w:val="BodyText"/>
        <w:spacing w:line="300" w:lineRule="auto" w:before="31"/>
        <w:ind w:right="1132"/>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日，公司董事会收到总经理应亚珍女士递交的书面辞职报告。应亚珍女士因个人原因申请辞去所担任</w:t>
      </w:r>
      <w:r>
        <w:rPr/>
        <w:t> 的公司总经理职务。辞职后，应亚珍女士不再在公司担任任何职务。</w:t>
      </w:r>
    </w:p>
    <w:p>
      <w:pPr>
        <w:pStyle w:val="BodyText"/>
        <w:spacing w:line="312" w:lineRule="auto" w:before="31"/>
        <w:ind w:right="1131"/>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6</w:t>
      </w:r>
      <w:r>
        <w:rPr>
          <w:spacing w:val="-2"/>
        </w:rPr>
        <w:t>）</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22</w:t>
      </w:r>
      <w:r>
        <w:rPr>
          <w:spacing w:val="-2"/>
        </w:rPr>
        <w:t>日，公司监事会收到公司职工代表监事郭骁昌先生递交的书面辞职报告，郭骁昌先生因工作调整原因</w:t>
      </w:r>
      <w:r>
        <w:rPr/>
        <w:t> </w:t>
      </w:r>
      <w:r>
        <w:rPr>
          <w:spacing w:val="-2"/>
        </w:rPr>
        <w:t>申请辞去担任的公司职工代表监事职务。郭骁昌先生辞去公司职工代表监事职务后，将继续在公司担任其他职务。根据《公</w:t>
      </w:r>
      <w:r>
        <w:rPr>
          <w:spacing w:val="-64"/>
        </w:rPr>
        <w:t> </w:t>
      </w:r>
      <w:r>
        <w:rPr>
          <w:spacing w:val="-64"/>
        </w:rPr>
      </w:r>
      <w:r>
        <w:rPr>
          <w:spacing w:val="-2"/>
        </w:rPr>
        <w:t>司法》、《深圳证券交易所创业板上市公司规范运作指引》以及《公司章程》等相关规定，职工代表监事辞职导致职工代表</w:t>
      </w:r>
      <w:r>
        <w:rPr>
          <w:spacing w:val="-71"/>
        </w:rPr>
        <w:t> </w:t>
      </w:r>
      <w:r>
        <w:rPr>
          <w:spacing w:val="-71"/>
        </w:rPr>
      </w:r>
      <w:r>
        <w:rPr/>
        <w:t>监事人数少于监事会成员的三分之一的，辞职报告将在公司补选出新的职工代表监事之日起生效。</w:t>
      </w:r>
    </w:p>
    <w:p>
      <w:pPr>
        <w:pStyle w:val="BodyText"/>
        <w:spacing w:line="240" w:lineRule="auto" w:before="22"/>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日，公司召开</w:t>
      </w:r>
      <w:r>
        <w:rPr>
          <w:rFonts w:ascii="Times New Roman" w:hAnsi="Times New Roman" w:cs="Times New Roman" w:eastAsia="Times New Roman" w:hint="default"/>
        </w:rPr>
        <w:t>2019</w:t>
      </w:r>
      <w:r>
        <w:rPr/>
        <w:t>年第一次职工代表大会，经与会职工代表选举，补选石雪莲女士为公司第四届监事会职</w:t>
      </w:r>
    </w:p>
    <w:p>
      <w:pPr>
        <w:spacing w:after="0" w:line="24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工代表监事，任期自职工代表大会审议通过之日起至第四届监事会届满之日止。</w:t>
      </w:r>
    </w:p>
    <w:p>
      <w:pPr>
        <w:pStyle w:val="BodyText"/>
        <w:spacing w:line="312" w:lineRule="auto" w:before="76"/>
        <w:ind w:right="113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日，公司第四届董事会第十一次会议审议通过了《关于聘任总经理的议案》、《关于聘任副总经理的 </w:t>
      </w:r>
      <w:r>
        <w:rPr>
          <w:spacing w:val="-2"/>
        </w:rPr>
        <w:t>议案》，同意聘任吴一禹先生为公司总经理，同时免去其副总经理职务，任期自本次会议通过之日起至第四届董事会届满之</w:t>
      </w:r>
      <w:r>
        <w:rPr>
          <w:spacing w:val="-64"/>
        </w:rPr>
        <w:t> </w:t>
      </w:r>
      <w:r>
        <w:rPr>
          <w:spacing w:val="-64"/>
        </w:rPr>
      </w:r>
      <w:r>
        <w:rPr>
          <w:spacing w:val="-2"/>
        </w:rPr>
        <w:t>日止；同意聘任郭骁昌先生为公司副总经理，负责医疗保障业务技术研发，任期自本次会议通过之日起至第四届董事会届满</w:t>
      </w:r>
      <w:r>
        <w:rPr>
          <w:spacing w:val="-63"/>
        </w:rPr>
        <w:t> </w:t>
      </w:r>
      <w:r>
        <w:rPr>
          <w:spacing w:val="-63"/>
        </w:rPr>
      </w:r>
      <w:r>
        <w:rPr/>
        <w:t>之日止。</w:t>
      </w:r>
    </w:p>
    <w:p>
      <w:pPr>
        <w:pStyle w:val="BodyText"/>
        <w:spacing w:line="300" w:lineRule="auto" w:before="22"/>
        <w:ind w:right="1139"/>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25</w:t>
      </w:r>
      <w:r>
        <w:rPr/>
        <w:t>日，公司收到了公司独立董事詹亦文女士递交的书面辞职报告，詹亦文女士因个人原因申请辞去所 担任的公司第四届董事会独立董事及董事会提名委员会主任委员职务。辞职后，詹亦文女士不再担任公司其他职务。</w:t>
      </w:r>
    </w:p>
    <w:p>
      <w:pPr>
        <w:pStyle w:val="BodyText"/>
        <w:spacing w:line="312" w:lineRule="auto" w:before="31"/>
        <w:ind w:right="1129"/>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10</w:t>
      </w:r>
      <w:r>
        <w:rPr/>
        <w:t>日，公司第四届董事会第十九次会议审议通过了《关于聘任副总经理的公告》，同意聘任陈东红先 </w:t>
      </w:r>
      <w:r>
        <w:rPr>
          <w:spacing w:val="-2"/>
        </w:rPr>
        <w:t>生、吴天恩先生、刘敏女士为公司副总经理，任期自本次会议审议通过之日起至第四届董事会届满之日止。其中，陈东红先</w:t>
      </w:r>
      <w:r>
        <w:rPr>
          <w:spacing w:val="-67"/>
        </w:rPr>
        <w:t> </w:t>
      </w:r>
      <w:r>
        <w:rPr>
          <w:spacing w:val="-67"/>
        </w:rPr>
      </w:r>
      <w:r>
        <w:rPr>
          <w:spacing w:val="-2"/>
        </w:rPr>
        <w:t>生负责公司总体财务管理；吴天恩先生负责协助总经理协调、处理公司对内对外相关事务；刘敏女士负责协助总经理开展业</w:t>
      </w:r>
      <w:r>
        <w:rPr>
          <w:spacing w:val="-62"/>
        </w:rPr>
        <w:t> </w:t>
      </w:r>
      <w:r>
        <w:rPr>
          <w:spacing w:val="-62"/>
        </w:rPr>
      </w:r>
      <w:r>
        <w:rPr/>
        <w:t>务经营工作，负责公司投融资业务。</w:t>
      </w:r>
    </w:p>
    <w:p>
      <w:pPr>
        <w:pStyle w:val="BodyText"/>
        <w:spacing w:line="312" w:lineRule="auto" w:before="23"/>
        <w:ind w:right="1132"/>
        <w:jc w:val="both"/>
      </w:pPr>
      <w:r>
        <w:rPr>
          <w:rFonts w:ascii="宋体" w:hAnsi="宋体" w:cs="宋体" w:eastAsia="宋体" w:hint="default"/>
        </w:rPr>
        <w:t>   </w:t>
      </w:r>
      <w:r>
        <w:rPr>
          <w:rFonts w:ascii="宋体" w:hAnsi="宋体" w:cs="宋体" w:eastAsia="宋体" w:hint="default"/>
          <w:spacing w:val="-22"/>
        </w:rPr>
        <w:t> </w:t>
      </w:r>
      <w:r>
        <w:rPr>
          <w:spacing w:val="-2"/>
        </w:rPr>
        <w:t>（</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2020</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2</w:t>
      </w:r>
      <w:r>
        <w:rPr>
          <w:spacing w:val="-2"/>
        </w:rPr>
        <w:t>日，公司监事会收到公司监事会主席江敦忠先生递交的书面辞职报告，江敦忠先生因已届法定退休年</w:t>
      </w:r>
      <w:r>
        <w:rPr/>
        <w:t> </w:t>
      </w:r>
      <w:r>
        <w:rPr>
          <w:spacing w:val="-2"/>
        </w:rPr>
        <w:t>龄，申请辞去公司第四届监事会监事、监事会主席职务。辞职后，江敦忠先生将在公司担任高级顾问。江敦忠先生的辞职将</w:t>
      </w:r>
      <w:r>
        <w:rPr>
          <w:spacing w:val="-67"/>
        </w:rPr>
        <w:t> </w:t>
      </w:r>
      <w:r>
        <w:rPr>
          <w:spacing w:val="-67"/>
        </w:rPr>
      </w:r>
      <w:r>
        <w:rPr>
          <w:spacing w:val="-2"/>
        </w:rPr>
        <w:t>导致公司监事会成员低于法定人数，根据《公司法》、《深圳证券交易所创业板上市公司规范运作指引》、《公司章程》等</w:t>
      </w:r>
      <w:r>
        <w:rPr>
          <w:spacing w:val="-68"/>
        </w:rPr>
        <w:t> </w:t>
      </w:r>
      <w:r>
        <w:rPr>
          <w:spacing w:val="-68"/>
        </w:rPr>
      </w:r>
      <w:r>
        <w:rPr/>
        <w:t>相关规定，其辞职申请将在公司股东大会补选产生新任监事后生效，在此之前，江敦忠先生仍将继续履行职务。</w:t>
      </w:r>
    </w:p>
    <w:p>
      <w:pPr>
        <w:pStyle w:val="BodyText"/>
        <w:spacing w:line="240" w:lineRule="auto" w:before="22"/>
        <w:ind w:right="0"/>
        <w:jc w:val="both"/>
      </w:pPr>
      <w:r>
        <w:rPr>
          <w:rFonts w:ascii="宋体" w:hAnsi="宋体" w:cs="宋体" w:eastAsia="宋体" w:hint="default"/>
          <w:spacing w:val="90"/>
        </w:rPr>
        <w:t> </w:t>
      </w:r>
      <w:r>
        <w:rPr>
          <w:rFonts w:ascii="宋体" w:hAnsi="宋体" w:cs="宋体" w:eastAsia="宋体" w:hint="default"/>
        </w:rPr>
        <w:t>  </w:t>
      </w:r>
      <w:r>
        <w:rPr/>
        <w:t>具体内容详见公司披露在巨潮资讯网上的相关公告。</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5</w:t>
      </w:r>
      <w:r>
        <w:rPr/>
        <w:t>、关于中标国家医疗保障局医疗保障信息平台建设工程业务应用软件采购项目的事项</w:t>
      </w:r>
    </w:p>
    <w:p>
      <w:pPr>
        <w:pStyle w:val="BodyText"/>
        <w:spacing w:line="309" w:lineRule="auto" w:before="63"/>
        <w:ind w:right="1129"/>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8</w:t>
      </w:r>
      <w:r>
        <w:rPr>
          <w:spacing w:val="-2"/>
        </w:rPr>
        <w:t>日，公司披露了《关于收到中标通知书的公告》，公司中标了国家医疗保障局医疗保障信息平台建设工程业</w:t>
      </w:r>
      <w:r>
        <w:rPr/>
        <w:t> </w:t>
      </w:r>
      <w:r>
        <w:rPr>
          <w:spacing w:val="-2"/>
        </w:rPr>
        <w:t>务应用软件采购项目</w:t>
      </w:r>
      <w:r>
        <w:rPr>
          <w:rFonts w:ascii="Times New Roman" w:hAnsi="Times New Roman" w:cs="Times New Roman" w:eastAsia="Times New Roman" w:hint="default"/>
          <w:spacing w:val="-2"/>
        </w:rPr>
        <w:t>9</w:t>
      </w:r>
      <w:r>
        <w:rPr>
          <w:spacing w:val="-2"/>
        </w:rPr>
        <w:t>个项目包中的第</w:t>
      </w:r>
      <w:r>
        <w:rPr>
          <w:rFonts w:ascii="Times New Roman" w:hAnsi="Times New Roman" w:cs="Times New Roman" w:eastAsia="Times New Roman" w:hint="default"/>
          <w:spacing w:val="-2"/>
        </w:rPr>
        <w:t>5</w:t>
      </w:r>
      <w:r>
        <w:rPr>
          <w:spacing w:val="-2"/>
        </w:rPr>
        <w:t>包和第</w:t>
      </w:r>
      <w:r>
        <w:rPr>
          <w:rFonts w:ascii="Times New Roman" w:hAnsi="Times New Roman" w:cs="Times New Roman" w:eastAsia="Times New Roman" w:hint="default"/>
          <w:spacing w:val="-2"/>
        </w:rPr>
        <w:t>8</w:t>
      </w:r>
      <w:r>
        <w:rPr>
          <w:spacing w:val="-2"/>
        </w:rPr>
        <w:t>包，本次中标，公司将参与国家医保局的</w:t>
      </w:r>
      <w:r>
        <w:rPr>
          <w:rFonts w:ascii="Times New Roman" w:hAnsi="Times New Roman" w:cs="Times New Roman" w:eastAsia="Times New Roman" w:hint="default"/>
          <w:spacing w:val="-2"/>
        </w:rPr>
        <w:t>5</w:t>
      </w:r>
      <w:r>
        <w:rPr>
          <w:spacing w:val="-2"/>
        </w:rPr>
        <w:t>个应用子系统建设，包括公共服务</w:t>
      </w:r>
      <w:r>
        <w:rPr>
          <w:spacing w:val="-61"/>
        </w:rPr>
        <w:t> </w:t>
      </w:r>
      <w:r>
        <w:rPr>
          <w:spacing w:val="-61"/>
        </w:rPr>
      </w:r>
      <w:r>
        <w:rPr>
          <w:spacing w:val="-2"/>
        </w:rPr>
        <w:t>子系统、信用评价管理子系统、基础信息管理子系统、医保业务基础子系统、应用支撑平台子系统，涉及医保核心业务、互</w:t>
      </w:r>
      <w:r>
        <w:rPr>
          <w:spacing w:val="-70"/>
        </w:rPr>
        <w:t> </w:t>
      </w:r>
      <w:r>
        <w:rPr>
          <w:spacing w:val="-70"/>
        </w:rPr>
      </w:r>
      <w:r>
        <w:rPr>
          <w:spacing w:val="-2"/>
        </w:rPr>
        <w:t>联网应用、大数据应用领域，标志着公司在医保信息化领域的经验和核心竞争力得到巩固和进一步认同，对公司业务战略升</w:t>
      </w:r>
      <w:r>
        <w:rPr>
          <w:spacing w:val="-64"/>
        </w:rPr>
        <w:t> </w:t>
      </w:r>
      <w:r>
        <w:rPr>
          <w:spacing w:val="-64"/>
        </w:rPr>
      </w:r>
      <w:r>
        <w:rPr/>
        <w:t>级具有里程碑式的重要意义。</w:t>
      </w:r>
    </w:p>
    <w:p>
      <w:pPr>
        <w:pStyle w:val="BodyText"/>
        <w:spacing w:line="240" w:lineRule="auto" w:before="24"/>
        <w:ind w:right="0"/>
        <w:jc w:val="both"/>
      </w:pPr>
      <w:r>
        <w:rPr>
          <w:rFonts w:ascii="宋体" w:hAnsi="宋体" w:cs="宋体" w:eastAsia="宋体" w:hint="default"/>
          <w:spacing w:val="90"/>
        </w:rPr>
        <w:t> </w:t>
      </w:r>
      <w:r>
        <w:rPr>
          <w:rFonts w:ascii="宋体" w:hAnsi="宋体" w:cs="宋体" w:eastAsia="宋体" w:hint="default"/>
        </w:rPr>
        <w:t>  </w:t>
      </w:r>
      <w:r>
        <w:rPr/>
        <w:t>具体内容详见公司披露在巨潮资讯网上的相关公告。</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6</w:t>
      </w:r>
      <w:r>
        <w:rPr/>
        <w:t>、关于向银行申请综合授信额度并提供担保的事项</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）关于向兴业银行股份有限公司厦门分行申请综合授信额度并提供抵押担保的事项</w:t>
      </w:r>
    </w:p>
    <w:p>
      <w:pPr>
        <w:pStyle w:val="BodyText"/>
        <w:spacing w:line="304" w:lineRule="auto" w:before="63"/>
        <w:ind w:right="1132"/>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29</w:t>
      </w:r>
      <w:r>
        <w:rPr/>
        <w:t>日，公司第四届董事会第七次会议审议通过了《关于向兴业银行股份有限公司厦门分行申请</w:t>
      </w:r>
      <w:r>
        <w:rPr>
          <w:rFonts w:ascii="Times New Roman" w:hAnsi="Times New Roman" w:cs="Times New Roman" w:eastAsia="Times New Roman" w:hint="default"/>
        </w:rPr>
        <w:t>10,000</w:t>
      </w:r>
      <w:r>
        <w:rPr/>
        <w:t>万元人 民币综合授信额度并提供抵押担保的议案》，同意公司以名下位于厦门市思明区观日路</w:t>
      </w:r>
      <w:r>
        <w:rPr>
          <w:rFonts w:ascii="Times New Roman" w:hAnsi="Times New Roman" w:cs="Times New Roman" w:eastAsia="Times New Roman" w:hint="default"/>
        </w:rPr>
        <w:t>18</w:t>
      </w:r>
      <w:r>
        <w:rPr/>
        <w:t>号</w:t>
      </w:r>
      <w:r>
        <w:rPr>
          <w:rFonts w:ascii="Times New Roman" w:hAnsi="Times New Roman" w:cs="Times New Roman" w:eastAsia="Times New Roman" w:hint="default"/>
        </w:rPr>
        <w:t>8</w:t>
      </w:r>
      <w:r>
        <w:rPr/>
        <w:t>套房屋做抵押，并由公司全资 </w:t>
      </w:r>
      <w:r>
        <w:rPr>
          <w:spacing w:val="-2"/>
        </w:rPr>
        <w:t>子公司福州易联众信息技术有限公司及公司控股股东、实际控制人张曦先生提供连带责任担保，向兴业银行股份有限公司厦</w:t>
      </w:r>
      <w:r>
        <w:rPr>
          <w:spacing w:val="-64"/>
        </w:rPr>
        <w:t> </w:t>
      </w:r>
      <w:r>
        <w:rPr>
          <w:spacing w:val="-64"/>
        </w:rPr>
      </w:r>
      <w:r>
        <w:rPr/>
        <w:t>门分行申请人民币</w:t>
      </w:r>
      <w:r>
        <w:rPr>
          <w:rFonts w:ascii="Times New Roman" w:hAnsi="Times New Roman" w:cs="Times New Roman" w:eastAsia="Times New Roman" w:hint="default"/>
        </w:rPr>
        <w:t>10,000</w:t>
      </w:r>
      <w:r>
        <w:rPr/>
        <w:t>万元的综合授信额度，授信期限一年。</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26</w:t>
      </w:r>
      <w:r>
        <w:rPr/>
        <w:t>日，公司与兴业银行股份有限公司厦门分行签 署了最高限额为</w:t>
      </w:r>
      <w:r>
        <w:rPr>
          <w:rFonts w:ascii="Times New Roman" w:hAnsi="Times New Roman" w:cs="Times New Roman" w:eastAsia="Times New Roman" w:hint="default"/>
        </w:rPr>
        <w:t>14,830,300</w:t>
      </w:r>
      <w:r>
        <w:rPr/>
        <w:t>元的《最高额抵押合同》，此后，公司接到兴业银行股份有限公司厦门分行通知已收到厦门市国 土资源与房产管理局出具的《不动产登记证明（抵押权）》。</w:t>
      </w:r>
    </w:p>
    <w:p>
      <w:pPr>
        <w:pStyle w:val="BodyText"/>
        <w:spacing w:line="240" w:lineRule="auto" w:before="28"/>
        <w:ind w:right="0"/>
        <w:jc w:val="both"/>
      </w:pPr>
      <w:r>
        <w:rPr>
          <w:rFonts w:ascii="宋体" w:hAnsi="宋体" w:cs="宋体" w:eastAsia="宋体" w:hint="default"/>
          <w:spacing w:val="90"/>
        </w:rPr>
        <w:t> </w:t>
      </w:r>
      <w:r>
        <w:rPr>
          <w:rFonts w:ascii="宋体" w:hAnsi="宋体" w:cs="宋体" w:eastAsia="宋体" w:hint="default"/>
        </w:rPr>
        <w:t>  </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w:t>
      </w:r>
      <w:r>
        <w:rPr/>
        <w:t>日，上述抵押手续已办理完成。</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）关于向厦门国际银行股份有限公司厦门分行申请综合授信额度并提供担保的事项</w:t>
      </w:r>
    </w:p>
    <w:p>
      <w:pPr>
        <w:pStyle w:val="BodyText"/>
        <w:spacing w:line="300" w:lineRule="auto" w:before="63"/>
        <w:ind w:right="1133"/>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25</w:t>
      </w:r>
      <w:r>
        <w:rPr>
          <w:spacing w:val="-1"/>
        </w:rPr>
        <w:t>日，公司第四届董事会第十次会议审议通过了《关于向厦门国际银行股份有限公司厦门分行申请</w:t>
      </w:r>
      <w:r>
        <w:rPr>
          <w:rFonts w:ascii="Times New Roman" w:hAnsi="Times New Roman" w:cs="Times New Roman" w:eastAsia="Times New Roman" w:hint="default"/>
          <w:spacing w:val="-1"/>
        </w:rPr>
        <w:t>2,400</w:t>
      </w:r>
      <w:r>
        <w:rPr>
          <w:spacing w:val="-1"/>
        </w:rPr>
        <w:t>万元</w:t>
      </w:r>
      <w:r>
        <w:rPr>
          <w:spacing w:val="-3"/>
        </w:rPr>
        <w:t> </w:t>
      </w:r>
      <w:r>
        <w:rPr/>
        <w:t>人民币综合授信额度并提供担保的议案》，同意公司向厦门国际银行股份有限公司厦门分行申请</w:t>
      </w:r>
      <w:r>
        <w:rPr>
          <w:rFonts w:ascii="Times New Roman" w:hAnsi="Times New Roman" w:cs="Times New Roman" w:eastAsia="Times New Roman" w:hint="default"/>
        </w:rPr>
        <w:t>2,400</w:t>
      </w:r>
      <w:r>
        <w:rPr/>
        <w:t>万元人民币的综合授 信额度，授信期限</w:t>
      </w:r>
      <w:r>
        <w:rPr>
          <w:rFonts w:ascii="Times New Roman" w:hAnsi="Times New Roman" w:cs="Times New Roman" w:eastAsia="Times New Roman" w:hint="default"/>
        </w:rPr>
        <w:t>3</w:t>
      </w:r>
      <w:r>
        <w:rPr/>
        <w:t>年，并由公司控股股东、实际控制人张曦先生提供连带责任担保，担保的主债权发生期间与综合授信期 限一致，免于支付担保费用。</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3</w:t>
      </w:r>
      <w:r>
        <w:rPr/>
        <w:t>）关于向广发银行股份有限公司福州分行、赣州银行股份有限公司申请授信额度并提供担保的事项</w:t>
      </w:r>
    </w:p>
    <w:p>
      <w:pPr>
        <w:pStyle w:val="BodyText"/>
        <w:spacing w:line="312" w:lineRule="auto" w:before="63"/>
        <w:ind w:right="113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28</w:t>
      </w:r>
      <w:r>
        <w:rPr/>
        <w:t>日，公司第四届董事会第十三次会议审议通过了《关于向广发银行股份有限公司福州分行申请综合授信额 </w:t>
      </w:r>
      <w:r>
        <w:rPr>
          <w:spacing w:val="-2"/>
        </w:rPr>
        <w:t>度并提供担保的议案》、《关于向赣州银行股份有限公司申请流动资金贷款授信额度并提供担保的议案》，同意公司向广发</w:t>
      </w:r>
      <w:r>
        <w:rPr>
          <w:spacing w:val="-65"/>
        </w:rPr>
        <w:t> </w:t>
      </w:r>
      <w:r>
        <w:rPr>
          <w:spacing w:val="-65"/>
        </w:rPr>
      </w:r>
      <w:r>
        <w:rPr/>
        <w:t>银行股份有限公司福州分行申请</w:t>
      </w:r>
      <w:r>
        <w:rPr>
          <w:rFonts w:ascii="Times New Roman" w:hAnsi="Times New Roman" w:cs="Times New Roman" w:eastAsia="Times New Roman" w:hint="default"/>
        </w:rPr>
        <w:t>1,950</w:t>
      </w:r>
      <w:r>
        <w:rPr/>
        <w:t>万元人民币的综合授信额度，向赣州银行股份有限公司申请</w:t>
      </w:r>
      <w:r>
        <w:rPr>
          <w:rFonts w:ascii="Times New Roman" w:hAnsi="Times New Roman" w:cs="Times New Roman" w:eastAsia="Times New Roman" w:hint="default"/>
        </w:rPr>
        <w:t>4,000</w:t>
      </w:r>
      <w:r>
        <w:rPr/>
        <w:t>万元人民币的流动资 </w:t>
      </w:r>
      <w:r>
        <w:rPr>
          <w:spacing w:val="-2"/>
        </w:rPr>
        <w:t>金贷款授信额度，授信期限均为一年。公司控股股东、实际控制人张曦先生为公司向上述两家银行申请授信额度提供连带责</w:t>
      </w:r>
      <w:r>
        <w:rPr>
          <w:spacing w:val="-66"/>
        </w:rPr>
        <w:t> </w:t>
      </w:r>
      <w:r>
        <w:rPr>
          <w:spacing w:val="-66"/>
        </w:rPr>
      </w:r>
      <w:r>
        <w:rPr>
          <w:spacing w:val="-2"/>
        </w:rPr>
        <w:t>任担保，关联方厦门建德开发有限公司为公司拟向赣州银行股份有限公司申请流动资金贷款授信额度提供最高额连带责任担</w:t>
      </w:r>
      <w:r>
        <w:rPr>
          <w:spacing w:val="-63"/>
        </w:rPr>
        <w:t> </w:t>
      </w:r>
      <w:r>
        <w:rPr>
          <w:spacing w:val="-63"/>
        </w:rPr>
      </w:r>
      <w:r>
        <w:rPr/>
        <w:t>保，担保的主债权发生期间与综合授信期限一致，免于支付担保费用。</w:t>
      </w:r>
    </w:p>
    <w:p>
      <w:pPr>
        <w:spacing w:after="0" w:line="312"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4</w:t>
      </w:r>
      <w:r>
        <w:rPr/>
        <w:t>）关于向招商银行股份有限公司厦门分行申请综合授信额度并提供担保的事项</w:t>
      </w:r>
    </w:p>
    <w:p>
      <w:pPr>
        <w:pStyle w:val="BodyText"/>
        <w:spacing w:line="307" w:lineRule="auto" w:before="63"/>
        <w:ind w:right="113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28</w:t>
      </w:r>
      <w:r>
        <w:rPr>
          <w:spacing w:val="-2"/>
        </w:rPr>
        <w:t>日，公司第四届董事会第十五次会议审议通过了《关于公司控股股东、实际控制人为公司申请银行授信额</w:t>
      </w:r>
      <w:r>
        <w:rPr/>
        <w:t> 度提供担保暨关联交易的议案》，同意公司向招商银行股份有限公司厦门分行申请</w:t>
      </w:r>
      <w:r>
        <w:rPr>
          <w:rFonts w:ascii="Times New Roman" w:hAnsi="Times New Roman" w:cs="Times New Roman" w:eastAsia="Times New Roman" w:hint="default"/>
        </w:rPr>
        <w:t>5,000</w:t>
      </w:r>
      <w:r>
        <w:rPr/>
        <w:t>万元人民币的综合授信额度，授信 </w:t>
      </w:r>
      <w:r>
        <w:rPr>
          <w:spacing w:val="-2"/>
        </w:rPr>
        <w:t>期限一年，并由公司控股股东、实际控制人张曦先生提供连带责任担保，担保的主债权发生期间与综合授信期限一致，免于</w:t>
      </w:r>
      <w:r>
        <w:rPr>
          <w:spacing w:val="-65"/>
        </w:rPr>
        <w:t> </w:t>
      </w:r>
      <w:r>
        <w:rPr>
          <w:spacing w:val="-65"/>
        </w:rPr>
      </w:r>
      <w:r>
        <w:rPr/>
        <w:t>支付担保费用。</w:t>
      </w:r>
    </w:p>
    <w:p>
      <w:pPr>
        <w:pStyle w:val="BodyText"/>
        <w:spacing w:line="240" w:lineRule="auto" w:before="26"/>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5</w:t>
      </w:r>
      <w:r>
        <w:rPr/>
        <w:t>）关于向中国民生银行股份有限公司厦门分行申请综合授信额度并提供担保的事项</w:t>
      </w:r>
    </w:p>
    <w:p>
      <w:pPr>
        <w:pStyle w:val="BodyText"/>
        <w:spacing w:line="307" w:lineRule="auto" w:before="63"/>
        <w:ind w:right="1051"/>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日，公司第四届董事会第十八次会议审议通过了《关于公司控股股东、实际控制人为公司申请银行授信额</w:t>
      </w:r>
      <w:r>
        <w:rPr/>
        <w:t> 度提供担保暨关联交易的议案》，同意公司向中国民生银行股份有限公司厦门分行申请</w:t>
      </w:r>
      <w:r>
        <w:rPr>
          <w:rFonts w:ascii="Times New Roman" w:hAnsi="Times New Roman" w:cs="Times New Roman" w:eastAsia="Times New Roman" w:hint="default"/>
        </w:rPr>
        <w:t>10,000</w:t>
      </w:r>
      <w:r>
        <w:rPr/>
        <w:t>万元人民币的综合授信额度， 授信期限一年，并由公司控股股东、实际控制人张曦先生提供连带责任担保，担保的主债权发生期间与综合授信期限一致， 免于支付担保费用。</w:t>
      </w:r>
    </w:p>
    <w:p>
      <w:pPr>
        <w:pStyle w:val="BodyText"/>
        <w:spacing w:line="240" w:lineRule="auto" w:before="26"/>
        <w:ind w:right="0"/>
        <w:jc w:val="both"/>
      </w:pPr>
      <w:r>
        <w:rPr>
          <w:rFonts w:ascii="宋体" w:hAnsi="宋体" w:cs="宋体" w:eastAsia="宋体" w:hint="default"/>
          <w:spacing w:val="90"/>
        </w:rPr>
        <w:t> </w:t>
      </w:r>
      <w:r>
        <w:rPr>
          <w:rFonts w:ascii="宋体" w:hAnsi="宋体" w:cs="宋体" w:eastAsia="宋体" w:hint="default"/>
        </w:rPr>
        <w:t>  </w:t>
      </w:r>
      <w:r>
        <w:rPr/>
        <w:t>具体内容详见公司披露在巨潮资讯网上的相关公告。</w:t>
      </w:r>
    </w:p>
    <w:p>
      <w:pPr>
        <w:pStyle w:val="BodyText"/>
        <w:spacing w:line="240" w:lineRule="auto" w:before="77"/>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7</w:t>
      </w:r>
      <w:r>
        <w:rPr/>
        <w:t>、关于获得政府补助的事项</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0"/>
        </w:rPr>
        <w:t> </w:t>
      </w: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28</w:t>
      </w:r>
      <w:r>
        <w:rPr/>
        <w:t>日，公司及全资、控股子公司累计收到各项政府补助资金共计人民币</w:t>
      </w:r>
      <w:r>
        <w:rPr>
          <w:rFonts w:ascii="Times New Roman" w:hAnsi="Times New Roman" w:cs="Times New Roman" w:eastAsia="Times New Roman" w:hint="default"/>
        </w:rPr>
        <w:t>3,024,297.89</w:t>
      </w:r>
      <w:r>
        <w:rPr/>
        <w:t>元。</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0"/>
        </w:rPr>
        <w:t> </w:t>
      </w: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日，公司及全资、控股子公司累计收到各项政府补助资金共计人民币</w:t>
      </w:r>
      <w:r>
        <w:rPr>
          <w:rFonts w:ascii="Times New Roman" w:hAnsi="Times New Roman" w:cs="Times New Roman" w:eastAsia="Times New Roman" w:hint="default"/>
        </w:rPr>
        <w:t>3,279,837.24</w:t>
      </w:r>
      <w:r>
        <w:rPr/>
        <w:t>元。</w:t>
      </w:r>
    </w:p>
    <w:p>
      <w:pPr>
        <w:pStyle w:val="BodyText"/>
        <w:spacing w:line="240" w:lineRule="auto" w:before="63"/>
        <w:ind w:right="0"/>
        <w:jc w:val="both"/>
      </w:pPr>
      <w:r>
        <w:rPr>
          <w:rFonts w:ascii="宋体" w:hAnsi="宋体" w:cs="宋体" w:eastAsia="宋体" w:hint="default"/>
        </w:rPr>
        <w:t>   </w:t>
      </w:r>
      <w:r>
        <w:rPr>
          <w:rFonts w:ascii="宋体" w:hAnsi="宋体" w:cs="宋体" w:eastAsia="宋体" w:hint="default"/>
          <w:spacing w:val="-31"/>
        </w:rPr>
        <w:t> </w:t>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16</w:t>
      </w:r>
      <w:r>
        <w:rPr/>
        <w:t>日，公司及全资、控股子公司累计收到各项政府补助资金共计人民币</w:t>
      </w:r>
      <w:r>
        <w:rPr>
          <w:rFonts w:ascii="Times New Roman" w:hAnsi="Times New Roman" w:cs="Times New Roman" w:eastAsia="Times New Roman" w:hint="default"/>
        </w:rPr>
        <w:t>2,933,927.01</w:t>
      </w:r>
      <w:r>
        <w:rPr/>
        <w:t>元。</w:t>
      </w:r>
    </w:p>
    <w:p>
      <w:pPr>
        <w:pStyle w:val="BodyText"/>
        <w:spacing w:line="240" w:lineRule="auto" w:before="63"/>
        <w:ind w:right="0"/>
        <w:jc w:val="both"/>
      </w:pPr>
      <w:r>
        <w:rPr>
          <w:rFonts w:ascii="宋体" w:hAnsi="宋体" w:cs="宋体" w:eastAsia="宋体" w:hint="default"/>
        </w:rPr>
        <w:t>   </w:t>
      </w:r>
      <w:r>
        <w:rPr>
          <w:rFonts w:ascii="宋体" w:hAnsi="宋体" w:cs="宋体" w:eastAsia="宋体" w:hint="default"/>
          <w:spacing w:val="-31"/>
        </w:rPr>
        <w:t> </w:t>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日，公司及全资、控股子公司累计收到各项政府补助资金共计人民币</w:t>
      </w:r>
      <w:r>
        <w:rPr>
          <w:rFonts w:ascii="Times New Roman" w:hAnsi="Times New Roman" w:cs="Times New Roman" w:eastAsia="Times New Roman" w:hint="default"/>
        </w:rPr>
        <w:t>5,553,378.32</w:t>
      </w:r>
      <w:r>
        <w:rPr/>
        <w:t>元。</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0"/>
        </w:rPr>
        <w:t> </w:t>
      </w:r>
      <w:r>
        <w:rPr/>
        <w:t>（</w:t>
      </w:r>
      <w:r>
        <w:rPr>
          <w:rFonts w:ascii="Times New Roman" w:hAnsi="Times New Roman" w:cs="Times New Roman" w:eastAsia="Times New Roman" w:hint="default"/>
        </w:rPr>
        <w:t>5</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9</w:t>
      </w:r>
      <w:r>
        <w:rPr/>
        <w:t>日，公司及全资、控股子公司累计收到各项政府补助资金共计人民币</w:t>
      </w:r>
      <w:r>
        <w:rPr>
          <w:rFonts w:ascii="Times New Roman" w:hAnsi="Times New Roman" w:cs="Times New Roman" w:eastAsia="Times New Roman" w:hint="default"/>
        </w:rPr>
        <w:t>3,042,733.10</w:t>
      </w:r>
      <w:r>
        <w:rPr/>
        <w:t>元。</w:t>
      </w:r>
    </w:p>
    <w:p>
      <w:pPr>
        <w:pStyle w:val="BodyText"/>
        <w:spacing w:line="240" w:lineRule="auto" w:before="63"/>
        <w:ind w:right="0"/>
        <w:jc w:val="both"/>
        <w:rPr>
          <w:rFonts w:ascii="Times New Roman" w:hAnsi="Times New Roman" w:cs="Times New Roman" w:eastAsia="Times New Roman" w:hint="default"/>
        </w:rPr>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6</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10</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14</w:t>
      </w:r>
      <w:r>
        <w:rPr/>
        <w:t>日，公司及全资、控股子公司累计收到各项政府补助资金共计人民币</w:t>
      </w:r>
      <w:r>
        <w:rPr>
          <w:rFonts w:ascii="Times New Roman" w:hAnsi="Times New Roman" w:cs="Times New Roman" w:eastAsia="Times New Roman" w:hint="default"/>
        </w:rPr>
        <w:t>3,415,318.55</w:t>
      </w:r>
    </w:p>
    <w:p>
      <w:pPr>
        <w:pStyle w:val="BodyText"/>
        <w:spacing w:line="240" w:lineRule="auto" w:before="63"/>
        <w:ind w:right="0"/>
        <w:jc w:val="both"/>
      </w:pPr>
      <w:r>
        <w:rPr/>
        <w:t>元。</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7</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17</w:t>
      </w:r>
      <w:r>
        <w:rPr/>
        <w:t>日，公司及全资、控股子公司累计收到各项政府补助资金共计人民币</w:t>
      </w:r>
      <w:r>
        <w:rPr>
          <w:rFonts w:ascii="Times New Roman" w:hAnsi="Times New Roman" w:cs="Times New Roman" w:eastAsia="Times New Roman" w:hint="default"/>
        </w:rPr>
        <w:t>4,044,001.43</w:t>
      </w:r>
      <w:r>
        <w:rPr/>
        <w:t>元。</w:t>
      </w:r>
    </w:p>
    <w:p>
      <w:pPr>
        <w:pStyle w:val="BodyText"/>
        <w:spacing w:line="240" w:lineRule="auto" w:before="63"/>
        <w:ind w:right="0"/>
        <w:jc w:val="both"/>
        <w:rPr>
          <w:rFonts w:ascii="Times New Roman" w:hAnsi="Times New Roman" w:cs="Times New Roman" w:eastAsia="Times New Roman" w:hint="default"/>
        </w:rPr>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8</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18</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6</w:t>
      </w:r>
      <w:r>
        <w:rPr/>
        <w:t>日，公司及全资、控股子公司累计收到各项政府补助资金共计人民币</w:t>
      </w:r>
      <w:r>
        <w:rPr>
          <w:rFonts w:ascii="Times New Roman" w:hAnsi="Times New Roman" w:cs="Times New Roman" w:eastAsia="Times New Roman" w:hint="default"/>
        </w:rPr>
        <w:t>3,256,578.97</w:t>
      </w:r>
    </w:p>
    <w:p>
      <w:pPr>
        <w:pStyle w:val="BodyText"/>
        <w:spacing w:line="240" w:lineRule="auto" w:before="63"/>
        <w:ind w:right="0"/>
        <w:jc w:val="both"/>
      </w:pPr>
      <w:r>
        <w:rPr/>
        <w:t>元。</w:t>
      </w:r>
    </w:p>
    <w:p>
      <w:pPr>
        <w:pStyle w:val="BodyText"/>
        <w:spacing w:line="240" w:lineRule="auto" w:before="76"/>
        <w:ind w:right="0"/>
        <w:jc w:val="both"/>
        <w:rPr>
          <w:rFonts w:ascii="Times New Roman" w:hAnsi="Times New Roman" w:cs="Times New Roman" w:eastAsia="Times New Roman" w:hint="default"/>
        </w:rPr>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9</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7</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23</w:t>
      </w:r>
      <w:r>
        <w:rPr/>
        <w:t>日，公司及全资、控股子公司累计收到各项政府补助资金共计人民币</w:t>
      </w:r>
      <w:r>
        <w:rPr>
          <w:rFonts w:ascii="Times New Roman" w:hAnsi="Times New Roman" w:cs="Times New Roman" w:eastAsia="Times New Roman" w:hint="default"/>
        </w:rPr>
        <w:t>5,129,581.63</w:t>
      </w:r>
    </w:p>
    <w:p>
      <w:pPr>
        <w:pStyle w:val="BodyText"/>
        <w:spacing w:line="240" w:lineRule="auto" w:before="63"/>
        <w:ind w:right="0"/>
        <w:jc w:val="both"/>
      </w:pPr>
      <w:r>
        <w:rPr/>
        <w:t>元。</w:t>
      </w:r>
    </w:p>
    <w:p>
      <w:pPr>
        <w:pStyle w:val="BodyText"/>
        <w:spacing w:line="240" w:lineRule="auto" w:before="76"/>
        <w:ind w:right="0"/>
        <w:jc w:val="both"/>
        <w:rPr>
          <w:rFonts w:ascii="Times New Roman" w:hAnsi="Times New Roman" w:cs="Times New Roman" w:eastAsia="Times New Roman" w:hint="default"/>
        </w:rPr>
      </w:pPr>
      <w:r>
        <w:rPr>
          <w:rFonts w:ascii="宋体" w:hAnsi="宋体" w:cs="宋体" w:eastAsia="宋体" w:hint="default"/>
        </w:rPr>
        <w:t>   </w:t>
      </w:r>
      <w:r>
        <w:rPr>
          <w:rFonts w:ascii="宋体" w:hAnsi="宋体" w:cs="宋体" w:eastAsia="宋体" w:hint="default"/>
          <w:spacing w:val="-31"/>
        </w:rPr>
        <w:t> </w:t>
      </w:r>
      <w:r>
        <w:rPr/>
        <w:t>（</w:t>
      </w:r>
      <w:r>
        <w:rPr>
          <w:rFonts w:ascii="Times New Roman" w:hAnsi="Times New Roman" w:cs="Times New Roman" w:eastAsia="Times New Roman" w:hint="default"/>
        </w:rPr>
        <w:t>10</w:t>
      </w:r>
      <w:r>
        <w:rPr/>
        <w:t>）</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13</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25</w:t>
      </w:r>
      <w:r>
        <w:rPr/>
        <w:t>日，公司及全资、控股子公司累计收到各项政府补助资金共计人民币</w:t>
      </w:r>
      <w:r>
        <w:rPr>
          <w:rFonts w:ascii="Times New Roman" w:hAnsi="Times New Roman" w:cs="Times New Roman" w:eastAsia="Times New Roman" w:hint="default"/>
        </w:rPr>
        <w:t>4,026,509.04</w:t>
      </w:r>
    </w:p>
    <w:p>
      <w:pPr>
        <w:pStyle w:val="BodyText"/>
        <w:spacing w:line="240" w:lineRule="auto" w:before="63"/>
        <w:ind w:right="0"/>
        <w:jc w:val="both"/>
      </w:pPr>
      <w:r>
        <w:rPr/>
        <w:t>元。</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t>具体内容详见公司披露在巨潮资讯网上相关公告。</w:t>
      </w:r>
    </w:p>
    <w:p>
      <w:pPr>
        <w:pStyle w:val="BodyText"/>
        <w:spacing w:line="240" w:lineRule="auto" w:before="76"/>
        <w:ind w:right="0"/>
        <w:jc w:val="both"/>
      </w:pPr>
      <w:r>
        <w:rPr>
          <w:rFonts w:ascii="宋体" w:hAnsi="宋体" w:cs="宋体" w:eastAsia="宋体" w:hint="default"/>
          <w:spacing w:val="90"/>
        </w:rPr>
        <w:t> </w:t>
      </w:r>
      <w:r>
        <w:rPr>
          <w:rFonts w:ascii="宋体" w:hAnsi="宋体" w:cs="宋体" w:eastAsia="宋体" w:hint="default"/>
        </w:rPr>
        <w:t>  </w:t>
      </w:r>
      <w:r>
        <w:rPr>
          <w:rFonts w:ascii="宋体" w:hAnsi="宋体" w:cs="宋体" w:eastAsia="宋体" w:hint="default"/>
          <w:spacing w:val="-18"/>
        </w:rPr>
        <w:t> </w:t>
      </w:r>
      <w:r>
        <w:rPr>
          <w:rFonts w:ascii="Times New Roman" w:hAnsi="Times New Roman" w:cs="Times New Roman" w:eastAsia="Times New Roman" w:hint="default"/>
        </w:rPr>
        <w:t>8</w:t>
      </w:r>
      <w:r>
        <w:rPr/>
        <w:t>、关于转让全资子公司全部股权的事项</w:t>
      </w:r>
    </w:p>
    <w:p>
      <w:pPr>
        <w:pStyle w:val="BodyText"/>
        <w:spacing w:line="307" w:lineRule="auto" w:before="63"/>
        <w:ind w:right="0"/>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23</w:t>
      </w:r>
      <w:r>
        <w:rPr>
          <w:spacing w:val="-2"/>
        </w:rPr>
        <w:t>日，公司第四届董事会第十六次会议审议通过了《关于转让全资子公司厦门易联众商业保理有限公司全部</w:t>
      </w:r>
      <w:r>
        <w:rPr/>
        <w:t> </w:t>
      </w:r>
      <w:r>
        <w:rPr>
          <w:spacing w:val="-2"/>
        </w:rPr>
        <w:t>股权的议案》。为了优化投资结构，降低投资风险，集中资源聚焦公司有优势的主营业务，公司拟将持有的保理公司全部股</w:t>
      </w:r>
      <w:r>
        <w:rPr>
          <w:spacing w:val="-67"/>
        </w:rPr>
        <w:t> </w:t>
      </w:r>
      <w:r>
        <w:rPr>
          <w:spacing w:val="-67"/>
        </w:rPr>
      </w:r>
      <w:r>
        <w:rPr/>
        <w:t>权以人民币</w:t>
      </w:r>
      <w:r>
        <w:rPr>
          <w:rFonts w:ascii="Times New Roman" w:hAnsi="Times New Roman" w:cs="Times New Roman" w:eastAsia="Times New Roman" w:hint="default"/>
        </w:rPr>
        <w:t>113,911,218.38</w:t>
      </w:r>
      <w:r>
        <w:rPr/>
        <w:t>元的价格转让给深圳市海航金融投资管理有限公司（以下简称</w:t>
      </w:r>
      <w:r>
        <w:rPr>
          <w:rFonts w:ascii="Times New Roman" w:hAnsi="Times New Roman" w:cs="Times New Roman" w:eastAsia="Times New Roman" w:hint="default"/>
        </w:rPr>
        <w:t>“</w:t>
      </w:r>
      <w:r>
        <w:rPr/>
        <w:t>海航金融</w:t>
      </w:r>
      <w:r>
        <w:rPr>
          <w:rFonts w:ascii="Times New Roman" w:hAnsi="Times New Roman" w:cs="Times New Roman" w:eastAsia="Times New Roman" w:hint="default"/>
        </w:rPr>
        <w:t>”</w:t>
      </w:r>
      <w:r>
        <w:rPr/>
        <w:t>）。本次股权转让后， 公司不再持有保理公司股权，亦不再将保理公司纳入合并报表范围。</w:t>
      </w:r>
    </w:p>
    <w:p>
      <w:pPr>
        <w:pStyle w:val="BodyText"/>
        <w:spacing w:line="312" w:lineRule="auto" w:before="26"/>
        <w:ind w:right="113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4</w:t>
      </w:r>
      <w:r>
        <w:rPr/>
        <w:t>日，公司第四届董事会第十七次会议审议通过了《关于转让全资子公司厦门易联众商业保理有限公司全部 </w:t>
      </w:r>
      <w:r>
        <w:rPr>
          <w:spacing w:val="-2"/>
        </w:rPr>
        <w:t>股权变更交易对手方的议案》。由于国家有关部门加强了对商业保理企业的监督管理，基于从严监管原则，经过对相关报批</w:t>
      </w:r>
      <w:r>
        <w:rPr>
          <w:spacing w:val="-64"/>
        </w:rPr>
        <w:t> </w:t>
      </w:r>
      <w:r>
        <w:rPr>
          <w:spacing w:val="-64"/>
        </w:rPr>
      </w:r>
      <w:r>
        <w:rPr>
          <w:spacing w:val="-2"/>
        </w:rPr>
        <w:t>材料初审，审批部门建议公司选择更为合适的交易对手方。因此，为保证公司拟定交易的顺利进行，经与各方友好协商，公</w:t>
      </w:r>
      <w:r>
        <w:rPr>
          <w:spacing w:val="-67"/>
        </w:rPr>
        <w:t> </w:t>
      </w:r>
      <w:r>
        <w:rPr>
          <w:spacing w:val="-67"/>
        </w:rPr>
      </w:r>
      <w:r>
        <w:rPr>
          <w:spacing w:val="-2"/>
        </w:rPr>
        <w:t>司拟将本次转让保理公司全部股权的交易对手方由海航金融变更为厦门欣亚锐商贸有限公司（以下简称</w:t>
      </w:r>
      <w:r>
        <w:rPr>
          <w:rFonts w:ascii="Times New Roman" w:hAnsi="Times New Roman" w:cs="Times New Roman" w:eastAsia="Times New Roman" w:hint="default"/>
          <w:spacing w:val="-2"/>
        </w:rPr>
        <w:t>“</w:t>
      </w:r>
      <w:r>
        <w:rPr>
          <w:spacing w:val="-2"/>
        </w:rPr>
        <w:t>厦门欣亚锐</w:t>
      </w:r>
      <w:r>
        <w:rPr>
          <w:rFonts w:ascii="Times New Roman" w:hAnsi="Times New Roman" w:cs="Times New Roman" w:eastAsia="Times New Roman" w:hint="default"/>
          <w:spacing w:val="-2"/>
        </w:rPr>
        <w:t>”</w:t>
      </w:r>
      <w:r>
        <w:rPr>
          <w:spacing w:val="-2"/>
        </w:rPr>
        <w:t>）。本</w:t>
      </w:r>
      <w:r>
        <w:rPr>
          <w:spacing w:val="-62"/>
        </w:rPr>
        <w:t> </w:t>
      </w:r>
      <w:r>
        <w:rPr>
          <w:spacing w:val="-2"/>
        </w:rPr>
        <w:t>次交易除交易对手方及其相关信息发生变更外，涉及的交易标的基本情况、交易的定价政策及定价依据、交易价格、交易协</w:t>
      </w:r>
      <w:r>
        <w:rPr>
          <w:spacing w:val="-64"/>
        </w:rPr>
        <w:t> </w:t>
      </w:r>
      <w:r>
        <w:rPr>
          <w:spacing w:val="-64"/>
        </w:rPr>
      </w:r>
      <w:r>
        <w:rPr/>
        <w:t>议条款、本次交易目的等内容与第四届董事会第十六次会议已审议通过的内容保持一致。</w:t>
      </w:r>
    </w:p>
    <w:p>
      <w:pPr>
        <w:pStyle w:val="BodyText"/>
        <w:spacing w:line="300" w:lineRule="auto" w:before="22"/>
        <w:ind w:right="113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19</w:t>
      </w:r>
      <w:r>
        <w:rPr>
          <w:spacing w:val="-2"/>
        </w:rPr>
        <w:t>日，公司披露《关于全资子公司厦门易联众商业保理有限公司股权转让进展暨完成工商变更的公告》（公</w:t>
      </w:r>
      <w:r>
        <w:rPr/>
        <w:t> </w:t>
      </w:r>
      <w:r>
        <w:rPr>
          <w:spacing w:val="-2"/>
        </w:rPr>
        <w:t>告编号：</w:t>
      </w:r>
      <w:r>
        <w:rPr>
          <w:rFonts w:ascii="Times New Roman" w:hAnsi="Times New Roman" w:cs="Times New Roman" w:eastAsia="Times New Roman" w:hint="default"/>
          <w:spacing w:val="-2"/>
        </w:rPr>
        <w:t>2019-085</w:t>
      </w:r>
      <w:r>
        <w:rPr>
          <w:spacing w:val="-2"/>
        </w:rPr>
        <w:t>），保理公司已完成上述股权转让的工商变更登记手续并领取了换发的《营业执照》。同时，公司已收到</w:t>
      </w:r>
      <w:r>
        <w:rPr>
          <w:spacing w:val="-34"/>
        </w:rPr>
        <w:t> </w:t>
      </w:r>
      <w:r>
        <w:rPr>
          <w:spacing w:val="-34"/>
        </w:rPr>
      </w:r>
      <w:r>
        <w:rPr/>
        <w:t>厦门欣亚锐支付的股权转让款人民币</w:t>
      </w:r>
      <w:r>
        <w:rPr>
          <w:rFonts w:ascii="Times New Roman" w:hAnsi="Times New Roman" w:cs="Times New Roman" w:eastAsia="Times New Roman" w:hint="default"/>
        </w:rPr>
        <w:t>6,000</w:t>
      </w:r>
      <w:r>
        <w:rPr/>
        <w:t>万元。</w:t>
      </w:r>
    </w:p>
    <w:p>
      <w:pPr>
        <w:pStyle w:val="BodyText"/>
        <w:spacing w:line="300" w:lineRule="auto" w:before="13"/>
        <w:ind w:right="106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3"/>
        </w:rPr>
        <w:t>2020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w:t>
      </w:r>
      <w:r>
        <w:rPr>
          <w:spacing w:val="-3"/>
        </w:rPr>
        <w:t>日，公司披露《关于全资子公司厦门易联众商业保理有限公司股权转让进展公告》（公告编号：</w:t>
      </w:r>
      <w:r>
        <w:rPr>
          <w:rFonts w:ascii="Times New Roman" w:hAnsi="Times New Roman" w:cs="Times New Roman" w:eastAsia="Times New Roman" w:hint="default"/>
          <w:spacing w:val="-3"/>
        </w:rPr>
        <w:t>2020-001</w:t>
      </w:r>
      <w:r>
        <w:rPr>
          <w:spacing w:val="-3"/>
        </w:rPr>
        <w:t>），</w:t>
      </w:r>
      <w:r>
        <w:rPr>
          <w:spacing w:val="-24"/>
        </w:rPr>
        <w:t> </w:t>
      </w:r>
      <w:r>
        <w:rPr/>
        <w:t>公司已收到厦门欣亚锐支付的全部股权转让款共计人民币</w:t>
      </w:r>
      <w:r>
        <w:rPr>
          <w:rFonts w:ascii="Times New Roman" w:hAnsi="Times New Roman" w:cs="Times New Roman" w:eastAsia="Times New Roman" w:hint="default"/>
        </w:rPr>
        <w:t>113,911,218.38</w:t>
      </w:r>
      <w:r>
        <w:rPr/>
        <w:t>元，本次股权转让事项已完成。</w:t>
      </w:r>
    </w:p>
    <w:p>
      <w:pPr>
        <w:pStyle w:val="BodyText"/>
        <w:spacing w:line="240" w:lineRule="auto" w:before="13"/>
        <w:ind w:right="0"/>
        <w:jc w:val="both"/>
      </w:pPr>
      <w:r>
        <w:rPr>
          <w:rFonts w:ascii="宋体" w:hAnsi="宋体" w:cs="宋体" w:eastAsia="宋体" w:hint="default"/>
          <w:spacing w:val="90"/>
        </w:rPr>
        <w:t> </w:t>
      </w:r>
      <w:r>
        <w:rPr>
          <w:rFonts w:ascii="宋体" w:hAnsi="宋体" w:cs="宋体" w:eastAsia="宋体" w:hint="default"/>
        </w:rPr>
        <w:t>  </w:t>
      </w:r>
      <w:r>
        <w:rPr/>
        <w:t>具体内容详见公司披露在巨潮资讯网上的相关公告。</w:t>
      </w:r>
    </w:p>
    <w:p>
      <w:pPr>
        <w:spacing w:after="0" w:line="24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9</w:t>
      </w:r>
      <w:r>
        <w:rPr/>
        <w:t>、关于坏账核销的事项</w:t>
      </w:r>
    </w:p>
    <w:p>
      <w:pPr>
        <w:pStyle w:val="BodyText"/>
        <w:spacing w:line="300" w:lineRule="auto" w:before="63"/>
        <w:ind w:right="1095"/>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10</w:t>
      </w:r>
      <w:r>
        <w:rPr>
          <w:spacing w:val="-2"/>
        </w:rPr>
        <w:t>日，公司第四届董事会第十九次会议审议通过了《关于坏账核销的议案》。为真实反映公司财务状况，公</w:t>
      </w:r>
      <w:r>
        <w:rPr/>
        <w:t> 司拟对经营过程中长期挂账、催收无结果的部分应收账款进行清理，并予以核销。本次核销应收账款共计</w:t>
      </w:r>
      <w:r>
        <w:rPr>
          <w:rFonts w:ascii="Times New Roman" w:hAnsi="Times New Roman" w:cs="Times New Roman" w:eastAsia="Times New Roman" w:hint="default"/>
        </w:rPr>
        <w:t>14,195,578.36</w:t>
      </w:r>
      <w:r>
        <w:rPr/>
        <w:t>元， </w:t>
      </w:r>
      <w:r>
        <w:rPr>
          <w:spacing w:val="-4"/>
        </w:rPr>
        <w:t>已全额计提坏账准备</w:t>
      </w:r>
      <w:r>
        <w:rPr>
          <w:rFonts w:ascii="Times New Roman" w:hAnsi="Times New Roman" w:cs="Times New Roman" w:eastAsia="Times New Roman" w:hint="default"/>
          <w:spacing w:val="-4"/>
        </w:rPr>
        <w:t>14,195,578.36</w:t>
      </w:r>
      <w:r>
        <w:rPr>
          <w:spacing w:val="-4"/>
        </w:rPr>
        <w:t>元。具体内容详见</w:t>
      </w:r>
      <w:r>
        <w:rPr>
          <w:rFonts w:ascii="Times New Roman" w:hAnsi="Times New Roman" w:cs="Times New Roman" w:eastAsia="Times New Roman" w:hint="default"/>
          <w:spacing w:val="-4"/>
        </w:rPr>
        <w:t>2019</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11</w:t>
      </w:r>
      <w:r>
        <w:rPr>
          <w:spacing w:val="-4"/>
        </w:rPr>
        <w:t>日公司披露在巨潮资讯网上的《关于坏账核销的公告》（公</w:t>
      </w:r>
      <w:r>
        <w:rPr>
          <w:spacing w:val="-53"/>
        </w:rPr>
        <w:t> </w:t>
      </w:r>
      <w:r>
        <w:rPr>
          <w:spacing w:val="-53"/>
        </w:rPr>
      </w:r>
      <w:r>
        <w:rPr/>
        <w:t>告编号：</w:t>
      </w:r>
      <w:r>
        <w:rPr>
          <w:rFonts w:ascii="Times New Roman" w:hAnsi="Times New Roman" w:cs="Times New Roman" w:eastAsia="Times New Roman" w:hint="default"/>
        </w:rPr>
        <w:t>2019-093</w:t>
      </w:r>
      <w:r>
        <w:rPr/>
        <w:t>）。</w:t>
      </w:r>
    </w:p>
    <w:p>
      <w:pPr>
        <w:pStyle w:val="BodyText"/>
        <w:spacing w:line="240" w:lineRule="auto" w:before="13"/>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10</w:t>
      </w:r>
      <w:r>
        <w:rPr/>
        <w:t>、关于公司融资租赁业务的自查及整改情况</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1</w:t>
      </w:r>
      <w:r>
        <w:rPr/>
        <w:t>）自查情况</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报告期内，公司审计部对融资租赁业务尚未归还的金融项目进行了内部自查，根据公司非财务报告内部控制缺陷评价的</w:t>
      </w:r>
      <w:r>
        <w:rPr/>
        <w:t> 定性标准，在自查中发现公司融资租赁业务以下两个方面的内部控制重要缺陷：</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a</w:t>
      </w:r>
      <w:r>
        <w:rPr/>
        <w:t>、租赁物信息登记、公示方面存在不足</w:t>
      </w:r>
    </w:p>
    <w:p>
      <w:pPr>
        <w:pStyle w:val="BodyText"/>
        <w:spacing w:line="319" w:lineRule="auto" w:before="63"/>
        <w:ind w:right="1130"/>
        <w:jc w:val="both"/>
      </w:pPr>
      <w:r>
        <w:rPr>
          <w:rFonts w:ascii="宋体" w:hAnsi="宋体" w:cs="宋体" w:eastAsia="宋体" w:hint="default"/>
          <w:spacing w:val="90"/>
        </w:rPr>
        <w:t> </w:t>
      </w:r>
      <w:r>
        <w:rPr>
          <w:rFonts w:ascii="宋体" w:hAnsi="宋体" w:cs="宋体" w:eastAsia="宋体" w:hint="default"/>
        </w:rPr>
        <w:t>  </w:t>
      </w:r>
      <w:r>
        <w:rPr>
          <w:spacing w:val="-2"/>
        </w:rPr>
        <w:t>公司在融资租赁项目操作前通过查询银行征信以及其他公开信息确定了租赁物物权的清晰完整，并且通过合同形式确定</w:t>
      </w:r>
      <w:r>
        <w:rPr/>
        <w:t> </w:t>
      </w:r>
      <w:r>
        <w:rPr>
          <w:spacing w:val="-2"/>
        </w:rPr>
        <w:t>了物权关系。但项目操作后仅在全国融资租赁企业管理系统中定期录入，并未在其他公开平台上进行公示、登记明示租赁物</w:t>
      </w:r>
      <w:r>
        <w:rPr>
          <w:spacing w:val="-63"/>
        </w:rPr>
        <w:t> </w:t>
      </w:r>
      <w:r>
        <w:rPr>
          <w:spacing w:val="-63"/>
        </w:rPr>
      </w:r>
      <w:r>
        <w:rPr/>
        <w:t>所有权。</w:t>
      </w:r>
    </w:p>
    <w:p>
      <w:pPr>
        <w:pStyle w:val="BodyText"/>
        <w:spacing w:line="240" w:lineRule="auto" w:before="17"/>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b</w:t>
      </w:r>
      <w:r>
        <w:rPr/>
        <w:t>、融资租赁业务租后管理执行不彻底</w:t>
      </w:r>
    </w:p>
    <w:p>
      <w:pPr>
        <w:pStyle w:val="BodyText"/>
        <w:spacing w:line="316" w:lineRule="auto" w:before="63"/>
        <w:ind w:right="0"/>
        <w:jc w:val="left"/>
      </w:pPr>
      <w:r>
        <w:rPr>
          <w:rFonts w:ascii="宋体" w:hAnsi="宋体" w:cs="宋体" w:eastAsia="宋体" w:hint="default"/>
          <w:spacing w:val="90"/>
        </w:rPr>
        <w:t> </w:t>
      </w:r>
      <w:r>
        <w:rPr>
          <w:rFonts w:ascii="宋体" w:hAnsi="宋体" w:cs="宋体" w:eastAsia="宋体" w:hint="default"/>
        </w:rPr>
        <w:t>  </w:t>
      </w:r>
      <w:r>
        <w:rPr>
          <w:spacing w:val="-2"/>
        </w:rPr>
        <w:t>公司审计部在自查中发现，融资租赁公司租后管理未能及时保留相关记录文本，对到期的融资租赁业务的延期支付申请</w:t>
      </w:r>
      <w:r>
        <w:rPr/>
        <w:t> 未能进行进一步的风险评估。</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w:t>
      </w:r>
      <w:r>
        <w:rPr>
          <w:rFonts w:ascii="Times New Roman" w:hAnsi="Times New Roman" w:cs="Times New Roman" w:eastAsia="Times New Roman" w:hint="default"/>
        </w:rPr>
        <w:t>2</w:t>
      </w:r>
      <w:r>
        <w:rPr/>
        <w:t>）整改情况</w:t>
      </w:r>
    </w:p>
    <w:p>
      <w:pPr>
        <w:pStyle w:val="BodyText"/>
        <w:spacing w:line="240" w:lineRule="auto" w:before="63"/>
        <w:ind w:right="0"/>
        <w:jc w:val="both"/>
      </w:pPr>
      <w:r>
        <w:rPr>
          <w:rFonts w:ascii="宋体" w:hAnsi="宋体" w:cs="宋体" w:eastAsia="宋体" w:hint="default"/>
          <w:spacing w:val="90"/>
        </w:rPr>
        <w:t> </w:t>
      </w:r>
      <w:r>
        <w:rPr>
          <w:rFonts w:ascii="宋体" w:hAnsi="宋体" w:cs="宋体" w:eastAsia="宋体" w:hint="default"/>
        </w:rPr>
        <w:t>  </w:t>
      </w:r>
      <w:r>
        <w:rPr/>
        <w:t>针对融资租赁业务存在的内部控制缺陷，公司积极进行了整改防范措施：</w:t>
      </w:r>
    </w:p>
    <w:p>
      <w:pPr>
        <w:pStyle w:val="BodyText"/>
        <w:spacing w:line="312" w:lineRule="auto" w:before="76"/>
        <w:ind w:right="103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a</w:t>
      </w:r>
      <w:r>
        <w:rPr/>
        <w:t>、公司进一步规范和加强融资租赁项目执行后的经营管理，根据融资租赁项目风险类型，在已有风控措施的基础上， </w:t>
      </w:r>
      <w:r>
        <w:rPr>
          <w:spacing w:val="-2"/>
        </w:rPr>
        <w:t>增加合适的信息公示和相关的登记等措施，加强对融资租赁项目租后管理，包括定期对承租人及其行业的风险进行分析，识</w:t>
      </w:r>
      <w:r>
        <w:rPr>
          <w:spacing w:val="-63"/>
        </w:rPr>
        <w:t> </w:t>
      </w:r>
      <w:r>
        <w:rPr>
          <w:spacing w:val="-63"/>
        </w:rPr>
      </w:r>
      <w:r>
        <w:rPr/>
        <w:t>别风险预警信号，提出化解和处置意见；对租后资产及时进行评估，对逾期的风险资产提交风险资产处置方案及控制措施，</w:t>
      </w:r>
      <w:r>
        <w:rPr/>
        <w:t> 使整个风控体系更加完整。</w:t>
      </w:r>
    </w:p>
    <w:p>
      <w:pPr>
        <w:pStyle w:val="BodyText"/>
        <w:spacing w:line="300" w:lineRule="auto" w:before="22"/>
        <w:ind w:right="1124"/>
        <w:jc w:val="left"/>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b</w:t>
      </w:r>
      <w:r>
        <w:rPr/>
        <w:t>、公司将加强对融资租赁业务人员风控管理的宣导，提高相关人员的业务素质和合规意识，进一步规范和加强融资租 赁业务的制度和流程机制的建设，促进融资租赁业务持续健康发展。</w:t>
      </w:r>
    </w:p>
    <w:p>
      <w:pPr>
        <w:pStyle w:val="BodyText"/>
        <w:spacing w:line="240" w:lineRule="auto" w:before="31"/>
        <w:ind w:right="0"/>
        <w:jc w:val="both"/>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c</w:t>
      </w:r>
      <w:r>
        <w:rPr/>
        <w:t>、公司将重点核查融资租赁业务的租后管理，加强公司内部审计力度，对公司融资租赁业务进行定期审查。</w:t>
      </w:r>
    </w:p>
    <w:p>
      <w:pPr>
        <w:pStyle w:val="BodyText"/>
        <w:spacing w:line="316" w:lineRule="auto" w:before="63"/>
        <w:ind w:right="1131"/>
        <w:jc w:val="both"/>
      </w:pPr>
      <w:r>
        <w:rPr>
          <w:rFonts w:ascii="宋体" w:hAnsi="宋体" w:cs="宋体" w:eastAsia="宋体" w:hint="default"/>
          <w:spacing w:val="90"/>
        </w:rPr>
        <w:t> </w:t>
      </w:r>
      <w:r>
        <w:rPr>
          <w:rFonts w:ascii="宋体" w:hAnsi="宋体" w:cs="宋体" w:eastAsia="宋体" w:hint="default"/>
        </w:rPr>
        <w:t>  </w:t>
      </w:r>
      <w:r>
        <w:rPr>
          <w:spacing w:val="-2"/>
        </w:rPr>
        <w:t>公司在内部环境、风险评估、控制活动、信息与沟通以及内部监督等各个方面设计有效，符合法律法规和监管机构的相</w:t>
      </w:r>
      <w:r>
        <w:rPr/>
        <w:t> 关要求，能够满足公司发展和管理的需求，</w:t>
      </w:r>
      <w:r>
        <w:rPr>
          <w:spacing w:val="-17"/>
        </w:rPr>
        <w:t> </w:t>
      </w:r>
      <w:r>
        <w:rPr/>
        <w:t>并且公司的各项内部控制在实际经营管理过程中得到了有效的执行。内部控制</w:t>
      </w:r>
      <w:r>
        <w:rPr/>
        <w:t> </w:t>
      </w:r>
      <w:r>
        <w:rPr>
          <w:spacing w:val="-2"/>
        </w:rPr>
        <w:t>体系建设是一个动态的持续的过程，随着公司业务的发展和内、外部环境的变化，不可避免会出现一些缺陷和漏洞，需要公</w:t>
      </w:r>
      <w:r>
        <w:rPr>
          <w:spacing w:val="-64"/>
        </w:rPr>
        <w:t> </w:t>
      </w:r>
      <w:r>
        <w:rPr>
          <w:spacing w:val="-64"/>
        </w:rPr>
      </w:r>
      <w:r>
        <w:rPr>
          <w:spacing w:val="-2"/>
        </w:rPr>
        <w:t>司不断的梳理内部控制制度，持续改进并加以完善。为此公司将根据自身的业务发展，不断改进、健全和完善，及时修订已</w:t>
      </w:r>
      <w:r>
        <w:rPr>
          <w:spacing w:val="-67"/>
        </w:rPr>
        <w:t> </w:t>
      </w:r>
      <w:r>
        <w:rPr>
          <w:spacing w:val="-67"/>
        </w:rPr>
      </w:r>
      <w:r>
        <w:rPr/>
        <w:t>发现缺陷的相关控制活动的内部控制制度、完善内部控制体系。</w:t>
      </w:r>
    </w:p>
    <w:p>
      <w:pPr>
        <w:spacing w:line="240" w:lineRule="auto" w:before="12"/>
        <w:rPr>
          <w:rFonts w:ascii="宋体" w:hAnsi="宋体" w:cs="宋体" w:eastAsia="宋体" w:hint="default"/>
          <w:sz w:val="20"/>
          <w:szCs w:val="20"/>
        </w:rPr>
      </w:pPr>
    </w:p>
    <w:p>
      <w:pPr>
        <w:pStyle w:val="Heading2"/>
        <w:spacing w:line="240" w:lineRule="auto"/>
        <w:ind w:right="0"/>
        <w:jc w:val="both"/>
        <w:rPr>
          <w:b w:val="0"/>
          <w:bCs w:val="0"/>
        </w:rPr>
      </w:pPr>
      <w:r>
        <w:rPr/>
        <w:t>十九、公司子公司重大事项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441" w:right="1133"/>
        <w:jc w:val="left"/>
      </w:pPr>
      <w:r>
        <w:rPr>
          <w:rFonts w:ascii="Times New Roman" w:hAnsi="Times New Roman" w:cs="Times New Roman" w:eastAsia="Times New Roman" w:hint="default"/>
        </w:rPr>
        <w:t>1</w:t>
      </w:r>
      <w:r>
        <w:rPr/>
        <w:t>、关于全资子公司转让参股公司股权事项</w:t>
      </w:r>
    </w:p>
    <w:p>
      <w:pPr>
        <w:pStyle w:val="BodyText"/>
        <w:spacing w:line="300" w:lineRule="auto" w:before="63"/>
        <w:ind w:right="1210" w:firstLine="288"/>
        <w:jc w:val="left"/>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25</w:t>
      </w:r>
      <w:r>
        <w:rPr/>
        <w:t>日，公司第四届董事会第十次会议审议通过了《关于全资子公司转让参股公司股权的议案》，具体内容详 见公司</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29</w:t>
      </w:r>
      <w:r>
        <w:rPr/>
        <w:t>日刊登在巨潮资讯网上的《关于全资子公司转让参股公司股权的公告》（公告编号：</w:t>
      </w:r>
      <w:r>
        <w:rPr>
          <w:rFonts w:ascii="Times New Roman" w:hAnsi="Times New Roman" w:cs="Times New Roman" w:eastAsia="Times New Roman" w:hint="default"/>
        </w:rPr>
        <w:t>2019-038</w:t>
      </w:r>
      <w:r>
        <w:rPr/>
        <w:t>）。</w:t>
      </w:r>
    </w:p>
    <w:p>
      <w:pPr>
        <w:spacing w:after="0" w:line="30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5" w:right="1133"/>
        <w:jc w:val="left"/>
        <w:rPr>
          <w:b w:val="0"/>
          <w:bCs w:val="0"/>
        </w:rPr>
      </w:pPr>
      <w:bookmarkStart w:name="_bookmark5" w:id="6"/>
      <w:bookmarkEnd w:id="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1133"/>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28"/>
        <w:gridCol w:w="824"/>
        <w:gridCol w:w="823"/>
        <w:gridCol w:w="823"/>
        <w:gridCol w:w="821"/>
        <w:gridCol w:w="823"/>
        <w:gridCol w:w="821"/>
        <w:gridCol w:w="824"/>
        <w:gridCol w:w="794"/>
        <w:gridCol w:w="792"/>
      </w:tblGrid>
      <w:tr>
        <w:trPr>
          <w:trHeight w:val="40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60"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35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2"/>
              <w:ind w:left="316" w:right="47" w:hanging="272"/>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362"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3" w:type="dxa"/>
            <w:vMerge/>
            <w:tcBorders>
              <w:left w:val="single" w:sz="4" w:space="0" w:color="000000"/>
              <w:bottom w:val="single" w:sz="4" w:space="0" w:color="000000"/>
              <w:right w:val="single" w:sz="4" w:space="0" w:color="000000"/>
            </w:tcBorders>
            <w:shd w:val="clear" w:color="auto" w:fill="D2D2D2"/>
          </w:tcPr>
          <w:p>
            <w:pPr/>
          </w:p>
        </w:tc>
        <w:tc>
          <w:tcPr>
            <w:tcW w:w="821" w:type="dxa"/>
            <w:vMerge/>
            <w:tcBorders>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53,477,92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12.44%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53,477,92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53,477,92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12.44%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53,477,92</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53,477,92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12.44%</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53,477,92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12.44%</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境内自然人持股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376,522,0</w:t>
            </w:r>
          </w:p>
          <w:p>
            <w:pPr>
              <w:pStyle w:val="TableParagraph"/>
              <w:spacing w:line="240" w:lineRule="auto" w:before="103"/>
              <w:ind w:right="17"/>
              <w:jc w:val="right"/>
              <w:rPr>
                <w:rFonts w:ascii="Times New Roman" w:hAnsi="Times New Roman" w:cs="Times New Roman" w:eastAsia="Times New Roman" w:hint="default"/>
                <w:sz w:val="18"/>
                <w:szCs w:val="18"/>
              </w:rPr>
            </w:pPr>
            <w:r>
              <w:rPr>
                <w:rFonts w:ascii="Times New Roman"/>
                <w:sz w:val="18"/>
              </w:rPr>
              <w:t>79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87.56%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376,522,0</w:t>
            </w:r>
          </w:p>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z w:val="18"/>
              </w:rPr>
              <w:t>79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87.56%</w:t>
            </w:r>
          </w:p>
        </w:tc>
      </w:tr>
      <w:tr>
        <w:trPr>
          <w:trHeight w:val="392"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1"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376,522,0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79</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87.56%</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376,522,0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79</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6" w:right="0"/>
              <w:jc w:val="left"/>
              <w:rPr>
                <w:rFonts w:ascii="Times New Roman" w:hAnsi="Times New Roman" w:cs="Times New Roman" w:eastAsia="Times New Roman" w:hint="default"/>
                <w:sz w:val="18"/>
                <w:szCs w:val="18"/>
              </w:rPr>
            </w:pPr>
            <w:r>
              <w:rPr>
                <w:rFonts w:ascii="Times New Roman"/>
                <w:sz w:val="18"/>
              </w:rPr>
              <w:t>87.56%</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r>
        <w:trPr>
          <w:trHeight w:val="163" w:hRule="exact"/>
        </w:trPr>
        <w:tc>
          <w:tcPr>
            <w:tcW w:w="2228" w:type="dxa"/>
            <w:tcBorders>
              <w:top w:val="single" w:sz="4" w:space="0" w:color="000000"/>
              <w:left w:val="single" w:sz="4" w:space="0" w:color="000000"/>
              <w:bottom w:val="nil" w:sz="6" w:space="0" w:color="auto"/>
              <w:right w:val="single" w:sz="4" w:space="0" w:color="000000"/>
            </w:tcBorders>
            <w:shd w:val="clear" w:color="auto" w:fill="D2D2D2"/>
          </w:tcPr>
          <w:p>
            <w:pPr/>
          </w:p>
        </w:tc>
        <w:tc>
          <w:tcPr>
            <w:tcW w:w="824"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46" w:right="0"/>
              <w:jc w:val="left"/>
              <w:rPr>
                <w:rFonts w:ascii="Times New Roman" w:hAnsi="Times New Roman" w:cs="Times New Roman" w:eastAsia="Times New Roman" w:hint="default"/>
                <w:sz w:val="18"/>
                <w:szCs w:val="18"/>
              </w:rPr>
            </w:pPr>
            <w:r>
              <w:rPr>
                <w:rFonts w:ascii="Times New Roman"/>
                <w:sz w:val="18"/>
              </w:rPr>
              <w:t>100.00%</w:t>
            </w: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3" w:type="dxa"/>
            <w:vMerge w:val="restart"/>
            <w:tcBorders>
              <w:top w:val="single" w:sz="4" w:space="0" w:color="000000"/>
              <w:left w:val="single" w:sz="4" w:space="0" w:color="000000"/>
              <w:right w:val="single" w:sz="4" w:space="0" w:color="000000"/>
            </w:tcBorders>
          </w:tcPr>
          <w:p>
            <w:pPr/>
          </w:p>
        </w:tc>
        <w:tc>
          <w:tcPr>
            <w:tcW w:w="821" w:type="dxa"/>
            <w:vMerge w:val="restart"/>
            <w:tcBorders>
              <w:top w:val="single" w:sz="4" w:space="0" w:color="000000"/>
              <w:left w:val="single" w:sz="4" w:space="0" w:color="000000"/>
              <w:right w:val="single" w:sz="4" w:space="0" w:color="000000"/>
            </w:tcBorders>
          </w:tcPr>
          <w:p>
            <w:pPr/>
          </w:p>
        </w:tc>
        <w:tc>
          <w:tcPr>
            <w:tcW w:w="824" w:type="dxa"/>
            <w:vMerge w:val="restart"/>
            <w:tcBorders>
              <w:top w:val="single" w:sz="4" w:space="0" w:color="000000"/>
              <w:left w:val="single" w:sz="4" w:space="0" w:color="000000"/>
              <w:right w:val="single" w:sz="4" w:space="0" w:color="000000"/>
            </w:tcBorders>
          </w:tcPr>
          <w:p>
            <w:pP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430,000,0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c>
          <w:tcPr>
            <w:tcW w:w="79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100.00%</w:t>
            </w:r>
          </w:p>
        </w:tc>
      </w:tr>
      <w:tr>
        <w:trPr>
          <w:trHeight w:val="391" w:hRule="exact"/>
        </w:trPr>
        <w:tc>
          <w:tcPr>
            <w:tcW w:w="22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4"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3" w:type="dxa"/>
            <w:vMerge/>
            <w:tcBorders>
              <w:left w:val="single" w:sz="4" w:space="0" w:color="000000"/>
              <w:right w:val="single" w:sz="4" w:space="0" w:color="000000"/>
            </w:tcBorders>
          </w:tcPr>
          <w:p>
            <w:pPr/>
          </w:p>
        </w:tc>
        <w:tc>
          <w:tcPr>
            <w:tcW w:w="821" w:type="dxa"/>
            <w:vMerge/>
            <w:tcBorders>
              <w:left w:val="single" w:sz="4" w:space="0" w:color="000000"/>
              <w:right w:val="single" w:sz="4" w:space="0" w:color="000000"/>
            </w:tcBorders>
          </w:tcPr>
          <w:p>
            <w:pPr/>
          </w:p>
        </w:tc>
        <w:tc>
          <w:tcPr>
            <w:tcW w:w="82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2" w:type="dxa"/>
            <w:vMerge/>
            <w:tcBorders>
              <w:left w:val="single" w:sz="4" w:space="0" w:color="000000"/>
              <w:right w:val="single" w:sz="4" w:space="0" w:color="000000"/>
            </w:tcBorders>
          </w:tcPr>
          <w:p>
            <w:pPr/>
          </w:p>
        </w:tc>
      </w:tr>
      <w:tr>
        <w:trPr>
          <w:trHeight w:val="161" w:hRule="exact"/>
        </w:trPr>
        <w:tc>
          <w:tcPr>
            <w:tcW w:w="2228" w:type="dxa"/>
            <w:tcBorders>
              <w:top w:val="nil" w:sz="6" w:space="0" w:color="auto"/>
              <w:left w:val="single" w:sz="4" w:space="0" w:color="000000"/>
              <w:bottom w:val="single" w:sz="4" w:space="0" w:color="000000"/>
              <w:right w:val="single" w:sz="4" w:space="0" w:color="000000"/>
            </w:tcBorders>
            <w:shd w:val="clear" w:color="auto" w:fill="D2D2D2"/>
          </w:tcPr>
          <w:p>
            <w:pPr/>
          </w:p>
        </w:tc>
        <w:tc>
          <w:tcPr>
            <w:tcW w:w="824"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82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2"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股份变动的原因</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股份变动的批准情况</w:t>
      </w:r>
    </w:p>
    <w:p>
      <w:pPr>
        <w:pStyle w:val="BodyText"/>
        <w:spacing w:line="338" w:lineRule="auto" w:before="41"/>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w:t>
      </w:r>
    </w:p>
    <w:p>
      <w:pPr>
        <w:pStyle w:val="BodyText"/>
        <w:spacing w:line="340" w:lineRule="auto" w:before="43"/>
        <w:ind w:right="87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股份回购的实施进展情况</w:t>
      </w:r>
    </w:p>
    <w:p>
      <w:pPr>
        <w:pStyle w:val="BodyText"/>
        <w:spacing w:line="340" w:lineRule="auto" w:before="39"/>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采用集中竞价方式减持回购股份的实施进展情况</w:t>
      </w:r>
    </w:p>
    <w:p>
      <w:pPr>
        <w:pStyle w:val="BodyText"/>
        <w:spacing w:line="338" w:lineRule="auto" w:before="41"/>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股份变动对最近一年和最近一期基本每股收益和稀释每股收益、归属于公司普通股股东的每股净资产等财务指标的影响</w:t>
      </w:r>
    </w:p>
    <w:p>
      <w:pPr>
        <w:pStyle w:val="BodyText"/>
        <w:spacing w:line="340" w:lineRule="auto" w:before="43"/>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w:t>
      </w:r>
    </w:p>
    <w:p>
      <w:pPr>
        <w:pStyle w:val="BodyText"/>
        <w:spacing w:line="240" w:lineRule="auto" w:before="3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8"/>
        <w:gridCol w:w="1489"/>
        <w:gridCol w:w="1488"/>
        <w:gridCol w:w="1488"/>
        <w:gridCol w:w="1488"/>
        <w:gridCol w:w="1203"/>
        <w:gridCol w:w="1205"/>
      </w:tblGrid>
      <w:tr>
        <w:trPr>
          <w:trHeight w:val="71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8"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107"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106"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06" w:right="55" w:hanging="449"/>
              <w:jc w:val="left"/>
              <w:rPr>
                <w:rFonts w:ascii="宋体" w:hAnsi="宋体" w:cs="宋体" w:eastAsia="宋体" w:hint="default"/>
                <w:sz w:val="18"/>
                <w:szCs w:val="18"/>
              </w:rPr>
            </w:pPr>
            <w:r>
              <w:rPr>
                <w:rFonts w:ascii="宋体" w:hAnsi="宋体" w:cs="宋体" w:eastAsia="宋体" w:hint="default"/>
                <w:sz w:val="18"/>
                <w:szCs w:val="18"/>
              </w:rPr>
              <w:t>拟解除限售日 期</w:t>
            </w:r>
          </w:p>
        </w:tc>
      </w:tr>
      <w:tr>
        <w:trPr>
          <w:trHeight w:val="1340"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52,261,237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52,261,237</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3"/>
              <w:ind w:left="24" w:right="72"/>
              <w:jc w:val="both"/>
              <w:rPr>
                <w:rFonts w:ascii="宋体" w:hAnsi="宋体" w:cs="宋体" w:eastAsia="宋体" w:hint="default"/>
                <w:sz w:val="18"/>
                <w:szCs w:val="18"/>
              </w:rPr>
            </w:pPr>
            <w:r>
              <w:rPr>
                <w:rFonts w:ascii="宋体" w:hAnsi="宋体" w:cs="宋体" w:eastAsia="宋体" w:hint="default"/>
                <w:sz w:val="18"/>
                <w:szCs w:val="18"/>
              </w:rPr>
              <w:t>每年按照上年 末持有股份数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1337" w:hRule="exact"/>
        </w:trPr>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1,216,684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1,216,684</w:t>
            </w:r>
          </w:p>
        </w:tc>
        <w:tc>
          <w:tcPr>
            <w:tcW w:w="1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高管锁定</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每年按照上年 末持有股份数 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宋体" w:hAnsi="宋体" w:cs="宋体" w:eastAsia="宋体" w:hint="default"/>
                <w:sz w:val="18"/>
                <w:szCs w:val="18"/>
              </w:rPr>
              <w:t>解除限 售</w:t>
            </w:r>
          </w:p>
        </w:tc>
      </w:tr>
      <w:tr>
        <w:trPr>
          <w:trHeight w:val="403" w:hRule="exact"/>
        </w:trPr>
        <w:tc>
          <w:tcPr>
            <w:tcW w:w="12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53,477,921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53,477,921</w:t>
            </w:r>
          </w:p>
        </w:tc>
        <w:tc>
          <w:tcPr>
            <w:tcW w:w="1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、现存的内部职工股情况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329.709991pt;margin-top:19.791716pt;width:52.6pt;height:82pt;mso-position-horizontal-relative:page;mso-position-vertical-relative:paragraph;z-index:-1326760" coordorigin="6594,396" coordsize="1052,1640">
            <v:group style="position:absolute;left:6594;top:396;width:1052;height:1640" coordorigin="6594,396" coordsize="1052,1640">
              <v:shape style="position:absolute;left:6594;top:396;width:1052;height:1640" coordorigin="6594,396" coordsize="1052,1640" path="m6594,2035l7645,2035,7645,396,6594,396,6594,2035xe" filled="true" fillcolor="#ffffff" stroked="false">
                <v:path arrowok="t"/>
                <v:fill type="solid"/>
              </v:shape>
            </v:group>
            <v:group style="position:absolute;left:6616;top:1020;width:1008;height:392" coordorigin="6616,1020" coordsize="1008,392">
              <v:shape style="position:absolute;left:6616;top:1020;width:1008;height:392" coordorigin="6616,1020" coordsize="1008,392" path="m6616,1411l7624,1411,7624,1020,6616,1020,6616,1411xe" filled="true" fillcolor="#ffffff" stroked="false">
                <v:path arrowok="t"/>
                <v:fill type="solid"/>
              </v:shape>
            </v:group>
            <w10:wrap type="none"/>
          </v:group>
        </w:pict>
      </w:r>
      <w:r>
        <w:rPr/>
        <w:t>单位：股</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99"/>
        <w:gridCol w:w="1198"/>
        <w:gridCol w:w="929"/>
        <w:gridCol w:w="1064"/>
        <w:gridCol w:w="1063"/>
        <w:gridCol w:w="1064"/>
        <w:gridCol w:w="926"/>
        <w:gridCol w:w="1069"/>
        <w:gridCol w:w="1058"/>
      </w:tblGrid>
      <w:tr>
        <w:trPr>
          <w:trHeight w:val="165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2" w:right="84"/>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left="671" w:right="0"/>
              <w:jc w:val="left"/>
              <w:rPr>
                <w:rFonts w:ascii="Times New Roman" w:hAnsi="Times New Roman" w:cs="Times New Roman" w:eastAsia="Times New Roman" w:hint="default"/>
                <w:sz w:val="18"/>
                <w:szCs w:val="18"/>
              </w:rPr>
            </w:pPr>
            <w:r>
              <w:rPr>
                <w:rFonts w:ascii="Times New Roman"/>
                <w:sz w:val="18"/>
              </w:rPr>
              <w:t>35,578</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73"/>
              <w:jc w:val="both"/>
              <w:rPr>
                <w:rFonts w:ascii="宋体" w:hAnsi="宋体" w:cs="宋体" w:eastAsia="宋体" w:hint="default"/>
                <w:sz w:val="18"/>
                <w:szCs w:val="18"/>
              </w:rPr>
            </w:pPr>
            <w:r>
              <w:rPr>
                <w:rFonts w:ascii="宋体" w:hAnsi="宋体" w:cs="宋体" w:eastAsia="宋体" w:hint="default"/>
                <w:sz w:val="18"/>
                <w:szCs w:val="18"/>
              </w:rPr>
              <w:t>年度报告 披露日前 上一月末 普通股股 东总数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29,911</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3" w:right="129"/>
              <w:jc w:val="both"/>
              <w:rPr>
                <w:rFonts w:ascii="宋体" w:hAnsi="宋体" w:cs="宋体" w:eastAsia="宋体" w:hint="default"/>
                <w:sz w:val="18"/>
                <w:szCs w:val="18"/>
              </w:rPr>
            </w:pPr>
            <w:r>
              <w:rPr>
                <w:rFonts w:ascii="宋体" w:hAnsi="宋体" w:cs="宋体" w:eastAsia="宋体" w:hint="default"/>
                <w:sz w:val="18"/>
                <w:szCs w:val="18"/>
              </w:rPr>
              <w:t>报告期末表 决权恢复的 优先股股东 总数（如有</w:t>
            </w:r>
          </w:p>
          <w:p>
            <w:pPr>
              <w:pStyle w:val="TableParagraph"/>
              <w:spacing w:line="240" w:lineRule="auto" w:before="19"/>
              <w:ind w:left="23"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199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70"/>
              <w:jc w:val="left"/>
              <w:rPr>
                <w:rFonts w:ascii="宋体" w:hAnsi="宋体" w:cs="宋体" w:eastAsia="宋体" w:hint="default"/>
                <w:sz w:val="18"/>
                <w:szCs w:val="18"/>
              </w:rPr>
            </w:pPr>
            <w:r>
              <w:rPr>
                <w:rFonts w:ascii="宋体" w:hAnsi="宋体" w:cs="宋体" w:eastAsia="宋体" w:hint="default"/>
                <w:sz w:val="18"/>
                <w:szCs w:val="18"/>
              </w:rPr>
              <w:t>年度报告披露日前上一 月末表决权恢复的优先 </w:t>
            </w:r>
            <w:r>
              <w:rPr>
                <w:rFonts w:ascii="宋体" w:hAnsi="宋体" w:cs="宋体" w:eastAsia="宋体" w:hint="default"/>
                <w:spacing w:val="-9"/>
                <w:sz w:val="18"/>
                <w:szCs w:val="18"/>
              </w:rPr>
              <w:t>股股东总数（如有）（参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见注</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0"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7"/>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名股东持股情况</w:t>
            </w:r>
          </w:p>
        </w:tc>
      </w:tr>
      <w:tr>
        <w:trPr>
          <w:trHeight w:val="402"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5"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75"/>
              <w:jc w:val="right"/>
              <w:rPr>
                <w:rFonts w:ascii="宋体" w:hAnsi="宋体" w:cs="宋体" w:eastAsia="宋体" w:hint="default"/>
                <w:sz w:val="18"/>
                <w:szCs w:val="18"/>
              </w:rPr>
            </w:pPr>
            <w:r>
              <w:rPr>
                <w:rFonts w:ascii="宋体" w:hAnsi="宋体" w:cs="宋体" w:eastAsia="宋体" w:hint="default"/>
                <w:sz w:val="18"/>
                <w:szCs w:val="18"/>
              </w:rPr>
              <w:t>报告期末持</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报告期内增</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76" w:right="0"/>
              <w:jc w:val="left"/>
              <w:rPr>
                <w:rFonts w:ascii="宋体" w:hAnsi="宋体" w:cs="宋体" w:eastAsia="宋体" w:hint="default"/>
                <w:sz w:val="18"/>
                <w:szCs w:val="18"/>
              </w:rPr>
            </w:pPr>
            <w:r>
              <w:rPr>
                <w:rFonts w:ascii="宋体" w:hAnsi="宋体" w:cs="宋体" w:eastAsia="宋体" w:hint="default"/>
                <w:sz w:val="18"/>
                <w:szCs w:val="18"/>
              </w:rPr>
              <w:t>持有有限售</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97" w:right="0"/>
              <w:jc w:val="left"/>
              <w:rPr>
                <w:rFonts w:ascii="宋体" w:hAnsi="宋体" w:cs="宋体" w:eastAsia="宋体" w:hint="default"/>
                <w:sz w:val="18"/>
                <w:szCs w:val="18"/>
              </w:rPr>
            </w:pPr>
            <w:r>
              <w:rPr>
                <w:rFonts w:ascii="宋体" w:hAnsi="宋体" w:cs="宋体" w:eastAsia="宋体" w:hint="default"/>
                <w:sz w:val="18"/>
                <w:szCs w:val="18"/>
              </w:rPr>
              <w:t>持有无限</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0"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sz w:val="20"/>
          <w:szCs w:val="20"/>
        </w:rPr>
      </w:pPr>
      <w:r>
        <w:rPr/>
        <w:pict>
          <v:shape style="position:absolute;margin-left:56.400002pt;margin-top:71.999985pt;width:479.3pt;height:679.35pt;mso-position-horizontal-relative:page;mso-position-vertical-relative:page;z-index:13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00"/>
                    <w:gridCol w:w="1198"/>
                    <w:gridCol w:w="929"/>
                    <w:gridCol w:w="1063"/>
                    <w:gridCol w:w="1064"/>
                    <w:gridCol w:w="1063"/>
                    <w:gridCol w:w="926"/>
                    <w:gridCol w:w="1069"/>
                    <w:gridCol w:w="1058"/>
                  </w:tblGrid>
                  <w:tr>
                    <w:trPr>
                      <w:trHeight w:val="67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56" w:right="0"/>
                          <w:jc w:val="left"/>
                          <w:rPr>
                            <w:rFonts w:ascii="宋体" w:hAnsi="宋体" w:cs="宋体" w:eastAsia="宋体" w:hint="default"/>
                            <w:sz w:val="18"/>
                            <w:szCs w:val="18"/>
                          </w:rPr>
                        </w:pPr>
                        <w:r>
                          <w:rPr>
                            <w:rFonts w:ascii="宋体" w:hAnsi="宋体" w:cs="宋体" w:eastAsia="宋体" w:hint="default"/>
                            <w:sz w:val="18"/>
                            <w:szCs w:val="18"/>
                          </w:rPr>
                          <w:t>股数量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76" w:right="0"/>
                          <w:jc w:val="left"/>
                          <w:rPr>
                            <w:rFonts w:ascii="宋体" w:hAnsi="宋体" w:cs="宋体" w:eastAsia="宋体" w:hint="default"/>
                            <w:sz w:val="18"/>
                            <w:szCs w:val="18"/>
                          </w:rPr>
                        </w:pPr>
                        <w:r>
                          <w:rPr>
                            <w:rFonts w:ascii="宋体" w:hAnsi="宋体" w:cs="宋体" w:eastAsia="宋体" w:hint="default"/>
                            <w:sz w:val="18"/>
                            <w:szCs w:val="18"/>
                          </w:rPr>
                          <w:t>减变动情况</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347" w:right="74" w:hanging="272"/>
                          <w:jc w:val="left"/>
                          <w:rPr>
                            <w:rFonts w:ascii="宋体" w:hAnsi="宋体" w:cs="宋体" w:eastAsia="宋体" w:hint="default"/>
                            <w:sz w:val="18"/>
                            <w:szCs w:val="18"/>
                          </w:rPr>
                        </w:pPr>
                        <w:r>
                          <w:rPr>
                            <w:rFonts w:ascii="宋体" w:hAnsi="宋体" w:cs="宋体" w:eastAsia="宋体" w:hint="default"/>
                            <w:sz w:val="18"/>
                            <w:szCs w:val="18"/>
                          </w:rPr>
                          <w:t>条件的股份 数量</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98" w:right="96"/>
                          <w:jc w:val="left"/>
                          <w:rPr>
                            <w:rFonts w:ascii="宋体" w:hAnsi="宋体" w:cs="宋体" w:eastAsia="宋体" w:hint="default"/>
                            <w:sz w:val="18"/>
                            <w:szCs w:val="18"/>
                          </w:rPr>
                        </w:pPr>
                        <w:r>
                          <w:rPr>
                            <w:rFonts w:ascii="宋体" w:hAnsi="宋体" w:cs="宋体" w:eastAsia="宋体" w:hint="default"/>
                            <w:sz w:val="18"/>
                            <w:szCs w:val="18"/>
                          </w:rPr>
                          <w:t>售条件的 股份数量</w:t>
                        </w:r>
                      </w:p>
                    </w:tc>
                    <w:tc>
                      <w:tcPr>
                        <w:tcW w:w="1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16.21%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20" w:right="0"/>
                          <w:jc w:val="left"/>
                          <w:rPr>
                            <w:rFonts w:ascii="Times New Roman" w:hAnsi="Times New Roman" w:cs="Times New Roman" w:eastAsia="Times New Roman" w:hint="default"/>
                            <w:sz w:val="18"/>
                            <w:szCs w:val="18"/>
                          </w:rPr>
                        </w:pPr>
                        <w:r>
                          <w:rPr>
                            <w:rFonts w:ascii="Times New Roman"/>
                            <w:sz w:val="18"/>
                          </w:rPr>
                          <w:t>69,681,649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52,261,237</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17,420,412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69,606,649</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微医集团（浙 江）有限公司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9.58%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41,200,000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41,200,000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41,200,000</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厦门麟真贸易 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9"/>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39,784,218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17,365,000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39,784,218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36,775,000</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1.17%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1" w:right="0"/>
                          <w:jc w:val="left"/>
                          <w:rPr>
                            <w:rFonts w:ascii="Times New Roman" w:hAnsi="Times New Roman" w:cs="Times New Roman" w:eastAsia="Times New Roman" w:hint="default"/>
                            <w:sz w:val="18"/>
                            <w:szCs w:val="18"/>
                          </w:rPr>
                        </w:pPr>
                        <w:r>
                          <w:rPr>
                            <w:rFonts w:ascii="Times New Roman"/>
                            <w:sz w:val="18"/>
                          </w:rPr>
                          <w:t>5,050,000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-98,700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5,050,000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沈明祥</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0.73%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1" w:right="0"/>
                          <w:jc w:val="left"/>
                          <w:rPr>
                            <w:rFonts w:ascii="Times New Roman" w:hAnsi="Times New Roman" w:cs="Times New Roman" w:eastAsia="Times New Roman" w:hint="default"/>
                            <w:sz w:val="18"/>
                            <w:szCs w:val="18"/>
                          </w:rPr>
                        </w:pPr>
                        <w:r>
                          <w:rPr>
                            <w:rFonts w:ascii="Times New Roman"/>
                            <w:sz w:val="18"/>
                          </w:rPr>
                          <w:t>3,148,210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3,148,210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3,148,210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陈端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311" w:right="0"/>
                          <w:jc w:val="left"/>
                          <w:rPr>
                            <w:rFonts w:ascii="Times New Roman" w:hAnsi="Times New Roman" w:cs="Times New Roman" w:eastAsia="Times New Roman" w:hint="default"/>
                            <w:sz w:val="18"/>
                            <w:szCs w:val="18"/>
                          </w:rPr>
                        </w:pPr>
                        <w:r>
                          <w:rPr>
                            <w:rFonts w:ascii="Times New Roman"/>
                            <w:sz w:val="18"/>
                          </w:rPr>
                          <w:t>2,213,200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Times New Roman" w:hAnsi="Times New Roman" w:cs="Times New Roman" w:eastAsia="Times New Roman" w:hint="default"/>
                            <w:sz w:val="18"/>
                            <w:szCs w:val="18"/>
                          </w:rPr>
                        </w:pPr>
                        <w:r>
                          <w:rPr>
                            <w:rFonts w:ascii="Times New Roman"/>
                            <w:sz w:val="18"/>
                          </w:rPr>
                          <w:t>2,213,200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2,213,200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林子宏</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0.51%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1" w:right="0"/>
                          <w:jc w:val="left"/>
                          <w:rPr>
                            <w:rFonts w:ascii="Times New Roman" w:hAnsi="Times New Roman" w:cs="Times New Roman" w:eastAsia="Times New Roman" w:hint="default"/>
                            <w:sz w:val="18"/>
                            <w:szCs w:val="18"/>
                          </w:rPr>
                        </w:pPr>
                        <w:r>
                          <w:rPr>
                            <w:rFonts w:ascii="Times New Roman"/>
                            <w:sz w:val="18"/>
                          </w:rPr>
                          <w:t>2,180,500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-508,900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2,180,500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林芸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1" w:right="0"/>
                          <w:jc w:val="left"/>
                          <w:rPr>
                            <w:rFonts w:ascii="Times New Roman" w:hAnsi="Times New Roman" w:cs="Times New Roman" w:eastAsia="Times New Roman" w:hint="default"/>
                            <w:sz w:val="18"/>
                            <w:szCs w:val="18"/>
                          </w:rPr>
                        </w:pPr>
                        <w:r>
                          <w:rPr>
                            <w:rFonts w:ascii="Times New Roman"/>
                            <w:sz w:val="18"/>
                          </w:rPr>
                          <w:t>2,066,149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2,066,149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2,066,149</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吴跃良</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1" w:right="0"/>
                          <w:jc w:val="left"/>
                          <w:rPr>
                            <w:rFonts w:ascii="Times New Roman" w:hAnsi="Times New Roman" w:cs="Times New Roman" w:eastAsia="Times New Roman" w:hint="default"/>
                            <w:sz w:val="18"/>
                            <w:szCs w:val="18"/>
                          </w:rPr>
                        </w:pPr>
                        <w:r>
                          <w:rPr>
                            <w:rFonts w:ascii="Times New Roman"/>
                            <w:sz w:val="18"/>
                          </w:rPr>
                          <w:t>2,049,000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366,100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2,049,000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朱秀芬</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11" w:right="0"/>
                          <w:jc w:val="left"/>
                          <w:rPr>
                            <w:rFonts w:ascii="Times New Roman" w:hAnsi="Times New Roman" w:cs="Times New Roman" w:eastAsia="Times New Roman" w:hint="default"/>
                            <w:sz w:val="18"/>
                            <w:szCs w:val="18"/>
                          </w:rPr>
                        </w:pPr>
                        <w:r>
                          <w:rPr>
                            <w:rFonts w:ascii="Times New Roman"/>
                            <w:sz w:val="18"/>
                          </w:rPr>
                          <w:t>2,000,000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-8,438,400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9"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3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名股东的情况</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2"/>
                            <w:sz w:val="18"/>
                            <w:szCs w:val="18"/>
                          </w:rPr>
                          <w:t>）</w:t>
                        </w:r>
                        <w:r>
                          <w:rPr>
                            <w:rFonts w:ascii="宋体" w:hAnsi="宋体" w:cs="宋体" w:eastAsia="宋体" w:hint="default"/>
                            <w:sz w:val="18"/>
                            <w:szCs w:val="18"/>
                          </w:rPr>
                          <w:t>（参见注</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z w:val="18"/>
                            <w:szCs w:val="18"/>
                          </w:rPr>
                          <w:t>）</w:t>
                        </w:r>
                      </w:p>
                    </w:tc>
                    <w:tc>
                      <w:tcPr>
                        <w:tcW w:w="7173" w:type="dxa"/>
                        <w:gridSpan w:val="7"/>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7173" w:type="dxa"/>
                        <w:gridSpan w:val="7"/>
                        <w:vMerge w:val="restart"/>
                        <w:tcBorders>
                          <w:top w:val="single" w:sz="4" w:space="0" w:color="000000"/>
                          <w:left w:val="single" w:sz="4" w:space="0" w:color="000000"/>
                          <w:right w:val="single" w:sz="4" w:space="0" w:color="000000"/>
                        </w:tcBorders>
                      </w:tcPr>
                      <w:p>
                        <w:pPr>
                          <w:pStyle w:val="TableParagraph"/>
                          <w:spacing w:line="309" w:lineRule="auto" w:before="51"/>
                          <w:ind w:left="23" w:right="25"/>
                          <w:jc w:val="left"/>
                          <w:rPr>
                            <w:rFonts w:ascii="宋体" w:hAnsi="宋体" w:cs="宋体" w:eastAsia="宋体" w:hint="default"/>
                            <w:sz w:val="18"/>
                            <w:szCs w:val="18"/>
                          </w:rPr>
                        </w:pPr>
                        <w:r>
                          <w:rPr>
                            <w:rFonts w:ascii="宋体" w:hAnsi="宋体" w:cs="宋体" w:eastAsia="宋体" w:hint="default"/>
                            <w:spacing w:val="-5"/>
                            <w:sz w:val="18"/>
                            <w:szCs w:val="18"/>
                          </w:rPr>
                          <w:t>报告期内，张曦任公司董事长，厦门麟真贸易有限公司系其全资控股公司，为其一致行动人</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除此之外，截至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日，张曦与上述其他股东之间无关联关系，无一致行动约 定。公司未知其他股东之间是否存在关联关系，也未知是否属于一致行动人。</w:t>
                        </w:r>
                      </w:p>
                    </w:tc>
                  </w:tr>
                  <w:tr>
                    <w:trPr>
                      <w:trHeight w:val="706" w:hRule="exact"/>
                    </w:trPr>
                    <w:tc>
                      <w:tcPr>
                        <w:tcW w:w="239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2"/>
                          <w:ind w:left="24" w:right="22"/>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73" w:type="dxa"/>
                        <w:gridSpan w:val="7"/>
                        <w:vMerge/>
                        <w:tcBorders>
                          <w:left w:val="single" w:sz="4" w:space="0" w:color="000000"/>
                          <w:right w:val="single" w:sz="4" w:space="0" w:color="000000"/>
                        </w:tcBorders>
                      </w:tcPr>
                      <w:p>
                        <w:pPr/>
                      </w:p>
                    </w:tc>
                  </w:tr>
                  <w:tr>
                    <w:trPr>
                      <w:trHeight w:val="161"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7173" w:type="dxa"/>
                        <w:gridSpan w:val="7"/>
                        <w:vMerge/>
                        <w:tcBorders>
                          <w:left w:val="single" w:sz="4" w:space="0" w:color="000000"/>
                          <w:bottom w:val="single" w:sz="4" w:space="0" w:color="000000"/>
                          <w:right w:val="single" w:sz="4" w:space="0" w:color="000000"/>
                        </w:tcBorders>
                      </w:tcPr>
                      <w:p>
                        <w:pP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39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5046"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398"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5046" w:type="dxa"/>
                        <w:gridSpan w:val="5"/>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6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2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398" w:type="dxa"/>
                        <w:gridSpan w:val="2"/>
                        <w:vMerge/>
                        <w:tcBorders>
                          <w:left w:val="single" w:sz="4" w:space="0" w:color="000000"/>
                          <w:bottom w:val="nil" w:sz="6" w:space="0" w:color="auto"/>
                          <w:right w:val="single" w:sz="4" w:space="0" w:color="000000"/>
                        </w:tcBorders>
                        <w:shd w:val="clear" w:color="auto" w:fill="D2D2D2"/>
                      </w:tcPr>
                      <w:p>
                        <w:pPr/>
                      </w:p>
                    </w:tc>
                    <w:tc>
                      <w:tcPr>
                        <w:tcW w:w="5046" w:type="dxa"/>
                        <w:gridSpan w:val="5"/>
                        <w:vMerge/>
                        <w:tcBorders>
                          <w:left w:val="single" w:sz="4" w:space="0" w:color="000000"/>
                          <w:bottom w:val="nil" w:sz="6" w:space="0" w:color="auto"/>
                          <w:right w:val="single" w:sz="4" w:space="0" w:color="000000"/>
                        </w:tcBorders>
                        <w:shd w:val="clear" w:color="auto" w:fill="D2D2D2"/>
                      </w:tcPr>
                      <w:p>
                        <w:pPr/>
                      </w:p>
                    </w:tc>
                    <w:tc>
                      <w:tcPr>
                        <w:tcW w:w="10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70"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0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39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5046"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1069" w:type="dxa"/>
                        <w:vMerge/>
                        <w:tcBorders>
                          <w:left w:val="single" w:sz="4" w:space="0" w:color="000000"/>
                          <w:bottom w:val="single" w:sz="4" w:space="0" w:color="000000"/>
                          <w:right w:val="single" w:sz="4" w:space="0" w:color="000000"/>
                        </w:tcBorders>
                        <w:shd w:val="clear" w:color="auto" w:fill="D2D2D2"/>
                      </w:tcPr>
                      <w:p>
                        <w:pPr/>
                      </w:p>
                    </w:tc>
                    <w:tc>
                      <w:tcPr>
                        <w:tcW w:w="105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微医集团（浙江）有限公司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41,200,000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厦门麟真贸易有限公司</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39,784,218</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39,784,218</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17,420,412</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17,420,412</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古培坚</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5,050,000</w:t>
                        </w:r>
                      </w:p>
                    </w:tc>
                  </w:tr>
                  <w:tr>
                    <w:trPr>
                      <w:trHeight w:val="715"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沈明祥</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3,148,210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3,148,210</w:t>
                        </w:r>
                      </w:p>
                    </w:tc>
                  </w:tr>
                  <w:tr>
                    <w:trPr>
                      <w:trHeight w:val="713"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陈端</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2,213,200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2,213,200</w:t>
                        </w:r>
                      </w:p>
                    </w:tc>
                  </w:tr>
                  <w:tr>
                    <w:trPr>
                      <w:trHeight w:val="716" w:hRule="exact"/>
                    </w:trPr>
                    <w:tc>
                      <w:tcPr>
                        <w:tcW w:w="239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林子宏</w:t>
                        </w:r>
                      </w:p>
                    </w:tc>
                    <w:tc>
                      <w:tcPr>
                        <w:tcW w:w="50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2,180,500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2,180,500</w:t>
                        </w: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4"/>
          <w:szCs w:val="14"/>
        </w:rPr>
      </w:pPr>
    </w:p>
    <w:p>
      <w:pPr>
        <w:pStyle w:val="BodyText"/>
        <w:spacing w:line="240" w:lineRule="auto" w:before="44"/>
        <w:ind w:left="0" w:right="1136"/>
        <w:jc w:val="right"/>
      </w:pPr>
      <w:r>
        <w:rPr/>
        <w:t>。</w:t>
      </w:r>
    </w:p>
    <w:p>
      <w:pPr>
        <w:spacing w:after="0" w:line="240" w:lineRule="auto"/>
        <w:jc w:val="righ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5"/>
          <w:szCs w:val="25"/>
        </w:rPr>
      </w:pPr>
    </w:p>
    <w:p>
      <w:pPr>
        <w:pStyle w:val="BodyText"/>
        <w:spacing w:line="240" w:lineRule="auto" w:before="44"/>
        <w:ind w:left="0" w:right="1137"/>
        <w:jc w:val="right"/>
      </w:pPr>
      <w:r>
        <w:rPr/>
        <w:pict>
          <v:shape style="position:absolute;margin-left:56.459999pt;margin-top:-115.828278pt;width:479.2pt;height:311.850pt;mso-position-horizontal-relative:page;mso-position-vertical-relative:paragraph;z-index:14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97"/>
                    <w:gridCol w:w="5046"/>
                    <w:gridCol w:w="1069"/>
                    <w:gridCol w:w="1058"/>
                  </w:tblGrid>
                  <w:tr>
                    <w:trPr>
                      <w:trHeight w:val="713"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林芸</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2,066,149</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2,066,149</w:t>
                        </w:r>
                      </w:p>
                    </w:tc>
                  </w:tr>
                  <w:tr>
                    <w:trPr>
                      <w:trHeight w:val="715"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吴跃良</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2,049,000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2,049,000</w:t>
                        </w:r>
                      </w:p>
                    </w:tc>
                  </w:tr>
                  <w:tr>
                    <w:trPr>
                      <w:trHeight w:val="713" w:hRule="exact"/>
                    </w:trPr>
                    <w:tc>
                      <w:tcPr>
                        <w:tcW w:w="2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朱秀芬</w:t>
                        </w:r>
                      </w:p>
                    </w:tc>
                    <w:tc>
                      <w:tcPr>
                        <w:tcW w:w="5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c>
                      <w:tcPr>
                        <w:tcW w:w="10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4"/>
                          <w:jc w:val="left"/>
                          <w:rPr>
                            <w:rFonts w:ascii="宋体" w:hAnsi="宋体" w:cs="宋体" w:eastAsia="宋体" w:hint="default"/>
                            <w:sz w:val="18"/>
                            <w:szCs w:val="18"/>
                          </w:rPr>
                        </w:pPr>
                        <w:r>
                          <w:rPr>
                            <w:rFonts w:ascii="宋体" w:hAnsi="宋体" w:cs="宋体" w:eastAsia="宋体" w:hint="default"/>
                            <w:sz w:val="18"/>
                            <w:szCs w:val="18"/>
                          </w:rPr>
                          <w:t>人民币普通 股</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w:t>
                        </w:r>
                      </w:p>
                    </w:tc>
                  </w:tr>
                  <w:tr>
                    <w:trPr>
                      <w:trHeight w:val="1340"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0"/>
                          <w:ind w:left="22"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89"/>
                            <w:sz w:val="18"/>
                            <w:szCs w:val="18"/>
                          </w:rPr>
                          <w:t>，</w:t>
                        </w: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w:t>
                        </w:r>
                      </w:p>
                      <w:p>
                        <w:pPr>
                          <w:pStyle w:val="TableParagraph"/>
                          <w:spacing w:line="300" w:lineRule="auto" w:before="63"/>
                          <w:ind w:left="22" w:right="108"/>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07" w:lineRule="auto"/>
                          <w:ind w:left="23" w:right="25"/>
                          <w:jc w:val="left"/>
                          <w:rPr>
                            <w:rFonts w:ascii="宋体" w:hAnsi="宋体" w:cs="宋体" w:eastAsia="宋体" w:hint="default"/>
                            <w:sz w:val="18"/>
                            <w:szCs w:val="18"/>
                          </w:rPr>
                        </w:pPr>
                        <w:r>
                          <w:rPr>
                            <w:rFonts w:ascii="宋体" w:hAnsi="宋体" w:cs="宋体" w:eastAsia="宋体" w:hint="default"/>
                            <w:spacing w:val="-5"/>
                            <w:sz w:val="18"/>
                            <w:szCs w:val="18"/>
                          </w:rPr>
                          <w:t>报告期内，张曦任公司董事长，厦门麟真贸易有限公司系其全资控股公司，为其一致行动人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除此之外，截至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日，张曦与上述其他股东之间无关联关系，无一致行动约 定。公司未知其他股东之间是否存在关联关系，也未知是否属于一致行动人。</w:t>
                        </w:r>
                      </w:p>
                    </w:tc>
                  </w:tr>
                  <w:tr>
                    <w:trPr>
                      <w:trHeight w:val="2746"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4"/>
                          <w:ind w:left="22" w:right="22"/>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1"/>
                            <w:sz w:val="18"/>
                            <w:szCs w:val="18"/>
                          </w:rPr>
                          <w:t>明（如有）（参见注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73"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公司股东沈明祥通过普通证券账户持有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通过东吴证</w:t>
                        </w:r>
                        <w:r>
                          <w:rPr>
                            <w:rFonts w:ascii="宋体" w:hAnsi="宋体" w:cs="宋体" w:eastAsia="宋体" w:hint="default"/>
                            <w:spacing w:val="-3"/>
                            <w:sz w:val="18"/>
                            <w:szCs w:val="18"/>
                          </w:rPr>
                          <w:t>券</w:t>
                        </w:r>
                        <w:r>
                          <w:rPr>
                            <w:rFonts w:ascii="宋体" w:hAnsi="宋体" w:cs="宋体" w:eastAsia="宋体" w:hint="default"/>
                            <w:sz w:val="18"/>
                            <w:szCs w:val="18"/>
                          </w:rPr>
                          <w:t>股份有限公司客户信用交易担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3,147,810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3,148,210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1"/>
                          <w:ind w:left="23" w:right="0"/>
                          <w:jc w:val="left"/>
                          <w:rPr>
                            <w:rFonts w:ascii="宋体" w:hAnsi="宋体" w:cs="宋体" w:eastAsia="宋体" w:hint="default"/>
                            <w:sz w:val="18"/>
                            <w:szCs w:val="18"/>
                          </w:rPr>
                        </w:pPr>
                        <w:r>
                          <w:rPr>
                            <w:rFonts w:ascii="宋体" w:hAnsi="宋体" w:cs="宋体" w:eastAsia="宋体" w:hint="default"/>
                            <w:sz w:val="18"/>
                            <w:szCs w:val="18"/>
                          </w:rPr>
                          <w:t>公司股东陈端通过普通证券账户持有</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3,100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股，通过东吴证券股份有限公司客户信用交易担</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2,210,100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2,213,200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103"/>
                          <w:ind w:left="23" w:right="0"/>
                          <w:jc w:val="left"/>
                          <w:rPr>
                            <w:rFonts w:ascii="宋体" w:hAnsi="宋体" w:cs="宋体" w:eastAsia="宋体" w:hint="default"/>
                            <w:sz w:val="18"/>
                            <w:szCs w:val="18"/>
                          </w:rPr>
                        </w:pPr>
                        <w:r>
                          <w:rPr>
                            <w:rFonts w:ascii="宋体" w:hAnsi="宋体" w:cs="宋体" w:eastAsia="宋体" w:hint="default"/>
                            <w:sz w:val="18"/>
                            <w:szCs w:val="18"/>
                          </w:rPr>
                          <w:t>公司股东林子宏通过普通证券账户持有</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300,500</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股，通过中国银河证券股份有限公司客户信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2,180,500 </w:t>
                        </w:r>
                        <w:r>
                          <w:rPr>
                            <w:rFonts w:ascii="宋体" w:hAnsi="宋体" w:cs="宋体" w:eastAsia="宋体" w:hint="default"/>
                            <w:sz w:val="18"/>
                            <w:szCs w:val="18"/>
                          </w:rPr>
                          <w:t>股。</w:t>
                        </w:r>
                      </w:p>
                      <w:p>
                        <w:pPr>
                          <w:pStyle w:val="TableParagraph"/>
                          <w:spacing w:line="240" w:lineRule="auto" w:before="144"/>
                          <w:ind w:left="23" w:right="0"/>
                          <w:jc w:val="left"/>
                          <w:rPr>
                            <w:rFonts w:ascii="宋体" w:hAnsi="宋体" w:cs="宋体" w:eastAsia="宋体" w:hint="default"/>
                            <w:sz w:val="18"/>
                            <w:szCs w:val="18"/>
                          </w:rPr>
                        </w:pPr>
                        <w:r>
                          <w:rPr>
                            <w:rFonts w:ascii="宋体" w:hAnsi="宋体" w:cs="宋体" w:eastAsia="宋体" w:hint="default"/>
                            <w:sz w:val="18"/>
                            <w:szCs w:val="18"/>
                          </w:rPr>
                          <w:t>公司股东朱秀芬通过普通证券账户持有</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通过财通证券</w:t>
                        </w:r>
                        <w:r>
                          <w:rPr>
                            <w:rFonts w:ascii="宋体" w:hAnsi="宋体" w:cs="宋体" w:eastAsia="宋体" w:hint="default"/>
                            <w:spacing w:val="-3"/>
                            <w:sz w:val="18"/>
                            <w:szCs w:val="18"/>
                          </w:rPr>
                          <w:t>股</w:t>
                        </w:r>
                        <w:r>
                          <w:rPr>
                            <w:rFonts w:ascii="宋体" w:hAnsi="宋体" w:cs="宋体" w:eastAsia="宋体" w:hint="default"/>
                            <w:sz w:val="18"/>
                            <w:szCs w:val="18"/>
                          </w:rPr>
                          <w:t>份有限公司客户信用交易担保</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4"/>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pStyle w:val="BodyText"/>
        <w:spacing w:line="240" w:lineRule="auto" w:before="101"/>
        <w:ind w:right="1133"/>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594"/>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17"/>
        <w:gridCol w:w="2031"/>
        <w:gridCol w:w="4119"/>
      </w:tblGrid>
      <w:tr>
        <w:trPr>
          <w:trHeight w:val="40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20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2276"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年至今，任骏杰置业（香港）有限公司董事；</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年至今，任骏豪地产</w:t>
            </w:r>
          </w:p>
          <w:p>
            <w:pPr>
              <w:pStyle w:val="TableParagraph"/>
              <w:spacing w:line="300" w:lineRule="auto" w:before="63"/>
              <w:ind w:left="23" w:right="14"/>
              <w:jc w:val="both"/>
              <w:rPr>
                <w:rFonts w:ascii="Times New Roman" w:hAnsi="Times New Roman" w:cs="Times New Roman" w:eastAsia="Times New Roman" w:hint="default"/>
                <w:sz w:val="18"/>
                <w:szCs w:val="18"/>
              </w:rPr>
            </w:pPr>
            <w:r>
              <w:rPr>
                <w:rFonts w:ascii="宋体" w:hAnsi="宋体" w:cs="宋体" w:eastAsia="宋体" w:hint="default"/>
                <w:spacing w:val="-9"/>
                <w:sz w:val="18"/>
                <w:szCs w:val="18"/>
              </w:rPr>
              <w:t>（香港）有限公司董事；</w:t>
            </w:r>
            <w:r>
              <w:rPr>
                <w:rFonts w:ascii="Times New Roman" w:hAnsi="Times New Roman" w:cs="Times New Roman" w:eastAsia="Times New Roman" w:hint="default"/>
                <w:spacing w:val="-9"/>
                <w:sz w:val="18"/>
                <w:szCs w:val="18"/>
              </w:rPr>
              <w:t>2009</w:t>
            </w:r>
            <w:r>
              <w:rPr>
                <w:rFonts w:ascii="Times New Roman" w:hAnsi="Times New Roman" w:cs="Times New Roman" w:eastAsia="Times New Roman" w:hint="default"/>
                <w:spacing w:val="20"/>
                <w:sz w:val="18"/>
                <w:szCs w:val="18"/>
              </w:rPr>
              <w:t> </w:t>
            </w:r>
            <w:r>
              <w:rPr>
                <w:rFonts w:ascii="宋体" w:hAnsi="宋体" w:cs="宋体" w:eastAsia="宋体" w:hint="default"/>
                <w:spacing w:val="-6"/>
                <w:sz w:val="18"/>
                <w:szCs w:val="18"/>
              </w:rPr>
              <w:t>年至今，任香港骏华控股集团有限公司董事；</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38"/>
                <w:sz w:val="18"/>
                <w:szCs w:val="18"/>
              </w:rPr>
              <w:t> </w:t>
            </w:r>
            <w:r>
              <w:rPr>
                <w:rFonts w:ascii="Times New Roman" w:hAnsi="Times New Roman" w:cs="Times New Roman" w:eastAsia="Times New Roman" w:hint="default"/>
                <w:spacing w:val="-38"/>
                <w:sz w:val="18"/>
                <w:szCs w:val="18"/>
              </w:rPr>
            </w:r>
            <w:r>
              <w:rPr>
                <w:rFonts w:ascii="宋体" w:hAnsi="宋体" w:cs="宋体" w:eastAsia="宋体" w:hint="default"/>
                <w:spacing w:val="-2"/>
                <w:sz w:val="18"/>
                <w:szCs w:val="18"/>
              </w:rPr>
              <w:t>年至今，任侨丰控股有限公司董事、名卫投资有限公司董事；</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年至今，任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北京京发置业有限公司董事；</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年起至今，任香港骏豪金融控股集团有限公 </w:t>
            </w:r>
            <w:r>
              <w:rPr>
                <w:rFonts w:ascii="宋体" w:hAnsi="宋体" w:cs="宋体" w:eastAsia="宋体" w:hint="default"/>
                <w:spacing w:val="-3"/>
                <w:sz w:val="18"/>
                <w:szCs w:val="18"/>
              </w:rPr>
              <w:t>司董事。</w:t>
            </w:r>
            <w:r>
              <w:rPr>
                <w:rFonts w:ascii="Times New Roman" w:hAnsi="Times New Roman" w:cs="Times New Roman" w:eastAsia="Times New Roman" w:hint="default"/>
                <w:spacing w:val="-3"/>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pacing w:val="-4"/>
                <w:sz w:val="18"/>
                <w:szCs w:val="18"/>
              </w:rPr>
              <w:t>月，担任公司董事；</w:t>
            </w:r>
            <w:r>
              <w:rPr>
                <w:rFonts w:ascii="Times New Roman" w:hAnsi="Times New Roman" w:cs="Times New Roman" w:eastAsia="Times New Roman" w:hint="default"/>
                <w:spacing w:val="-4"/>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300" w:lineRule="auto" w:before="13"/>
              <w:ind w:left="23" w:right="38"/>
              <w:jc w:val="both"/>
              <w:rPr>
                <w:rFonts w:ascii="宋体" w:hAnsi="宋体" w:cs="宋体" w:eastAsia="宋体" w:hint="default"/>
                <w:sz w:val="18"/>
                <w:szCs w:val="18"/>
              </w:rPr>
            </w:pPr>
            <w:r>
              <w:rPr>
                <w:rFonts w:ascii="宋体" w:hAnsi="宋体" w:cs="宋体" w:eastAsia="宋体" w:hint="default"/>
                <w:sz w:val="18"/>
                <w:szCs w:val="18"/>
              </w:rPr>
              <w:t>月，任公司第二届董事会董事长；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月，任公司第三届 董事会董事长；</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月至今，任公司第四届董事会董事长。</w:t>
            </w:r>
          </w:p>
        </w:tc>
      </w:tr>
      <w:tr>
        <w:trPr>
          <w:trHeight w:val="713"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5"/>
        <w:ind w:right="1133"/>
        <w:jc w:val="left"/>
      </w:pPr>
      <w:r>
        <w:rPr/>
        <w:t>控股股东报告期内变更</w:t>
      </w:r>
    </w:p>
    <w:p>
      <w:pPr>
        <w:pStyle w:val="BodyText"/>
        <w:spacing w:line="338" w:lineRule="auto" w:before="117"/>
        <w:ind w:right="80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公司报告期控股股东未发生变更。</w:t>
      </w:r>
    </w:p>
    <w:p>
      <w:pPr>
        <w:spacing w:after="0" w:line="338"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、公司实际控制人及其一致行动人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414"/>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10" w:right="111" w:hanging="901"/>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96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7"/>
              <w:jc w:val="both"/>
              <w:rPr>
                <w:rFonts w:ascii="宋体" w:hAnsi="宋体" w:cs="宋体" w:eastAsia="宋体" w:hint="default"/>
                <w:sz w:val="18"/>
                <w:szCs w:val="18"/>
              </w:rPr>
            </w:pPr>
            <w:r>
              <w:rPr>
                <w:rFonts w:ascii="Times New Roman" w:hAnsi="Times New Roman" w:cs="Times New Roman" w:eastAsia="Times New Roman" w:hint="default"/>
                <w:sz w:val="18"/>
                <w:szCs w:val="18"/>
              </w:rPr>
              <w:t>2004 </w:t>
            </w:r>
            <w:r>
              <w:rPr>
                <w:rFonts w:ascii="宋体" w:hAnsi="宋体" w:cs="宋体" w:eastAsia="宋体" w:hint="default"/>
                <w:sz w:val="18"/>
                <w:szCs w:val="18"/>
              </w:rPr>
              <w:t>年至今，任骏杰置业（香港）有限公司董事；</w:t>
            </w: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年至今，任骏豪地产（香港）有限 公司董事；</w:t>
            </w:r>
            <w:r>
              <w:rPr>
                <w:rFonts w:ascii="Times New Roman" w:hAnsi="Times New Roman" w:cs="Times New Roman" w:eastAsia="Times New Roman" w:hint="default"/>
                <w:sz w:val="18"/>
                <w:szCs w:val="18"/>
              </w:rPr>
              <w:t>2009 </w:t>
            </w:r>
            <w:r>
              <w:rPr>
                <w:rFonts w:ascii="宋体" w:hAnsi="宋体" w:cs="宋体" w:eastAsia="宋体" w:hint="default"/>
                <w:sz w:val="18"/>
                <w:szCs w:val="18"/>
              </w:rPr>
              <w:t>年至今，任香港骏华控股集团有限公司董事；</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年至今，任侨丰控股有 限公司董事、名卫投资有限公司董事；</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年至今，任北京京发置业有限公司董事；</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年起至今，任香港骏豪金融控股集团有限公司董事。</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pacing w:val="-3"/>
                <w:sz w:val="18"/>
                <w:szCs w:val="18"/>
              </w:rPr>
              <w:t>月，担任公司</w:t>
            </w:r>
          </w:p>
          <w:p>
            <w:pPr>
              <w:pStyle w:val="TableParagraph"/>
              <w:spacing w:line="240" w:lineRule="auto" w:before="13"/>
              <w:ind w:left="2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董事；</w:t>
            </w: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月，任公司第二届董事会董事长；</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p>
            <w:pPr>
              <w:pStyle w:val="TableParagraph"/>
              <w:spacing w:line="240" w:lineRule="auto" w:before="63"/>
              <w:ind w:left="23" w:right="0"/>
              <w:jc w:val="both"/>
              <w:rPr>
                <w:rFonts w:ascii="宋体" w:hAnsi="宋体" w:cs="宋体" w:eastAsia="宋体" w:hint="default"/>
                <w:sz w:val="18"/>
                <w:szCs w:val="18"/>
              </w:rPr>
            </w:pPr>
            <w:r>
              <w:rPr>
                <w:rFonts w:ascii="宋体" w:hAnsi="宋体" w:cs="宋体" w:eastAsia="宋体" w:hint="default"/>
                <w:sz w:val="18"/>
                <w:szCs w:val="18"/>
              </w:rPr>
              <w:t>月，任公司第三届董事会董事长；</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月至今，任公司第四届董事会董事长。</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03"/>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1133"/>
        <w:jc w:val="left"/>
      </w:pPr>
      <w:r>
        <w:rPr/>
        <w:t>实际控制人报告期内变更</w:t>
      </w:r>
    </w:p>
    <w:p>
      <w:pPr>
        <w:pStyle w:val="BodyText"/>
        <w:spacing w:line="350" w:lineRule="auto" w:before="115"/>
        <w:ind w:right="6625"/>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15"/>
          <w:szCs w:val="15"/>
        </w:rPr>
      </w:pPr>
    </w:p>
    <w:p>
      <w:pPr>
        <w:spacing w:line="3711" w:lineRule="exact"/>
        <w:ind w:left="1338" w:right="0" w:firstLine="0"/>
        <w:rPr>
          <w:rFonts w:ascii="宋体" w:hAnsi="宋体" w:cs="宋体" w:eastAsia="宋体" w:hint="default"/>
          <w:sz w:val="20"/>
          <w:szCs w:val="20"/>
        </w:rPr>
      </w:pPr>
      <w:r>
        <w:rPr>
          <w:rFonts w:ascii="宋体" w:hAnsi="宋体" w:cs="宋体" w:eastAsia="宋体" w:hint="default"/>
          <w:position w:val="-73"/>
          <w:sz w:val="20"/>
          <w:szCs w:val="20"/>
        </w:rPr>
        <w:drawing>
          <wp:inline distT="0" distB="0" distL="0" distR="0">
            <wp:extent cx="4637356" cy="2356961"/>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5" cstate="print"/>
                    <a:stretch>
                      <a:fillRect/>
                    </a:stretch>
                  </pic:blipFill>
                  <pic:spPr>
                    <a:xfrm>
                      <a:off x="0" y="0"/>
                      <a:ext cx="4637356" cy="2356961"/>
                    </a:xfrm>
                    <a:prstGeom prst="rect">
                      <a:avLst/>
                    </a:prstGeom>
                  </pic:spPr>
                </pic:pic>
              </a:graphicData>
            </a:graphic>
          </wp:inline>
        </w:drawing>
      </w:r>
      <w:r>
        <w:rPr>
          <w:rFonts w:ascii="宋体" w:hAnsi="宋体" w:cs="宋体" w:eastAsia="宋体" w:hint="default"/>
          <w:position w:val="-73"/>
          <w:sz w:val="20"/>
          <w:szCs w:val="20"/>
        </w:rPr>
      </w:r>
    </w:p>
    <w:p>
      <w:pPr>
        <w:spacing w:line="240" w:lineRule="auto" w:before="12"/>
        <w:rPr>
          <w:rFonts w:ascii="宋体" w:hAnsi="宋体" w:cs="宋体" w:eastAsia="宋体" w:hint="default"/>
          <w:sz w:val="16"/>
          <w:szCs w:val="16"/>
        </w:rPr>
      </w:pPr>
    </w:p>
    <w:p>
      <w:pPr>
        <w:pStyle w:val="BodyText"/>
        <w:spacing w:line="240" w:lineRule="auto"/>
        <w:ind w:right="1133"/>
        <w:jc w:val="left"/>
        <w:rPr>
          <w:rFonts w:ascii="宋体" w:hAnsi="宋体" w:cs="宋体" w:eastAsia="宋体" w:hint="default"/>
        </w:rPr>
      </w:pPr>
      <w:r>
        <w:rPr/>
        <w:t>实际控制人通过信托或其他资产管理方式控制公司</w:t>
      </w:r>
      <w:r>
        <w:rPr>
          <w:rFonts w:ascii="宋体" w:hAnsi="宋体" w:cs="宋体" w:eastAsia="宋体" w:hint="default"/>
        </w:rPr>
        <w:t> </w:t>
      </w:r>
    </w:p>
    <w:p>
      <w:pPr>
        <w:spacing w:line="240" w:lineRule="auto" w:before="3"/>
        <w:rPr>
          <w:rFonts w:ascii="宋体" w:hAnsi="宋体" w:cs="宋体" w:eastAsia="宋体" w:hint="default"/>
          <w:sz w:val="21"/>
          <w:szCs w:val="21"/>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、其他持股在</w:t>
      </w:r>
      <w:r>
        <w:rPr>
          <w:spacing w:val="-53"/>
        </w:rPr>
        <w:t> </w:t>
      </w:r>
      <w:r>
        <w:rPr>
          <w:rFonts w:ascii="Times New Roman" w:hAnsi="Times New Roman" w:cs="Times New Roman" w:eastAsia="Times New Roman" w:hint="default"/>
        </w:rPr>
        <w:t>10%</w:t>
      </w:r>
      <w:r>
        <w:rPr/>
        <w:t>以上的法人股东</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365" w:right="1133"/>
        <w:jc w:val="left"/>
        <w:rPr>
          <w:b w:val="0"/>
          <w:bCs w:val="0"/>
        </w:rPr>
      </w:pPr>
      <w:bookmarkStart w:name="_bookmark6" w:id="7"/>
      <w:bookmarkEnd w:id="7"/>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38" w:lineRule="auto" w:before="44"/>
        <w:ind w:right="85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报告期公司不存在优先股。</w:t>
      </w:r>
    </w:p>
    <w:p>
      <w:pPr>
        <w:spacing w:after="0" w:line="33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723" w:right="1133"/>
        <w:jc w:val="left"/>
        <w:rPr>
          <w:b w:val="0"/>
          <w:bCs w:val="0"/>
        </w:rPr>
      </w:pPr>
      <w:bookmarkStart w:name="_bookmark7" w:id="8"/>
      <w:bookmarkEnd w:id="8"/>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3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报告期公司不存在可转换公司债券。</w:t>
      </w:r>
    </w:p>
    <w:p>
      <w:pPr>
        <w:spacing w:after="0" w:line="338"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1758" w:right="1133"/>
        <w:jc w:val="left"/>
        <w:rPr>
          <w:b w:val="0"/>
          <w:bCs w:val="0"/>
        </w:rPr>
      </w:pPr>
      <w:bookmarkStart w:name="_bookmark8" w:id="9"/>
      <w:bookmarkEnd w:id="9"/>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1133"/>
        <w:jc w:val="left"/>
        <w:rPr>
          <w:b w:val="0"/>
          <w:bCs w:val="0"/>
        </w:rPr>
      </w:pPr>
      <w:r>
        <w:rPr/>
        <w:pict>
          <v:shape style="position:absolute;margin-left:471.583008pt;margin-top:32.855602pt;width:63.6pt;height:50.9pt;mso-position-horizontal-relative:page;mso-position-vertical-relative:paragraph;z-index:-1326688" type="#_x0000_t202" filled="false" stroked="false">
            <v:textbox inset="0,0,0,0">
              <w:txbxContent>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21"/>
                      <w:szCs w:val="21"/>
                    </w:rPr>
                  </w:pPr>
                </w:p>
                <w:p>
                  <w:pPr>
                    <w:pStyle w:val="BodyText"/>
                    <w:spacing w:line="240" w:lineRule="auto"/>
                    <w:ind w:left="0" w:right="0"/>
                    <w:jc w:val="left"/>
                  </w:pPr>
                  <w:r>
                    <w:rPr/>
                    <w:t>（股）</w:t>
                  </w:r>
                </w:p>
              </w:txbxContent>
            </v:textbox>
            <w10:wrap type="none"/>
          </v:shape>
        </w:pict>
      </w:r>
      <w:r>
        <w:rPr/>
        <w:t>一、董事、监事和高级管理人员持股变动</w:t>
      </w:r>
      <w:r>
        <w:rPr>
          <w:b w:val="0"/>
          <w:bCs w:val="0"/>
        </w:rPr>
      </w:r>
    </w:p>
    <w:p>
      <w:pPr>
        <w:spacing w:line="240" w:lineRule="auto" w:before="6"/>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7"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4" w:right="35" w:firstLine="9"/>
              <w:jc w:val="left"/>
              <w:rPr>
                <w:rFonts w:ascii="宋体" w:hAnsi="宋体" w:cs="宋体" w:eastAsia="宋体" w:hint="default"/>
                <w:sz w:val="18"/>
                <w:szCs w:val="18"/>
              </w:rPr>
            </w:pPr>
            <w:r>
              <w:rPr>
                <w:rFonts w:ascii="宋体" w:hAnsi="宋体" w:cs="宋体" w:eastAsia="宋体" w:hint="default"/>
                <w:sz w:val="18"/>
                <w:szCs w:val="18"/>
              </w:rPr>
              <w:t>其他增减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69,681,64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69,681,64</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41"/>
              <w:jc w:val="both"/>
              <w:rPr>
                <w:rFonts w:ascii="宋体" w:hAnsi="宋体" w:cs="宋体" w:eastAsia="宋体" w:hint="default"/>
                <w:sz w:val="18"/>
                <w:szCs w:val="18"/>
              </w:rPr>
            </w:pPr>
            <w:r>
              <w:rPr>
                <w:rFonts w:ascii="宋体" w:hAnsi="宋体" w:cs="宋体" w:eastAsia="宋体" w:hint="default"/>
                <w:sz w:val="18"/>
                <w:szCs w:val="18"/>
              </w:rPr>
              <w:t>董事、副 董事长、 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1,622,246</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1,622,246</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董事、副 董事长</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何锐</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41"/>
              <w:jc w:val="left"/>
              <w:rPr>
                <w:rFonts w:ascii="宋体" w:hAnsi="宋体" w:cs="宋体" w:eastAsia="宋体" w:hint="default"/>
                <w:sz w:val="18"/>
                <w:szCs w:val="18"/>
              </w:rPr>
            </w:pPr>
            <w:r>
              <w:rPr>
                <w:rFonts w:ascii="宋体" w:hAnsi="宋体" w:cs="宋体" w:eastAsia="宋体" w:hint="default"/>
                <w:sz w:val="18"/>
                <w:szCs w:val="18"/>
              </w:rPr>
              <w:t>董事、董 事会秘 书、副总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石雪莲</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职工代表 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41"/>
              <w:jc w:val="left"/>
              <w:rPr>
                <w:rFonts w:ascii="宋体" w:hAnsi="宋体" w:cs="宋体" w:eastAsia="宋体" w:hint="default"/>
                <w:sz w:val="18"/>
                <w:szCs w:val="18"/>
              </w:rPr>
            </w:pPr>
            <w:r>
              <w:rPr>
                <w:rFonts w:ascii="宋体" w:hAnsi="宋体" w:cs="宋体" w:eastAsia="宋体" w:hint="default"/>
                <w:sz w:val="18"/>
                <w:szCs w:val="18"/>
              </w:rPr>
              <w:t>财务总 监、副总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刘敏</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4"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41"/>
              <w:jc w:val="left"/>
              <w:rPr>
                <w:rFonts w:ascii="宋体" w:hAnsi="宋体" w:cs="宋体" w:eastAsia="宋体" w:hint="default"/>
                <w:sz w:val="18"/>
                <w:szCs w:val="18"/>
              </w:rPr>
            </w:pPr>
            <w:r>
              <w:rPr>
                <w:rFonts w:ascii="宋体" w:hAnsi="宋体" w:cs="宋体" w:eastAsia="宋体" w:hint="default"/>
                <w:sz w:val="18"/>
                <w:szCs w:val="18"/>
              </w:rPr>
              <w:t>董事、总 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800"/>
        <w:gridCol w:w="797"/>
        <w:gridCol w:w="797"/>
        <w:gridCol w:w="797"/>
        <w:gridCol w:w="797"/>
        <w:gridCol w:w="797"/>
        <w:gridCol w:w="800"/>
        <w:gridCol w:w="797"/>
        <w:gridCol w:w="799"/>
        <w:gridCol w:w="797"/>
        <w:gridCol w:w="799"/>
        <w:gridCol w:w="797"/>
      </w:tblGrid>
      <w:tr>
        <w:trPr>
          <w:trHeight w:val="675" w:hRule="exact"/>
        </w:trPr>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詹亦文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7"/>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71,304,39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71,304,39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1330"/>
        <w:gridCol w:w="1330"/>
        <w:gridCol w:w="1330"/>
        <w:gridCol w:w="1330"/>
        <w:gridCol w:w="4249"/>
      </w:tblGrid>
      <w:tr>
        <w:trPr>
          <w:trHeight w:val="403"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因个人原因辞职，不再在公司担任任何职务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因个人原因辞去董事职务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解聘</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因个人原因辞去总经理职务，不再在公司担任任何职 务</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因个人原因辞去董事职务，继续在公司担任副总经理 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经第四届董事会第九次会议审议通过，聘任为公司副 总经理。</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4"/>
              <w:jc w:val="left"/>
              <w:rPr>
                <w:rFonts w:ascii="宋体" w:hAnsi="宋体" w:cs="宋体" w:eastAsia="宋体" w:hint="default"/>
                <w:sz w:val="18"/>
                <w:szCs w:val="18"/>
              </w:rPr>
            </w:pPr>
            <w:r>
              <w:rPr>
                <w:rFonts w:ascii="宋体" w:hAnsi="宋体" w:cs="宋体" w:eastAsia="宋体" w:hint="default"/>
                <w:sz w:val="18"/>
                <w:szCs w:val="18"/>
              </w:rPr>
              <w:t>经第四届董事会第十一次会议审议通过，聘任为公司 总经理，同时免去其副总经理职务</w:t>
            </w:r>
          </w:p>
        </w:tc>
      </w:tr>
      <w:tr>
        <w:trPr>
          <w:trHeight w:val="102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3" w:right="20"/>
              <w:jc w:val="both"/>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日因工作调整原因辞去公司职工代表监 事职务，经第四届董事会第十一次会议审议通过，聘 任为公司副总经理</w:t>
            </w:r>
          </w:p>
        </w:tc>
      </w:tr>
      <w:tr>
        <w:trPr>
          <w:trHeight w:val="716"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詹亦文</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因个人原因辞职，不再在公司担任任何职务</w:t>
            </w:r>
          </w:p>
        </w:tc>
      </w:tr>
    </w:tbl>
    <w:p>
      <w:pPr>
        <w:spacing w:line="240" w:lineRule="auto" w:before="3"/>
        <w:rPr>
          <w:rFonts w:ascii="宋体" w:hAnsi="宋体" w:cs="宋体" w:eastAsia="宋体" w:hint="default"/>
          <w:sz w:val="18"/>
          <w:szCs w:val="18"/>
        </w:rPr>
      </w:pPr>
    </w:p>
    <w:p>
      <w:pPr>
        <w:pStyle w:val="Heading2"/>
        <w:spacing w:line="240" w:lineRule="auto" w:before="26"/>
        <w:ind w:right="1133"/>
        <w:jc w:val="left"/>
        <w:rPr>
          <w:b w:val="0"/>
          <w:bCs w:val="0"/>
        </w:rPr>
      </w:pP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公司现任董事、监事、高级管理人员专业背景、主要工作经历以及目前在公司的主要职责</w:t>
      </w:r>
    </w:p>
    <w:p>
      <w:pPr>
        <w:pStyle w:val="BodyText"/>
        <w:spacing w:line="300" w:lineRule="auto" w:before="117"/>
        <w:ind w:left="441" w:right="1735"/>
        <w:jc w:val="left"/>
      </w:pPr>
      <w:r>
        <w:rPr>
          <w:rFonts w:ascii="Times New Roman" w:hAnsi="Times New Roman" w:cs="Times New Roman" w:eastAsia="Times New Roman" w:hint="default"/>
        </w:rPr>
        <w:t>1</w:t>
      </w:r>
      <w:r>
        <w:rPr/>
        <w:t>、公司现任董事 截至本报告披露日，公司第四届董事会由</w:t>
      </w:r>
      <w:r>
        <w:rPr>
          <w:rFonts w:ascii="Times New Roman" w:hAnsi="Times New Roman" w:cs="Times New Roman" w:eastAsia="Times New Roman" w:hint="default"/>
        </w:rPr>
        <w:t>10</w:t>
      </w:r>
      <w:r>
        <w:rPr/>
        <w:t>名董事组成，其中独立董事</w:t>
      </w:r>
      <w:r>
        <w:rPr>
          <w:rFonts w:ascii="Times New Roman" w:hAnsi="Times New Roman" w:cs="Times New Roman" w:eastAsia="Times New Roman" w:hint="default"/>
        </w:rPr>
        <w:t>4</w:t>
      </w:r>
      <w:r>
        <w:rPr/>
        <w:t>名，任期三年。董事会成员简历如下：</w:t>
      </w:r>
    </w:p>
    <w:p>
      <w:pPr>
        <w:pStyle w:val="BodyText"/>
        <w:spacing w:line="300" w:lineRule="auto" w:before="13"/>
        <w:ind w:right="1131" w:firstLine="288"/>
        <w:jc w:val="both"/>
      </w:pPr>
      <w:r>
        <w:rPr>
          <w:spacing w:val="-1"/>
        </w:rPr>
        <w:t>（</w:t>
      </w:r>
      <w:r>
        <w:rPr>
          <w:rFonts w:ascii="Times New Roman" w:hAnsi="Times New Roman" w:cs="Times New Roman" w:eastAsia="Times New Roman" w:hint="default"/>
          <w:spacing w:val="-1"/>
        </w:rPr>
        <w:t>1</w:t>
      </w:r>
      <w:r>
        <w:rPr>
          <w:spacing w:val="-1"/>
        </w:rPr>
        <w:t>）张曦：男，生于</w:t>
      </w:r>
      <w:r>
        <w:rPr>
          <w:rFonts w:ascii="Times New Roman" w:hAnsi="Times New Roman" w:cs="Times New Roman" w:eastAsia="Times New Roman" w:hint="default"/>
          <w:spacing w:val="-1"/>
        </w:rPr>
        <w:t>1968</w:t>
      </w:r>
      <w:r>
        <w:rPr>
          <w:spacing w:val="-1"/>
        </w:rPr>
        <w:t>年</w:t>
      </w:r>
      <w:r>
        <w:rPr>
          <w:rFonts w:ascii="Times New Roman" w:hAnsi="Times New Roman" w:cs="Times New Roman" w:eastAsia="Times New Roman" w:hint="default"/>
          <w:spacing w:val="-1"/>
        </w:rPr>
        <w:t>11</w:t>
      </w:r>
      <w:r>
        <w:rPr>
          <w:spacing w:val="-1"/>
        </w:rPr>
        <w:t>月，中国国籍，中国香港永久居民。</w:t>
      </w:r>
      <w:r>
        <w:rPr>
          <w:rFonts w:ascii="Times New Roman" w:hAnsi="Times New Roman" w:cs="Times New Roman" w:eastAsia="Times New Roman" w:hint="default"/>
          <w:spacing w:val="-1"/>
        </w:rPr>
        <w:t>1990</w:t>
      </w:r>
      <w:r>
        <w:rPr>
          <w:spacing w:val="-1"/>
        </w:rPr>
        <w:t>年</w:t>
      </w:r>
      <w:r>
        <w:rPr>
          <w:rFonts w:ascii="Times New Roman" w:hAnsi="Times New Roman" w:cs="Times New Roman" w:eastAsia="Times New Roman" w:hint="default"/>
          <w:spacing w:val="-1"/>
        </w:rPr>
        <w:t>7</w:t>
      </w:r>
      <w:r>
        <w:rPr>
          <w:spacing w:val="-1"/>
        </w:rPr>
        <w:t>月，毕业于厦门大学国际贸易系，获学士学</w:t>
      </w:r>
      <w:r>
        <w:rPr/>
        <w:t> </w:t>
      </w:r>
      <w:r>
        <w:rPr>
          <w:spacing w:val="-2"/>
        </w:rPr>
        <w:t>位。</w:t>
      </w:r>
      <w:r>
        <w:rPr>
          <w:rFonts w:ascii="Times New Roman" w:hAnsi="Times New Roman" w:cs="Times New Roman" w:eastAsia="Times New Roman" w:hint="default"/>
          <w:spacing w:val="-2"/>
        </w:rPr>
        <w:t>2004</w:t>
      </w:r>
      <w:r>
        <w:rPr>
          <w:spacing w:val="-2"/>
        </w:rPr>
        <w:t>年至今，任骏杰置业（香港）有限公司董事；</w:t>
      </w:r>
      <w:r>
        <w:rPr>
          <w:rFonts w:ascii="Times New Roman" w:hAnsi="Times New Roman" w:cs="Times New Roman" w:eastAsia="Times New Roman" w:hint="default"/>
          <w:spacing w:val="-2"/>
        </w:rPr>
        <w:t>2005</w:t>
      </w:r>
      <w:r>
        <w:rPr>
          <w:spacing w:val="-2"/>
        </w:rPr>
        <w:t>年至今，任骏豪地产（香港）有限公司董事；</w:t>
      </w:r>
      <w:r>
        <w:rPr>
          <w:rFonts w:ascii="Times New Roman" w:hAnsi="Times New Roman" w:cs="Times New Roman" w:eastAsia="Times New Roman" w:hint="default"/>
          <w:spacing w:val="-2"/>
        </w:rPr>
        <w:t>2009</w:t>
      </w:r>
      <w:r>
        <w:rPr>
          <w:spacing w:val="-2"/>
        </w:rPr>
        <w:t>年至今，任香</w:t>
      </w:r>
      <w:r>
        <w:rPr>
          <w:spacing w:val="-61"/>
        </w:rPr>
        <w:t> </w:t>
      </w:r>
      <w:r>
        <w:rPr>
          <w:spacing w:val="-61"/>
        </w:rPr>
      </w:r>
      <w:r>
        <w:rPr>
          <w:spacing w:val="-2"/>
        </w:rPr>
        <w:t>港骏华控股集团有限公司董事；</w:t>
      </w:r>
      <w:r>
        <w:rPr>
          <w:rFonts w:ascii="Times New Roman" w:hAnsi="Times New Roman" w:cs="Times New Roman" w:eastAsia="Times New Roman" w:hint="default"/>
          <w:spacing w:val="-2"/>
        </w:rPr>
        <w:t>2010</w:t>
      </w:r>
      <w:r>
        <w:rPr>
          <w:spacing w:val="-2"/>
        </w:rPr>
        <w:t>年至今，任侨丰控股有限公司董事、名卫投资有限公司董事；</w:t>
      </w:r>
      <w:r>
        <w:rPr>
          <w:rFonts w:ascii="Times New Roman" w:hAnsi="Times New Roman" w:cs="Times New Roman" w:eastAsia="Times New Roman" w:hint="default"/>
          <w:spacing w:val="-2"/>
        </w:rPr>
        <w:t>2013</w:t>
      </w:r>
      <w:r>
        <w:rPr>
          <w:spacing w:val="-2"/>
        </w:rPr>
        <w:t>年起至今，任香港骏</w:t>
      </w:r>
      <w:r>
        <w:rPr>
          <w:spacing w:val="-62"/>
        </w:rPr>
        <w:t> </w:t>
      </w:r>
      <w:r>
        <w:rPr>
          <w:spacing w:val="-62"/>
        </w:rPr>
      </w:r>
      <w:r>
        <w:rPr>
          <w:spacing w:val="-2"/>
        </w:rPr>
        <w:t>豪金融控股集团有限公司董事。</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月，担任公司董事；</w:t>
      </w:r>
      <w:r>
        <w:rPr>
          <w:rFonts w:ascii="Times New Roman" w:hAnsi="Times New Roman" w:cs="Times New Roman" w:eastAsia="Times New Roman" w:hint="default"/>
          <w:spacing w:val="-2"/>
        </w:rPr>
        <w:t>2014</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月，任公司第二届董事会董事</w:t>
      </w:r>
      <w:r>
        <w:rPr>
          <w:spacing w:val="-52"/>
        </w:rPr>
        <w:t> </w:t>
      </w:r>
      <w:r>
        <w:rPr>
          <w:spacing w:val="-52"/>
        </w:rPr>
      </w:r>
      <w:r>
        <w:rPr/>
        <w:t>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月，任公司第三届董事会董事长；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月至今，任公司第四届董事会董事长。</w:t>
      </w:r>
    </w:p>
    <w:p>
      <w:pPr>
        <w:pStyle w:val="BodyText"/>
        <w:spacing w:line="240" w:lineRule="auto" w:before="13"/>
        <w:ind w:left="441" w:right="0"/>
        <w:jc w:val="left"/>
      </w:pPr>
      <w:r>
        <w:rPr/>
        <w:t>（</w:t>
      </w:r>
      <w:r>
        <w:rPr>
          <w:rFonts w:ascii="Times New Roman" w:hAnsi="Times New Roman" w:cs="Times New Roman" w:eastAsia="Times New Roman" w:hint="default"/>
        </w:rPr>
        <w:t>2</w:t>
      </w:r>
      <w:r>
        <w:rPr/>
        <w:t>）黄文灿：男，生于</w:t>
      </w:r>
      <w:r>
        <w:rPr>
          <w:rFonts w:ascii="Times New Roman" w:hAnsi="Times New Roman" w:cs="Times New Roman" w:eastAsia="Times New Roman" w:hint="default"/>
        </w:rPr>
        <w:t>1970</w:t>
      </w:r>
      <w:r>
        <w:rPr/>
        <w:t>年</w:t>
      </w:r>
      <w:r>
        <w:rPr>
          <w:rFonts w:ascii="Times New Roman" w:hAnsi="Times New Roman" w:cs="Times New Roman" w:eastAsia="Times New Roman" w:hint="default"/>
        </w:rPr>
        <w:t>12</w:t>
      </w:r>
      <w:r>
        <w:rPr/>
        <w:t>月，中国国籍，硕士研究生毕业，无永久境外居留权，高级工程师。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1996</w:t>
      </w:r>
      <w:r>
        <w:rPr/>
        <w:t>年，</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3"/>
        <w:jc w:val="both"/>
      </w:pPr>
      <w:r>
        <w:rPr/>
        <w:t>就职于航天航空部计算机和仿真技术研究所；</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2000</w:t>
      </w:r>
      <w:r>
        <w:rPr/>
        <w:t>年，任厦门市巨龙软件工程有限公司副总工程师；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月至</w:t>
      </w:r>
      <w:r>
        <w:rPr>
          <w:spacing w:val="-3"/>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月，任公司总工程师、副总经理。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月，任公司副总经理、技术总监。</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 任公司副总经理；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月，任公司第三届董事会董事、副董事长、常务副总经理。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 第四届董事会董事、副董事长、副总经理。</w:t>
      </w:r>
    </w:p>
    <w:p>
      <w:pPr>
        <w:pStyle w:val="BodyText"/>
        <w:spacing w:line="304" w:lineRule="auto" w:before="31"/>
        <w:ind w:right="1034" w:firstLine="288"/>
        <w:jc w:val="left"/>
      </w:pPr>
      <w:r>
        <w:rPr>
          <w:spacing w:val="-2"/>
        </w:rPr>
        <w:t>（</w:t>
      </w:r>
      <w:r>
        <w:rPr>
          <w:rFonts w:ascii="Times New Roman" w:hAnsi="Times New Roman" w:cs="Times New Roman" w:eastAsia="Times New Roman" w:hint="default"/>
          <w:spacing w:val="-2"/>
        </w:rPr>
        <w:t>3</w:t>
      </w:r>
      <w:r>
        <w:rPr>
          <w:spacing w:val="-2"/>
        </w:rPr>
        <w:t>）廖杰远：男，生于</w:t>
      </w:r>
      <w:r>
        <w:rPr>
          <w:rFonts w:ascii="Times New Roman" w:hAnsi="Times New Roman" w:cs="Times New Roman" w:eastAsia="Times New Roman" w:hint="default"/>
          <w:spacing w:val="-2"/>
        </w:rPr>
        <w:t>1973</w:t>
      </w:r>
      <w:r>
        <w:rPr>
          <w:spacing w:val="-2"/>
        </w:rPr>
        <w:t>年</w:t>
      </w:r>
      <w:r>
        <w:rPr>
          <w:rFonts w:ascii="Times New Roman" w:hAnsi="Times New Roman" w:cs="Times New Roman" w:eastAsia="Times New Roman" w:hint="default"/>
          <w:spacing w:val="-2"/>
        </w:rPr>
        <w:t>5</w:t>
      </w:r>
      <w:r>
        <w:rPr>
          <w:spacing w:val="-2"/>
        </w:rPr>
        <w:t>月，中国国籍，无永久境外居留权。</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7</w:t>
      </w:r>
      <w:r>
        <w:rPr>
          <w:spacing w:val="-2"/>
        </w:rPr>
        <w:t>月，毕业于北京大学</w:t>
      </w:r>
      <w:r>
        <w:rPr>
          <w:rFonts w:ascii="Times New Roman" w:hAnsi="Times New Roman" w:cs="Times New Roman" w:eastAsia="Times New Roman" w:hint="default"/>
          <w:spacing w:val="-2"/>
        </w:rPr>
        <w:t>EMBA</w:t>
      </w:r>
      <w:r>
        <w:rPr>
          <w:spacing w:val="-2"/>
        </w:rPr>
        <w:t>专业获硕士研究</w:t>
      </w:r>
      <w:r>
        <w:rPr/>
        <w:t> 生学位。</w:t>
      </w:r>
      <w:r>
        <w:rPr>
          <w:rFonts w:ascii="Times New Roman" w:hAnsi="Times New Roman" w:cs="Times New Roman" w:eastAsia="Times New Roman" w:hint="default"/>
        </w:rPr>
        <w:t>1994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月，任国家</w:t>
      </w:r>
      <w:r>
        <w:rPr>
          <w:rFonts w:ascii="Times New Roman" w:hAnsi="Times New Roman" w:cs="Times New Roman" w:eastAsia="Times New Roman" w:hint="default"/>
        </w:rPr>
        <w:t>863</w:t>
      </w:r>
      <w:r>
        <w:rPr/>
        <w:t>智能计算机成果转化基地干部；</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月，任天音软件总经理； </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12</w:t>
      </w:r>
      <w:r>
        <w:rPr/>
        <w:t>月至今任微医控股有限公司董事长兼</w:t>
      </w:r>
      <w:r>
        <w:rPr>
          <w:rFonts w:ascii="Times New Roman" w:hAnsi="Times New Roman" w:cs="Times New Roman" w:eastAsia="Times New Roman" w:hint="default"/>
        </w:rPr>
        <w:t>CEO</w:t>
      </w:r>
      <w:r>
        <w:rPr/>
        <w:t>。目前廖杰远兼任九三学社第十四届中央委员医药卫生专门委员会副主 </w:t>
      </w:r>
      <w:r>
        <w:rPr>
          <w:spacing w:val="-2"/>
        </w:rPr>
        <w:t>任、宁夏回族自治区政协委员，中国医疗保健国际交流促进会互联网医疗分会常务副主任委员、中国卫生信息学会健康医疗</w:t>
      </w:r>
      <w:r>
        <w:rPr>
          <w:spacing w:val="-63"/>
        </w:rPr>
        <w:t> </w:t>
      </w:r>
      <w:r>
        <w:rPr>
          <w:spacing w:val="-63"/>
        </w:rPr>
      </w:r>
      <w:r>
        <w:rPr/>
        <w:t>大数据家庭健康专业委员会副主任、浙江大学健康医疗大数据国家研究院副主任等职务。</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日起任公司第四届董 事会非独立董事、副董事长。</w:t>
      </w:r>
    </w:p>
    <w:p>
      <w:pPr>
        <w:pStyle w:val="BodyText"/>
        <w:spacing w:line="300" w:lineRule="auto" w:before="28"/>
        <w:ind w:right="1124" w:firstLine="288"/>
        <w:jc w:val="left"/>
      </w:pPr>
      <w:r>
        <w:rPr/>
        <w:t>（</w:t>
      </w:r>
      <w:r>
        <w:rPr>
          <w:rFonts w:ascii="Times New Roman" w:hAnsi="Times New Roman" w:cs="Times New Roman" w:eastAsia="Times New Roman" w:hint="default"/>
        </w:rPr>
        <w:t>4</w:t>
      </w:r>
      <w:r>
        <w:rPr/>
        <w:t>）吴一禹：男，生于</w:t>
      </w:r>
      <w:r>
        <w:rPr>
          <w:rFonts w:ascii="Times New Roman" w:hAnsi="Times New Roman" w:cs="Times New Roman" w:eastAsia="Times New Roman" w:hint="default"/>
        </w:rPr>
        <w:t>1960</w:t>
      </w:r>
      <w:r>
        <w:rPr/>
        <w:t>年</w:t>
      </w:r>
      <w:r>
        <w:rPr>
          <w:rFonts w:ascii="Times New Roman" w:hAnsi="Times New Roman" w:cs="Times New Roman" w:eastAsia="Times New Roman" w:hint="default"/>
        </w:rPr>
        <w:t>2</w:t>
      </w:r>
      <w:r>
        <w:rPr/>
        <w:t>月，中国国籍，无永久境外居留权。</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8</w:t>
      </w:r>
      <w:r>
        <w:rPr/>
        <w:t>月，毕业于福建广播电视大学中文专业， 注册高级策划师。</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月，任福建骏豪足球俱乐部、石家庄永昌骏豪足球俱乐部副董事长；</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12</w:t>
      </w:r>
      <w:r>
        <w:rPr/>
        <w:t>月至</w:t>
      </w:r>
      <w:r>
        <w:rPr>
          <w:spacing w:val="-3"/>
        </w:rPr>
        <w:t> </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月，任北京骏豪光文化发展有限公司董事长；</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月，任易联众健康医疗控股有限公司副总裁、 </w:t>
      </w:r>
      <w:r>
        <w:rPr>
          <w:spacing w:val="-3"/>
        </w:rPr>
        <w:t>总裁；</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8</w:t>
      </w:r>
      <w:r>
        <w:rPr>
          <w:spacing w:val="-3"/>
        </w:rPr>
        <w:t>月至今任易联众基因检测分析技术有限公司董事长；</w:t>
      </w:r>
      <w:r>
        <w:rPr>
          <w:rFonts w:ascii="Times New Roman" w:hAnsi="Times New Roman" w:cs="Times New Roman" w:eastAsia="Times New Roman" w:hint="default"/>
          <w:spacing w:val="-3"/>
        </w:rPr>
        <w:t>2009</w:t>
      </w:r>
      <w:r>
        <w:rPr>
          <w:spacing w:val="-3"/>
        </w:rPr>
        <w:t>年至今兼任福建省照明学会副理事长兼秘书长。</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35"/>
        </w:rPr>
        <w:t> </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月任公司副总经理。</w:t>
      </w:r>
      <w:r>
        <w:rPr>
          <w:spacing w:val="-22"/>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20</w:t>
      </w:r>
      <w:r>
        <w:rPr/>
        <w:t>日起至今任公司第四届董事会非独立董事。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日起任公司总经 理。</w:t>
      </w:r>
    </w:p>
    <w:p>
      <w:pPr>
        <w:pStyle w:val="BodyText"/>
        <w:spacing w:line="304" w:lineRule="auto" w:before="31"/>
        <w:ind w:right="1034" w:firstLine="288"/>
        <w:jc w:val="left"/>
      </w:pPr>
      <w:r>
        <w:rPr/>
        <w:t>（</w:t>
      </w:r>
      <w:r>
        <w:rPr>
          <w:rFonts w:ascii="Times New Roman" w:hAnsi="Times New Roman" w:cs="Times New Roman" w:eastAsia="Times New Roman" w:hint="default"/>
        </w:rPr>
        <w:t>5</w:t>
      </w:r>
      <w:r>
        <w:rPr/>
        <w:t>）邱晓华：男，</w:t>
      </w:r>
      <w:r>
        <w:rPr>
          <w:rFonts w:ascii="Times New Roman" w:hAnsi="Times New Roman" w:cs="Times New Roman" w:eastAsia="Times New Roman" w:hint="default"/>
        </w:rPr>
        <w:t>1958</w:t>
      </w:r>
      <w:r>
        <w:rPr/>
        <w:t>年</w:t>
      </w:r>
      <w:r>
        <w:rPr>
          <w:rFonts w:ascii="Times New Roman" w:hAnsi="Times New Roman" w:cs="Times New Roman" w:eastAsia="Times New Roman" w:hint="default"/>
        </w:rPr>
        <w:t>1</w:t>
      </w:r>
      <w:r>
        <w:rPr/>
        <w:t>月出生，中国国籍，无永久境外居留权，</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2</w:t>
      </w:r>
      <w:r>
        <w:rPr/>
        <w:t>月就读于厦门大学，获经济学学士，</w:t>
      </w:r>
      <w:r>
        <w:rPr>
          <w:rFonts w:ascii="Times New Roman" w:hAnsi="Times New Roman" w:cs="Times New Roman" w:eastAsia="Times New Roman" w:hint="default"/>
        </w:rPr>
        <w:t>1998 </w:t>
      </w:r>
      <w:r>
        <w:rPr/>
        <w:t>年</w:t>
      </w:r>
      <w:r>
        <w:rPr>
          <w:rFonts w:ascii="Times New Roman" w:hAnsi="Times New Roman" w:cs="Times New Roman" w:eastAsia="Times New Roman" w:hint="default"/>
        </w:rPr>
        <w:t>9</w:t>
      </w:r>
      <w:r>
        <w:rPr/>
        <w:t>月就读于北京师范大学，获经济学硕士、博士。</w:t>
      </w:r>
      <w:r>
        <w:rPr>
          <w:rFonts w:ascii="Times New Roman" w:hAnsi="Times New Roman" w:cs="Times New Roman" w:eastAsia="Times New Roman" w:hint="default"/>
        </w:rPr>
        <w:t>1982</w:t>
      </w:r>
      <w:r>
        <w:rPr/>
        <w:t>年</w:t>
      </w:r>
      <w:r>
        <w:rPr>
          <w:rFonts w:ascii="Times New Roman" w:hAnsi="Times New Roman" w:cs="Times New Roman" w:eastAsia="Times New Roman" w:hint="default"/>
        </w:rPr>
        <w:t>2</w:t>
      </w:r>
      <w:r>
        <w:rPr/>
        <w:t>月分配到国家统计局工作，先后担任国家统计局综合司副处长、 </w:t>
      </w:r>
      <w:r>
        <w:rPr>
          <w:spacing w:val="-5"/>
        </w:rPr>
        <w:t>处长、副司长，国家统计局总经济师兼新闻发言人、副局长、局长；</w:t>
      </w:r>
      <w:r>
        <w:rPr>
          <w:rFonts w:ascii="Times New Roman" w:hAnsi="Times New Roman" w:cs="Times New Roman" w:eastAsia="Times New Roman" w:hint="default"/>
          <w:spacing w:val="-5"/>
        </w:rPr>
        <w:t>1998</w:t>
      </w:r>
      <w:r>
        <w:rPr>
          <w:spacing w:val="-5"/>
        </w:rPr>
        <w:t>年</w:t>
      </w:r>
      <w:r>
        <w:rPr>
          <w:rFonts w:ascii="Times New Roman" w:hAnsi="Times New Roman" w:cs="Times New Roman" w:eastAsia="Times New Roman" w:hint="default"/>
          <w:spacing w:val="-5"/>
        </w:rPr>
        <w:t>8</w:t>
      </w:r>
      <w:r>
        <w:rPr>
          <w:spacing w:val="-5"/>
        </w:rPr>
        <w:t>月到</w:t>
      </w:r>
      <w:r>
        <w:rPr>
          <w:rFonts w:ascii="Times New Roman" w:hAnsi="Times New Roman" w:cs="Times New Roman" w:eastAsia="Times New Roman" w:hint="default"/>
          <w:spacing w:val="-5"/>
        </w:rPr>
        <w:t>1999</w:t>
      </w:r>
      <w:r>
        <w:rPr>
          <w:spacing w:val="-5"/>
        </w:rPr>
        <w:t>年</w:t>
      </w:r>
      <w:r>
        <w:rPr>
          <w:rFonts w:ascii="Times New Roman" w:hAnsi="Times New Roman" w:cs="Times New Roman" w:eastAsia="Times New Roman" w:hint="default"/>
          <w:spacing w:val="-5"/>
        </w:rPr>
        <w:t>9</w:t>
      </w:r>
      <w:r>
        <w:rPr>
          <w:spacing w:val="-5"/>
        </w:rPr>
        <w:t>月任安徽省人民政府省长助理；</w:t>
      </w:r>
      <w:r>
        <w:rPr>
          <w:rFonts w:ascii="Times New Roman" w:hAnsi="Times New Roman" w:cs="Times New Roman" w:eastAsia="Times New Roman" w:hint="default"/>
          <w:spacing w:val="-5"/>
        </w:rPr>
        <w:t>2008</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spacing w:val="-2"/>
        </w:rPr>
        <w:t>年</w:t>
      </w:r>
      <w:r>
        <w:rPr>
          <w:rFonts w:ascii="Times New Roman" w:hAnsi="Times New Roman" w:cs="Times New Roman" w:eastAsia="Times New Roman" w:hint="default"/>
          <w:spacing w:val="-2"/>
        </w:rPr>
        <w:t>6</w:t>
      </w:r>
      <w:r>
        <w:rPr>
          <w:spacing w:val="-2"/>
        </w:rPr>
        <w:t>月到</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月任中国海洋石油集团有限公司能源经济研究院（政策研究室）首席经济学家；</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月到</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月任民</w:t>
      </w:r>
      <w:r>
        <w:rPr>
          <w:spacing w:val="-56"/>
        </w:rPr>
        <w:t> </w:t>
      </w:r>
      <w:r>
        <w:rPr>
          <w:spacing w:val="-56"/>
        </w:rPr>
      </w:r>
      <w:r>
        <w:rPr/>
        <w:t>生证券股份有限公司首席经济学家，兼任中国泛海控股集团有限公司董事，泛海控股股份有限公司泛海研究院院长、董事、 职工代表监事；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w:t>
      </w:r>
      <w:r>
        <w:rPr/>
        <w:t>月到</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月任广东华兴银行股份有限公司首席经济学家。现任阳光保险集团股份有限公司首席 </w:t>
      </w:r>
      <w:r>
        <w:rPr>
          <w:spacing w:val="-2"/>
        </w:rPr>
        <w:t>经济学家，阳光资产管理股份有限公司首席战略官，金砖（厦门）股权投资基金有限公司董事长，新华都商学院教授，澳门</w:t>
      </w:r>
      <w:r>
        <w:rPr>
          <w:spacing w:val="-68"/>
        </w:rPr>
        <w:t> </w:t>
      </w:r>
      <w:r>
        <w:rPr>
          <w:spacing w:val="-68"/>
        </w:rPr>
      </w:r>
      <w:r>
        <w:rPr>
          <w:spacing w:val="-3"/>
        </w:rPr>
        <w:t>城市大学教授，兼任中国国际经济交流中心学术委员、高级研究员。</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月，任公司第三届董事会独立董事。</w:t>
      </w:r>
      <w:r>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月至今，任公司第四届董事会独立董事。</w:t>
      </w:r>
    </w:p>
    <w:p>
      <w:pPr>
        <w:pStyle w:val="BodyText"/>
        <w:spacing w:line="304" w:lineRule="auto" w:before="9"/>
        <w:ind w:right="1111" w:firstLine="288"/>
        <w:jc w:val="left"/>
      </w:pPr>
      <w:r>
        <w:rPr/>
        <w:t>（</w:t>
      </w:r>
      <w:r>
        <w:rPr>
          <w:rFonts w:ascii="Times New Roman" w:hAnsi="Times New Roman" w:cs="Times New Roman" w:eastAsia="Times New Roman" w:hint="default"/>
        </w:rPr>
        <w:t>6</w:t>
      </w:r>
      <w:r>
        <w:rPr/>
        <w:t>）苏伟斌：男，生于</w:t>
      </w:r>
      <w:r>
        <w:rPr>
          <w:rFonts w:ascii="Times New Roman" w:hAnsi="Times New Roman" w:cs="Times New Roman" w:eastAsia="Times New Roman" w:hint="default"/>
        </w:rPr>
        <w:t>1971</w:t>
      </w:r>
      <w:r>
        <w:rPr/>
        <w:t>年</w:t>
      </w:r>
      <w:r>
        <w:rPr>
          <w:rFonts w:ascii="Times New Roman" w:hAnsi="Times New Roman" w:cs="Times New Roman" w:eastAsia="Times New Roman" w:hint="default"/>
        </w:rPr>
        <w:t>5</w:t>
      </w:r>
      <w:r>
        <w:rPr/>
        <w:t>月，中国国籍，无永久境外居留权，法学硕士学历。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7</w:t>
      </w:r>
      <w:r>
        <w:rPr/>
        <w:t>月，毕业于华侨大学国际 经济法专业，获法学学士学位。</w:t>
      </w:r>
      <w:r>
        <w:rPr>
          <w:rFonts w:ascii="Times New Roman" w:hAnsi="Times New Roman" w:cs="Times New Roman" w:eastAsia="Times New Roman" w:hint="default"/>
        </w:rPr>
        <w:t>2001</w:t>
      </w:r>
      <w:r>
        <w:rPr/>
        <w:t>年毕业于</w:t>
      </w:r>
      <w:r>
        <w:rPr>
          <w:rFonts w:ascii="Times New Roman" w:hAnsi="Times New Roman" w:cs="Times New Roman" w:eastAsia="Times New Roman" w:hint="default"/>
        </w:rPr>
        <w:t>Indiana</w:t>
      </w:r>
      <w:r>
        <w:rPr>
          <w:rFonts w:ascii="Times New Roman" w:hAnsi="Times New Roman" w:cs="Times New Roman" w:eastAsia="Times New Roman" w:hint="default"/>
          <w:spacing w:val="-32"/>
        </w:rPr>
        <w:t> </w:t>
      </w:r>
      <w:r>
        <w:rPr>
          <w:rFonts w:ascii="Times New Roman" w:hAnsi="Times New Roman" w:cs="Times New Roman" w:eastAsia="Times New Roman" w:hint="default"/>
        </w:rPr>
        <w:t>University</w:t>
      </w:r>
      <w:r>
        <w:rPr/>
        <w:t>，</w:t>
      </w:r>
      <w:r>
        <w:rPr>
          <w:rFonts w:ascii="Times New Roman" w:hAnsi="Times New Roman" w:cs="Times New Roman" w:eastAsia="Times New Roman" w:hint="default"/>
        </w:rPr>
        <w:t>Bloomington</w:t>
      </w:r>
      <w:r>
        <w:rPr/>
        <w:t>，获法学硕士学位。历任厦门国贸集团股份有 </w:t>
      </w:r>
      <w:r>
        <w:rPr>
          <w:spacing w:val="-2"/>
        </w:rPr>
        <w:t>限公司法律顾问、福建天衡联合律师事务所合伙律师，现任福建润金律师事务所律师、主任，厦门合兴包装印刷股份有限公</w:t>
      </w:r>
      <w:r>
        <w:rPr>
          <w:spacing w:val="-65"/>
        </w:rPr>
        <w:t> </w:t>
      </w:r>
      <w:r>
        <w:rPr>
          <w:spacing w:val="-65"/>
        </w:rPr>
      </w:r>
      <w:r>
        <w:rPr>
          <w:spacing w:val="-2"/>
        </w:rPr>
        <w:t>司独立董事，舒华体育股份有限公司独立董事，福建省闽华电源股份有限公司独立董事。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月，任公司第</w:t>
      </w:r>
      <w:r>
        <w:rPr>
          <w:spacing w:val="-56"/>
        </w:rPr>
        <w:t> </w:t>
      </w:r>
      <w:r>
        <w:rPr>
          <w:spacing w:val="-56"/>
        </w:rPr>
      </w:r>
      <w:r>
        <w:rPr/>
        <w:t>三届董事会独立董事。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月至今，任公司第四届董事会独立董事。</w:t>
      </w:r>
    </w:p>
    <w:p>
      <w:pPr>
        <w:pStyle w:val="BodyText"/>
        <w:spacing w:line="309" w:lineRule="auto" w:before="9"/>
        <w:ind w:right="0" w:firstLine="288"/>
        <w:jc w:val="left"/>
      </w:pPr>
      <w:r>
        <w:rPr/>
        <w:t>（</w:t>
      </w:r>
      <w:r>
        <w:rPr>
          <w:rFonts w:ascii="Times New Roman" w:hAnsi="Times New Roman" w:cs="Times New Roman" w:eastAsia="Times New Roman" w:hint="default"/>
        </w:rPr>
        <w:t>7</w:t>
      </w:r>
      <w:r>
        <w:rPr/>
        <w:t>）陈菡：女，生于</w:t>
      </w:r>
      <w:r>
        <w:rPr>
          <w:rFonts w:ascii="Times New Roman" w:hAnsi="Times New Roman" w:cs="Times New Roman" w:eastAsia="Times New Roman" w:hint="default"/>
        </w:rPr>
        <w:t>1983</w:t>
      </w:r>
      <w:r>
        <w:rPr/>
        <w:t>年</w:t>
      </w:r>
      <w:r>
        <w:rPr>
          <w:rFonts w:ascii="Times New Roman" w:hAnsi="Times New Roman" w:cs="Times New Roman" w:eastAsia="Times New Roman" w:hint="default"/>
        </w:rPr>
        <w:t>1</w:t>
      </w:r>
      <w:r>
        <w:rPr/>
        <w:t>月，中国国籍，无永久境外居留权，管理学（会计学）博士、研究生学历。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 </w:t>
      </w:r>
      <w:r>
        <w:rPr>
          <w:spacing w:val="-2"/>
        </w:rPr>
        <w:t>毕业于厦门大学会计学专业，获管理学（会计学）博士学位。曾任厦门大学会计发展研究中心科研助理，现任厦门国家会计</w:t>
      </w:r>
      <w:r>
        <w:rPr>
          <w:spacing w:val="-67"/>
        </w:rPr>
        <w:t> </w:t>
      </w:r>
      <w:r>
        <w:rPr>
          <w:spacing w:val="-67"/>
        </w:rPr>
      </w:r>
      <w:r>
        <w:rPr>
          <w:spacing w:val="-2"/>
        </w:rPr>
        <w:t>学院讲师、硕士生导师，管理会计与财务管理研究所副所长。陈菡女士兼任天马微电子股份有限公司独立董事、山鹰国际控</w:t>
      </w:r>
      <w:r>
        <w:rPr>
          <w:spacing w:val="-64"/>
        </w:rPr>
        <w:t> </w:t>
      </w:r>
      <w:r>
        <w:rPr>
          <w:spacing w:val="-64"/>
        </w:rPr>
      </w:r>
      <w:r>
        <w:rPr>
          <w:spacing w:val="-2"/>
        </w:rPr>
        <w:t>股股份公司独立董事及量子高科（中国）生物股份有限公司独立董事。</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月，任公司第三届董事会独立董</w:t>
      </w:r>
      <w:r>
        <w:rPr>
          <w:spacing w:val="-58"/>
        </w:rPr>
        <w:t> </w:t>
      </w:r>
      <w:r>
        <w:rPr>
          <w:spacing w:val="-58"/>
        </w:rPr>
      </w:r>
      <w:r>
        <w:rPr/>
        <w:t>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月至今，任公司第四届董事会独立董事。</w:t>
      </w:r>
    </w:p>
    <w:p>
      <w:pPr>
        <w:pStyle w:val="BodyText"/>
        <w:spacing w:line="309" w:lineRule="auto" w:before="5"/>
        <w:ind w:right="0" w:firstLine="288"/>
        <w:jc w:val="left"/>
      </w:pPr>
      <w:r>
        <w:rPr/>
        <w:t>（</w:t>
      </w:r>
      <w:r>
        <w:rPr>
          <w:rFonts w:ascii="Times New Roman" w:hAnsi="Times New Roman" w:cs="Times New Roman" w:eastAsia="Times New Roman" w:hint="default"/>
        </w:rPr>
        <w:t>8</w:t>
      </w:r>
      <w:r>
        <w:rPr/>
        <w:t>）何锐：男，</w:t>
      </w:r>
      <w:r>
        <w:rPr>
          <w:rFonts w:ascii="Times New Roman" w:hAnsi="Times New Roman" w:cs="Times New Roman" w:eastAsia="Times New Roman" w:hint="default"/>
        </w:rPr>
        <w:t>1976</w:t>
      </w:r>
      <w:r>
        <w:rPr/>
        <w:t>年</w:t>
      </w:r>
      <w:r>
        <w:rPr>
          <w:rFonts w:ascii="Times New Roman" w:hAnsi="Times New Roman" w:cs="Times New Roman" w:eastAsia="Times New Roman" w:hint="default"/>
        </w:rPr>
        <w:t>9</w:t>
      </w:r>
      <w:r>
        <w:rPr/>
        <w:t>月出生，中国国籍，大学本科学历。</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月，毕业于厦门大学国际经济法专业，获法学学 </w:t>
      </w:r>
      <w:r>
        <w:rPr>
          <w:spacing w:val="-4"/>
        </w:rPr>
        <w:t>士学位。历任福建天衡联合律师事务所专职律师、合伙人、高级合伙人职务，现任福建天衡联合律师事务所高级合伙人职务。</w:t>
      </w:r>
      <w:r>
        <w:rPr>
          <w:spacing w:val="-46"/>
        </w:rPr>
        <w:t> </w:t>
      </w:r>
      <w:r>
        <w:rPr>
          <w:spacing w:val="-46"/>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月至今，任公司第四届董事会独立董事。</w:t>
      </w:r>
    </w:p>
    <w:p>
      <w:pPr>
        <w:pStyle w:val="BodyText"/>
        <w:spacing w:line="300" w:lineRule="auto" w:before="5"/>
        <w:ind w:right="1025" w:firstLine="288"/>
        <w:jc w:val="left"/>
      </w:pPr>
      <w:r>
        <w:rPr/>
        <w:t>（</w:t>
      </w:r>
      <w:r>
        <w:rPr>
          <w:rFonts w:ascii="Times New Roman" w:hAnsi="Times New Roman" w:cs="Times New Roman" w:eastAsia="Times New Roman" w:hint="default"/>
        </w:rPr>
        <w:t>9</w:t>
      </w:r>
      <w:r>
        <w:rPr/>
        <w:t>）孔祥谱：男，生于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11</w:t>
      </w:r>
      <w:r>
        <w:rPr/>
        <w:t>月，中国国籍，无永久境外居留权。</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w:t>
      </w:r>
      <w:r>
        <w:rPr/>
        <w:t>毕业于浙江工商大学电子系</w:t>
      </w:r>
      <w:r>
        <w:rPr>
          <w:rFonts w:ascii="Times New Roman" w:hAnsi="Times New Roman" w:cs="Times New Roman" w:eastAsia="Times New Roman" w:hint="default"/>
        </w:rPr>
        <w:t>,</w:t>
      </w:r>
      <w:r>
        <w:rPr/>
        <w:t>获学士学 位。</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月，在浙江大学软件学院完成软件工程专业研究生学习，获软件工程硕士学位。</w:t>
      </w:r>
      <w:r>
        <w:rPr>
          <w:rFonts w:ascii="Times New Roman" w:hAnsi="Times New Roman" w:cs="Times New Roman" w:eastAsia="Times New Roman" w:hint="default"/>
        </w:rPr>
        <w:t>1996</w:t>
      </w:r>
      <w:r>
        <w:rPr/>
        <w:t>年至</w:t>
      </w:r>
      <w:r>
        <w:rPr>
          <w:rFonts w:ascii="Times New Roman" w:hAnsi="Times New Roman" w:cs="Times New Roman" w:eastAsia="Times New Roman" w:hint="default"/>
        </w:rPr>
        <w:t>2001</w:t>
      </w:r>
      <w:r>
        <w:rPr/>
        <w:t>年， </w:t>
      </w:r>
      <w:r>
        <w:rPr>
          <w:spacing w:val="-2"/>
        </w:rPr>
        <w:t>任中国工商银行温州市分行工程师；</w:t>
      </w:r>
      <w:r>
        <w:rPr>
          <w:rFonts w:ascii="Times New Roman" w:hAnsi="Times New Roman" w:cs="Times New Roman" w:eastAsia="Times New Roman" w:hint="default"/>
          <w:spacing w:val="-2"/>
        </w:rPr>
        <w:t>2001</w:t>
      </w:r>
      <w:r>
        <w:rPr>
          <w:spacing w:val="-2"/>
        </w:rPr>
        <w:t>年至</w:t>
      </w:r>
      <w:r>
        <w:rPr>
          <w:rFonts w:ascii="Times New Roman" w:hAnsi="Times New Roman" w:cs="Times New Roman" w:eastAsia="Times New Roman" w:hint="default"/>
          <w:spacing w:val="-2"/>
        </w:rPr>
        <w:t>2003</w:t>
      </w:r>
      <w:r>
        <w:rPr>
          <w:spacing w:val="-2"/>
        </w:rPr>
        <w:t>年，任中国网络通信有限公司高级项目经理；</w:t>
      </w:r>
      <w:r>
        <w:rPr>
          <w:rFonts w:ascii="Times New Roman" w:hAnsi="Times New Roman" w:cs="Times New Roman" w:eastAsia="Times New Roman" w:hint="default"/>
          <w:spacing w:val="-2"/>
        </w:rPr>
        <w:t>2003</w:t>
      </w:r>
      <w:r>
        <w:rPr>
          <w:spacing w:val="-2"/>
        </w:rPr>
        <w:t>年至</w:t>
      </w:r>
      <w:r>
        <w:rPr>
          <w:rFonts w:ascii="Times New Roman" w:hAnsi="Times New Roman" w:cs="Times New Roman" w:eastAsia="Times New Roman" w:hint="default"/>
          <w:spacing w:val="-2"/>
        </w:rPr>
        <w:t>2005</w:t>
      </w:r>
      <w:r>
        <w:rPr>
          <w:spacing w:val="-2"/>
        </w:rPr>
        <w:t>年，任杭州康</w:t>
      </w:r>
      <w:r>
        <w:rPr>
          <w:spacing w:val="-54"/>
        </w:rPr>
        <w:t> </w:t>
      </w:r>
      <w:r>
        <w:rPr>
          <w:spacing w:val="-54"/>
        </w:rPr>
      </w:r>
      <w:r>
        <w:rPr>
          <w:spacing w:val="-2"/>
        </w:rPr>
        <w:t>林克信息技术有限公司技术总监，</w:t>
      </w:r>
      <w:r>
        <w:rPr>
          <w:rFonts w:ascii="Times New Roman" w:hAnsi="Times New Roman" w:cs="Times New Roman" w:eastAsia="Times New Roman" w:hint="default"/>
          <w:spacing w:val="-2"/>
        </w:rPr>
        <w:t>2005</w:t>
      </w:r>
      <w:r>
        <w:rPr>
          <w:spacing w:val="-2"/>
        </w:rPr>
        <w:t>年至</w:t>
      </w:r>
      <w:r>
        <w:rPr>
          <w:rFonts w:ascii="Times New Roman" w:hAnsi="Times New Roman" w:cs="Times New Roman" w:eastAsia="Times New Roman" w:hint="default"/>
          <w:spacing w:val="-2"/>
        </w:rPr>
        <w:t>2011</w:t>
      </w:r>
      <w:r>
        <w:rPr>
          <w:spacing w:val="-2"/>
        </w:rPr>
        <w:t>年，任杭州英伦信息技术有限公司副总经理；</w:t>
      </w:r>
      <w:r>
        <w:rPr>
          <w:rFonts w:ascii="Times New Roman" w:hAnsi="Times New Roman" w:cs="Times New Roman" w:eastAsia="Times New Roman" w:hint="default"/>
          <w:spacing w:val="-2"/>
        </w:rPr>
        <w:t>2011</w:t>
      </w:r>
      <w:r>
        <w:rPr>
          <w:spacing w:val="-2"/>
        </w:rPr>
        <w:t>年到</w:t>
      </w:r>
      <w:r>
        <w:rPr>
          <w:rFonts w:ascii="Times New Roman" w:hAnsi="Times New Roman" w:cs="Times New Roman" w:eastAsia="Times New Roman" w:hint="default"/>
          <w:spacing w:val="-2"/>
        </w:rPr>
        <w:t>2015</w:t>
      </w:r>
      <w:r>
        <w:rPr>
          <w:spacing w:val="-2"/>
        </w:rPr>
        <w:t>年任浙江东冠软</w:t>
      </w:r>
      <w:r>
        <w:rPr>
          <w:spacing w:val="-56"/>
        </w:rPr>
        <w:t> </w:t>
      </w:r>
      <w:r>
        <w:rPr>
          <w:spacing w:val="-56"/>
        </w:rPr>
      </w:r>
      <w:r>
        <w:rPr>
          <w:spacing w:val="-3"/>
        </w:rPr>
        <w:t>件技术有限公司总经理，</w:t>
      </w:r>
      <w:r>
        <w:rPr>
          <w:rFonts w:ascii="Times New Roman" w:hAnsi="Times New Roman" w:cs="Times New Roman" w:eastAsia="Times New Roman" w:hint="default"/>
          <w:spacing w:val="-3"/>
        </w:rPr>
        <w:t>2015</w:t>
      </w:r>
      <w:r>
        <w:rPr>
          <w:spacing w:val="-3"/>
        </w:rPr>
        <w:t>年至今，任微医集团（浙江）有限公司首席产品官、高级副总裁，兼任乌镇互联网医院（桐乡）</w:t>
      </w:r>
      <w:r>
        <w:rPr/>
        <w:t> 有限公司副总裁。</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18</w:t>
      </w:r>
      <w:r>
        <w:rPr/>
        <w:t>日起任公司第四届董事会非独立董事。</w:t>
      </w:r>
    </w:p>
    <w:p>
      <w:pPr>
        <w:spacing w:after="0" w:line="30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24" w:firstLine="288"/>
        <w:jc w:val="left"/>
      </w:pPr>
      <w:r>
        <w:rPr/>
        <w:t>（</w:t>
      </w:r>
      <w:r>
        <w:rPr>
          <w:rFonts w:ascii="Times New Roman" w:hAnsi="Times New Roman" w:cs="Times New Roman" w:eastAsia="Times New Roman" w:hint="default"/>
        </w:rPr>
        <w:t>10</w:t>
      </w:r>
      <w:r>
        <w:rPr/>
        <w:t>）李虹海：男，生于</w:t>
      </w:r>
      <w:r>
        <w:rPr>
          <w:rFonts w:ascii="Times New Roman" w:hAnsi="Times New Roman" w:cs="Times New Roman" w:eastAsia="Times New Roman" w:hint="default"/>
        </w:rPr>
        <w:t>1966</w:t>
      </w:r>
      <w:r>
        <w:rPr/>
        <w:t>年</w:t>
      </w:r>
      <w:r>
        <w:rPr>
          <w:rFonts w:ascii="Times New Roman" w:hAnsi="Times New Roman" w:cs="Times New Roman" w:eastAsia="Times New Roman" w:hint="default"/>
        </w:rPr>
        <w:t>12</w:t>
      </w:r>
      <w:r>
        <w:rPr/>
        <w:t>月，中国国籍，中国香港永久居民。</w:t>
      </w:r>
      <w:r>
        <w:rPr>
          <w:rFonts w:ascii="Times New Roman" w:hAnsi="Times New Roman" w:cs="Times New Roman" w:eastAsia="Times New Roman" w:hint="default"/>
        </w:rPr>
        <w:t>1989</w:t>
      </w:r>
      <w:r>
        <w:rPr/>
        <w:t>年</w:t>
      </w:r>
      <w:r>
        <w:rPr>
          <w:rFonts w:ascii="Times New Roman" w:hAnsi="Times New Roman" w:cs="Times New Roman" w:eastAsia="Times New Roman" w:hint="default"/>
        </w:rPr>
        <w:t>7</w:t>
      </w:r>
      <w:r>
        <w:rPr/>
        <w:t>月，毕业于上海交通大学计算机科学技 </w:t>
      </w:r>
      <w:r>
        <w:rPr>
          <w:spacing w:val="-5"/>
        </w:rPr>
        <w:t>术专业，获学士学位、学历；</w:t>
      </w:r>
      <w:r>
        <w:rPr>
          <w:rFonts w:ascii="Times New Roman" w:hAnsi="Times New Roman" w:cs="Times New Roman" w:eastAsia="Times New Roman" w:hint="default"/>
          <w:spacing w:val="-5"/>
        </w:rPr>
        <w:t>1989</w:t>
      </w:r>
      <w:r>
        <w:rPr>
          <w:spacing w:val="-5"/>
        </w:rPr>
        <w:t>年</w:t>
      </w:r>
      <w:r>
        <w:rPr>
          <w:rFonts w:ascii="Times New Roman" w:hAnsi="Times New Roman" w:cs="Times New Roman" w:eastAsia="Times New Roman" w:hint="default"/>
          <w:spacing w:val="-5"/>
        </w:rPr>
        <w:t>8</w:t>
      </w:r>
      <w:r>
        <w:rPr>
          <w:spacing w:val="-5"/>
        </w:rPr>
        <w:t>月至</w:t>
      </w:r>
      <w:r>
        <w:rPr>
          <w:rFonts w:ascii="Times New Roman" w:hAnsi="Times New Roman" w:cs="Times New Roman" w:eastAsia="Times New Roman" w:hint="default"/>
          <w:spacing w:val="-5"/>
        </w:rPr>
        <w:t>1993</w:t>
      </w:r>
      <w:r>
        <w:rPr>
          <w:spacing w:val="-5"/>
        </w:rPr>
        <w:t>年</w:t>
      </w:r>
      <w:r>
        <w:rPr>
          <w:rFonts w:ascii="Times New Roman" w:hAnsi="Times New Roman" w:cs="Times New Roman" w:eastAsia="Times New Roman" w:hint="default"/>
          <w:spacing w:val="-5"/>
        </w:rPr>
        <w:t>12</w:t>
      </w:r>
      <w:r>
        <w:rPr>
          <w:spacing w:val="-5"/>
        </w:rPr>
        <w:t>月，任广州邮电通信设备有限公司项目经理，部门经理；</w:t>
      </w:r>
      <w:r>
        <w:rPr>
          <w:rFonts w:ascii="Times New Roman" w:hAnsi="Times New Roman" w:cs="Times New Roman" w:eastAsia="Times New Roman" w:hint="default"/>
          <w:spacing w:val="-5"/>
        </w:rPr>
        <w:t>1994</w:t>
      </w:r>
      <w:r>
        <w:rPr>
          <w:spacing w:val="-5"/>
        </w:rPr>
        <w:t>年</w:t>
      </w:r>
      <w:r>
        <w:rPr>
          <w:rFonts w:ascii="Times New Roman" w:hAnsi="Times New Roman" w:cs="Times New Roman" w:eastAsia="Times New Roman" w:hint="default"/>
          <w:spacing w:val="-5"/>
        </w:rPr>
        <w:t>5</w:t>
      </w:r>
      <w:r>
        <w:rPr>
          <w:spacing w:val="-5"/>
        </w:rPr>
        <w:t>月至</w:t>
      </w:r>
      <w:r>
        <w:rPr>
          <w:rFonts w:ascii="Times New Roman" w:hAnsi="Times New Roman" w:cs="Times New Roman" w:eastAsia="Times New Roman" w:hint="default"/>
          <w:spacing w:val="-5"/>
        </w:rPr>
        <w:t>1997</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w:t>
      </w:r>
      <w:r>
        <w:rPr>
          <w:rFonts w:ascii="Times New Roman" w:hAnsi="Times New Roman" w:cs="Times New Roman" w:eastAsia="Times New Roman" w:hint="default"/>
        </w:rPr>
        <w:t>4</w:t>
      </w:r>
      <w:r>
        <w:rPr/>
        <w:t>月，任香港中鹏科技有限公司总经理；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9</w:t>
      </w:r>
      <w:r>
        <w:rPr/>
        <w:t>月，任广州海达信息有限公司总工程师；</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2005 </w:t>
      </w:r>
      <w:r>
        <w:rPr>
          <w:spacing w:val="-5"/>
        </w:rPr>
        <w:t>年</w:t>
      </w:r>
      <w:r>
        <w:rPr>
          <w:rFonts w:ascii="Times New Roman" w:hAnsi="Times New Roman" w:cs="Times New Roman" w:eastAsia="Times New Roman" w:hint="default"/>
          <w:spacing w:val="-5"/>
        </w:rPr>
        <w:t>12</w:t>
      </w:r>
      <w:r>
        <w:rPr>
          <w:spacing w:val="-5"/>
        </w:rPr>
        <w:t>月，任实达科技（控股）有限公司部门经理，客户总监。</w:t>
      </w:r>
      <w:r>
        <w:rPr>
          <w:rFonts w:ascii="Times New Roman" w:hAnsi="Times New Roman" w:cs="Times New Roman" w:eastAsia="Times New Roman" w:hint="default"/>
          <w:spacing w:val="-5"/>
        </w:rPr>
        <w:t>2006</w:t>
      </w:r>
      <w:r>
        <w:rPr>
          <w:spacing w:val="-5"/>
        </w:rPr>
        <w:t>年</w:t>
      </w:r>
      <w:r>
        <w:rPr>
          <w:rFonts w:ascii="Times New Roman" w:hAnsi="Times New Roman" w:cs="Times New Roman" w:eastAsia="Times New Roman" w:hint="default"/>
          <w:spacing w:val="-5"/>
        </w:rPr>
        <w:t>1</w:t>
      </w:r>
      <w:r>
        <w:rPr>
          <w:spacing w:val="-5"/>
        </w:rPr>
        <w:t>月至</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8</w:t>
      </w:r>
      <w:r>
        <w:rPr>
          <w:spacing w:val="-5"/>
        </w:rPr>
        <w:t>月，任公司医疗卫生信息化业务主管。</w:t>
      </w:r>
      <w:r>
        <w:rPr>
          <w:rFonts w:ascii="Times New Roman" w:hAnsi="Times New Roman" w:cs="Times New Roman" w:eastAsia="Times New Roman" w:hint="default"/>
          <w:spacing w:val="-5"/>
        </w:rPr>
        <w:t>2012</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2"/>
        </w:rPr>
      </w:r>
      <w:r>
        <w:rPr>
          <w:spacing w:val="-2"/>
        </w:rPr>
        <w:t>年</w:t>
      </w:r>
      <w:r>
        <w:rPr>
          <w:rFonts w:ascii="Times New Roman" w:hAnsi="Times New Roman" w:cs="Times New Roman" w:eastAsia="Times New Roman" w:hint="default"/>
          <w:spacing w:val="-2"/>
        </w:rPr>
        <w:t>8</w:t>
      </w:r>
      <w:r>
        <w:rPr>
          <w:spacing w:val="-2"/>
        </w:rPr>
        <w:t>月起，任公司董事会秘书、副总经理；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月，任公司第三届董事会董事；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月至今，任公司第四</w:t>
      </w:r>
      <w:r>
        <w:rPr>
          <w:spacing w:val="-52"/>
        </w:rPr>
        <w:t> </w:t>
      </w:r>
      <w:r>
        <w:rPr>
          <w:spacing w:val="-52"/>
        </w:rPr>
      </w:r>
      <w:r>
        <w:rPr/>
        <w:t>届董事会董事。</w:t>
      </w:r>
    </w:p>
    <w:p>
      <w:pPr>
        <w:pStyle w:val="BodyText"/>
        <w:spacing w:line="300" w:lineRule="auto" w:before="31"/>
        <w:ind w:left="441" w:right="5605"/>
        <w:jc w:val="left"/>
      </w:pPr>
      <w:r>
        <w:rPr>
          <w:rFonts w:ascii="Times New Roman" w:hAnsi="Times New Roman" w:cs="Times New Roman" w:eastAsia="Times New Roman" w:hint="default"/>
        </w:rPr>
        <w:t>2</w:t>
      </w:r>
      <w:r>
        <w:rPr/>
        <w:t>、公司现任监事 公司第四届监事会由</w:t>
      </w:r>
      <w:r>
        <w:rPr>
          <w:rFonts w:ascii="Times New Roman" w:hAnsi="Times New Roman" w:cs="Times New Roman" w:eastAsia="Times New Roman" w:hint="default"/>
        </w:rPr>
        <w:t>3</w:t>
      </w:r>
      <w:r>
        <w:rPr/>
        <w:t>名监事组成，其中，职工代表监事</w:t>
      </w:r>
      <w:r>
        <w:rPr>
          <w:rFonts w:ascii="Times New Roman" w:hAnsi="Times New Roman" w:cs="Times New Roman" w:eastAsia="Times New Roman" w:hint="default"/>
        </w:rPr>
        <w:t>1</w:t>
      </w:r>
      <w:r>
        <w:rPr/>
        <w:t>名。</w:t>
      </w:r>
    </w:p>
    <w:p>
      <w:pPr>
        <w:pStyle w:val="BodyText"/>
        <w:spacing w:line="300" w:lineRule="auto" w:before="13"/>
        <w:ind w:right="0" w:firstLine="288"/>
        <w:jc w:val="left"/>
      </w:pPr>
      <w:r>
        <w:rPr/>
        <w:t>（</w:t>
      </w:r>
      <w:r>
        <w:rPr>
          <w:rFonts w:ascii="Times New Roman" w:hAnsi="Times New Roman" w:cs="Times New Roman" w:eastAsia="Times New Roman" w:hint="default"/>
        </w:rPr>
        <w:t>1</w:t>
      </w:r>
      <w:r>
        <w:rPr/>
        <w:t>）江敦忠：男，生于</w:t>
      </w:r>
      <w:r>
        <w:rPr>
          <w:rFonts w:ascii="Times New Roman" w:hAnsi="Times New Roman" w:cs="Times New Roman" w:eastAsia="Times New Roman" w:hint="default"/>
        </w:rPr>
        <w:t>1957</w:t>
      </w:r>
      <w:r>
        <w:rPr/>
        <w:t>年</w:t>
      </w:r>
      <w:r>
        <w:rPr>
          <w:rFonts w:ascii="Times New Roman" w:hAnsi="Times New Roman" w:cs="Times New Roman" w:eastAsia="Times New Roman" w:hint="default"/>
        </w:rPr>
        <w:t>3</w:t>
      </w:r>
      <w:r>
        <w:rPr/>
        <w:t>月，中国国籍，无永久境外居留权，高级工程师。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月起至今，任职于易联众信 </w:t>
      </w:r>
      <w:r>
        <w:rPr>
          <w:spacing w:val="-3"/>
        </w:rPr>
        <w:t>息技术股份有限公司。</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月，任公司第二届监事会主席。</w:t>
      </w:r>
      <w:r>
        <w:rPr>
          <w:rFonts w:ascii="Times New Roman" w:hAnsi="Times New Roman" w:cs="Times New Roman" w:eastAsia="Times New Roman" w:hint="default"/>
          <w:spacing w:val="-3"/>
        </w:rPr>
        <w:t>2015</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6</w:t>
      </w:r>
      <w:r>
        <w:rPr>
          <w:spacing w:val="-3"/>
        </w:rPr>
        <w:t>月任公司第三届监事会主席。</w:t>
      </w:r>
      <w:r>
        <w:rPr>
          <w:spacing w:val="-75"/>
        </w:rPr>
        <w:t> </w:t>
      </w:r>
      <w:r>
        <w:rPr>
          <w:spacing w:val="-75"/>
        </w:rPr>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月起至今任公司第四届监事会主席。</w:t>
      </w:r>
    </w:p>
    <w:p>
      <w:pPr>
        <w:pStyle w:val="BodyText"/>
        <w:spacing w:line="300" w:lineRule="auto" w:before="13"/>
        <w:ind w:right="1034" w:firstLine="288"/>
        <w:jc w:val="left"/>
      </w:pPr>
      <w:r>
        <w:rPr/>
        <w:t>（</w:t>
      </w:r>
      <w:r>
        <w:rPr>
          <w:rFonts w:ascii="Times New Roman" w:hAnsi="Times New Roman" w:cs="Times New Roman" w:eastAsia="Times New Roman" w:hint="default"/>
        </w:rPr>
        <w:t>2</w:t>
      </w:r>
      <w:r>
        <w:rPr/>
        <w:t>）许丽美：女，生于</w:t>
      </w:r>
      <w:r>
        <w:rPr>
          <w:rFonts w:ascii="Times New Roman" w:hAnsi="Times New Roman" w:cs="Times New Roman" w:eastAsia="Times New Roman" w:hint="default"/>
        </w:rPr>
        <w:t>1968</w:t>
      </w:r>
      <w:r>
        <w:rPr/>
        <w:t>年</w:t>
      </w:r>
      <w:r>
        <w:rPr>
          <w:rFonts w:ascii="Times New Roman" w:hAnsi="Times New Roman" w:cs="Times New Roman" w:eastAsia="Times New Roman" w:hint="default"/>
        </w:rPr>
        <w:t>12</w:t>
      </w:r>
      <w:r>
        <w:rPr/>
        <w:t>月，中国台湾籍，硕士研究生学历，资深行销管理师、执业中医师。</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月，毕业 于英国</w:t>
      </w:r>
      <w:r>
        <w:rPr>
          <w:rFonts w:ascii="Times New Roman" w:hAnsi="Times New Roman" w:cs="Times New Roman" w:eastAsia="Times New Roman" w:hint="default"/>
        </w:rPr>
        <w:t>De</w:t>
      </w:r>
      <w:r>
        <w:rPr>
          <w:rFonts w:ascii="Times New Roman" w:hAnsi="Times New Roman" w:cs="Times New Roman" w:eastAsia="Times New Roman" w:hint="default"/>
          <w:spacing w:val="-2"/>
        </w:rPr>
        <w:t> </w:t>
      </w:r>
      <w:r>
        <w:rPr>
          <w:rFonts w:ascii="Times New Roman" w:hAnsi="Times New Roman" w:cs="Times New Roman" w:eastAsia="Times New Roman" w:hint="default"/>
        </w:rPr>
        <w:t>Montfort</w:t>
      </w:r>
      <w:r>
        <w:rPr/>
        <w:t>大学管理学院，获行销管理专业硕士学位；</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月毕业于厦门大学医学院中医内科学专业，获医学硕 士学位。</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10</w:t>
      </w:r>
      <w:r>
        <w:rPr/>
        <w:t>月，任（台湾）龙风冷冻食品公司企划部门行销主任；</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8</w:t>
      </w:r>
      <w:r>
        <w:rPr/>
        <w:t>月，任（台湾） 英商</w:t>
      </w:r>
      <w:r>
        <w:rPr>
          <w:rFonts w:ascii="Times New Roman" w:hAnsi="Times New Roman" w:cs="Times New Roman" w:eastAsia="Times New Roman" w:hint="default"/>
        </w:rPr>
        <w:t>Boots International</w:t>
      </w:r>
      <w:r>
        <w:rPr>
          <w:rFonts w:ascii="Times New Roman" w:hAnsi="Times New Roman" w:cs="Times New Roman" w:eastAsia="Times New Roman" w:hint="default"/>
          <w:spacing w:val="-3"/>
        </w:rPr>
        <w:t> </w:t>
      </w:r>
      <w:r>
        <w:rPr>
          <w:rFonts w:ascii="Times New Roman" w:hAnsi="Times New Roman" w:cs="Times New Roman" w:eastAsia="Times New Roman" w:hint="default"/>
        </w:rPr>
        <w:t>Retail</w:t>
      </w:r>
      <w:r>
        <w:rPr/>
        <w:t>企划部门品类管理经理；</w:t>
      </w:r>
      <w:r>
        <w:rPr>
          <w:rFonts w:ascii="Times New Roman" w:hAnsi="Times New Roman" w:cs="Times New Roman" w:eastAsia="Times New Roman" w:hint="default"/>
        </w:rPr>
        <w:t>2003</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月任（中国）顶新集团公司（康师傅）企划部协 理；现任华医馆执业医师。</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月任公司第三届监事会监事，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月起任公司第四届监事会监事。</w:t>
      </w:r>
    </w:p>
    <w:p>
      <w:pPr>
        <w:pStyle w:val="BodyText"/>
        <w:spacing w:line="300" w:lineRule="auto" w:before="13"/>
        <w:ind w:right="0" w:firstLine="288"/>
        <w:jc w:val="left"/>
      </w:pPr>
      <w:r>
        <w:rPr/>
        <w:t>（</w:t>
      </w:r>
      <w:r>
        <w:rPr>
          <w:rFonts w:ascii="Times New Roman" w:hAnsi="Times New Roman" w:cs="Times New Roman" w:eastAsia="Times New Roman" w:hint="default"/>
        </w:rPr>
        <w:t>3</w:t>
      </w:r>
      <w:r>
        <w:rPr/>
        <w:t>）石雪莲：女，</w:t>
      </w:r>
      <w:r>
        <w:rPr>
          <w:rFonts w:ascii="Times New Roman" w:hAnsi="Times New Roman" w:cs="Times New Roman" w:eastAsia="Times New Roman" w:hint="default"/>
        </w:rPr>
        <w:t>1985</w:t>
      </w:r>
      <w:r>
        <w:rPr/>
        <w:t>年</w:t>
      </w:r>
      <w:r>
        <w:rPr>
          <w:rFonts w:ascii="Times New Roman" w:hAnsi="Times New Roman" w:cs="Times New Roman" w:eastAsia="Times New Roman" w:hint="default"/>
        </w:rPr>
        <w:t>8</w:t>
      </w:r>
      <w:r>
        <w:rPr/>
        <w:t>月出生，中国国籍，无永久境外居留权，企业人力资源管理师，硕士研究生学历。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 </w:t>
      </w:r>
      <w:r>
        <w:rPr>
          <w:spacing w:val="-2"/>
        </w:rPr>
        <w:t>月，毕业于厦门大学人文学院艺术学专业，获硕士学位。</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月，任公司人力资源部副总经理，现任公司人</w:t>
      </w:r>
      <w:r>
        <w:rPr>
          <w:spacing w:val="-58"/>
        </w:rPr>
        <w:t> </w:t>
      </w:r>
      <w:r>
        <w:rPr>
          <w:spacing w:val="-58"/>
        </w:rPr>
      </w:r>
      <w:r>
        <w:rPr/>
        <w:t>力资源部总经理。</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月起任公司职工代表监事。</w:t>
      </w:r>
    </w:p>
    <w:p>
      <w:pPr>
        <w:pStyle w:val="BodyText"/>
        <w:spacing w:line="300" w:lineRule="auto" w:before="13"/>
        <w:ind w:left="441" w:right="6505"/>
        <w:jc w:val="left"/>
      </w:pPr>
      <w:r>
        <w:rPr>
          <w:rFonts w:ascii="Times New Roman" w:hAnsi="Times New Roman" w:cs="Times New Roman" w:eastAsia="Times New Roman" w:hint="default"/>
        </w:rPr>
        <w:t>3</w:t>
      </w:r>
      <w:r>
        <w:rPr/>
        <w:t>、高级管理人员 公司高级管理人员均已经公司第四届董事会聘任。</w:t>
      </w:r>
    </w:p>
    <w:p>
      <w:pPr>
        <w:pStyle w:val="BodyText"/>
        <w:spacing w:line="240" w:lineRule="auto" w:before="32"/>
        <w:ind w:left="441" w:right="1133"/>
        <w:jc w:val="left"/>
      </w:pPr>
      <w:r>
        <w:rPr/>
        <w:t>（</w:t>
      </w:r>
      <w:r>
        <w:rPr>
          <w:rFonts w:ascii="Times New Roman" w:hAnsi="Times New Roman" w:cs="Times New Roman" w:eastAsia="Times New Roman" w:hint="default"/>
        </w:rPr>
        <w:t>1</w:t>
      </w:r>
      <w:r>
        <w:rPr/>
        <w:t>）吴一禹：公司总经理，简历详见本节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240" w:lineRule="auto" w:before="63"/>
        <w:ind w:left="441" w:right="1133"/>
        <w:jc w:val="left"/>
      </w:pPr>
      <w:r>
        <w:rPr/>
        <w:t>（</w:t>
      </w:r>
      <w:r>
        <w:rPr>
          <w:rFonts w:ascii="Times New Roman" w:hAnsi="Times New Roman" w:cs="Times New Roman" w:eastAsia="Times New Roman" w:hint="default"/>
        </w:rPr>
        <w:t>2</w:t>
      </w:r>
      <w:r>
        <w:rPr/>
        <w:t>）黄文灿：公司副总经理，简历详见本节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240" w:lineRule="auto" w:before="63"/>
        <w:ind w:left="441" w:right="1133"/>
        <w:jc w:val="left"/>
      </w:pPr>
      <w:r>
        <w:rPr/>
        <w:t>（</w:t>
      </w:r>
      <w:r>
        <w:rPr>
          <w:rFonts w:ascii="Times New Roman" w:hAnsi="Times New Roman" w:cs="Times New Roman" w:eastAsia="Times New Roman" w:hint="default"/>
        </w:rPr>
        <w:t>3</w:t>
      </w:r>
      <w:r>
        <w:rPr/>
        <w:t>）李虹海：公司副总经理、董事会秘书，简历详见本节</w:t>
      </w:r>
      <w:r>
        <w:rPr>
          <w:rFonts w:ascii="Times New Roman" w:hAnsi="Times New Roman" w:cs="Times New Roman" w:eastAsia="Times New Roman" w:hint="default"/>
        </w:rPr>
        <w:t>“</w:t>
      </w:r>
      <w:r>
        <w:rPr/>
        <w:t>三、</w:t>
      </w:r>
      <w:r>
        <w:rPr>
          <w:rFonts w:ascii="Times New Roman" w:hAnsi="Times New Roman" w:cs="Times New Roman" w:eastAsia="Times New Roman" w:hint="default"/>
        </w:rPr>
        <w:t>1</w:t>
      </w:r>
      <w:r>
        <w:rPr/>
        <w:t>、公司现任董事</w:t>
      </w:r>
      <w:r>
        <w:rPr>
          <w:rFonts w:ascii="Times New Roman" w:hAnsi="Times New Roman" w:cs="Times New Roman" w:eastAsia="Times New Roman" w:hint="default"/>
        </w:rPr>
        <w:t>”</w:t>
      </w:r>
      <w:r>
        <w:rPr/>
        <w:t>。</w:t>
      </w:r>
    </w:p>
    <w:p>
      <w:pPr>
        <w:pStyle w:val="BodyText"/>
        <w:spacing w:line="300" w:lineRule="auto" w:before="63"/>
        <w:ind w:right="1126" w:firstLine="288"/>
        <w:jc w:val="both"/>
      </w:pPr>
      <w:r>
        <w:rPr>
          <w:spacing w:val="-6"/>
        </w:rPr>
        <w:t>（</w:t>
      </w:r>
      <w:r>
        <w:rPr>
          <w:rFonts w:ascii="Times New Roman" w:hAnsi="Times New Roman" w:cs="Times New Roman" w:eastAsia="Times New Roman" w:hint="default"/>
          <w:spacing w:val="-6"/>
        </w:rPr>
        <w:t>4</w:t>
      </w:r>
      <w:r>
        <w:rPr>
          <w:spacing w:val="-6"/>
        </w:rPr>
        <w:t>）陈东红：男，生于</w:t>
      </w:r>
      <w:r>
        <w:rPr>
          <w:rFonts w:ascii="Times New Roman" w:hAnsi="Times New Roman" w:cs="Times New Roman" w:eastAsia="Times New Roman" w:hint="default"/>
          <w:spacing w:val="-6"/>
        </w:rPr>
        <w:t>1971</w:t>
      </w:r>
      <w:r>
        <w:rPr>
          <w:spacing w:val="-6"/>
        </w:rPr>
        <w:t>年</w:t>
      </w:r>
      <w:r>
        <w:rPr>
          <w:rFonts w:ascii="Times New Roman" w:hAnsi="Times New Roman" w:cs="Times New Roman" w:eastAsia="Times New Roman" w:hint="default"/>
          <w:spacing w:val="-6"/>
        </w:rPr>
        <w:t>3</w:t>
      </w:r>
      <w:r>
        <w:rPr>
          <w:rFonts w:ascii="Times New Roman" w:hAnsi="Times New Roman" w:cs="Times New Roman" w:eastAsia="Times New Roman" w:hint="default"/>
          <w:spacing w:val="30"/>
        </w:rPr>
        <w:t> </w:t>
      </w:r>
      <w:r>
        <w:rPr>
          <w:spacing w:val="-4"/>
        </w:rPr>
        <w:t>月，中国国籍，厦门大学、厦门会计学院会计硕士专业研究生，无永久境外居留权。</w:t>
      </w:r>
      <w:r>
        <w:rPr>
          <w:rFonts w:ascii="Times New Roman" w:hAnsi="Times New Roman" w:cs="Times New Roman" w:eastAsia="Times New Roman" w:hint="default"/>
          <w:spacing w:val="-4"/>
        </w:rPr>
        <w:t>1990</w:t>
      </w:r>
      <w:r>
        <w:rPr>
          <w:rFonts w:ascii="Times New Roman" w:hAnsi="Times New Roman" w:cs="Times New Roman" w:eastAsia="Times New Roman" w:hint="default"/>
          <w:spacing w:val="1"/>
        </w:rPr>
        <w:t> </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1</w:t>
      </w:r>
      <w:r>
        <w:rPr/>
        <w:t>月任厦门市审计局审计员，</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6</w:t>
      </w:r>
      <w:r>
        <w:rPr/>
        <w:t>月，任厦门厦信实业集团有限公司计财部副经理；</w:t>
      </w:r>
      <w:r>
        <w:rPr>
          <w:rFonts w:ascii="Times New Roman" w:hAnsi="Times New Roman" w:cs="Times New Roman" w:eastAsia="Times New Roman" w:hint="default"/>
        </w:rPr>
        <w:t>1999</w:t>
      </w:r>
      <w:r>
        <w:rPr/>
        <w:t>年</w:t>
      </w:r>
      <w:r>
        <w:rPr>
          <w:rFonts w:ascii="Times New Roman" w:hAnsi="Times New Roman" w:cs="Times New Roman" w:eastAsia="Times New Roman" w:hint="default"/>
        </w:rPr>
        <w:t>7 </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月任厦门中威敬贤会计师事务所有限公司主任会计师。曾任本公司财务管理部总经理，现任公司财务总监、副 总经理。</w:t>
      </w:r>
    </w:p>
    <w:p>
      <w:pPr>
        <w:pStyle w:val="BodyText"/>
        <w:spacing w:line="309" w:lineRule="auto" w:before="31"/>
        <w:ind w:right="1131" w:firstLine="288"/>
        <w:jc w:val="both"/>
      </w:pPr>
      <w:r>
        <w:rPr>
          <w:spacing w:val="-1"/>
        </w:rPr>
        <w:t>（</w:t>
      </w:r>
      <w:r>
        <w:rPr>
          <w:rFonts w:ascii="Times New Roman" w:hAnsi="Times New Roman" w:cs="Times New Roman" w:eastAsia="Times New Roman" w:hint="default"/>
          <w:spacing w:val="-1"/>
        </w:rPr>
        <w:t>5</w:t>
      </w:r>
      <w:r>
        <w:rPr>
          <w:spacing w:val="-1"/>
        </w:rPr>
        <w:t>）陈江生，男，生于</w:t>
      </w:r>
      <w:r>
        <w:rPr>
          <w:rFonts w:ascii="Times New Roman" w:hAnsi="Times New Roman" w:cs="Times New Roman" w:eastAsia="Times New Roman" w:hint="default"/>
          <w:spacing w:val="-1"/>
        </w:rPr>
        <w:t>1964</w:t>
      </w:r>
      <w:r>
        <w:rPr>
          <w:spacing w:val="-1"/>
        </w:rPr>
        <w:t>年</w:t>
      </w:r>
      <w:r>
        <w:rPr>
          <w:rFonts w:ascii="Times New Roman" w:hAnsi="Times New Roman" w:cs="Times New Roman" w:eastAsia="Times New Roman" w:hint="default"/>
          <w:spacing w:val="-1"/>
        </w:rPr>
        <w:t>12</w:t>
      </w:r>
      <w:r>
        <w:rPr>
          <w:spacing w:val="-1"/>
        </w:rPr>
        <w:t>月，中国国籍，拥有加拿大永久境外居留权。</w:t>
      </w:r>
      <w:r>
        <w:rPr>
          <w:rFonts w:ascii="Times New Roman" w:hAnsi="Times New Roman" w:cs="Times New Roman" w:eastAsia="Times New Roman" w:hint="default"/>
          <w:spacing w:val="-1"/>
        </w:rPr>
        <w:t>1984</w:t>
      </w:r>
      <w:r>
        <w:rPr>
          <w:spacing w:val="-1"/>
        </w:rPr>
        <w:t>年</w:t>
      </w:r>
      <w:r>
        <w:rPr>
          <w:rFonts w:ascii="Times New Roman" w:hAnsi="Times New Roman" w:cs="Times New Roman" w:eastAsia="Times New Roman" w:hint="default"/>
          <w:spacing w:val="-1"/>
        </w:rPr>
        <w:t>7</w:t>
      </w:r>
      <w:r>
        <w:rPr>
          <w:spacing w:val="-1"/>
        </w:rPr>
        <w:t>月，毕业于福建化工学校化工仪</w:t>
      </w:r>
      <w:r>
        <w:rPr/>
        <w:t> </w:t>
      </w:r>
      <w:r>
        <w:rPr>
          <w:spacing w:val="-2"/>
        </w:rPr>
        <w:t>表专业，大专学历。历任厦门巨龙福州办事处工程师、三明市巨龙软件工程有限公司董事长、厦门实达巨龙信息技术有限公</w:t>
      </w:r>
      <w:r>
        <w:rPr>
          <w:spacing w:val="-64"/>
        </w:rPr>
        <w:t> </w:t>
      </w:r>
      <w:r>
        <w:rPr>
          <w:spacing w:val="-64"/>
        </w:rPr>
      </w:r>
      <w:r>
        <w:rPr/>
        <w:t>司、实达科技（福建）软件系统集团有限公司副总经理。现任公司副总经理。</w:t>
      </w:r>
    </w:p>
    <w:p>
      <w:pPr>
        <w:pStyle w:val="BodyText"/>
        <w:spacing w:line="309" w:lineRule="auto" w:before="24"/>
        <w:ind w:right="1129" w:firstLine="288"/>
        <w:jc w:val="both"/>
      </w:pPr>
      <w:r>
        <w:rPr>
          <w:spacing w:val="-1"/>
        </w:rPr>
        <w:t>（</w:t>
      </w:r>
      <w:r>
        <w:rPr>
          <w:rFonts w:ascii="Times New Roman" w:hAnsi="Times New Roman" w:cs="Times New Roman" w:eastAsia="Times New Roman" w:hint="default"/>
          <w:spacing w:val="-1"/>
        </w:rPr>
        <w:t>6</w:t>
      </w:r>
      <w:r>
        <w:rPr>
          <w:spacing w:val="-1"/>
        </w:rPr>
        <w:t>）施建安：男，生于</w:t>
      </w:r>
      <w:r>
        <w:rPr>
          <w:rFonts w:ascii="Times New Roman" w:hAnsi="Times New Roman" w:cs="Times New Roman" w:eastAsia="Times New Roman" w:hint="default"/>
          <w:spacing w:val="-1"/>
        </w:rPr>
        <w:t>1977</w:t>
      </w:r>
      <w:r>
        <w:rPr>
          <w:spacing w:val="-1"/>
        </w:rPr>
        <w:t>年</w:t>
      </w:r>
      <w:r>
        <w:rPr>
          <w:rFonts w:ascii="Times New Roman" w:hAnsi="Times New Roman" w:cs="Times New Roman" w:eastAsia="Times New Roman" w:hint="default"/>
          <w:spacing w:val="-1"/>
        </w:rPr>
        <w:t>1</w:t>
      </w:r>
      <w:r>
        <w:rPr>
          <w:spacing w:val="-1"/>
        </w:rPr>
        <w:t>月，中国国籍，无永久境外居留权，硕士学位，高级工程师。历任公司软件开发部门副</w:t>
      </w:r>
      <w:r>
        <w:rPr/>
        <w:t> </w:t>
      </w:r>
      <w:r>
        <w:rPr>
          <w:spacing w:val="-2"/>
        </w:rPr>
        <w:t>经理、经理，安徽子公司副总经理，福建子公司副总经理、董事长，集团研发中心总经理、支付事业部总经理。现任公司副</w:t>
      </w:r>
      <w:r>
        <w:rPr>
          <w:spacing w:val="-73"/>
        </w:rPr>
        <w:t> </w:t>
      </w:r>
      <w:r>
        <w:rPr>
          <w:spacing w:val="-73"/>
        </w:rPr>
      </w:r>
      <w:r>
        <w:rPr/>
        <w:t>总经理。</w:t>
      </w:r>
    </w:p>
    <w:p>
      <w:pPr>
        <w:pStyle w:val="BodyText"/>
        <w:spacing w:line="309" w:lineRule="auto" w:before="24"/>
        <w:ind w:right="0" w:firstLine="288"/>
        <w:jc w:val="left"/>
      </w:pPr>
      <w:r>
        <w:rPr/>
        <w:t>（</w:t>
      </w:r>
      <w:r>
        <w:rPr>
          <w:rFonts w:ascii="Times New Roman" w:hAnsi="Times New Roman" w:cs="Times New Roman" w:eastAsia="Times New Roman" w:hint="default"/>
        </w:rPr>
        <w:t>7</w:t>
      </w:r>
      <w:r>
        <w:rPr/>
        <w:t>）吴梁斌：男，生于</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9</w:t>
      </w:r>
      <w:r>
        <w:rPr/>
        <w:t>月，中国国籍，无永久境外居留权，硕士学历。</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月，毕业于北京邮电大学工商 </w:t>
      </w:r>
      <w:r>
        <w:rPr>
          <w:spacing w:val="-2"/>
        </w:rPr>
        <w:t>管理硕士专业，获硕士学位、学历。历任北京利博赛社保信息技术有限公司项目经理、部门经理、技术总监，公司产品研发</w:t>
      </w:r>
      <w:r>
        <w:rPr>
          <w:spacing w:val="-68"/>
        </w:rPr>
        <w:t> </w:t>
      </w:r>
      <w:r>
        <w:rPr>
          <w:spacing w:val="-68"/>
        </w:rPr>
      </w:r>
      <w:r>
        <w:rPr/>
        <w:t>管理部副总经理等职务，现任公司副总经理。</w:t>
      </w:r>
    </w:p>
    <w:p>
      <w:pPr>
        <w:pStyle w:val="BodyText"/>
        <w:spacing w:line="300" w:lineRule="auto" w:before="24"/>
        <w:ind w:right="1034" w:firstLine="288"/>
        <w:jc w:val="left"/>
      </w:pPr>
      <w:r>
        <w:rPr/>
        <w:t>（</w:t>
      </w:r>
      <w:r>
        <w:rPr>
          <w:rFonts w:ascii="Times New Roman" w:hAnsi="Times New Roman" w:cs="Times New Roman" w:eastAsia="Times New Roman" w:hint="default"/>
        </w:rPr>
        <w:t>8</w:t>
      </w:r>
      <w:r>
        <w:rPr/>
        <w:t>）游海涛：男，生于</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3</w:t>
      </w:r>
      <w:r>
        <w:rPr/>
        <w:t>月，中国国籍，无永久境外居留权，工程师。</w:t>
      </w:r>
      <w:r>
        <w:rPr>
          <w:rFonts w:ascii="Times New Roman" w:hAnsi="Times New Roman" w:cs="Times New Roman" w:eastAsia="Times New Roman" w:hint="default"/>
        </w:rPr>
        <w:t>1993</w:t>
      </w:r>
      <w:r>
        <w:rPr/>
        <w:t>年至</w:t>
      </w:r>
      <w:r>
        <w:rPr>
          <w:rFonts w:ascii="Times New Roman" w:hAnsi="Times New Roman" w:cs="Times New Roman" w:eastAsia="Times New Roman" w:hint="default"/>
        </w:rPr>
        <w:t>1997</w:t>
      </w:r>
      <w:r>
        <w:rPr/>
        <w:t>年，在浙江理工大学就读， </w:t>
      </w:r>
      <w:r>
        <w:rPr>
          <w:spacing w:val="-3"/>
        </w:rPr>
        <w:t>获学士学位。</w:t>
      </w:r>
      <w:r>
        <w:rPr>
          <w:rFonts w:ascii="Times New Roman" w:hAnsi="Times New Roman" w:cs="Times New Roman" w:eastAsia="Times New Roman" w:hint="default"/>
          <w:spacing w:val="-3"/>
        </w:rPr>
        <w:t>1997</w:t>
      </w:r>
      <w:r>
        <w:rPr>
          <w:spacing w:val="-3"/>
        </w:rPr>
        <w:t>年</w:t>
      </w:r>
      <w:r>
        <w:rPr>
          <w:rFonts w:ascii="Times New Roman" w:hAnsi="Times New Roman" w:cs="Times New Roman" w:eastAsia="Times New Roman" w:hint="default"/>
          <w:spacing w:val="-3"/>
        </w:rPr>
        <w:t>9</w:t>
      </w:r>
      <w:r>
        <w:rPr>
          <w:spacing w:val="-3"/>
        </w:rPr>
        <w:t>月至</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7</w:t>
      </w:r>
      <w:r>
        <w:rPr>
          <w:spacing w:val="-3"/>
        </w:rPr>
        <w:t>月，任职于厦门巨龙软件工程有限公司；</w:t>
      </w:r>
      <w:r>
        <w:rPr>
          <w:rFonts w:ascii="Times New Roman" w:hAnsi="Times New Roman" w:cs="Times New Roman" w:eastAsia="Times New Roman" w:hint="default"/>
          <w:spacing w:val="-3"/>
        </w:rPr>
        <w:t>2000</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2004</w:t>
      </w:r>
      <w:r>
        <w:rPr>
          <w:spacing w:val="-3"/>
        </w:rPr>
        <w:t>年</w:t>
      </w:r>
      <w:r>
        <w:rPr>
          <w:rFonts w:ascii="Times New Roman" w:hAnsi="Times New Roman" w:cs="Times New Roman" w:eastAsia="Times New Roman" w:hint="default"/>
          <w:spacing w:val="-3"/>
        </w:rPr>
        <w:t>3</w:t>
      </w:r>
      <w:r>
        <w:rPr>
          <w:spacing w:val="-3"/>
        </w:rPr>
        <w:t>月，任职于实达科技（福建）</w:t>
      </w:r>
      <w:r>
        <w:rPr>
          <w:spacing w:val="-76"/>
        </w:rPr>
        <w:t> </w:t>
      </w:r>
      <w:r>
        <w:rPr>
          <w:spacing w:val="-76"/>
        </w:rPr>
      </w:r>
      <w:r>
        <w:rPr/>
        <w:t>软件系统有限公司；</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月，任实达科技（福建）软件系统集团有限公司总工程师；</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月，任公司产品与市场发展部总经理；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月，任公司民生信息服务中心总经理；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4</w:t>
      </w:r>
      <w:r>
        <w:rPr/>
        <w:t>月， 任易联众健康医疗控股有限公司董事长。现任公司副总经理。</w:t>
      </w:r>
    </w:p>
    <w:p>
      <w:pPr>
        <w:pStyle w:val="BodyText"/>
        <w:spacing w:line="240" w:lineRule="auto" w:before="32"/>
        <w:ind w:left="441" w:right="0"/>
        <w:jc w:val="left"/>
      </w:pPr>
      <w:r>
        <w:rPr/>
        <w:t>（</w:t>
      </w:r>
      <w:r>
        <w:rPr>
          <w:rFonts w:ascii="Times New Roman" w:hAnsi="Times New Roman" w:cs="Times New Roman" w:eastAsia="Times New Roman" w:hint="default"/>
        </w:rPr>
        <w:t>9</w:t>
      </w:r>
      <w:r>
        <w:rPr/>
        <w:t>）张昱：女，生于</w:t>
      </w:r>
      <w:r>
        <w:rPr>
          <w:rFonts w:ascii="Times New Roman" w:hAnsi="Times New Roman" w:cs="Times New Roman" w:eastAsia="Times New Roman" w:hint="default"/>
        </w:rPr>
        <w:t>1972</w:t>
      </w:r>
      <w:r>
        <w:rPr/>
        <w:t>年</w:t>
      </w:r>
      <w:r>
        <w:rPr>
          <w:rFonts w:ascii="Times New Roman" w:hAnsi="Times New Roman" w:cs="Times New Roman" w:eastAsia="Times New Roman" w:hint="default"/>
        </w:rPr>
        <w:t>10</w:t>
      </w:r>
      <w:r>
        <w:rPr/>
        <w:t>月，中国国籍，中国香港永久性居民，专科毕业。</w:t>
      </w:r>
      <w:r>
        <w:rPr>
          <w:rFonts w:ascii="Times New Roman" w:hAnsi="Times New Roman" w:cs="Times New Roman" w:eastAsia="Times New Roman" w:hint="default"/>
        </w:rPr>
        <w:t>1990</w:t>
      </w:r>
      <w:r>
        <w:rPr/>
        <w:t>年</w:t>
      </w:r>
      <w:r>
        <w:rPr>
          <w:rFonts w:ascii="Times New Roman" w:hAnsi="Times New Roman" w:cs="Times New Roman" w:eastAsia="Times New Roman" w:hint="default"/>
        </w:rPr>
        <w:t>6</w:t>
      </w:r>
      <w:r>
        <w:rPr/>
        <w:t>月，毕业于徐州高等师范学校；</w:t>
      </w:r>
    </w:p>
    <w:p>
      <w:pPr>
        <w:pStyle w:val="BodyText"/>
        <w:spacing w:line="240" w:lineRule="auto" w:before="63"/>
        <w:ind w:right="0"/>
        <w:jc w:val="left"/>
        <w:rPr>
          <w:rFonts w:ascii="Times New Roman" w:hAnsi="Times New Roman" w:cs="Times New Roman" w:eastAsia="Times New Roman" w:hint="default"/>
        </w:rPr>
      </w:pPr>
      <w:r>
        <w:rPr>
          <w:rFonts w:ascii="Times New Roman" w:hAnsi="Times New Roman" w:cs="Times New Roman" w:eastAsia="Times New Roman" w:hint="default"/>
        </w:rPr>
        <w:t>1995</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6</w:t>
      </w:r>
      <w:r>
        <w:rPr/>
        <w:t>月，任厦门象屿敦辉贸易有限公司董事；</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7</w:t>
      </w:r>
      <w:r>
        <w:rPr/>
        <w:t>月至今，任厦门丹鹭房地产开发有限公司董事；</w:t>
      </w:r>
      <w:r>
        <w:rPr>
          <w:rFonts w:ascii="Times New Roman" w:hAnsi="Times New Roman" w:cs="Times New Roman" w:eastAsia="Times New Roman" w:hint="default"/>
        </w:rPr>
        <w:t>2016</w:t>
      </w:r>
    </w:p>
    <w:p>
      <w:pPr>
        <w:spacing w:after="0" w:line="240" w:lineRule="auto"/>
        <w:jc w:val="left"/>
        <w:rPr>
          <w:rFonts w:ascii="Times New Roman" w:hAnsi="Times New Roman" w:cs="Times New Roman" w:eastAsia="Times New Roman" w:hint="default"/>
        </w:rPr>
        <w:sectPr>
          <w:pgSz w:w="11910" w:h="16840"/>
          <w:pgMar w:header="748" w:footer="974" w:top="1060" w:bottom="1160" w:left="980" w:right="0"/>
        </w:sectPr>
      </w:pPr>
    </w:p>
    <w:p>
      <w:pPr>
        <w:spacing w:line="240" w:lineRule="auto" w:before="3"/>
        <w:rPr>
          <w:rFonts w:ascii="Times New Roman" w:hAnsi="Times New Roman" w:cs="Times New Roman" w:eastAsia="Times New Roman" w:hint="default"/>
          <w:sz w:val="29"/>
          <w:szCs w:val="29"/>
        </w:rPr>
      </w:pPr>
    </w:p>
    <w:p>
      <w:pPr>
        <w:pStyle w:val="BodyText"/>
        <w:spacing w:line="300" w:lineRule="auto" w:before="44"/>
        <w:ind w:right="1130"/>
        <w:jc w:val="both"/>
      </w:pPr>
      <w:r>
        <w:rPr>
          <w:spacing w:val="-3"/>
        </w:rPr>
        <w:t>年</w:t>
      </w:r>
      <w:r>
        <w:rPr>
          <w:rFonts w:ascii="Times New Roman" w:hAnsi="Times New Roman" w:cs="Times New Roman" w:eastAsia="Times New Roman" w:hint="default"/>
          <w:spacing w:val="-3"/>
        </w:rPr>
        <w:t>12</w:t>
      </w:r>
      <w:r>
        <w:rPr>
          <w:spacing w:val="-3"/>
        </w:rPr>
        <w:t>月至</w:t>
      </w:r>
      <w:r>
        <w:rPr>
          <w:rFonts w:ascii="Times New Roman" w:hAnsi="Times New Roman" w:cs="Times New Roman" w:eastAsia="Times New Roman" w:hint="default"/>
          <w:spacing w:val="-3"/>
        </w:rPr>
        <w:t>2019</w:t>
      </w:r>
      <w:r>
        <w:rPr>
          <w:spacing w:val="-3"/>
        </w:rPr>
        <w:t>年</w:t>
      </w:r>
      <w:r>
        <w:rPr>
          <w:rFonts w:ascii="Times New Roman" w:hAnsi="Times New Roman" w:cs="Times New Roman" w:eastAsia="Times New Roman" w:hint="default"/>
          <w:spacing w:val="-3"/>
        </w:rPr>
        <w:t>3</w:t>
      </w:r>
      <w:r>
        <w:rPr>
          <w:spacing w:val="-3"/>
        </w:rPr>
        <w:t>月，任厦门麟真贸易有限公司执行董事兼总经理。</w:t>
      </w:r>
      <w:r>
        <w:rPr>
          <w:rFonts w:ascii="Times New Roman" w:hAnsi="Times New Roman" w:cs="Times New Roman" w:eastAsia="Times New Roman" w:hint="default"/>
          <w:spacing w:val="-3"/>
        </w:rPr>
        <w:t>2009</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6</w:t>
      </w:r>
      <w:r>
        <w:rPr>
          <w:spacing w:val="-3"/>
        </w:rPr>
        <w:t>月，任公司第一届董事会董事。</w:t>
      </w:r>
      <w:r>
        <w:rPr>
          <w:rFonts w:ascii="Times New Roman" w:hAnsi="Times New Roman" w:cs="Times New Roman" w:eastAsia="Times New Roman" w:hint="default"/>
          <w:spacing w:val="-3"/>
        </w:rPr>
        <w:t>2012</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30"/>
        </w:rPr>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5</w:t>
      </w:r>
      <w:r>
        <w:rPr/>
        <w:t>月，任公司第二届董事会董事。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月任公司第三届董事会董事，</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2019</w:t>
      </w:r>
      <w:r>
        <w:rPr>
          <w:rFonts w:ascii="Times New Roman" w:hAnsi="Times New Roman" w:cs="Times New Roman" w:eastAsia="Times New Roman" w:hint="default"/>
          <w:spacing w:val="23"/>
        </w:rPr>
        <w:t> </w:t>
      </w:r>
      <w:r>
        <w:rPr/>
        <w:t>年</w:t>
      </w:r>
      <w:r>
        <w:rPr>
          <w:rFonts w:ascii="Times New Roman" w:hAnsi="Times New Roman" w:cs="Times New Roman" w:eastAsia="Times New Roman" w:hint="default"/>
        </w:rPr>
        <w:t>1</w:t>
      </w:r>
      <w:r>
        <w:rPr/>
        <w:t>月 任公司第四届董事会董事。现任公司副总经理、董事长助理。</w:t>
      </w:r>
    </w:p>
    <w:p>
      <w:pPr>
        <w:pStyle w:val="BodyText"/>
        <w:spacing w:line="309" w:lineRule="auto" w:before="31"/>
        <w:ind w:right="1034" w:firstLine="288"/>
        <w:jc w:val="left"/>
      </w:pPr>
      <w:r>
        <w:rPr/>
        <w:t>（</w:t>
      </w:r>
      <w:r>
        <w:rPr>
          <w:rFonts w:ascii="Times New Roman" w:hAnsi="Times New Roman" w:cs="Times New Roman" w:eastAsia="Times New Roman" w:hint="default"/>
        </w:rPr>
        <w:t>10</w:t>
      </w:r>
      <w:r>
        <w:rPr/>
        <w:t>）郭骁昌：男，生于</w:t>
      </w:r>
      <w:r>
        <w:rPr>
          <w:rFonts w:ascii="Times New Roman" w:hAnsi="Times New Roman" w:cs="Times New Roman" w:eastAsia="Times New Roman" w:hint="default"/>
        </w:rPr>
        <w:t>1978</w:t>
      </w:r>
      <w:r>
        <w:rPr/>
        <w:t>年</w:t>
      </w:r>
      <w:r>
        <w:rPr>
          <w:rFonts w:ascii="Times New Roman" w:hAnsi="Times New Roman" w:cs="Times New Roman" w:eastAsia="Times New Roman" w:hint="default"/>
        </w:rPr>
        <w:t>12</w:t>
      </w:r>
      <w:r>
        <w:rPr/>
        <w:t>月，中国国籍，无永久境外居留权，高级工程师，大学本科学历。</w:t>
      </w:r>
      <w:r>
        <w:rPr>
          <w:rFonts w:ascii="Times New Roman" w:hAnsi="Times New Roman" w:cs="Times New Roman" w:eastAsia="Times New Roman" w:hint="default"/>
        </w:rPr>
        <w:t>2001</w:t>
      </w:r>
      <w:r>
        <w:rPr/>
        <w:t>年第二炮兵工 </w:t>
      </w:r>
      <w:r>
        <w:rPr>
          <w:spacing w:val="-2"/>
        </w:rPr>
        <w:t>程学院计算机软件专业毕业，获得学士学位。历任公司产品与市场发展部副总经理、福建易联众软件系统开发有限公司副总</w:t>
      </w:r>
      <w:r>
        <w:rPr>
          <w:spacing w:val="-63"/>
        </w:rPr>
        <w:t> </w:t>
      </w:r>
      <w:r>
        <w:rPr>
          <w:spacing w:val="-63"/>
        </w:rPr>
      </w:r>
      <w:r>
        <w:rPr/>
        <w:t>经理、公司软件研发中心副总经理等职务。现任公司医疗战略规划师、福建易联众保睿通信息科技有限公司董事兼总经理。 </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月任公司第三届监事会职工代表监事；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30</w:t>
      </w:r>
      <w:r>
        <w:rPr>
          <w:spacing w:val="-2"/>
        </w:rPr>
        <w:t>日至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23</w:t>
      </w:r>
      <w:r>
        <w:rPr>
          <w:spacing w:val="-2"/>
        </w:rPr>
        <w:t>日任公司第四届监事会职工代表监</w:t>
      </w:r>
      <w:r>
        <w:rPr>
          <w:spacing w:val="-52"/>
        </w:rPr>
        <w:t> </w:t>
      </w:r>
      <w:r>
        <w:rPr>
          <w:spacing w:val="-52"/>
        </w:rPr>
      </w:r>
      <w:r>
        <w:rPr/>
        <w:t>事。</w:t>
      </w:r>
      <w:r>
        <w:rPr>
          <w:spacing w:val="-22"/>
        </w:rPr>
        <w:t> </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4</w:t>
      </w:r>
      <w:r>
        <w:rPr/>
        <w:t>日起任公司副总经理。</w:t>
      </w:r>
    </w:p>
    <w:p>
      <w:pPr>
        <w:pStyle w:val="BodyText"/>
        <w:spacing w:line="300" w:lineRule="auto" w:before="5"/>
        <w:ind w:right="1126" w:firstLine="288"/>
        <w:jc w:val="both"/>
      </w:pPr>
      <w:r>
        <w:rPr>
          <w:spacing w:val="-1"/>
        </w:rPr>
        <w:t>（</w:t>
      </w:r>
      <w:r>
        <w:rPr>
          <w:rFonts w:ascii="Times New Roman" w:hAnsi="Times New Roman" w:cs="Times New Roman" w:eastAsia="Times New Roman" w:hint="default"/>
          <w:spacing w:val="-1"/>
        </w:rPr>
        <w:t>11</w:t>
      </w:r>
      <w:r>
        <w:rPr>
          <w:spacing w:val="-1"/>
        </w:rPr>
        <w:t>）吴天恩：男，生于</w:t>
      </w:r>
      <w:r>
        <w:rPr>
          <w:rFonts w:ascii="Times New Roman" w:hAnsi="Times New Roman" w:cs="Times New Roman" w:eastAsia="Times New Roman" w:hint="default"/>
          <w:spacing w:val="-1"/>
        </w:rPr>
        <w:t>1978</w:t>
      </w:r>
      <w:r>
        <w:rPr>
          <w:spacing w:val="-1"/>
        </w:rPr>
        <w:t>年</w:t>
      </w:r>
      <w:r>
        <w:rPr>
          <w:rFonts w:ascii="Times New Roman" w:hAnsi="Times New Roman" w:cs="Times New Roman" w:eastAsia="Times New Roman" w:hint="default"/>
          <w:spacing w:val="-1"/>
        </w:rPr>
        <w:t>4</w:t>
      </w:r>
      <w:r>
        <w:rPr>
          <w:spacing w:val="-1"/>
        </w:rPr>
        <w:t>月，中国国籍，集美大学经济贸易（信息管理）专业，大专学历。</w:t>
      </w:r>
      <w:r>
        <w:rPr>
          <w:rFonts w:ascii="Times New Roman" w:hAnsi="Times New Roman" w:cs="Times New Roman" w:eastAsia="Times New Roman" w:hint="default"/>
          <w:spacing w:val="-1"/>
        </w:rPr>
        <w:t>2001</w:t>
      </w:r>
      <w:r>
        <w:rPr>
          <w:spacing w:val="-1"/>
        </w:rPr>
        <w:t>年</w:t>
      </w:r>
      <w:r>
        <w:rPr>
          <w:rFonts w:ascii="Times New Roman" w:hAnsi="Times New Roman" w:cs="Times New Roman" w:eastAsia="Times New Roman" w:hint="default"/>
          <w:spacing w:val="-1"/>
        </w:rPr>
        <w:t>8</w:t>
      </w:r>
      <w:r>
        <w:rPr>
          <w:spacing w:val="-1"/>
        </w:rPr>
        <w:t>月加入易联</w:t>
      </w:r>
      <w:r>
        <w:rPr/>
        <w:t> </w:t>
      </w:r>
      <w:r>
        <w:rPr>
          <w:spacing w:val="-2"/>
        </w:rPr>
        <w:t>众；</w:t>
      </w:r>
      <w:r>
        <w:rPr>
          <w:rFonts w:ascii="Times New Roman" w:hAnsi="Times New Roman" w:cs="Times New Roman" w:eastAsia="Times New Roman" w:hint="default"/>
          <w:spacing w:val="-2"/>
        </w:rPr>
        <w:t>2004</w:t>
      </w:r>
      <w:r>
        <w:rPr>
          <w:spacing w:val="-2"/>
        </w:rPr>
        <w:t>年起担任项目经理；</w:t>
      </w:r>
      <w:r>
        <w:rPr>
          <w:rFonts w:ascii="Times New Roman" w:hAnsi="Times New Roman" w:cs="Times New Roman" w:eastAsia="Times New Roman" w:hint="default"/>
          <w:spacing w:val="-2"/>
        </w:rPr>
        <w:t>2007</w:t>
      </w:r>
      <w:r>
        <w:rPr>
          <w:spacing w:val="-2"/>
        </w:rPr>
        <w:t>年担任公司研发部经理及质量保障部经理；</w:t>
      </w:r>
      <w:r>
        <w:rPr>
          <w:rFonts w:ascii="Times New Roman" w:hAnsi="Times New Roman" w:cs="Times New Roman" w:eastAsia="Times New Roman" w:hint="default"/>
          <w:spacing w:val="-2"/>
        </w:rPr>
        <w:t>2009</w:t>
      </w:r>
      <w:r>
        <w:rPr>
          <w:spacing w:val="-2"/>
        </w:rPr>
        <w:t>年担任山西易联众信息技术有限公司副总</w:t>
      </w:r>
      <w:r>
        <w:rPr>
          <w:spacing w:val="-55"/>
        </w:rPr>
        <w:t> </w:t>
      </w:r>
      <w:r>
        <w:rPr>
          <w:spacing w:val="-55"/>
        </w:rPr>
      </w:r>
      <w:r>
        <w:rPr>
          <w:spacing w:val="-2"/>
        </w:rPr>
        <w:t>经理；</w:t>
      </w:r>
      <w:r>
        <w:rPr>
          <w:rFonts w:ascii="Times New Roman" w:hAnsi="Times New Roman" w:cs="Times New Roman" w:eastAsia="Times New Roman" w:hint="default"/>
          <w:spacing w:val="-2"/>
        </w:rPr>
        <w:t>2010</w:t>
      </w:r>
      <w:r>
        <w:rPr>
          <w:spacing w:val="-2"/>
        </w:rPr>
        <w:t>年担任公司产品与市场发展部副总经理；</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2013</w:t>
      </w:r>
      <w:r>
        <w:rPr>
          <w:spacing w:val="-2"/>
        </w:rPr>
        <w:t>年担任山西易联众信息技术有限公司总经理兼公司软件技</w:t>
      </w:r>
      <w:r>
        <w:rPr>
          <w:spacing w:val="-58"/>
        </w:rPr>
        <w:t> </w:t>
      </w:r>
      <w:r>
        <w:rPr>
          <w:spacing w:val="-58"/>
        </w:rPr>
      </w:r>
      <w:r>
        <w:rPr>
          <w:spacing w:val="-2"/>
        </w:rPr>
        <w:t>术支持部副总经理；</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11</w:t>
      </w:r>
      <w:r>
        <w:rPr>
          <w:spacing w:val="-2"/>
        </w:rPr>
        <w:t>月担任公司软件技术支持部总经理；</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2</w:t>
      </w:r>
      <w:r>
        <w:rPr>
          <w:spacing w:val="-2"/>
        </w:rPr>
        <w:t>月担任公司战略发展部总经理；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7</w:t>
      </w:r>
      <w:r>
        <w:rPr>
          <w:spacing w:val="-2"/>
        </w:rPr>
        <w:t>月担任易</w:t>
      </w:r>
      <w:r>
        <w:rPr>
          <w:spacing w:val="-55"/>
        </w:rPr>
        <w:t> </w:t>
      </w:r>
      <w:r>
        <w:rPr>
          <w:spacing w:val="-55"/>
        </w:rPr>
      </w:r>
      <w:r>
        <w:rPr/>
        <w:t>联众健康医疗控股有限公司副总裁；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月起担任公司总经理办公室主任。现任公司副总经理。</w:t>
      </w:r>
    </w:p>
    <w:p>
      <w:pPr>
        <w:pStyle w:val="BodyText"/>
        <w:spacing w:line="300" w:lineRule="auto" w:before="13"/>
        <w:ind w:right="1128" w:firstLine="288"/>
        <w:jc w:val="both"/>
      </w:pPr>
      <w:r>
        <w:rPr>
          <w:spacing w:val="-1"/>
        </w:rPr>
        <w:t>（</w:t>
      </w:r>
      <w:r>
        <w:rPr>
          <w:rFonts w:ascii="Times New Roman" w:hAnsi="Times New Roman" w:cs="Times New Roman" w:eastAsia="Times New Roman" w:hint="default"/>
          <w:spacing w:val="-1"/>
        </w:rPr>
        <w:t>12</w:t>
      </w:r>
      <w:r>
        <w:rPr>
          <w:spacing w:val="-1"/>
        </w:rPr>
        <w:t>）刘敏：女，生于</w:t>
      </w:r>
      <w:r>
        <w:rPr>
          <w:rFonts w:ascii="Times New Roman" w:hAnsi="Times New Roman" w:cs="Times New Roman" w:eastAsia="Times New Roman" w:hint="default"/>
          <w:spacing w:val="-1"/>
        </w:rPr>
        <w:t>1974</w:t>
      </w:r>
      <w:r>
        <w:rPr>
          <w:spacing w:val="-1"/>
        </w:rPr>
        <w:t>年</w:t>
      </w:r>
      <w:r>
        <w:rPr>
          <w:rFonts w:ascii="Times New Roman" w:hAnsi="Times New Roman" w:cs="Times New Roman" w:eastAsia="Times New Roman" w:hint="default"/>
          <w:spacing w:val="-1"/>
        </w:rPr>
        <w:t>10</w:t>
      </w:r>
      <w:r>
        <w:rPr>
          <w:spacing w:val="-1"/>
        </w:rPr>
        <w:t>月，中国国籍，厦门大学会计学专业，大专学历，中级会计师。</w:t>
      </w:r>
      <w:r>
        <w:rPr>
          <w:rFonts w:ascii="Times New Roman" w:hAnsi="Times New Roman" w:cs="Times New Roman" w:eastAsia="Times New Roman" w:hint="default"/>
          <w:spacing w:val="-1"/>
        </w:rPr>
        <w:t>1993</w:t>
      </w:r>
      <w:r>
        <w:rPr>
          <w:spacing w:val="-1"/>
        </w:rPr>
        <w:t>年至</w:t>
      </w:r>
      <w:r>
        <w:rPr>
          <w:rFonts w:ascii="Times New Roman" w:hAnsi="Times New Roman" w:cs="Times New Roman" w:eastAsia="Times New Roman" w:hint="default"/>
          <w:spacing w:val="-1"/>
        </w:rPr>
        <w:t>2001</w:t>
      </w:r>
      <w:r>
        <w:rPr>
          <w:spacing w:val="-1"/>
        </w:rPr>
        <w:t>年就职于</w:t>
      </w:r>
      <w:r>
        <w:rPr/>
        <w:t> 福建供销大厦；</w:t>
      </w:r>
      <w:r>
        <w:rPr>
          <w:rFonts w:ascii="Times New Roman" w:hAnsi="Times New Roman" w:cs="Times New Roman" w:eastAsia="Times New Roman" w:hint="default"/>
        </w:rPr>
        <w:t>2001</w:t>
      </w:r>
      <w:r>
        <w:rPr/>
        <w:t>年至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3</w:t>
      </w:r>
      <w:r>
        <w:rPr/>
        <w:t>月担任福建四创有限公司财务部经理；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3</w:t>
      </w:r>
      <w:r>
        <w:rPr/>
        <w:t>月担任福建易联众软件系统开 发有限公司财务部经理；</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月担任福州易联众信息技术有限公司财务部经理；</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11</w:t>
      </w:r>
      <w:r>
        <w:rPr/>
        <w:t>月担</w:t>
      </w:r>
      <w:r>
        <w:rPr>
          <w:spacing w:val="-3"/>
        </w:rPr>
        <w:t> </w:t>
      </w:r>
      <w:r>
        <w:rPr/>
        <w:t>任易联众信息技术股份有限公司财务中心总经理助理。现任公司副总经理。</w:t>
      </w:r>
    </w:p>
    <w:p>
      <w:pPr>
        <w:pStyle w:val="BodyText"/>
        <w:spacing w:line="240" w:lineRule="auto" w:before="72"/>
        <w:ind w:right="0"/>
        <w:jc w:val="both"/>
      </w:pPr>
      <w:r>
        <w:rPr/>
        <w:t>在股东单位任职情况</w:t>
      </w:r>
    </w:p>
    <w:p>
      <w:pPr>
        <w:pStyle w:val="BodyText"/>
        <w:spacing w:line="240" w:lineRule="auto" w:before="115"/>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厦门麟真贸易有限公司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30"/>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微医集团（浙江）有限公司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微医集团（浙江）有限公司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48"/>
              <w:jc w:val="left"/>
              <w:rPr>
                <w:rFonts w:ascii="宋体" w:hAnsi="宋体" w:cs="宋体" w:eastAsia="宋体" w:hint="default"/>
                <w:sz w:val="18"/>
                <w:szCs w:val="18"/>
              </w:rPr>
            </w:pPr>
            <w:r>
              <w:rPr>
                <w:rFonts w:ascii="宋体" w:hAnsi="宋体" w:cs="宋体" w:eastAsia="宋体" w:hint="default"/>
                <w:sz w:val="18"/>
                <w:szCs w:val="18"/>
              </w:rPr>
              <w:t>首席产品官、 高级副总裁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1133"/>
        <w:jc w:val="left"/>
      </w:pPr>
      <w:r>
        <w:rPr/>
        <w:pict>
          <v:group style="position:absolute;margin-left:329.709991pt;margin-top:-35.658283pt;width:59.3pt;height:35.2pt;mso-position-horizontal-relative:page;mso-position-vertical-relative:paragraph;z-index:-1326664" coordorigin="6594,-713" coordsize="1186,704">
            <v:group style="position:absolute;left:6594;top:-713;width:1186;height:704" coordorigin="6594,-713" coordsize="1186,704">
              <v:shape style="position:absolute;left:6594;top:-713;width:1186;height:704" coordorigin="6594,-713" coordsize="1186,704" path="m6594,-10l7780,-10,7780,-713,6594,-713,6594,-10xe" filled="true" fillcolor="#ffffff" stroked="false">
                <v:path arrowok="t"/>
                <v:fill type="solid"/>
              </v:shape>
            </v:group>
            <v:group style="position:absolute;left:6618;top:-713;width:1140;height:351" coordorigin="6618,-713" coordsize="1140,351">
              <v:shape style="position:absolute;left:6618;top:-713;width:1140;height:351" coordorigin="6618,-713" coordsize="1140,351" path="m6618,-363l7758,-363,7758,-713,6618,-713,6618,-363xe" filled="true" fillcolor="#ffffff" stroked="false">
                <v:path arrowok="t"/>
                <v:fill type="solid"/>
              </v:shape>
            </v:group>
            <v:group style="position:absolute;left:6618;top:-363;width:1140;height:353" coordorigin="6618,-363" coordsize="1140,353">
              <v:shape style="position:absolute;left:6618;top:-363;width:1140;height:353" coordorigin="6618,-363" coordsize="1140,353" path="m6618,-10l7758,-10,7758,-363,6618,-363,6618,-10xe" filled="true" fillcolor="#ffffff" stroked="false">
                <v:path arrowok="t"/>
                <v:fill type="solid"/>
              </v:shape>
            </v:group>
            <w10:wrap type="none"/>
          </v:group>
        </w:pict>
      </w:r>
      <w:r>
        <w:rPr/>
        <w:t>在其他单位任职情况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2"/>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辉通投资有限公司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骏豪地产（香港）有限公司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骏杰置业（香港）有限公司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5"/>
              <w:jc w:val="left"/>
              <w:rPr>
                <w:rFonts w:ascii="宋体" w:hAnsi="宋体" w:cs="宋体" w:eastAsia="宋体" w:hint="default"/>
                <w:sz w:val="18"/>
                <w:szCs w:val="18"/>
              </w:rPr>
            </w:pPr>
            <w:r>
              <w:rPr>
                <w:rFonts w:ascii="宋体" w:hAnsi="宋体" w:cs="宋体" w:eastAsia="宋体" w:hint="default"/>
                <w:sz w:val="18"/>
                <w:szCs w:val="18"/>
              </w:rPr>
              <w:t>拉萨经济技术开发区瑞永康成财富投资 基金管理有限公司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香港骏豪金融控股集团有限公司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香港骏华控股集团有限公司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北京应通科技有限公司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厦门市凤凰花季基金管理有限公司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侨丰控股有限公司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厦门丹鹭房地产开发有限公司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中奥文化投资有限公司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名卫投资有限公司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贷微赢（大连）小额再贷款股份有限公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共信联盟（北京）资产管理有限公司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重庆潮歌商贸有限公司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厦门麟真贸易有限公司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厦门易之众投资管理合伙企业（有限合 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6" w:right="46"/>
              <w:jc w:val="left"/>
              <w:rPr>
                <w:rFonts w:ascii="宋体" w:hAnsi="宋体" w:cs="宋体" w:eastAsia="宋体" w:hint="default"/>
                <w:sz w:val="18"/>
                <w:szCs w:val="18"/>
              </w:rPr>
            </w:pPr>
            <w:r>
              <w:rPr>
                <w:rFonts w:ascii="宋体" w:hAnsi="宋体" w:cs="宋体" w:eastAsia="宋体" w:hint="default"/>
                <w:sz w:val="18"/>
                <w:szCs w:val="18"/>
              </w:rPr>
              <w:t>微医控股有限公司（</w:t>
            </w:r>
            <w:r>
              <w:rPr>
                <w:rFonts w:ascii="Times New Roman" w:hAnsi="Times New Roman" w:cs="Times New Roman" w:eastAsia="Times New Roman" w:hint="default"/>
                <w:sz w:val="18"/>
                <w:szCs w:val="18"/>
              </w:rPr>
              <w:t>We Doctor</w:t>
            </w:r>
            <w:r>
              <w:rPr>
                <w:rFonts w:ascii="Times New Roman" w:hAnsi="Times New Roman" w:cs="Times New Roman" w:eastAsia="Times New Roman" w:hint="default"/>
                <w:spacing w:val="-14"/>
                <w:sz w:val="18"/>
                <w:szCs w:val="18"/>
              </w:rPr>
              <w:t> </w:t>
            </w:r>
            <w:r>
              <w:rPr>
                <w:rFonts w:ascii="Times New Roman" w:hAnsi="Times New Roman" w:cs="Times New Roman" w:eastAsia="Times New Roman" w:hint="default"/>
                <w:sz w:val="18"/>
                <w:szCs w:val="18"/>
              </w:rPr>
              <w:t>Holdings</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pacing w:val="-7"/>
                <w:sz w:val="18"/>
              </w:rPr>
              <w:t>We </w:t>
            </w:r>
            <w:r>
              <w:rPr>
                <w:rFonts w:ascii="Times New Roman"/>
                <w:sz w:val="18"/>
              </w:rPr>
              <w:t>Doctor (HK)</w:t>
            </w:r>
            <w:r>
              <w:rPr>
                <w:rFonts w:ascii="Times New Roman"/>
                <w:spacing w:val="-1"/>
                <w:sz w:val="18"/>
              </w:rPr>
              <w:t> </w:t>
            </w:r>
            <w:r>
              <w:rPr>
                <w:rFonts w:ascii="Times New Roman"/>
                <w:sz w:val="18"/>
              </w:rPr>
              <w:t>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3"/>
              <w:ind w:left="26" w:right="435"/>
              <w:jc w:val="left"/>
              <w:rPr>
                <w:rFonts w:ascii="Times New Roman" w:hAnsi="Times New Roman" w:cs="Times New Roman" w:eastAsia="Times New Roman" w:hint="default"/>
                <w:sz w:val="18"/>
                <w:szCs w:val="18"/>
              </w:rPr>
            </w:pPr>
            <w:r>
              <w:rPr>
                <w:rFonts w:ascii="Times New Roman"/>
                <w:spacing w:val="-7"/>
                <w:sz w:val="18"/>
              </w:rPr>
              <w:t>We </w:t>
            </w:r>
            <w:r>
              <w:rPr>
                <w:rFonts w:ascii="Times New Roman"/>
                <w:sz w:val="18"/>
              </w:rPr>
              <w:t>Doctor Greater Bay Area</w:t>
            </w:r>
            <w:r>
              <w:rPr>
                <w:rFonts w:ascii="Times New Roman"/>
                <w:spacing w:val="-11"/>
                <w:sz w:val="18"/>
              </w:rPr>
              <w:t> </w:t>
            </w:r>
            <w:r>
              <w:rPr>
                <w:rFonts w:ascii="Times New Roman"/>
                <w:sz w:val="18"/>
              </w:rPr>
              <w:t>Holding</w:t>
            </w:r>
            <w:r>
              <w:rPr>
                <w:rFonts w:ascii="Times New Roman"/>
                <w:sz w:val="18"/>
              </w:rPr>
              <w:t> Limited</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挂号网（杭州）科技有限公司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杭州广发科技有限公司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微医投资（杭州）有限公司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微医（杭州）集团有限公司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厦门海西医药交易中心有限公司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微医云（杭州）控股有限公司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乌镇互联网医院（桐乡）有限公司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红杉树视讯（北京）信息技术有限公司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经理、执行董</w:t>
            </w:r>
            <w:r>
              <w:rPr>
                <w:rFonts w:ascii="宋体" w:hAnsi="宋体" w:cs="宋体" w:eastAsia="宋体" w:hint="default"/>
                <w:sz w:val="18"/>
                <w:szCs w:val="18"/>
              </w:rPr>
              <w:t>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杭州信云康科技有限公司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三医联科技有限公司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杭州前进齿轮箱集团股份有限公司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河南微医互联网医院有限公司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杭州萧山微医门诊部有限公司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广州互联网医院有限公司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福州金界商务信息咨询有限公司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福州博维斯照明设计有限公司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福建构筑空间设计顾问有限公司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福州福大节能科技有限公司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福建骏豪光文化发展有限公司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福建科锐光电科技有限责任公司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福建易联众基因检测分析技术有限公司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福建易联众保睿通信息科技有限公司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厦门易联众长青科技有限公司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福建易联众易达迅教育科技有限公司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董事长兼总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94"/>
              <w:jc w:val="left"/>
              <w:rPr>
                <w:rFonts w:ascii="宋体" w:hAnsi="宋体" w:cs="宋体" w:eastAsia="宋体" w:hint="default"/>
                <w:sz w:val="18"/>
                <w:szCs w:val="18"/>
              </w:rPr>
            </w:pPr>
            <w:r>
              <w:rPr>
                <w:rFonts w:ascii="宋体" w:hAnsi="宋体" w:cs="宋体" w:eastAsia="宋体" w:hint="default"/>
                <w:sz w:val="18"/>
                <w:szCs w:val="18"/>
              </w:rPr>
              <w:t>易联众通达易（厦门）信息科技有限公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易联众（福建）医疗器械有限公司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北京易联众智康科技有限公司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湖南易联众鑫卫信息科技有限公司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吉林易联旭信息技术有限公司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山东易联众网络科技有限公司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河南易联众盈信息技术有限公司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易联众易维科技有限公司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福建纳川管材科技股份有限公司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海洋石油工程股份有限公司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云南白药集团股份有限公司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北京首都开发股份有限公司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龙洲集团股份有限公司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金砖（厦门）股权投资基金有限公司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阳光资产管理股份有限公司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首席战略官</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阳光保险集团股份有限公司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29"/>
              <w:jc w:val="left"/>
              <w:rPr>
                <w:rFonts w:ascii="宋体" w:hAnsi="宋体" w:cs="宋体" w:eastAsia="宋体" w:hint="default"/>
                <w:sz w:val="18"/>
                <w:szCs w:val="18"/>
              </w:rPr>
            </w:pPr>
            <w:r>
              <w:rPr>
                <w:rFonts w:ascii="宋体" w:hAnsi="宋体" w:cs="宋体" w:eastAsia="宋体" w:hint="default"/>
                <w:sz w:val="18"/>
                <w:szCs w:val="18"/>
              </w:rPr>
              <w:t>首席经济学 家</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福建润金律师事务所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律师、主任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厦门合兴包装印刷股份有限公司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舒华体育股份有限公司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福建省闽华电源股份有限公司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厦门国家会计学院</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讲师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天马微电子股份有限公司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山鹰国际控股股份公司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量子高科（中国）生物股份有限公司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何锐</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福建天衡联合律师事务所</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亿启（杭州）网络科技有限公司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杭州百替生物技术有限公司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武汉易康云软件技术有限公司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浙江东冠电气科技有限公司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杭州约动体育发展有限公司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济南易惠泽通投资有限公司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厦门海西医药交易中心有限公司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董事兼总经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微医集团（厦门）有限公司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厦门微医互联网医院有限公司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厦门易联众长青科技有限公司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华医馆</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执业医师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石雪莲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石雪莲</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易家健康管理有限公司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安徽易联众科技发展有限公司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福建易联众保睿通信息科技有限公司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福建万芳园林艺术股份有限公司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福建易联众保睿通信息科技有限公司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山西无感付科技有限公司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福建易联众易达迅教育科技有限公司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安徽易惠天下软件科技有限公司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山西易联众惠民科技有限公司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河南易联众盈信息技术有限公司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上海易之众企业管理中心（有限合伙）</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执行事务合 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董事长、总经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易联众（厦门）人力资源服务有限公司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山西易联众民生科技有限公司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福建易联众保睿通信息科技有限公司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安徽易联众民生科技有限公司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北京易联众民生科技有限公司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山西易联众惠民科技有限公司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河南易联众盈信息技术有限公司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易联众云融（北京）科技有限公司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执行董事、经</w:t>
            </w:r>
            <w:r>
              <w:rPr>
                <w:rFonts w:ascii="宋体" w:hAnsi="宋体" w:cs="宋体" w:eastAsia="宋体" w:hint="default"/>
                <w:sz w:val="18"/>
                <w:szCs w:val="18"/>
              </w:rPr>
              <w:t> 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易联众裕民（北京）科技有限公司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董事长、经理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易联众（厦门）医生集团有限公司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上海润达医院管理投资有限公司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福建易联众保睿通信息科技有限公司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94"/>
              <w:jc w:val="left"/>
              <w:rPr>
                <w:rFonts w:ascii="宋体" w:hAnsi="宋体" w:cs="宋体" w:eastAsia="宋体" w:hint="default"/>
                <w:sz w:val="18"/>
                <w:szCs w:val="18"/>
              </w:rPr>
            </w:pPr>
            <w:r>
              <w:rPr>
                <w:rFonts w:ascii="宋体" w:hAnsi="宋体" w:cs="宋体" w:eastAsia="宋体" w:hint="default"/>
                <w:sz w:val="18"/>
                <w:szCs w:val="18"/>
              </w:rPr>
              <w:t>易联众通达易（厦门）信息科技有限公 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广东易联众民生信息技术有限公司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厦门万势顺易科技有限公司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厦门丹鹭房地产开发有限公司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厦门飞机租赁有限公司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中职动力（北京）科技有限公司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寰浒景观艺术工程（厦门）有限公司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杭州康能置业有限公司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6" w:right="94"/>
              <w:jc w:val="left"/>
              <w:rPr>
                <w:rFonts w:ascii="宋体" w:hAnsi="宋体" w:cs="宋体" w:eastAsia="宋体" w:hint="default"/>
                <w:sz w:val="18"/>
                <w:szCs w:val="18"/>
              </w:rPr>
            </w:pPr>
            <w:r>
              <w:rPr>
                <w:rFonts w:ascii="宋体" w:hAnsi="宋体" w:cs="宋体" w:eastAsia="宋体" w:hint="default"/>
                <w:sz w:val="18"/>
                <w:szCs w:val="18"/>
              </w:rPr>
              <w:t>拉萨经济技术开发区瑞永康成财富投资 基金管理有限公司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大连骏豪房地产开发有限公司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厦门麟真贸易有限公司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1"/>
              <w:jc w:val="left"/>
              <w:rPr>
                <w:rFonts w:ascii="宋体" w:hAnsi="宋体" w:cs="宋体" w:eastAsia="宋体" w:hint="default"/>
                <w:sz w:val="18"/>
                <w:szCs w:val="18"/>
              </w:rPr>
            </w:pPr>
            <w:r>
              <w:rPr>
                <w:rFonts w:ascii="宋体" w:hAnsi="宋体" w:cs="宋体" w:eastAsia="宋体" w:hint="default"/>
                <w:spacing w:val="-12"/>
                <w:sz w:val="18"/>
                <w:szCs w:val="18"/>
              </w:rPr>
              <w:t>执行董事、总</w:t>
            </w:r>
            <w:r>
              <w:rPr>
                <w:rFonts w:ascii="宋体" w:hAnsi="宋体" w:cs="宋体" w:eastAsia="宋体" w:hint="default"/>
                <w:sz w:val="18"/>
                <w:szCs w:val="18"/>
              </w:rPr>
              <w:t> 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北京应通科技有限公司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广州桔叶信息科技有限公司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福建易联众保睿通信息科技有限公司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pacing w:val="-12"/>
                <w:sz w:val="18"/>
                <w:szCs w:val="18"/>
              </w:rPr>
              <w:t>董事、总经理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福建省医联康护信息技术有限公司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厦门万势顺易科技有限公司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福州麦柯科技有限公司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福州伟裕信息科技开发有限公司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刘敏</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尤溪景竹家居用品有限公司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廖杰远先生在其他单位任职情况较多，仅列出其任职的主要单位情况。</w:t>
            </w:r>
          </w:p>
        </w:tc>
      </w:tr>
    </w:tbl>
    <w:p>
      <w:pPr>
        <w:pStyle w:val="BodyText"/>
        <w:spacing w:line="240" w:lineRule="auto" w:before="51"/>
        <w:ind w:right="1133"/>
        <w:jc w:val="left"/>
      </w:pPr>
      <w:r>
        <w:rPr/>
        <w:t>公司现任及报告期内离任董事、监事和高级管理人员近三年证券监管机构处罚的情况</w:t>
      </w:r>
    </w:p>
    <w:p>
      <w:pPr>
        <w:spacing w:after="0" w:line="240" w:lineRule="auto"/>
        <w:jc w:val="left"/>
        <w:sectPr>
          <w:footerReference w:type="default" r:id="rId16"/>
          <w:pgSz w:w="11910" w:h="16840"/>
          <w:pgMar w:footer="974" w:header="748" w:top="1060" w:bottom="1160" w:left="980" w:right="0"/>
          <w:pgNumType w:start="86"/>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both"/>
        <w:rPr>
          <w:b w:val="0"/>
          <w:bCs w:val="0"/>
        </w:rPr>
      </w:pP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both"/>
      </w:pPr>
      <w:r>
        <w:rPr/>
        <w:t>董事、监事、高级管理人员报酬的决策程序、确定依据、实际支付情况</w:t>
      </w:r>
    </w:p>
    <w:p>
      <w:pPr>
        <w:pStyle w:val="BodyText"/>
        <w:spacing w:line="240" w:lineRule="auto" w:before="115"/>
        <w:ind w:right="0"/>
        <w:jc w:val="both"/>
      </w:pPr>
      <w:r>
        <w:rPr>
          <w:rFonts w:ascii="宋体" w:hAnsi="宋体" w:cs="宋体" w:eastAsia="宋体" w:hint="default"/>
          <w:spacing w:val="90"/>
        </w:rPr>
        <w:t> </w:t>
      </w:r>
      <w:r>
        <w:rPr>
          <w:rFonts w:ascii="宋体" w:hAnsi="宋体" w:cs="宋体" w:eastAsia="宋体" w:hint="default"/>
        </w:rPr>
        <w:t>  </w:t>
      </w:r>
      <w:r>
        <w:rPr/>
        <w:t>（一）董事、监事、高级管理人员报酬的决策程序</w:t>
      </w:r>
    </w:p>
    <w:p>
      <w:pPr>
        <w:pStyle w:val="BodyText"/>
        <w:spacing w:line="316" w:lineRule="auto" w:before="76"/>
        <w:ind w:right="1132"/>
        <w:jc w:val="both"/>
      </w:pPr>
      <w:r>
        <w:rPr>
          <w:rFonts w:ascii="宋体" w:hAnsi="宋体" w:cs="宋体" w:eastAsia="宋体" w:hint="default"/>
          <w:spacing w:val="90"/>
        </w:rPr>
        <w:t> </w:t>
      </w:r>
      <w:r>
        <w:rPr>
          <w:rFonts w:ascii="宋体" w:hAnsi="宋体" w:cs="宋体" w:eastAsia="宋体" w:hint="default"/>
        </w:rPr>
        <w:t>  </w:t>
      </w:r>
      <w:r>
        <w:rPr>
          <w:spacing w:val="-2"/>
        </w:rPr>
        <w:t>公司董事、监事报酬由股东大会决定，高级管理人员报酬由董事会决定。在公司担任职务的董事、监事、高级管理人员</w:t>
      </w:r>
      <w:r>
        <w:rPr/>
        <w:t> </w:t>
      </w:r>
      <w:r>
        <w:rPr>
          <w:spacing w:val="-2"/>
        </w:rPr>
        <w:t>报酬由公司支付，在公司担任职务的董事、监事不另外支付津贴。独立董事、外部董事、外部监事津贴依据股东大会决议支</w:t>
      </w:r>
      <w:r>
        <w:rPr>
          <w:spacing w:val="-65"/>
        </w:rPr>
        <w:t> </w:t>
      </w:r>
      <w:r>
        <w:rPr>
          <w:spacing w:val="-65"/>
        </w:rPr>
      </w:r>
      <w:r>
        <w:rPr/>
        <w:t>付，独立董事、外部董事、外部监事会务费据实报销。</w:t>
      </w:r>
    </w:p>
    <w:p>
      <w:pPr>
        <w:pStyle w:val="BodyText"/>
        <w:spacing w:line="240" w:lineRule="auto" w:before="19"/>
        <w:ind w:right="0"/>
        <w:jc w:val="both"/>
      </w:pPr>
      <w:r>
        <w:rPr>
          <w:rFonts w:ascii="宋体" w:hAnsi="宋体" w:cs="宋体" w:eastAsia="宋体" w:hint="default"/>
          <w:spacing w:val="90"/>
        </w:rPr>
        <w:t> </w:t>
      </w:r>
      <w:r>
        <w:rPr>
          <w:rFonts w:ascii="宋体" w:hAnsi="宋体" w:cs="宋体" w:eastAsia="宋体" w:hint="default"/>
        </w:rPr>
        <w:t>  </w:t>
      </w:r>
      <w:r>
        <w:rPr/>
        <w:t>（二）董事、监事、高级管理人员报酬的确定依据</w:t>
      </w:r>
    </w:p>
    <w:p>
      <w:pPr>
        <w:pStyle w:val="BodyText"/>
        <w:spacing w:line="319" w:lineRule="auto" w:before="76"/>
        <w:ind w:right="0"/>
        <w:jc w:val="left"/>
      </w:pPr>
      <w:r>
        <w:rPr>
          <w:rFonts w:ascii="宋体" w:hAnsi="宋体" w:cs="宋体" w:eastAsia="宋体" w:hint="default"/>
          <w:spacing w:val="90"/>
        </w:rPr>
        <w:t> </w:t>
      </w:r>
      <w:r>
        <w:rPr>
          <w:rFonts w:ascii="宋体" w:hAnsi="宋体" w:cs="宋体" w:eastAsia="宋体" w:hint="default"/>
        </w:rPr>
        <w:t>  </w:t>
      </w:r>
      <w:r>
        <w:rPr>
          <w:spacing w:val="-2"/>
        </w:rPr>
        <w:t>参与公司经营的董事、高级管理人员年薪总收入由基本薪酬和考核薪酬组成。独立董事、外部董事、外部监事津贴依据</w:t>
      </w:r>
      <w:r>
        <w:rPr/>
        <w:t> 市场水平并按照责、权、利一致的原则确定。</w:t>
      </w:r>
    </w:p>
    <w:p>
      <w:pPr>
        <w:pStyle w:val="BodyText"/>
        <w:spacing w:line="240" w:lineRule="auto" w:before="17"/>
        <w:ind w:right="0"/>
        <w:jc w:val="both"/>
      </w:pPr>
      <w:r>
        <w:rPr>
          <w:rFonts w:ascii="宋体" w:hAnsi="宋体" w:cs="宋体" w:eastAsia="宋体" w:hint="default"/>
          <w:spacing w:val="90"/>
        </w:rPr>
        <w:t> </w:t>
      </w:r>
      <w:r>
        <w:rPr>
          <w:rFonts w:ascii="宋体" w:hAnsi="宋体" w:cs="宋体" w:eastAsia="宋体" w:hint="default"/>
        </w:rPr>
        <w:t>  </w:t>
      </w:r>
      <w:r>
        <w:rPr/>
        <w:t>（三）董事、监事、高级管理人员报酬的实际支付情况</w:t>
      </w:r>
    </w:p>
    <w:p>
      <w:pPr>
        <w:pStyle w:val="BodyText"/>
        <w:spacing w:line="340" w:lineRule="auto" w:before="76"/>
        <w:ind w:right="4593"/>
        <w:jc w:val="left"/>
      </w:pPr>
      <w:r>
        <w:rPr>
          <w:rFonts w:ascii="宋体" w:hAnsi="宋体" w:cs="宋体" w:eastAsia="宋体" w:hint="default"/>
          <w:spacing w:val="90"/>
        </w:rPr>
        <w:t> </w:t>
      </w:r>
      <w:r>
        <w:rPr>
          <w:rFonts w:ascii="宋体" w:hAnsi="宋体" w:cs="宋体" w:eastAsia="宋体" w:hint="default"/>
        </w:rPr>
        <w:t>  </w:t>
      </w:r>
      <w:r>
        <w:rPr/>
        <w:t>公司</w:t>
      </w:r>
      <w:r>
        <w:rPr>
          <w:rFonts w:ascii="Times New Roman" w:hAnsi="Times New Roman" w:cs="Times New Roman" w:eastAsia="Times New Roman" w:hint="default"/>
        </w:rPr>
        <w:t>2019</w:t>
      </w:r>
      <w:r>
        <w:rPr/>
        <w:t>年度全体董事、监事、高级管理人员实际支付报酬</w:t>
      </w:r>
      <w:r>
        <w:rPr>
          <w:spacing w:val="-4"/>
        </w:rPr>
        <w:t> </w:t>
      </w:r>
      <w:r>
        <w:rPr>
          <w:rFonts w:ascii="Times New Roman" w:hAnsi="Times New Roman" w:cs="Times New Roman" w:eastAsia="Times New Roman" w:hint="default"/>
        </w:rPr>
        <w:t>991.00</w:t>
      </w:r>
      <w:r>
        <w:rPr/>
        <w:t>万元。 公司报告期内董事、监事和高级管理人员报酬情况</w:t>
      </w:r>
    </w:p>
    <w:p>
      <w:pPr>
        <w:pStyle w:val="BodyText"/>
        <w:spacing w:line="240" w:lineRule="auto" w:before="41"/>
        <w:ind w:left="0" w:right="1131"/>
        <w:jc w:val="right"/>
      </w:pPr>
      <w:r>
        <w:rPr/>
        <w:pict>
          <v:shape style="position:absolute;margin-left:151.703003pt;margin-top:75.317696pt;width:109.95pt;height:35.35pt;mso-position-horizontal-relative:page;mso-position-vertical-relative:paragraph;z-index:-1326640" type="#_x0000_t202" filled="false" stroked="false">
            <v:textbox inset="0,0,0,0">
              <w:txbxContent>
                <w:p>
                  <w:pPr>
                    <w:pStyle w:val="BodyText"/>
                    <w:spacing w:line="240" w:lineRule="auto" w:before="51"/>
                    <w:ind w:left="0" w:right="0"/>
                    <w:jc w:val="left"/>
                  </w:pPr>
                  <w:r>
                    <w:rPr/>
                    <w:t>副董事长、</w:t>
                  </w:r>
                </w:p>
              </w:txbxContent>
            </v:textbox>
            <w10:wrap type="none"/>
          </v:shape>
        </w:pict>
      </w:r>
      <w:r>
        <w:rPr/>
        <w:pict>
          <v:group style="position:absolute;margin-left:193.850006pt;margin-top:75.317696pt;width:67.8pt;height:35.35pt;mso-position-horizontal-relative:page;mso-position-vertical-relative:paragraph;z-index:-1326616" coordorigin="3877,1506" coordsize="1356,707">
            <v:group style="position:absolute;left:3877;top:1506;width:1356;height:707" coordorigin="3877,1506" coordsize="1356,707">
              <v:shape style="position:absolute;left:3877;top:1506;width:1356;height:707" coordorigin="3877,1506" coordsize="1356,707" path="m3877,2212l5233,2212,5233,1506,3877,1506,3877,2212xe" filled="true" fillcolor="#ffffff" stroked="false">
                <v:path arrowok="t"/>
                <v:fill type="solid"/>
              </v:shape>
            </v:group>
            <v:group style="position:absolute;left:3899;top:1662;width:1311;height:395" coordorigin="3899,1662" coordsize="1311,395">
              <v:shape style="position:absolute;left:3899;top:1662;width:1311;height:395" coordorigin="3899,1662" coordsize="1311,395" path="m3899,2056l5209,2056,5209,1662,3899,1662,3899,2056xe" filled="true" fillcolor="#ffffff" stroked="false">
                <v:path arrowok="t"/>
                <v:fill type="solid"/>
              </v:shape>
            </v:group>
            <w10:wrap type="none"/>
          </v:group>
        </w:pict>
      </w:r>
      <w:r>
        <w:rPr/>
        <w:t>单位：万元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6"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8"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85.12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黄文灿</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610"/>
              <w:jc w:val="left"/>
              <w:rPr>
                <w:rFonts w:ascii="宋体" w:hAnsi="宋体" w:cs="宋体" w:eastAsia="宋体" w:hint="default"/>
                <w:sz w:val="18"/>
                <w:szCs w:val="18"/>
              </w:rPr>
            </w:pPr>
            <w:r>
              <w:rPr>
                <w:rFonts w:ascii="宋体" w:hAnsi="宋体" w:cs="宋体" w:eastAsia="宋体" w:hint="default"/>
                <w:sz w:val="18"/>
                <w:szCs w:val="18"/>
              </w:rPr>
              <w:t>董事、 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廖杰远</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董事、副董事长</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吴一禹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孔祥谱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李虹海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董事、董事会秘 书、副总经理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江敦忠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59.67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许丽美</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石雪莲</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职工代表监事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32.48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吴梁斌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81.24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施建安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90.68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陈东红</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55.38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游海涛</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54.33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陈江生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66.06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郭骁昌</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63.98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张昱</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50.54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吴天恩</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22.98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应亚珍</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董事、总经理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28.74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孙中海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詹亦文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4"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991</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1133"/>
        <w:jc w:val="left"/>
      </w:pPr>
      <w:r>
        <w:rPr/>
        <w:t>公司董事、高级管理人员报告期内被授予的股权激励情况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279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2,372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2,651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2,651</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398"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77"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9"/>
              <w:jc w:val="right"/>
              <w:rPr>
                <w:rFonts w:ascii="Times New Roman" w:hAnsi="Times New Roman" w:cs="Times New Roman" w:eastAsia="Times New Roman" w:hint="default"/>
                <w:sz w:val="18"/>
                <w:szCs w:val="18"/>
              </w:rPr>
            </w:pPr>
            <w:r>
              <w:rPr>
                <w:rFonts w:ascii="Times New Roman"/>
                <w:sz w:val="18"/>
              </w:rPr>
              <w:t>153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333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1,825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162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2"/>
                <w:sz w:val="18"/>
              </w:rPr>
              <w:t>114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2,651</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1,787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625</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z w:val="18"/>
              </w:rPr>
              <w:t>169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2,651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b/>
          <w:bCs/>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jc w:val="both"/>
      </w:pPr>
      <w:r>
        <w:rPr>
          <w:rFonts w:ascii="宋体" w:hAnsi="宋体" w:cs="宋体" w:eastAsia="宋体" w:hint="default"/>
          <w:spacing w:val="90"/>
        </w:rPr>
        <w:t> </w:t>
      </w:r>
      <w:r>
        <w:rPr>
          <w:rFonts w:ascii="宋体" w:hAnsi="宋体" w:cs="宋体" w:eastAsia="宋体" w:hint="default"/>
        </w:rPr>
        <w:t>  </w:t>
      </w:r>
      <w:r>
        <w:rPr>
          <w:spacing w:val="-2"/>
        </w:rPr>
        <w:t>公司严格按照《中华人民共和国劳动合同法》和有关法律法规的规定，根据行业薪酬状况，向员工提供稳定而有竞争力</w:t>
      </w:r>
      <w:r>
        <w:rPr/>
        <w:t> </w:t>
      </w:r>
      <w:r>
        <w:rPr>
          <w:spacing w:val="-2"/>
        </w:rPr>
        <w:t>的薪酬，实施公平公正的绩效考核制度。员工薪资由基础工资和绩效工资组成，基础工资主要体现岗位价值和专业能力，绩</w:t>
      </w:r>
      <w:r>
        <w:rPr>
          <w:spacing w:val="-64"/>
        </w:rPr>
        <w:t> </w:t>
      </w:r>
      <w:r>
        <w:rPr>
          <w:spacing w:val="-64"/>
        </w:rPr>
      </w:r>
      <w:r>
        <w:rPr/>
        <w:t>效工资与岗位责任、工作业绩及所在单位的业绩挂钩。</w:t>
      </w:r>
    </w:p>
    <w:p>
      <w:pPr>
        <w:pStyle w:val="BodyText"/>
        <w:spacing w:line="316" w:lineRule="auto" w:before="19"/>
        <w:ind w:right="1034"/>
        <w:jc w:val="left"/>
      </w:pPr>
      <w:r>
        <w:rPr>
          <w:rFonts w:ascii="宋体" w:hAnsi="宋体" w:cs="宋体" w:eastAsia="宋体" w:hint="default"/>
          <w:spacing w:val="90"/>
        </w:rPr>
        <w:t> </w:t>
      </w:r>
      <w:r>
        <w:rPr>
          <w:rFonts w:ascii="宋体" w:hAnsi="宋体" w:cs="宋体" w:eastAsia="宋体" w:hint="default"/>
        </w:rPr>
        <w:t>  </w:t>
      </w:r>
      <w:r>
        <w:rPr/>
        <w:t>公司实行全员劳动合同制，同时按照国家及地方的法律规定，为员工缴纳养老保险、医疗保险、失业保险、工伤保险、 </w:t>
      </w:r>
      <w:r>
        <w:rPr>
          <w:spacing w:val="-2"/>
        </w:rPr>
        <w:t>生育保险和住房公积金，提供各种带薪假期（法定节假日、病假、年假、婚假、产假、陪产假、丧假等）、过节福利、工会</w:t>
      </w:r>
      <w:r>
        <w:rPr>
          <w:spacing w:val="-70"/>
        </w:rPr>
        <w:t> </w:t>
      </w:r>
      <w:r>
        <w:rPr>
          <w:spacing w:val="-70"/>
        </w:rPr>
      </w:r>
      <w:r>
        <w:rPr>
          <w:spacing w:val="-2"/>
        </w:rPr>
        <w:t>福利、出差补贴、话费补贴等福利制度，通过薪酬福利制度的不断完善，进一步吸引和保留核心骨干人才，为公司业务发展</w:t>
      </w:r>
      <w:r>
        <w:rPr>
          <w:spacing w:val="-66"/>
        </w:rPr>
        <w:t> </w:t>
      </w:r>
      <w:r>
        <w:rPr>
          <w:spacing w:val="-66"/>
        </w:rPr>
      </w:r>
      <w:r>
        <w:rPr/>
        <w:t>提供可持续的人力资源支撑。</w:t>
      </w:r>
    </w:p>
    <w:p>
      <w:pPr>
        <w:pStyle w:val="BodyText"/>
        <w:spacing w:line="240" w:lineRule="auto" w:before="59"/>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pStyle w:val="BodyText"/>
        <w:spacing w:line="300" w:lineRule="auto" w:before="102"/>
        <w:ind w:right="1120"/>
        <w:jc w:val="left"/>
      </w:pPr>
      <w:r>
        <w:rPr>
          <w:rFonts w:ascii="宋体" w:hAnsi="宋体" w:cs="宋体" w:eastAsia="宋体" w:hint="default"/>
          <w:spacing w:val="90"/>
        </w:rPr>
        <w:t> </w:t>
      </w:r>
      <w:r>
        <w:rPr>
          <w:rFonts w:ascii="宋体" w:hAnsi="宋体" w:cs="宋体" w:eastAsia="宋体" w:hint="default"/>
        </w:rPr>
        <w:t>  </w:t>
      </w:r>
      <w:r>
        <w:rPr/>
        <w:t>公司报告期内职工薪酬总额为</w:t>
      </w:r>
      <w:r>
        <w:rPr>
          <w:rFonts w:ascii="Times New Roman" w:hAnsi="Times New Roman" w:cs="Times New Roman" w:eastAsia="Times New Roman" w:hint="default"/>
        </w:rPr>
        <w:t>38,196.61</w:t>
      </w:r>
      <w:r>
        <w:rPr>
          <w:rFonts w:ascii="Times New Roman" w:hAnsi="Times New Roman" w:cs="Times New Roman" w:eastAsia="Times New Roman" w:hint="default"/>
          <w:spacing w:val="27"/>
        </w:rPr>
        <w:t> </w:t>
      </w:r>
      <w:r>
        <w:rPr/>
        <w:t>万元，占公司成本总额的比重为</w:t>
      </w:r>
      <w:r>
        <w:rPr>
          <w:rFonts w:ascii="Times New Roman" w:hAnsi="Times New Roman" w:cs="Times New Roman" w:eastAsia="Times New Roman" w:hint="default"/>
        </w:rPr>
        <w:t>43.62%</w:t>
      </w:r>
      <w:r>
        <w:rPr/>
        <w:t>；本报告期职工薪酬总额同比增加 </w:t>
      </w:r>
      <w:r>
        <w:rPr>
          <w:rFonts w:ascii="Times New Roman" w:hAnsi="Times New Roman" w:cs="Times New Roman" w:eastAsia="Times New Roman" w:hint="default"/>
        </w:rPr>
        <w:t>10,974.33 </w:t>
      </w:r>
      <w:r>
        <w:rPr/>
        <w:t>万元， 公司成本总额同比增加 </w:t>
      </w:r>
      <w:r>
        <w:rPr>
          <w:rFonts w:ascii="Times New Roman" w:hAnsi="Times New Roman" w:cs="Times New Roman" w:eastAsia="Times New Roman" w:hint="default"/>
        </w:rPr>
        <w:t>19,031.05</w:t>
      </w:r>
      <w:r>
        <w:rPr>
          <w:rFonts w:ascii="Times New Roman" w:hAnsi="Times New Roman" w:cs="Times New Roman" w:eastAsia="Times New Roman" w:hint="default"/>
          <w:spacing w:val="4"/>
        </w:rPr>
        <w:t> </w:t>
      </w:r>
      <w:r>
        <w:rPr/>
        <w:t>万元，职工薪酬增加是导致公司成本增加的主要因素。报告期内核心技 术人员数量占比</w:t>
      </w:r>
      <w:r>
        <w:rPr>
          <w:spacing w:val="-22"/>
        </w:rPr>
        <w:t> </w:t>
      </w:r>
      <w:r>
        <w:rPr>
          <w:rFonts w:ascii="Times New Roman" w:hAnsi="Times New Roman" w:cs="Times New Roman" w:eastAsia="Times New Roman" w:hint="default"/>
        </w:rPr>
        <w:t>0.53%</w:t>
      </w:r>
      <w:r>
        <w:rPr/>
        <w:t>，核心技术人员薪酬占比</w:t>
      </w:r>
      <w:r>
        <w:rPr>
          <w:rFonts w:ascii="Times New Roman" w:hAnsi="Times New Roman" w:cs="Times New Roman" w:eastAsia="Times New Roman" w:hint="default"/>
        </w:rPr>
        <w:t>2.35%</w:t>
      </w:r>
      <w:r>
        <w:rPr/>
        <w:t>，与上年同期相比无重大变动。</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firstLine="288"/>
        <w:jc w:val="both"/>
      </w:pPr>
      <w:r>
        <w:rPr>
          <w:spacing w:val="-1"/>
        </w:rPr>
        <w:t>公司注重员工的职业发展和能力成长，根据公司人才发展战略规划，加强人才培养与培训工作，不断完善公司人才发展</w:t>
      </w:r>
      <w:r>
        <w:rPr/>
        <w:t> 体系。</w:t>
      </w:r>
    </w:p>
    <w:p>
      <w:pPr>
        <w:pStyle w:val="BodyText"/>
        <w:spacing w:line="307" w:lineRule="auto" w:before="19"/>
        <w:ind w:right="1123" w:firstLine="288"/>
        <w:jc w:val="both"/>
      </w:pPr>
      <w:r>
        <w:rPr>
          <w:rFonts w:ascii="Times New Roman" w:hAnsi="Times New Roman" w:cs="Times New Roman" w:eastAsia="Times New Roman" w:hint="default"/>
        </w:rPr>
        <w:t>2019</w:t>
      </w:r>
      <w:r>
        <w:rPr/>
        <w:t>年，公司根据业务发展的需要和员工多样化的培训需求，制定详细的培训计划，分层次、分类别地开展内容丰富、 形式灵活的培训，根据培训对象与需求差别，将培训划分为领导力培训、业务培训、技能</w:t>
      </w:r>
      <w:r>
        <w:rPr>
          <w:rFonts w:ascii="Times New Roman" w:hAnsi="Times New Roman" w:cs="Times New Roman" w:eastAsia="Times New Roman" w:hint="default"/>
        </w:rPr>
        <w:t>/</w:t>
      </w:r>
      <w:r>
        <w:rPr/>
        <w:t>技术培训、新员工培训，有效提 </w:t>
      </w:r>
      <w:r>
        <w:rPr>
          <w:spacing w:val="-2"/>
        </w:rPr>
        <w:t>升各类人员的专业水平。同时公司积极推进储备人才建设，培养复合型人才，加强公司人才梯队建设，实现员工自身职业能</w:t>
      </w:r>
      <w:r>
        <w:rPr>
          <w:spacing w:val="-65"/>
        </w:rPr>
        <w:t> </w:t>
      </w:r>
      <w:r>
        <w:rPr>
          <w:spacing w:val="-65"/>
        </w:rPr>
      </w:r>
      <w:r>
        <w:rPr/>
        <w:t>力提升和公司可持续发展的共赢。</w:t>
      </w:r>
    </w:p>
    <w:p>
      <w:pPr>
        <w:spacing w:line="240" w:lineRule="auto" w:before="2"/>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、劳务外包情况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2"/>
        <w:jc w:val="center"/>
        <w:rPr>
          <w:b w:val="0"/>
          <w:bCs w:val="0"/>
        </w:rPr>
      </w:pPr>
      <w:bookmarkStart w:name="_bookmark9" w:id="10"/>
      <w:bookmarkEnd w:id="10"/>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0"/>
        <w:jc w:val="both"/>
        <w:rPr>
          <w:b w:val="0"/>
          <w:bCs w:val="0"/>
        </w:rPr>
      </w:pP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41" w:right="0"/>
        <w:jc w:val="left"/>
      </w:pPr>
      <w:r>
        <w:rPr>
          <w:spacing w:val="-2"/>
        </w:rPr>
        <w:t>报告期内，公司严格按照《公司法》、《证券法》、《上市公司治理准则》、《深圳证券交易所创业板股票上市规则》、</w:t>
      </w:r>
    </w:p>
    <w:p>
      <w:pPr>
        <w:pStyle w:val="BodyText"/>
        <w:spacing w:line="319" w:lineRule="auto" w:before="76"/>
        <w:ind w:right="1034"/>
        <w:jc w:val="left"/>
      </w:pPr>
      <w:r>
        <w:rPr>
          <w:spacing w:val="-2"/>
        </w:rPr>
        <w:t>《深圳证券交易所创业板上市公司规范运作指引》等法律、法规和中国证监会有关法律法规等的要求，不断完善公司的法人</w:t>
      </w:r>
      <w:r>
        <w:rPr>
          <w:spacing w:val="-65"/>
        </w:rPr>
        <w:t> </w:t>
      </w:r>
      <w:r>
        <w:rPr>
          <w:spacing w:val="-65"/>
        </w:rPr>
      </w:r>
      <w:r>
        <w:rPr/>
        <w:t>治理结构，建立健全公司内部管理和控制制度，持续深入开展公司治理活动，促进了公司规范运作，提高了公司治理水平。 </w:t>
      </w:r>
      <w:r>
        <w:rPr>
          <w:spacing w:val="-4"/>
        </w:rPr>
        <w:t>截至报告期末，公司治理的实际状况符合《上市公司治理准则》和《深圳证券交易所创业板上市公司规范运作指引》的要求，</w:t>
      </w:r>
      <w:r>
        <w:rPr>
          <w:spacing w:val="-42"/>
        </w:rPr>
        <w:t> </w:t>
      </w:r>
      <w:r>
        <w:rPr>
          <w:spacing w:val="-42"/>
        </w:rPr>
      </w:r>
      <w:r>
        <w:rPr/>
        <w:t>不存在尚未解决的治理问题。</w:t>
      </w:r>
    </w:p>
    <w:p>
      <w:pPr>
        <w:pStyle w:val="BodyText"/>
        <w:spacing w:line="316" w:lineRule="auto" w:before="17"/>
        <w:ind w:left="441" w:right="1133"/>
        <w:jc w:val="left"/>
      </w:pPr>
      <w:r>
        <w:rPr/>
        <w:t>（一）关于股东和股东大会 </w:t>
      </w:r>
      <w:r>
        <w:rPr>
          <w:spacing w:val="-1"/>
        </w:rPr>
        <w:t>公司严格按照《上市公司股东大会准则》、《公司章程》、《股东大会议事规则》等规定和要求，规范地召集、召开股</w:t>
      </w:r>
    </w:p>
    <w:p>
      <w:pPr>
        <w:pStyle w:val="BodyText"/>
        <w:spacing w:line="300" w:lineRule="auto" w:before="19"/>
        <w:ind w:right="1138"/>
        <w:jc w:val="both"/>
      </w:pPr>
      <w:r>
        <w:rPr/>
        <w:t>东大会，平等对待所有股东，并尽力为股东参加股东大会提供便利，使其充分行使股东权利。报告期内，公司召开了</w:t>
      </w:r>
      <w:r>
        <w:rPr>
          <w:rFonts w:ascii="Times New Roman" w:hAnsi="Times New Roman" w:cs="Times New Roman" w:eastAsia="Times New Roman" w:hint="default"/>
        </w:rPr>
        <w:t>1</w:t>
      </w:r>
      <w:r>
        <w:rPr/>
        <w:t>次年</w:t>
      </w:r>
      <w:r>
        <w:rPr>
          <w:spacing w:val="-87"/>
        </w:rPr>
        <w:t> </w:t>
      </w:r>
      <w:r>
        <w:rPr/>
        <w:t>度股东大会和</w:t>
      </w:r>
      <w:r>
        <w:rPr>
          <w:rFonts w:ascii="Times New Roman" w:hAnsi="Times New Roman" w:cs="Times New Roman" w:eastAsia="Times New Roman" w:hint="default"/>
        </w:rPr>
        <w:t>2</w:t>
      </w:r>
      <w:r>
        <w:rPr/>
        <w:t>次临时股东大会，按照《公司法》、《公司章程》的规定应由股东大会审议的重大事项，本公司均通过股东 大会审议。</w:t>
      </w:r>
    </w:p>
    <w:p>
      <w:pPr>
        <w:pStyle w:val="BodyText"/>
        <w:spacing w:line="316" w:lineRule="auto" w:before="31"/>
        <w:ind w:left="441" w:right="1105"/>
        <w:jc w:val="left"/>
      </w:pPr>
      <w:r>
        <w:rPr/>
        <w:t>（二）公司与控股股东 公司控股股东、实际控制人为自然人张曦先生。张曦先生现任公司董事长，报告期内，张曦先生严格规范自己的行为，</w:t>
      </w:r>
    </w:p>
    <w:p>
      <w:pPr>
        <w:pStyle w:val="BodyText"/>
        <w:spacing w:line="316" w:lineRule="auto" w:before="19"/>
        <w:ind w:right="1133"/>
        <w:jc w:val="both"/>
      </w:pPr>
      <w:r>
        <w:rPr>
          <w:spacing w:val="-2"/>
        </w:rPr>
        <w:t>不存在超越股东大会直接或间接干预公司决策和经营活动的行为，不存在损害公司及其他股东的利益的情形。公司拥有独立</w:t>
      </w:r>
      <w:r>
        <w:rPr>
          <w:spacing w:val="-64"/>
        </w:rPr>
        <w:t> </w:t>
      </w:r>
      <w:r>
        <w:rPr>
          <w:spacing w:val="-64"/>
        </w:rPr>
      </w:r>
      <w:r>
        <w:rPr>
          <w:spacing w:val="-2"/>
        </w:rPr>
        <w:t>完整的业务和自主经营能力，在业务、人员、资产、机构、财务上独立于控股股东，公司董事会、监事会和内部机构独立运</w:t>
      </w:r>
      <w:r>
        <w:rPr>
          <w:spacing w:val="-70"/>
        </w:rPr>
        <w:t> </w:t>
      </w:r>
      <w:r>
        <w:rPr>
          <w:spacing w:val="-70"/>
        </w:rPr>
      </w:r>
      <w:r>
        <w:rPr/>
        <w:t>作。报告期内，公司没有为控股股东提供担保，亦未发现存在控股股东非经营性占用公司资金的行为。</w:t>
      </w:r>
    </w:p>
    <w:p>
      <w:pPr>
        <w:pStyle w:val="BodyText"/>
        <w:spacing w:line="316" w:lineRule="auto" w:before="19"/>
        <w:ind w:left="441" w:right="1195"/>
        <w:jc w:val="left"/>
      </w:pPr>
      <w:r>
        <w:rPr/>
        <w:t>（三）关于董事和董事会 公司董事会设董事</w:t>
      </w:r>
      <w:r>
        <w:rPr>
          <w:rFonts w:ascii="Times New Roman" w:hAnsi="Times New Roman" w:cs="Times New Roman" w:eastAsia="Times New Roman" w:hint="default"/>
        </w:rPr>
        <w:t>11</w:t>
      </w:r>
      <w:r>
        <w:rPr/>
        <w:t>名，其中独立董事</w:t>
      </w:r>
      <w:r>
        <w:rPr>
          <w:rFonts w:ascii="Times New Roman" w:hAnsi="Times New Roman" w:cs="Times New Roman" w:eastAsia="Times New Roman" w:hint="default"/>
        </w:rPr>
        <w:t>5</w:t>
      </w:r>
      <w:r>
        <w:rPr/>
        <w:t>名，下设战略委员会、审计委员会、提名委员会和薪酬与考核委员会四个专门</w:t>
      </w:r>
    </w:p>
    <w:p>
      <w:pPr>
        <w:pStyle w:val="BodyText"/>
        <w:spacing w:line="312" w:lineRule="auto"/>
        <w:ind w:right="1130"/>
        <w:jc w:val="both"/>
      </w:pPr>
      <w:r>
        <w:rPr/>
        <w:t>委员会；截至本报告披露日，公司董事会董事</w:t>
      </w:r>
      <w:r>
        <w:rPr>
          <w:rFonts w:ascii="Times New Roman" w:hAnsi="Times New Roman" w:cs="Times New Roman" w:eastAsia="Times New Roman" w:hint="default"/>
        </w:rPr>
        <w:t>10</w:t>
      </w:r>
      <w:r>
        <w:rPr/>
        <w:t>人，其中独立董事</w:t>
      </w:r>
      <w:r>
        <w:rPr>
          <w:rFonts w:ascii="Times New Roman" w:hAnsi="Times New Roman" w:cs="Times New Roman" w:eastAsia="Times New Roman" w:hint="default"/>
        </w:rPr>
        <w:t>4</w:t>
      </w:r>
      <w:r>
        <w:rPr/>
        <w:t>人。董事会的人员结构及数量设置、董事的选聘程序符 </w:t>
      </w:r>
      <w:r>
        <w:rPr>
          <w:spacing w:val="-2"/>
        </w:rPr>
        <w:t>合法律、法规和《公司章程》的要求。全体董事能够依据《董事会议事规则》、《独立董事工作制度》、《深圳证券交易所</w:t>
      </w:r>
      <w:r>
        <w:rPr>
          <w:spacing w:val="-68"/>
        </w:rPr>
        <w:t> </w:t>
      </w:r>
      <w:r>
        <w:rPr>
          <w:spacing w:val="-68"/>
        </w:rPr>
      </w:r>
      <w:r>
        <w:rPr>
          <w:spacing w:val="-2"/>
        </w:rPr>
        <w:t>创业板上市公司规范运作指引》等规章制度开展工作，出席董事会和股东大会，勤勉尽责地履行职务和义务，同时积极参加</w:t>
      </w:r>
      <w:r>
        <w:rPr>
          <w:spacing w:val="-64"/>
        </w:rPr>
        <w:t> </w:t>
      </w:r>
      <w:r>
        <w:rPr>
          <w:spacing w:val="-64"/>
        </w:rPr>
      </w:r>
      <w:r>
        <w:rPr/>
        <w:t>相关培训，熟悉相关法律法规。报告期内，各董事严格审议相关议案，保证了公司相关事项的科学决策。</w:t>
      </w:r>
    </w:p>
    <w:p>
      <w:pPr>
        <w:pStyle w:val="BodyText"/>
        <w:spacing w:line="316" w:lineRule="auto" w:before="22"/>
        <w:ind w:left="441" w:right="1033"/>
        <w:jc w:val="left"/>
      </w:pPr>
      <w:r>
        <w:rPr/>
        <w:t>（四）关于监事和监事会 </w:t>
      </w:r>
      <w:r>
        <w:rPr>
          <w:spacing w:val="-2"/>
        </w:rPr>
        <w:t>公司监事会设监事</w:t>
      </w:r>
      <w:r>
        <w:rPr>
          <w:rFonts w:ascii="Times New Roman" w:hAnsi="Times New Roman" w:cs="Times New Roman" w:eastAsia="Times New Roman" w:hint="default"/>
          <w:spacing w:val="-2"/>
        </w:rPr>
        <w:t>3</w:t>
      </w:r>
      <w:r>
        <w:rPr>
          <w:spacing w:val="-2"/>
        </w:rPr>
        <w:t>名，其中职工代表监事</w:t>
      </w:r>
      <w:r>
        <w:rPr>
          <w:rFonts w:ascii="Times New Roman" w:hAnsi="Times New Roman" w:cs="Times New Roman" w:eastAsia="Times New Roman" w:hint="default"/>
          <w:spacing w:val="-2"/>
        </w:rPr>
        <w:t>1</w:t>
      </w:r>
      <w:r>
        <w:rPr>
          <w:spacing w:val="-2"/>
        </w:rPr>
        <w:t>名，监事会的人员结构及数量设置、监事的选聘程序符合法律、法规的要求。</w:t>
      </w:r>
    </w:p>
    <w:p>
      <w:pPr>
        <w:pStyle w:val="BodyText"/>
        <w:spacing w:line="319" w:lineRule="auto"/>
        <w:ind w:right="1130"/>
        <w:jc w:val="both"/>
      </w:pPr>
      <w:r>
        <w:rPr>
          <w:spacing w:val="-2"/>
        </w:rPr>
        <w:t>各位监事能够按照《监事会议事规则》的要求，认真履行自己的职责，对公司重大事项、财务状况以及董事、高级管理人员</w:t>
      </w:r>
      <w:r>
        <w:rPr>
          <w:spacing w:val="-68"/>
        </w:rPr>
        <w:t> </w:t>
      </w:r>
      <w:r>
        <w:rPr>
          <w:spacing w:val="-68"/>
        </w:rPr>
      </w:r>
      <w:r>
        <w:rPr>
          <w:spacing w:val="-2"/>
        </w:rPr>
        <w:t>履行职责的合法合规性进行监督，维护公司及股东的合法权益。公司也采取了有效措施保障监事的知情权，保证各位监事能</w:t>
      </w:r>
      <w:r>
        <w:rPr>
          <w:spacing w:val="-63"/>
        </w:rPr>
        <w:t> </w:t>
      </w:r>
      <w:r>
        <w:rPr>
          <w:spacing w:val="-63"/>
        </w:rPr>
      </w:r>
      <w:r>
        <w:rPr/>
        <w:t>够独立有效地行使对董事、高级管理人员监督权。</w:t>
      </w:r>
    </w:p>
    <w:p>
      <w:pPr>
        <w:pStyle w:val="BodyText"/>
        <w:spacing w:line="316" w:lineRule="auto" w:before="17"/>
        <w:ind w:left="441" w:right="1133"/>
        <w:jc w:val="left"/>
      </w:pPr>
      <w:r>
        <w:rPr/>
        <w:t>（五）关于独立董事制度运作情况 </w:t>
      </w:r>
      <w:r>
        <w:rPr>
          <w:spacing w:val="-1"/>
        </w:rPr>
        <w:t>公司设独立董事</w:t>
      </w:r>
      <w:r>
        <w:rPr>
          <w:rFonts w:ascii="Times New Roman" w:hAnsi="Times New Roman" w:cs="Times New Roman" w:eastAsia="Times New Roman" w:hint="default"/>
          <w:spacing w:val="-1"/>
        </w:rPr>
        <w:t>5</w:t>
      </w:r>
      <w:r>
        <w:rPr>
          <w:spacing w:val="-1"/>
        </w:rPr>
        <w:t>名，截至本报告披露日，公司独立董事</w:t>
      </w:r>
      <w:r>
        <w:rPr>
          <w:rFonts w:ascii="Times New Roman" w:hAnsi="Times New Roman" w:cs="Times New Roman" w:eastAsia="Times New Roman" w:hint="default"/>
          <w:spacing w:val="-1"/>
        </w:rPr>
        <w:t>4</w:t>
      </w:r>
      <w:r>
        <w:rPr>
          <w:spacing w:val="-1"/>
        </w:rPr>
        <w:t>名。</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25</w:t>
      </w:r>
      <w:r>
        <w:rPr>
          <w:spacing w:val="-1"/>
        </w:rPr>
        <w:t>日，独立董事詹亦文女士因个人原因申请辞</w:t>
      </w:r>
    </w:p>
    <w:p>
      <w:pPr>
        <w:pStyle w:val="BodyText"/>
        <w:spacing w:line="316" w:lineRule="auto"/>
        <w:ind w:right="1034"/>
        <w:jc w:val="left"/>
      </w:pPr>
      <w:r>
        <w:rPr>
          <w:spacing w:val="-2"/>
        </w:rPr>
        <w:t>去公司第四届董事会独立董事及董事会提名委员会主任委员职务。其辞职不会导致公司独立董事人数占董事会全体成员的比</w:t>
      </w:r>
      <w:r>
        <w:rPr>
          <w:spacing w:val="-64"/>
        </w:rPr>
        <w:t> </w:t>
      </w:r>
      <w:r>
        <w:rPr>
          <w:spacing w:val="-64"/>
        </w:rPr>
      </w:r>
      <w:r>
        <w:rPr/>
        <w:t>例低于三分之一，不会影响公司董事会正常运行，公司将适时按照相关法定程序尽快完成独立董事的补选工作。报告期内， </w:t>
      </w:r>
      <w:r>
        <w:rPr>
          <w:spacing w:val="-2"/>
        </w:rPr>
        <w:t>公司独立董事严格按照有关法律、法规、《公司章程》及《独立董事工作制度》的要求勤勉尽职地履行职责，对需要独立董</w:t>
      </w:r>
      <w:r>
        <w:rPr>
          <w:spacing w:val="-69"/>
        </w:rPr>
        <w:t> </w:t>
      </w:r>
      <w:r>
        <w:rPr>
          <w:spacing w:val="-69"/>
        </w:rPr>
      </w:r>
      <w:r>
        <w:rPr>
          <w:spacing w:val="-2"/>
        </w:rPr>
        <w:t>事发表意见的事项均发表了独立意见，对改进公司内部控制制度及促进公司发展提出许多意见和建议，对完善公司治理结构</w:t>
      </w:r>
      <w:r>
        <w:rPr>
          <w:spacing w:val="-64"/>
        </w:rPr>
        <w:t> </w:t>
      </w:r>
      <w:r>
        <w:rPr>
          <w:spacing w:val="-64"/>
        </w:rPr>
      </w:r>
      <w:r>
        <w:rPr/>
        <w:t>和规范公司运作发挥了积极作用。</w:t>
      </w:r>
    </w:p>
    <w:p>
      <w:pPr>
        <w:pStyle w:val="BodyText"/>
        <w:spacing w:line="316" w:lineRule="auto" w:before="19"/>
        <w:ind w:left="441" w:right="1133"/>
        <w:jc w:val="left"/>
      </w:pPr>
      <w:r>
        <w:rPr/>
        <w:t>（六）关于董事会秘书制度运行情况 </w:t>
      </w:r>
      <w:r>
        <w:rPr>
          <w:spacing w:val="-1"/>
        </w:rPr>
        <w:t>报告期内，公司董事会秘书一直按照有关法律、法规和《公司章程》的规定认真履行其职责，做好信息披露工作，认真</w:t>
      </w:r>
    </w:p>
    <w:p>
      <w:pPr>
        <w:pStyle w:val="BodyText"/>
        <w:spacing w:line="240" w:lineRule="auto" w:before="19"/>
        <w:ind w:right="0"/>
        <w:jc w:val="both"/>
      </w:pPr>
      <w:r>
        <w:rPr/>
        <w:t>对待各方投资者，做好投资者接待工作，及时回复互动易平台上的投资者提问，积极参加各监管机构组织的相关培训。</w:t>
      </w:r>
    </w:p>
    <w:p>
      <w:pPr>
        <w:pStyle w:val="BodyText"/>
        <w:spacing w:line="316" w:lineRule="auto" w:before="77"/>
        <w:ind w:left="441" w:right="1125"/>
        <w:jc w:val="left"/>
      </w:pPr>
      <w:r>
        <w:rPr/>
        <w:t>（七）关于内幕信息知情人管理制度执行情况 报告期内，公司严格执行《内幕信息知情人登记管理制度》，加强内幕信息的管理，做到</w:t>
      </w:r>
      <w:r>
        <w:rPr>
          <w:rFonts w:ascii="Times New Roman" w:hAnsi="Times New Roman" w:cs="Times New Roman" w:eastAsia="Times New Roman" w:hint="default"/>
        </w:rPr>
        <w:t>“</w:t>
      </w:r>
      <w:r>
        <w:rPr/>
        <w:t>一事一记</w:t>
      </w:r>
      <w:r>
        <w:rPr>
          <w:rFonts w:ascii="Times New Roman" w:hAnsi="Times New Roman" w:cs="Times New Roman" w:eastAsia="Times New Roman" w:hint="default"/>
        </w:rPr>
        <w:t>”</w:t>
      </w:r>
      <w:r>
        <w:rPr/>
        <w:t>，维护公司及全体</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4"/>
        </w:rPr>
        <w:t>股东的合法权益。公司董事会办公室是公司信息披露、内幕信息登记备案的日常办事机构，并负责公司内幕信息的监管工作，</w:t>
      </w:r>
      <w:r>
        <w:rPr>
          <w:spacing w:val="-44"/>
        </w:rPr>
        <w:t> </w:t>
      </w:r>
      <w:r>
        <w:rPr>
          <w:spacing w:val="-44"/>
        </w:rPr>
      </w:r>
      <w:r>
        <w:rPr>
          <w:spacing w:val="-2"/>
        </w:rPr>
        <w:t>确保各部门对内幕信息的及时反馈，严格执行内幕信息知情人登记备案手续，及时向证券监管部门报送规范格式的《内幕信</w:t>
      </w:r>
      <w:r>
        <w:rPr>
          <w:spacing w:val="-63"/>
        </w:rPr>
        <w:t> </w:t>
      </w:r>
      <w:r>
        <w:rPr>
          <w:spacing w:val="-63"/>
        </w:rPr>
      </w:r>
      <w:r>
        <w:rPr/>
        <w:t>息知情人登记表》。</w:t>
      </w:r>
    </w:p>
    <w:p>
      <w:pPr>
        <w:pStyle w:val="BodyText"/>
        <w:spacing w:line="240" w:lineRule="auto" w:before="59"/>
        <w:ind w:right="1133"/>
        <w:jc w:val="left"/>
      </w:pPr>
      <w:r>
        <w:rPr/>
        <w:t>公司治理的实际状况与中国证监会发布的有关上市公司治理的规范性文件是否存在重大差异</w:t>
      </w:r>
    </w:p>
    <w:p>
      <w:pPr>
        <w:pStyle w:val="BodyText"/>
        <w:spacing w:line="340" w:lineRule="auto" w:before="115"/>
        <w:ind w:right="35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left="441" w:right="1133"/>
        <w:jc w:val="left"/>
      </w:pPr>
      <w:r>
        <w:rPr/>
        <w:t>公司控股股东、实际控制人为张曦先生。 </w:t>
      </w:r>
      <w:r>
        <w:rPr>
          <w:spacing w:val="-1"/>
        </w:rPr>
        <w:t>报告期内，公司严格按照《公司法》、《证券法》、《深圳证券交易所创业板股票上市规则》、《深圳证券交易所创业</w:t>
      </w:r>
    </w:p>
    <w:p>
      <w:pPr>
        <w:pStyle w:val="BodyText"/>
        <w:spacing w:line="316" w:lineRule="auto" w:before="17"/>
        <w:ind w:right="1034"/>
        <w:jc w:val="left"/>
      </w:pPr>
      <w:r>
        <w:rPr/>
        <w:t>板上市公司规范运作指引》等有关法律、法规和《公司章程》的要求规范运作，建立并不断完善了法人治理结构，在业务、 </w:t>
      </w:r>
      <w:r>
        <w:rPr>
          <w:spacing w:val="-2"/>
        </w:rPr>
        <w:t>人员、资产、机构、财务等方面与公司控股股东、实际控制人完全分开，具有独立、完整的资产和业务以及面向市场自主经</w:t>
      </w:r>
      <w:r>
        <w:rPr>
          <w:spacing w:val="-68"/>
        </w:rPr>
        <w:t> </w:t>
      </w:r>
      <w:r>
        <w:rPr>
          <w:spacing w:val="-68"/>
        </w:rPr>
      </w:r>
      <w:r>
        <w:rPr/>
        <w:t>营的能力。</w:t>
      </w:r>
    </w:p>
    <w:p>
      <w:pPr>
        <w:pStyle w:val="BodyText"/>
        <w:spacing w:line="316" w:lineRule="auto" w:before="19"/>
        <w:ind w:left="441" w:right="1133"/>
        <w:jc w:val="left"/>
      </w:pPr>
      <w:r>
        <w:rPr/>
        <w:t>（一）业务独立情况 </w:t>
      </w:r>
      <w:r>
        <w:rPr>
          <w:spacing w:val="-1"/>
        </w:rPr>
        <w:t>公司业务独立。作为高科技创新型企业，公司拥有完整独立的研发、运营和销售系统，具有独立完整的业务体系及面向</w:t>
      </w:r>
    </w:p>
    <w:p>
      <w:pPr>
        <w:pStyle w:val="BodyText"/>
        <w:spacing w:line="240" w:lineRule="auto" w:before="19"/>
        <w:ind w:right="1133"/>
        <w:jc w:val="left"/>
      </w:pPr>
      <w:r>
        <w:rPr/>
        <w:t>市场独立经营的能力，公司独立开展各项业务活动，不依赖于公司控股股东、实际控制人或其他任何关联方。</w:t>
      </w:r>
    </w:p>
    <w:p>
      <w:pPr>
        <w:pStyle w:val="BodyText"/>
        <w:spacing w:line="316" w:lineRule="auto" w:before="76"/>
        <w:ind w:left="441" w:right="1133"/>
        <w:jc w:val="left"/>
      </w:pPr>
      <w:r>
        <w:rPr/>
        <w:t>（二）人员独立情况 </w:t>
      </w:r>
      <w:r>
        <w:rPr>
          <w:spacing w:val="-1"/>
        </w:rPr>
        <w:t>公司独立招聘员工，执行独立的劳动聘用、人事管理、工资报酬以及社会保障制度。公司总经理、副总经理、董事会秘</w:t>
      </w:r>
    </w:p>
    <w:p>
      <w:pPr>
        <w:pStyle w:val="BodyText"/>
        <w:spacing w:line="316" w:lineRule="auto" w:before="19"/>
        <w:ind w:right="0"/>
        <w:jc w:val="left"/>
      </w:pPr>
      <w:r>
        <w:rPr>
          <w:spacing w:val="-4"/>
        </w:rPr>
        <w:t>书、财务总监等高级管理人员均在公司工作并领取薪酬，未在公司控股股东、实际控制人及其控制的其他企业中担任除董事、</w:t>
      </w:r>
      <w:r>
        <w:rPr>
          <w:spacing w:val="-44"/>
        </w:rPr>
        <w:t> </w:t>
      </w:r>
      <w:r>
        <w:rPr>
          <w:spacing w:val="-44"/>
        </w:rPr>
      </w:r>
      <w:r>
        <w:rPr/>
        <w:t>监事以外的其他行政职务或领薪，财务人员没有在控股股东、实际控制人及其控制的其他企业中兼职。</w:t>
      </w:r>
    </w:p>
    <w:p>
      <w:pPr>
        <w:pStyle w:val="BodyText"/>
        <w:spacing w:line="316" w:lineRule="auto" w:before="19"/>
        <w:ind w:left="441" w:right="1031"/>
        <w:jc w:val="left"/>
      </w:pPr>
      <w:r>
        <w:rPr/>
        <w:t>（三）资产完整情况 </w:t>
      </w:r>
      <w:r>
        <w:rPr>
          <w:spacing w:val="-2"/>
        </w:rPr>
        <w:t>公司资产完整，具有与其经营活动相适应的生产经营场所，拥有独立于控股股东、实际控制人及其他关联方的机器设备、</w:t>
      </w:r>
    </w:p>
    <w:p>
      <w:pPr>
        <w:pStyle w:val="BodyText"/>
        <w:spacing w:line="316" w:lineRule="auto" w:before="19"/>
        <w:ind w:right="1133"/>
        <w:jc w:val="both"/>
      </w:pPr>
      <w:r>
        <w:rPr>
          <w:spacing w:val="-2"/>
        </w:rPr>
        <w:t>房屋建筑物，也独立拥有注册商标、专利、非专利技术等无形资产。公司资产独立完整、权属清晰，不存在与控股股东、实</w:t>
      </w:r>
      <w:r>
        <w:rPr>
          <w:spacing w:val="-72"/>
        </w:rPr>
        <w:t> </w:t>
      </w:r>
      <w:r>
        <w:rPr>
          <w:spacing w:val="-72"/>
        </w:rPr>
      </w:r>
      <w:r>
        <w:rPr>
          <w:spacing w:val="-2"/>
        </w:rPr>
        <w:t>际控制人及其控制的其他企业共用资产，或者资金或其他资产被控股股东、实际控制人及其控制的其他企业占用而损害公司</w:t>
      </w:r>
      <w:r>
        <w:rPr>
          <w:spacing w:val="-64"/>
        </w:rPr>
        <w:t> </w:t>
      </w:r>
      <w:r>
        <w:rPr>
          <w:spacing w:val="-64"/>
        </w:rPr>
      </w:r>
      <w:r>
        <w:rPr/>
        <w:t>利益的情况。</w:t>
      </w:r>
    </w:p>
    <w:p>
      <w:pPr>
        <w:pStyle w:val="BodyText"/>
        <w:spacing w:line="316" w:lineRule="auto" w:before="19"/>
        <w:ind w:left="441" w:right="1133"/>
        <w:jc w:val="left"/>
      </w:pPr>
      <w:r>
        <w:rPr/>
        <w:t>（四）机构独立情况 </w:t>
      </w:r>
      <w:r>
        <w:rPr>
          <w:spacing w:val="-1"/>
        </w:rPr>
        <w:t>公司建立了完整的内部组织结构，具备健全的内部经营管理机构，公司股东大会、董事会、监事会各机构权责明确、运</w:t>
      </w:r>
    </w:p>
    <w:p>
      <w:pPr>
        <w:pStyle w:val="BodyText"/>
        <w:spacing w:line="316" w:lineRule="auto" w:before="19"/>
        <w:ind w:right="0"/>
        <w:jc w:val="left"/>
      </w:pPr>
      <w:r>
        <w:rPr>
          <w:spacing w:val="-4"/>
        </w:rPr>
        <w:t>作规范，形成相互协调和相互制衡的机制。公司根据自身的经营需要独立设置其他职能部门，并建立了相应的内部管理制度，</w:t>
      </w:r>
      <w:r>
        <w:rPr>
          <w:spacing w:val="-44"/>
        </w:rPr>
        <w:t> </w:t>
      </w:r>
      <w:r>
        <w:rPr>
          <w:spacing w:val="-44"/>
        </w:rPr>
      </w:r>
      <w:r>
        <w:rPr/>
        <w:t>独立行使经营管理职权，不存在与控股股东、实际控制人及其控制的其他企业机构混同的情形。</w:t>
      </w:r>
    </w:p>
    <w:p>
      <w:pPr>
        <w:pStyle w:val="BodyText"/>
        <w:spacing w:line="319" w:lineRule="auto" w:before="19"/>
        <w:ind w:left="441" w:right="1105"/>
        <w:jc w:val="left"/>
      </w:pPr>
      <w:r>
        <w:rPr/>
        <w:t>（五）财务独立情况 公司设有独立的财务会计部门，配备专职财务人员，建立了规范的财务会计制度和对分公司、子公司的财务管理制度，</w:t>
      </w:r>
    </w:p>
    <w:p>
      <w:pPr>
        <w:pStyle w:val="BodyText"/>
        <w:spacing w:line="316" w:lineRule="auto" w:before="17"/>
        <w:ind w:right="0"/>
        <w:jc w:val="left"/>
      </w:pPr>
      <w:r>
        <w:rPr>
          <w:spacing w:val="-2"/>
        </w:rPr>
        <w:t>有完整独立的财务核算体系，能够独立形成财务决策，开设了独立的银行账户，并依法独立纳税，公司不存在与控股股东及</w:t>
      </w:r>
      <w:r>
        <w:rPr>
          <w:spacing w:val="-65"/>
        </w:rPr>
        <w:t> </w:t>
      </w:r>
      <w:r>
        <w:rPr>
          <w:spacing w:val="-65"/>
        </w:rPr>
      </w:r>
      <w:r>
        <w:rPr/>
        <w:t>其关联方共用银行账户的情况，也不存在资金、资产被股东及其关联方非法占用的情况。</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227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5"/>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31.59%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4"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8"/>
                <w:sz w:val="18"/>
                <w:szCs w:val="18"/>
              </w:rPr>
              <w:t>2019-016</w:t>
            </w:r>
            <w:r>
              <w:rPr>
                <w:rFonts w:ascii="宋体" w:hAnsi="宋体" w:cs="宋体" w:eastAsia="宋体" w:hint="default"/>
                <w:spacing w:val="-8"/>
                <w:sz w:val="18"/>
                <w:szCs w:val="18"/>
              </w:rPr>
              <w:t>）（巨潮资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196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 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4"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26.17%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 </w:t>
            </w:r>
            <w:r>
              <w:rPr>
                <w:rFonts w:ascii="宋体" w:hAnsi="宋体" w:cs="宋体" w:eastAsia="宋体" w:hint="default"/>
                <w:spacing w:val="-11"/>
                <w:sz w:val="18"/>
                <w:szCs w:val="18"/>
              </w:rPr>
              <w:t>大会决议公告》（公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告编号：</w:t>
            </w:r>
            <w:r>
              <w:rPr>
                <w:rFonts w:ascii="Times New Roman" w:hAnsi="Times New Roman" w:cs="Times New Roman" w:eastAsia="Times New Roman" w:hint="default"/>
                <w:sz w:val="18"/>
                <w:szCs w:val="18"/>
              </w:rPr>
              <w:t>2019-043</w:t>
            </w:r>
            <w:r>
              <w:rPr>
                <w:rFonts w:ascii="宋体" w:hAnsi="宋体" w:cs="宋体" w:eastAsia="宋体" w:hint="default"/>
                <w:sz w:val="18"/>
                <w:szCs w:val="18"/>
              </w:rPr>
              <w:t>）</w:t>
            </w:r>
          </w:p>
          <w:p>
            <w:pPr>
              <w:pStyle w:val="TableParagraph"/>
              <w:spacing w:line="240" w:lineRule="auto" w:before="7"/>
              <w:ind w:left="24"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12" w:lineRule="auto" w:before="118"/>
              <w:ind w:left="24" w:right="29"/>
              <w:jc w:val="both"/>
              <w:rPr>
                <w:rFonts w:ascii="宋体" w:hAnsi="宋体" w:cs="宋体" w:eastAsia="宋体" w:hint="default"/>
                <w:sz w:val="18"/>
                <w:szCs w:val="18"/>
              </w:rPr>
            </w:pP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227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4"/>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26.25%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before="12"/>
              <w:ind w:left="24"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 时股东大会决议公 </w:t>
            </w:r>
            <w:r>
              <w:rPr>
                <w:rFonts w:ascii="宋体" w:hAnsi="宋体" w:cs="宋体" w:eastAsia="宋体" w:hint="default"/>
                <w:spacing w:val="-12"/>
                <w:sz w:val="18"/>
                <w:szCs w:val="18"/>
              </w:rPr>
              <w:t>告》（公告编号：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pacing w:val="-8"/>
                <w:sz w:val="18"/>
                <w:szCs w:val="18"/>
              </w:rPr>
              <w:t>2019-081</w:t>
            </w:r>
            <w:r>
              <w:rPr>
                <w:rFonts w:ascii="宋体" w:hAnsi="宋体" w:cs="宋体" w:eastAsia="宋体" w:hint="default"/>
                <w:spacing w:val="-8"/>
                <w:sz w:val="18"/>
                <w:szCs w:val="18"/>
              </w:rPr>
              <w:t>）（巨潮资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讯网 </w:t>
            </w:r>
            <w:hyperlink r:id="rId17">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1133"/>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28"/>
        <w:gridCol w:w="1164"/>
        <w:gridCol w:w="1164"/>
        <w:gridCol w:w="1162"/>
        <w:gridCol w:w="1164"/>
        <w:gridCol w:w="1162"/>
        <w:gridCol w:w="1165"/>
        <w:gridCol w:w="1164"/>
      </w:tblGrid>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5" w:hRule="exact"/>
        </w:trPr>
        <w:tc>
          <w:tcPr>
            <w:tcW w:w="14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8" w:right="35"/>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5" w:hanging="269"/>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07" w:right="36" w:hanging="272"/>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487" w:right="35" w:hanging="452"/>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5" w:right="38"/>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96" w:right="36"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邱晓华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苏伟斌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陈菡</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r>
        <w:trPr>
          <w:trHeight w:val="401"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何锐</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14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詹亦文</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6"/>
                <w:w w:val="95"/>
                <w:sz w:val="18"/>
              </w:rPr>
              <w:t>11</w:t>
            </w:r>
            <w:r>
              <w:rPr>
                <w:rFonts w:ascii="Times New Roman"/>
                <w:w w:val="95"/>
                <w:sz w:val="18"/>
              </w:rPr>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2</w:t>
            </w:r>
          </w:p>
        </w:tc>
      </w:tr>
    </w:tbl>
    <w:p>
      <w:pPr>
        <w:pStyle w:val="BodyText"/>
        <w:spacing w:line="357" w:lineRule="auto" w:before="51"/>
        <w:ind w:right="8054"/>
        <w:jc w:val="left"/>
      </w:pPr>
      <w:r>
        <w:rPr/>
        <w:t>连续两次未亲自出席董事会的说明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4" w:lineRule="auto" w:before="39"/>
        <w:ind w:right="0" w:firstLine="288"/>
        <w:jc w:val="left"/>
      </w:pPr>
      <w:r>
        <w:rPr/>
        <w:t>公司独立董事根据《公司法》、《证券法》、《深圳证券交易所创业板股票上市规则》、《关于在上市公司建立独立董 </w:t>
      </w:r>
      <w:r>
        <w:rPr>
          <w:spacing w:val="-4"/>
        </w:rPr>
        <w:t>事制度的指导意见》及《公司章程》、《独立董事工作制度》等法律、法规、规章的规定和要求，在</w:t>
      </w:r>
      <w:r>
        <w:rPr>
          <w:rFonts w:ascii="Times New Roman" w:hAnsi="Times New Roman" w:cs="Times New Roman" w:eastAsia="Times New Roman" w:hint="default"/>
          <w:spacing w:val="-4"/>
        </w:rPr>
        <w:t>2019</w:t>
      </w:r>
      <w:r>
        <w:rPr>
          <w:spacing w:val="-4"/>
        </w:rPr>
        <w:t>年度工作中，诚实、</w:t>
      </w:r>
      <w:r>
        <w:rPr>
          <w:spacing w:val="-36"/>
        </w:rPr>
        <w:t> </w:t>
      </w:r>
      <w:r>
        <w:rPr>
          <w:spacing w:val="-36"/>
        </w:rPr>
      </w:r>
      <w:r>
        <w:rPr>
          <w:spacing w:val="-2"/>
        </w:rPr>
        <w:t>勤勉、独立地履行职责，积极出席相关会议，认真审议董事会各项议案，利用参加董事会现场会议及实地考察的机会向参与</w:t>
      </w:r>
      <w:r>
        <w:rPr>
          <w:spacing w:val="-64"/>
        </w:rPr>
        <w:t> </w:t>
      </w:r>
      <w:r>
        <w:rPr>
          <w:spacing w:val="-64"/>
        </w:rPr>
      </w:r>
      <w:r>
        <w:rPr>
          <w:spacing w:val="-2"/>
        </w:rPr>
        <w:t>公司经营董事、高级管理人员了解生产经营状况和内部控制制度建设及董事会、股东大会决议的执行情况，关注外部环境变</w:t>
      </w:r>
      <w:r>
        <w:rPr>
          <w:spacing w:val="-63"/>
        </w:rPr>
        <w:t> </w:t>
      </w:r>
      <w:r>
        <w:rPr>
          <w:spacing w:val="-63"/>
        </w:rPr>
      </w:r>
      <w:r>
        <w:rPr>
          <w:spacing w:val="-2"/>
        </w:rPr>
        <w:t>化对公司造成的影响。独立董事利用自己的专业知识和经验对公司的战略发展、内部控制、重大经营决策等提供了专业性意</w:t>
      </w:r>
      <w:r>
        <w:rPr>
          <w:spacing w:val="-63"/>
        </w:rPr>
        <w:t> </w:t>
      </w:r>
      <w:r>
        <w:rPr>
          <w:spacing w:val="-63"/>
        </w:rPr>
      </w:r>
      <w:r>
        <w:rPr>
          <w:spacing w:val="-4"/>
        </w:rPr>
        <w:t>见，对公司财务及生产经营活动、信息披露工作进行有效监督，为公司未来发展和规范运作及提升管理水平起到了积极作用。</w:t>
      </w:r>
    </w:p>
    <w:p>
      <w:pPr>
        <w:pStyle w:val="BodyText"/>
        <w:spacing w:line="316" w:lineRule="auto" w:before="20"/>
        <w:ind w:right="1130" w:firstLine="288"/>
        <w:jc w:val="both"/>
      </w:pPr>
      <w:r>
        <w:rPr>
          <w:spacing w:val="-1"/>
        </w:rPr>
        <w:t>报告期内，公司独立董事利用各自专业上的优势对公司聘任会计师事务所、股权转让、关联交易、聘任董事、监事、高</w:t>
      </w:r>
      <w:r>
        <w:rPr/>
        <w:t> </w:t>
      </w:r>
      <w:r>
        <w:rPr>
          <w:spacing w:val="-2"/>
        </w:rPr>
        <w:t>级管理人员等重要事项作出了独立、客观、公正的判断，发表了独立董事事前认可意见或独立董事意见，并且对公司经营管</w:t>
      </w:r>
      <w:r>
        <w:rPr>
          <w:spacing w:val="-64"/>
        </w:rPr>
        <w:t> </w:t>
      </w:r>
      <w:r>
        <w:rPr>
          <w:spacing w:val="-64"/>
        </w:rPr>
      </w:r>
      <w:r>
        <w:rPr/>
        <w:t>理、规范运作等方面提出了很多宝贵的专业性建议。</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288"/>
        <w:jc w:val="both"/>
      </w:pPr>
      <w:r>
        <w:rPr>
          <w:spacing w:val="-1"/>
        </w:rPr>
        <w:t>为进一步完善公司法人治理结构，促进公司董事会科学、高效决策以及建立对公司管理层绩效评价机制和激励机制，根</w:t>
      </w:r>
      <w:r>
        <w:rPr/>
        <w:t> </w:t>
      </w:r>
      <w:r>
        <w:rPr>
          <w:spacing w:val="-2"/>
        </w:rPr>
        <w:t>据《上市公司治理准则》及公司章程等有关规定，公司董事会设立战略委员会、审计委员会、提名委员会、薪酬与考核委员</w:t>
      </w:r>
      <w:r>
        <w:rPr>
          <w:spacing w:val="-68"/>
        </w:rPr>
        <w:t> </w:t>
      </w:r>
      <w:r>
        <w:rPr>
          <w:spacing w:val="-68"/>
        </w:rPr>
      </w:r>
      <w:r>
        <w:rPr/>
        <w:t>会四个董事会下设专门委员会。报告期内，各委员会履职情况如下：</w:t>
      </w:r>
    </w:p>
    <w:p>
      <w:pPr>
        <w:pStyle w:val="BodyText"/>
        <w:spacing w:line="316" w:lineRule="auto" w:before="19"/>
        <w:ind w:left="441" w:right="1195"/>
        <w:jc w:val="left"/>
      </w:pPr>
      <w:r>
        <w:rPr/>
        <w:t>（一）审计委员会履职情况 报告期内，审计委员会共召开</w:t>
      </w:r>
      <w:r>
        <w:rPr>
          <w:rFonts w:ascii="Times New Roman" w:hAnsi="Times New Roman" w:cs="Times New Roman" w:eastAsia="Times New Roman" w:hint="default"/>
        </w:rPr>
        <w:t>5</w:t>
      </w:r>
      <w:r>
        <w:rPr/>
        <w:t>次会议，对公司</w:t>
      </w:r>
      <w:r>
        <w:rPr>
          <w:rFonts w:ascii="Times New Roman" w:hAnsi="Times New Roman" w:cs="Times New Roman" w:eastAsia="Times New Roman" w:hint="default"/>
        </w:rPr>
        <w:t>2018</w:t>
      </w:r>
      <w:r>
        <w:rPr/>
        <w:t>年度财务审计报告、定期报告、内部控制报告、内部审计工作报告</w:t>
      </w:r>
    </w:p>
    <w:p>
      <w:pPr>
        <w:pStyle w:val="BodyText"/>
        <w:spacing w:line="304" w:lineRule="auto"/>
        <w:ind w:right="1131"/>
        <w:jc w:val="both"/>
      </w:pPr>
      <w:r>
        <w:rPr>
          <w:spacing w:val="-2"/>
        </w:rPr>
        <w:t>及审计计划等进行了审议，在</w:t>
      </w:r>
      <w:r>
        <w:rPr>
          <w:rFonts w:ascii="Times New Roman" w:hAnsi="Times New Roman" w:cs="Times New Roman" w:eastAsia="Times New Roman" w:hint="default"/>
          <w:spacing w:val="-2"/>
        </w:rPr>
        <w:t>2018</w:t>
      </w:r>
      <w:r>
        <w:rPr>
          <w:spacing w:val="-2"/>
        </w:rPr>
        <w:t>年度审计过程中，审计委员会在审计机构进场前与会计师进行了第一次沟通，确定了审计</w:t>
      </w:r>
      <w:r>
        <w:rPr>
          <w:spacing w:val="-63"/>
        </w:rPr>
        <w:t> </w:t>
      </w:r>
      <w:r>
        <w:rPr>
          <w:spacing w:val="-63"/>
        </w:rPr>
      </w:r>
      <w:r>
        <w:rPr>
          <w:spacing w:val="-2"/>
        </w:rPr>
        <w:t>机构进场审计的时间安排及</w:t>
      </w:r>
      <w:r>
        <w:rPr>
          <w:rFonts w:ascii="Times New Roman" w:hAnsi="Times New Roman" w:cs="Times New Roman" w:eastAsia="Times New Roman" w:hint="default"/>
          <w:spacing w:val="-2"/>
        </w:rPr>
        <w:t>2018</w:t>
      </w:r>
      <w:r>
        <w:rPr>
          <w:spacing w:val="-2"/>
        </w:rPr>
        <w:t>年度财务报告的审计计划，并在后续审计过程中加强了与会计师的联系，督促其按计划进行</w:t>
      </w:r>
      <w:r>
        <w:rPr>
          <w:spacing w:val="-62"/>
        </w:rPr>
        <w:t> </w:t>
      </w:r>
      <w:r>
        <w:rPr>
          <w:spacing w:val="-62"/>
        </w:rPr>
      </w:r>
      <w:r>
        <w:rPr>
          <w:spacing w:val="-2"/>
        </w:rPr>
        <w:t>审计工作，对发现的问题保持及时有效的沟通，积极提出建议，提高审计效率，为公司</w:t>
      </w:r>
      <w:r>
        <w:rPr>
          <w:rFonts w:ascii="Times New Roman" w:hAnsi="Times New Roman" w:cs="Times New Roman" w:eastAsia="Times New Roman" w:hint="default"/>
          <w:spacing w:val="-2"/>
        </w:rPr>
        <w:t>2018</w:t>
      </w:r>
      <w:r>
        <w:rPr>
          <w:spacing w:val="-2"/>
        </w:rPr>
        <w:t>年度报告的高质、高效披露提供</w:t>
      </w:r>
      <w:r>
        <w:rPr>
          <w:spacing w:val="-61"/>
        </w:rPr>
        <w:t> </w:t>
      </w:r>
      <w:r>
        <w:rPr>
          <w:spacing w:val="-61"/>
        </w:rPr>
      </w:r>
      <w:r>
        <w:rPr>
          <w:spacing w:val="-2"/>
        </w:rPr>
        <w:t>了有力保障。另外对公司全年生产经营情况和重大事项进展情况进行了考察，指导公司审计部在内部审计过程中应重点关注</w:t>
      </w:r>
      <w:r>
        <w:rPr>
          <w:spacing w:val="-64"/>
        </w:rPr>
        <w:t> </w:t>
      </w:r>
      <w:r>
        <w:rPr>
          <w:spacing w:val="-64"/>
        </w:rPr>
      </w:r>
      <w:r>
        <w:rPr/>
        <w:t>和检查的事项，督促公司内部控制的有效执行。</w:t>
      </w:r>
    </w:p>
    <w:p>
      <w:pPr>
        <w:pStyle w:val="BodyText"/>
        <w:spacing w:line="316" w:lineRule="auto" w:before="28"/>
        <w:ind w:left="441" w:right="1195"/>
        <w:jc w:val="left"/>
      </w:pPr>
      <w:r>
        <w:rPr/>
        <w:t>（二）战略委员会履职情况 报告期内，战略委员会共召开</w:t>
      </w:r>
      <w:r>
        <w:rPr>
          <w:rFonts w:ascii="Times New Roman" w:hAnsi="Times New Roman" w:cs="Times New Roman" w:eastAsia="Times New Roman" w:hint="default"/>
        </w:rPr>
        <w:t>2</w:t>
      </w:r>
      <w:r>
        <w:rPr/>
        <w:t>次会议，对公司对外转让全资子公司股权事项进行审议。日常工作中，战略委员会对公</w:t>
      </w:r>
    </w:p>
    <w:p>
      <w:pPr>
        <w:pStyle w:val="BodyText"/>
        <w:spacing w:line="316" w:lineRule="auto"/>
        <w:ind w:right="0"/>
        <w:jc w:val="left"/>
      </w:pPr>
      <w:r>
        <w:rPr>
          <w:spacing w:val="-4"/>
        </w:rPr>
        <w:t>司重大投资决策及其他影响公司发展的重大事项进行研究，提出相关建议，并与公司管理层保持密切沟通，对促进公司持续、</w:t>
      </w:r>
      <w:r>
        <w:rPr>
          <w:spacing w:val="-44"/>
        </w:rPr>
        <w:t> </w:t>
      </w:r>
      <w:r>
        <w:rPr>
          <w:spacing w:val="-44"/>
        </w:rPr>
      </w:r>
      <w:r>
        <w:rPr/>
        <w:t>健康发展，提高公司战略决策的合理性和科学性起到积极良好的作用。</w:t>
      </w:r>
    </w:p>
    <w:p>
      <w:pPr>
        <w:pStyle w:val="BodyText"/>
        <w:spacing w:line="316" w:lineRule="auto" w:before="19"/>
        <w:ind w:left="441" w:right="1195"/>
        <w:jc w:val="left"/>
      </w:pPr>
      <w:r>
        <w:rPr/>
        <w:t>（三）薪酬与考核委员会履职情况 报告期内，薪酬与考核委员会共召开</w:t>
      </w:r>
      <w:r>
        <w:rPr>
          <w:rFonts w:ascii="Times New Roman" w:hAnsi="Times New Roman" w:cs="Times New Roman" w:eastAsia="Times New Roman" w:hint="default"/>
        </w:rPr>
        <w:t>1</w:t>
      </w:r>
      <w:r>
        <w:rPr/>
        <w:t>次会议，对公司薪酬及绩效考核情况进行监督，审查参与公司经营董事及高级管</w:t>
      </w:r>
    </w:p>
    <w:p>
      <w:pPr>
        <w:pStyle w:val="BodyText"/>
        <w:spacing w:line="316" w:lineRule="auto"/>
        <w:ind w:right="0"/>
        <w:jc w:val="left"/>
      </w:pPr>
      <w:r>
        <w:rPr>
          <w:spacing w:val="-2"/>
        </w:rPr>
        <w:t>理人员履行职责的情况并对其进行年度绩效考评，对考核和评价标准提出建议，促进公司在规范运作的基础上，进一步提高</w:t>
      </w:r>
      <w:r>
        <w:rPr>
          <w:spacing w:val="-62"/>
        </w:rPr>
        <w:t> </w:t>
      </w:r>
      <w:r>
        <w:rPr>
          <w:spacing w:val="-62"/>
        </w:rPr>
      </w:r>
      <w:r>
        <w:rPr/>
        <w:t>在薪酬考核方面的科学性。</w:t>
      </w:r>
    </w:p>
    <w:p>
      <w:pPr>
        <w:pStyle w:val="BodyText"/>
        <w:spacing w:line="319" w:lineRule="auto" w:before="19"/>
        <w:ind w:left="441" w:right="1195"/>
        <w:jc w:val="left"/>
      </w:pPr>
      <w:r>
        <w:rPr/>
        <w:t>（四）提名委员会履职情况 报告期内，提名委员会共召开</w:t>
      </w:r>
      <w:r>
        <w:rPr>
          <w:rFonts w:ascii="Times New Roman" w:hAnsi="Times New Roman" w:cs="Times New Roman" w:eastAsia="Times New Roman" w:hint="default"/>
        </w:rPr>
        <w:t>5</w:t>
      </w:r>
      <w:r>
        <w:rPr/>
        <w:t>次会议，对公司董事、高级管理人员的提名、聘任提出了建设性建议，对公司第四届董</w:t>
      </w:r>
    </w:p>
    <w:p>
      <w:pPr>
        <w:pStyle w:val="BodyText"/>
        <w:spacing w:line="233" w:lineRule="exact"/>
        <w:ind w:right="0"/>
        <w:jc w:val="both"/>
      </w:pPr>
      <w:r>
        <w:rPr/>
        <w:t>事会董事、高级管理人员任职资格进行审查，未发现《公司法》及相关法律法规规定的禁止担任上市公司董事、高级管理人</w:t>
      </w:r>
    </w:p>
    <w:p>
      <w:pPr>
        <w:spacing w:after="0" w:line="233" w:lineRule="exact"/>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员的情形。</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监事会在报告期内的监督活动中发现公司是否存在风险</w:t>
      </w:r>
    </w:p>
    <w:p>
      <w:pPr>
        <w:pStyle w:val="BodyText"/>
        <w:spacing w:line="340" w:lineRule="auto" w:before="115"/>
        <w:ind w:right="73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公司监事会对报告期内的监督事项无异议。</w:t>
      </w:r>
    </w:p>
    <w:p>
      <w:pPr>
        <w:spacing w:line="240" w:lineRule="auto" w:before="6"/>
        <w:rPr>
          <w:rFonts w:ascii="宋体" w:hAnsi="宋体" w:cs="宋体" w:eastAsia="宋体" w:hint="default"/>
          <w:sz w:val="19"/>
          <w:szCs w:val="19"/>
        </w:rPr>
      </w:pPr>
    </w:p>
    <w:p>
      <w:pPr>
        <w:pStyle w:val="Heading2"/>
        <w:spacing w:line="240" w:lineRule="auto"/>
        <w:ind w:right="1133"/>
        <w:jc w:val="left"/>
        <w:rPr>
          <w:b w:val="0"/>
          <w:bCs w:val="0"/>
        </w:rPr>
      </w:pP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firstLine="288"/>
        <w:jc w:val="left"/>
      </w:pPr>
      <w:r>
        <w:rPr/>
        <w:t>公司按照《董事、高级管理人员薪酬与考核管理制度》，建立了高级管理人员的薪酬与公司业绩挂钩的绩效考核与激励 </w:t>
      </w:r>
      <w:r>
        <w:rPr>
          <w:spacing w:val="-2"/>
        </w:rPr>
        <w:t>约束机制，公司高级管理人员年薪总收入由基本薪酬和考核薪酬组成。董事会下设薪酬与考核委员会根据公司高级管理人员</w:t>
      </w:r>
      <w:r>
        <w:rPr>
          <w:spacing w:val="-64"/>
        </w:rPr>
        <w:t> </w:t>
      </w:r>
      <w:r>
        <w:rPr>
          <w:spacing w:val="-64"/>
        </w:rPr>
      </w:r>
      <w:r>
        <w:rPr>
          <w:spacing w:val="-4"/>
        </w:rPr>
        <w:t>各自考核指标的完成情况以及高级管理人员的工作业绩，对公司的高级管理人员进行年度绩效考核，监督薪酬制度执行情况，</w:t>
      </w:r>
      <w:r>
        <w:rPr>
          <w:spacing w:val="-44"/>
        </w:rPr>
        <w:t> </w:t>
      </w:r>
      <w:r>
        <w:rPr>
          <w:spacing w:val="-44"/>
        </w:rPr>
      </w:r>
      <w:r>
        <w:rPr>
          <w:spacing w:val="-2"/>
        </w:rPr>
        <w:t>逐步完善公正透明的绩效评价标准和激励约束机制。《公司章程》明确规定了高级管理人员的履职行为、权限和职责，高级</w:t>
      </w:r>
      <w:r>
        <w:rPr>
          <w:spacing w:val="-67"/>
        </w:rPr>
        <w:t> </w:t>
      </w:r>
      <w:r>
        <w:rPr>
          <w:spacing w:val="-67"/>
        </w:rPr>
      </w:r>
      <w:r>
        <w:rPr>
          <w:spacing w:val="-2"/>
        </w:rPr>
        <w:t>管理人员的聘任公开、透明，符合有关法律、法规的规定。公司董事会薪酬与考核委员会根据实际情况对公司高级管理人员</w:t>
      </w:r>
      <w:r>
        <w:rPr>
          <w:spacing w:val="-65"/>
        </w:rPr>
        <w:t> </w:t>
      </w:r>
      <w:r>
        <w:rPr>
          <w:spacing w:val="-65"/>
        </w:rPr>
      </w:r>
      <w:r>
        <w:rPr/>
        <w:t>进行考核后，一致认为现有绩效评价标准和激励约束机制符合公司的发展情况。</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九、内部控制评价报告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3322"/>
        <w:gridCol w:w="3053"/>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161"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6375" w:type="dxa"/>
            <w:gridSpan w:val="2"/>
            <w:vMerge w:val="restart"/>
            <w:tcBorders>
              <w:top w:val="single" w:sz="4" w:space="0" w:color="000000"/>
              <w:left w:val="single" w:sz="4" w:space="0" w:color="000000"/>
              <w:right w:val="single" w:sz="4" w:space="0" w:color="000000"/>
            </w:tcBorders>
          </w:tcPr>
          <w:p>
            <w:pPr>
              <w:pStyle w:val="TableParagraph"/>
              <w:spacing w:line="297" w:lineRule="auto" w:before="51"/>
              <w:ind w:left="24" w:right="91"/>
              <w:jc w:val="left"/>
              <w:rPr>
                <w:rFonts w:ascii="宋体" w:hAnsi="宋体" w:cs="宋体" w:eastAsia="宋体" w:hint="default"/>
                <w:sz w:val="18"/>
                <w:szCs w:val="18"/>
              </w:rPr>
            </w:pPr>
            <w:r>
              <w:rPr>
                <w:rFonts w:ascii="宋体" w:hAnsi="宋体" w:cs="宋体" w:eastAsia="宋体" w:hint="default"/>
                <w:spacing w:val="-5"/>
                <w:w w:val="99"/>
                <w:sz w:val="18"/>
                <w:szCs w:val="18"/>
              </w:rPr>
              <w:t>巨潮资讯网（</w:t>
            </w:r>
            <w:hyperlink r:id="rId13">
              <w:r>
                <w:rPr>
                  <w:rFonts w:ascii="Times New Roman" w:hAnsi="Times New Roman" w:cs="Times New Roman" w:eastAsia="Times New Roman" w:hint="default"/>
                  <w:spacing w:val="-5"/>
                  <w:w w:val="99"/>
                  <w:sz w:val="18"/>
                  <w:szCs w:val="18"/>
                </w:rPr>
                <w:t>http://www.cninfo.com.cn</w:t>
              </w:r>
            </w:hyperlink>
            <w:r>
              <w:rPr>
                <w:rFonts w:ascii="宋体" w:hAnsi="宋体" w:cs="宋体" w:eastAsia="宋体" w:hint="default"/>
                <w:spacing w:val="-5"/>
                <w:w w:val="99"/>
                <w:sz w:val="18"/>
                <w:szCs w:val="18"/>
              </w:rPr>
              <w:t>）：易联众：《</w:t>
            </w:r>
            <w:r>
              <w:rPr>
                <w:rFonts w:ascii="Times New Roman" w:hAnsi="Times New Roman" w:cs="Times New Roman" w:eastAsia="Times New Roman" w:hint="default"/>
                <w:spacing w:val="-5"/>
                <w:w w:val="99"/>
                <w:sz w:val="18"/>
                <w:szCs w:val="18"/>
              </w:rPr>
              <w:t>2019</w:t>
            </w:r>
            <w:r>
              <w:rPr>
                <w:rFonts w:ascii="Times New Roman" w:hAnsi="Times New Roman" w:cs="Times New Roman" w:eastAsia="Times New Roman" w:hint="default"/>
                <w:spacing w:val="10"/>
                <w:w w:val="99"/>
                <w:sz w:val="18"/>
                <w:szCs w:val="18"/>
              </w:rPr>
              <w:t> </w:t>
            </w:r>
            <w:r>
              <w:rPr>
                <w:rFonts w:ascii="宋体" w:hAnsi="宋体" w:cs="宋体" w:eastAsia="宋体" w:hint="default"/>
                <w:spacing w:val="-1"/>
                <w:sz w:val="18"/>
                <w:szCs w:val="18"/>
              </w:rPr>
              <w:t>年度内部控制自我评价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报告》</w:t>
            </w:r>
          </w:p>
        </w:tc>
      </w:tr>
      <w:tr>
        <w:trPr>
          <w:trHeight w:val="391"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vMerge/>
            <w:tcBorders>
              <w:left w:val="single" w:sz="4" w:space="0" w:color="000000"/>
              <w:right w:val="single" w:sz="4" w:space="0" w:color="000000"/>
            </w:tcBorders>
          </w:tcPr>
          <w:p>
            <w:pPr/>
          </w:p>
        </w:tc>
      </w:tr>
      <w:tr>
        <w:trPr>
          <w:trHeight w:val="161"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6375" w:type="dxa"/>
            <w:gridSpan w:val="2"/>
            <w:vMerge/>
            <w:tcBorders>
              <w:left w:val="single" w:sz="4" w:space="0" w:color="000000"/>
              <w:bottom w:val="single" w:sz="4" w:space="0" w:color="000000"/>
              <w:right w:val="single" w:sz="4" w:space="0" w:color="000000"/>
            </w:tcBorders>
          </w:tcPr>
          <w:p>
            <w:pP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9"/>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5" w:type="dxa"/>
            <w:gridSpan w:val="2"/>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97" w:hRule="exact"/>
        </w:trPr>
        <w:tc>
          <w:tcPr>
            <w:tcW w:w="3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322" w:type="dxa"/>
            <w:vMerge w:val="restart"/>
            <w:tcBorders>
              <w:top w:val="single" w:sz="4" w:space="0" w:color="000000"/>
              <w:left w:val="single" w:sz="4" w:space="0" w:color="000000"/>
              <w:right w:val="single" w:sz="4" w:space="0" w:color="000000"/>
            </w:tcBorders>
          </w:tcPr>
          <w:p>
            <w:pPr>
              <w:pStyle w:val="TableParagraph"/>
              <w:spacing w:line="307" w:lineRule="auto" w:before="51"/>
              <w:ind w:left="24" w:right="43"/>
              <w:jc w:val="both"/>
              <w:rPr>
                <w:rFonts w:ascii="宋体" w:hAnsi="宋体" w:cs="宋体" w:eastAsia="宋体" w:hint="default"/>
                <w:sz w:val="18"/>
                <w:szCs w:val="18"/>
              </w:rPr>
            </w:pPr>
            <w:r>
              <w:rPr>
                <w:rFonts w:ascii="宋体" w:hAnsi="宋体" w:cs="宋体" w:eastAsia="宋体" w:hint="default"/>
                <w:sz w:val="18"/>
                <w:szCs w:val="18"/>
              </w:rPr>
              <w:t>重大缺陷：是指一个或多个控制缺陷的组 合，可能导致企业严重偏离控制目标。发 </w:t>
            </w:r>
            <w:r>
              <w:rPr>
                <w:rFonts w:ascii="宋体" w:hAnsi="宋体" w:cs="宋体" w:eastAsia="宋体" w:hint="default"/>
                <w:spacing w:val="-5"/>
                <w:sz w:val="18"/>
                <w:szCs w:val="18"/>
              </w:rPr>
              <w:t>生重大缺陷的迹象包括：（</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）控制环境无</w:t>
            </w:r>
            <w:r>
              <w:rPr>
                <w:rFonts w:ascii="宋体" w:hAnsi="宋体" w:cs="宋体" w:eastAsia="宋体" w:hint="default"/>
                <w:spacing w:val="-86"/>
                <w:sz w:val="18"/>
                <w:szCs w:val="18"/>
              </w:rPr>
              <w:t> </w:t>
            </w:r>
            <w:r>
              <w:rPr>
                <w:rFonts w:ascii="宋体" w:hAnsi="宋体" w:cs="宋体" w:eastAsia="宋体" w:hint="default"/>
                <w:spacing w:val="-5"/>
                <w:sz w:val="18"/>
                <w:szCs w:val="18"/>
              </w:rPr>
              <w:t>效；（</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）公司董事、监事和高级管理人员</w:t>
            </w:r>
            <w:r>
              <w:rPr>
                <w:rFonts w:ascii="宋体" w:hAnsi="宋体" w:cs="宋体" w:eastAsia="宋体" w:hint="default"/>
                <w:spacing w:val="-86"/>
                <w:sz w:val="18"/>
                <w:szCs w:val="18"/>
              </w:rPr>
              <w:t> </w:t>
            </w:r>
            <w:r>
              <w:rPr>
                <w:rFonts w:ascii="宋体" w:hAnsi="宋体" w:cs="宋体" w:eastAsia="宋体" w:hint="default"/>
                <w:spacing w:val="-5"/>
                <w:sz w:val="18"/>
                <w:szCs w:val="18"/>
              </w:rPr>
              <w:t>的舞弊行为；（</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）对已经公告的财务报告</w:t>
            </w:r>
            <w:r>
              <w:rPr>
                <w:rFonts w:ascii="宋体" w:hAnsi="宋体" w:cs="宋体" w:eastAsia="宋体" w:hint="default"/>
                <w:spacing w:val="-86"/>
                <w:sz w:val="18"/>
                <w:szCs w:val="18"/>
              </w:rPr>
              <w:t> </w:t>
            </w:r>
            <w:r>
              <w:rPr>
                <w:rFonts w:ascii="宋体" w:hAnsi="宋体" w:cs="宋体" w:eastAsia="宋体" w:hint="default"/>
                <w:spacing w:val="-5"/>
                <w:sz w:val="18"/>
                <w:szCs w:val="18"/>
              </w:rPr>
              <w:t>出现的重大差错进行错报更正；（</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）审计</w:t>
            </w:r>
            <w:r>
              <w:rPr>
                <w:rFonts w:ascii="宋体" w:hAnsi="宋体" w:cs="宋体" w:eastAsia="宋体" w:hint="default"/>
                <w:spacing w:val="-83"/>
                <w:sz w:val="18"/>
                <w:szCs w:val="18"/>
              </w:rPr>
              <w:t> </w:t>
            </w:r>
            <w:r>
              <w:rPr>
                <w:rFonts w:ascii="宋体" w:hAnsi="宋体" w:cs="宋体" w:eastAsia="宋体" w:hint="default"/>
                <w:sz w:val="18"/>
                <w:szCs w:val="18"/>
              </w:rPr>
              <w:t>委员会和审计部门对公司的对外财务报告 和财务报告内部控制监督无效。</w:t>
            </w:r>
          </w:p>
        </w:tc>
        <w:tc>
          <w:tcPr>
            <w:tcW w:w="3053" w:type="dxa"/>
            <w:vMerge w:val="restart"/>
            <w:tcBorders>
              <w:top w:val="single" w:sz="4" w:space="0" w:color="000000"/>
              <w:left w:val="single" w:sz="4" w:space="0" w:color="000000"/>
              <w:right w:val="single" w:sz="4" w:space="0" w:color="000000"/>
            </w:tcBorders>
          </w:tcPr>
          <w:p>
            <w:pPr>
              <w:pStyle w:val="TableParagraph"/>
              <w:spacing w:line="316" w:lineRule="auto" w:before="51"/>
              <w:ind w:left="26" w:right="-43"/>
              <w:jc w:val="both"/>
              <w:rPr>
                <w:rFonts w:ascii="宋体" w:hAnsi="宋体" w:cs="宋体" w:eastAsia="宋体" w:hint="default"/>
                <w:sz w:val="18"/>
                <w:szCs w:val="18"/>
              </w:rPr>
            </w:pPr>
            <w:r>
              <w:rPr>
                <w:rFonts w:ascii="宋体" w:hAnsi="宋体" w:cs="宋体" w:eastAsia="宋体" w:hint="default"/>
                <w:sz w:val="18"/>
                <w:szCs w:val="18"/>
              </w:rPr>
              <w:t>具有以下特征的缺陷，认定为重大缺 </w:t>
            </w:r>
            <w:r>
              <w:rPr>
                <w:rFonts w:ascii="宋体" w:hAnsi="宋体" w:cs="宋体" w:eastAsia="宋体" w:hint="default"/>
                <w:spacing w:val="-6"/>
                <w:sz w:val="18"/>
                <w:szCs w:val="18"/>
              </w:rPr>
              <w:t>陷：（</w:t>
            </w: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）公司决策程序导致重大失误；</w:t>
            </w:r>
          </w:p>
          <w:p>
            <w:pPr>
              <w:pStyle w:val="TableParagraph"/>
              <w:spacing w:line="300" w:lineRule="auto"/>
              <w:ind w:left="26"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）公司重要业务缺乏制度控制或制 </w:t>
            </w:r>
            <w:r>
              <w:rPr>
                <w:rFonts w:ascii="宋体" w:hAnsi="宋体" w:cs="宋体" w:eastAsia="宋体" w:hint="default"/>
                <w:spacing w:val="-9"/>
                <w:sz w:val="18"/>
                <w:szCs w:val="18"/>
              </w:rPr>
              <w:t>度体系失效；（</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）中高级管理人员和高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9"/>
                <w:sz w:val="18"/>
                <w:szCs w:val="18"/>
              </w:rPr>
              <w:t>级技术人员严重流失；（</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）公司违反法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律法规，遭受重大行政监管处罚。</w:t>
            </w:r>
          </w:p>
          <w:p>
            <w:pPr>
              <w:pStyle w:val="TableParagraph"/>
              <w:spacing w:line="316" w:lineRule="auto" w:before="72"/>
              <w:ind w:left="26" w:right="20"/>
              <w:jc w:val="both"/>
              <w:rPr>
                <w:rFonts w:ascii="宋体" w:hAnsi="宋体" w:cs="宋体" w:eastAsia="宋体" w:hint="default"/>
                <w:sz w:val="18"/>
                <w:szCs w:val="18"/>
              </w:rPr>
            </w:pPr>
            <w:r>
              <w:rPr>
                <w:rFonts w:ascii="宋体" w:hAnsi="宋体" w:cs="宋体" w:eastAsia="宋体" w:hint="default"/>
                <w:sz w:val="18"/>
                <w:szCs w:val="18"/>
              </w:rPr>
              <w:t>具有以下特征的缺陷，认定为重要缺 </w:t>
            </w:r>
            <w:r>
              <w:rPr>
                <w:rFonts w:ascii="宋体" w:hAnsi="宋体" w:cs="宋体" w:eastAsia="宋体" w:hint="default"/>
                <w:spacing w:val="-9"/>
                <w:sz w:val="18"/>
                <w:szCs w:val="18"/>
              </w:rPr>
              <w:t>陷：（</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）公司决策程序导致出现一般失</w:t>
            </w:r>
          </w:p>
        </w:tc>
      </w:tr>
      <w:tr>
        <w:trPr>
          <w:trHeight w:val="394" w:hRule="exact"/>
        </w:trPr>
        <w:tc>
          <w:tcPr>
            <w:tcW w:w="3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vMerge/>
            <w:tcBorders>
              <w:left w:val="single" w:sz="4" w:space="0" w:color="000000"/>
              <w:right w:val="single" w:sz="4" w:space="0" w:color="000000"/>
            </w:tcBorders>
          </w:tcPr>
          <w:p>
            <w:pPr/>
          </w:p>
        </w:tc>
        <w:tc>
          <w:tcPr>
            <w:tcW w:w="3053" w:type="dxa"/>
            <w:vMerge/>
            <w:tcBorders>
              <w:left w:val="single" w:sz="4" w:space="0" w:color="000000"/>
              <w:right w:val="single" w:sz="4" w:space="0" w:color="000000"/>
            </w:tcBorders>
          </w:tcPr>
          <w:p>
            <w:pPr/>
          </w:p>
        </w:tc>
      </w:tr>
      <w:tr>
        <w:trPr>
          <w:trHeight w:val="1097" w:hRule="exact"/>
        </w:trPr>
        <w:tc>
          <w:tcPr>
            <w:tcW w:w="3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3322" w:type="dxa"/>
            <w:vMerge/>
            <w:tcBorders>
              <w:left w:val="single" w:sz="4" w:space="0" w:color="000000"/>
              <w:bottom w:val="single" w:sz="4" w:space="0" w:color="000000"/>
              <w:right w:val="single" w:sz="4" w:space="0" w:color="000000"/>
            </w:tcBorders>
          </w:tcPr>
          <w:p>
            <w:pPr/>
          </w:p>
        </w:tc>
        <w:tc>
          <w:tcPr>
            <w:tcW w:w="3053"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304.72699pt;margin-top:295.489990pt;width:230.25pt;height:429.2pt;mso-position-horizontal-relative:page;mso-position-vertical-relative:page;z-index:-1326544"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08"/>
                    <w:ind w:left="0" w:right="0"/>
                    <w:jc w:val="left"/>
                  </w:pPr>
                  <w:r>
                    <w:rPr/>
                    <w:t>涉及净资产的错报：</w:t>
                  </w:r>
                </w:p>
              </w:txbxContent>
            </v:textbox>
            <w10:wrap type="none"/>
          </v:shape>
        </w:pict>
      </w: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3322"/>
        <w:gridCol w:w="3053"/>
      </w:tblGrid>
      <w:tr>
        <w:trPr>
          <w:trHeight w:val="4458"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11"/>
              <w:ind w:left="24" w:right="47"/>
              <w:jc w:val="both"/>
              <w:rPr>
                <w:rFonts w:ascii="宋体" w:hAnsi="宋体" w:cs="宋体" w:eastAsia="宋体" w:hint="default"/>
                <w:sz w:val="18"/>
                <w:szCs w:val="18"/>
              </w:rPr>
            </w:pPr>
            <w:r>
              <w:rPr>
                <w:rFonts w:ascii="宋体" w:hAnsi="宋体" w:cs="宋体" w:eastAsia="宋体" w:hint="default"/>
                <w:sz w:val="18"/>
                <w:szCs w:val="18"/>
              </w:rPr>
              <w:t>重要缺陷：是指一个或多个控制缺陷的组 合，其严重程度和经济后果低于重大缺陷 但仍有可能导致企业偏离控制目标。出现 以下特征的，认定为存在财务报告内部控 </w:t>
            </w:r>
            <w:r>
              <w:rPr>
                <w:rFonts w:ascii="宋体" w:hAnsi="宋体" w:cs="宋体" w:eastAsia="宋体" w:hint="default"/>
                <w:spacing w:val="-5"/>
                <w:sz w:val="18"/>
                <w:szCs w:val="18"/>
              </w:rPr>
              <w:t>制重要缺陷：（</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）未依照公认会计准则选</w:t>
            </w:r>
            <w:r>
              <w:rPr>
                <w:rFonts w:ascii="宋体" w:hAnsi="宋体" w:cs="宋体" w:eastAsia="宋体" w:hint="default"/>
                <w:spacing w:val="-86"/>
                <w:sz w:val="18"/>
                <w:szCs w:val="18"/>
              </w:rPr>
              <w:t> </w:t>
            </w:r>
            <w:r>
              <w:rPr>
                <w:rFonts w:ascii="宋体" w:hAnsi="宋体" w:cs="宋体" w:eastAsia="宋体" w:hint="default"/>
                <w:spacing w:val="-5"/>
                <w:sz w:val="18"/>
                <w:szCs w:val="18"/>
              </w:rPr>
              <w:t>择和应用会计政策；（</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）未建立反舞弊程</w:t>
            </w:r>
            <w:r>
              <w:rPr>
                <w:rFonts w:ascii="宋体" w:hAnsi="宋体" w:cs="宋体" w:eastAsia="宋体" w:hint="default"/>
                <w:spacing w:val="-86"/>
                <w:sz w:val="18"/>
                <w:szCs w:val="18"/>
              </w:rPr>
              <w:t> </w:t>
            </w:r>
            <w:r>
              <w:rPr>
                <w:rFonts w:ascii="宋体" w:hAnsi="宋体" w:cs="宋体" w:eastAsia="宋体" w:hint="default"/>
                <w:spacing w:val="-5"/>
                <w:sz w:val="18"/>
                <w:szCs w:val="18"/>
              </w:rPr>
              <w:t>序和控制措施；（</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）对于非常规或特殊交</w:t>
            </w:r>
            <w:r>
              <w:rPr>
                <w:rFonts w:ascii="宋体" w:hAnsi="宋体" w:cs="宋体" w:eastAsia="宋体" w:hint="default"/>
                <w:spacing w:val="-86"/>
                <w:sz w:val="18"/>
                <w:szCs w:val="18"/>
              </w:rPr>
              <w:t> </w:t>
            </w:r>
            <w:r>
              <w:rPr>
                <w:rFonts w:ascii="宋体" w:hAnsi="宋体" w:cs="宋体" w:eastAsia="宋体" w:hint="default"/>
                <w:sz w:val="18"/>
                <w:szCs w:val="18"/>
              </w:rPr>
              <w:t>易的财务处理没有建立或实施相应的控制 </w:t>
            </w:r>
            <w:r>
              <w:rPr>
                <w:rFonts w:ascii="宋体" w:hAnsi="宋体" w:cs="宋体" w:eastAsia="宋体" w:hint="default"/>
                <w:spacing w:val="-5"/>
                <w:sz w:val="18"/>
                <w:szCs w:val="18"/>
              </w:rPr>
              <w:t>机制，且没有相应的补偿性控制；（</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）对</w:t>
            </w:r>
            <w:r>
              <w:rPr>
                <w:rFonts w:ascii="宋体" w:hAnsi="宋体" w:cs="宋体" w:eastAsia="宋体" w:hint="default"/>
                <w:spacing w:val="-86"/>
                <w:sz w:val="18"/>
                <w:szCs w:val="18"/>
              </w:rPr>
              <w:t> </w:t>
            </w:r>
            <w:r>
              <w:rPr>
                <w:rFonts w:ascii="宋体" w:hAnsi="宋体" w:cs="宋体" w:eastAsia="宋体" w:hint="default"/>
                <w:sz w:val="18"/>
                <w:szCs w:val="18"/>
              </w:rPr>
              <w:t>于编制期末财务报告过程的控制存在一项 或多项缺陷且不能合理保证编制的财务报 表达到真实、准确的目标。</w:t>
            </w:r>
          </w:p>
          <w:p>
            <w:pPr>
              <w:pStyle w:val="TableParagraph"/>
              <w:spacing w:line="316" w:lineRule="auto" w:before="63"/>
              <w:ind w:left="24" w:right="46"/>
              <w:jc w:val="both"/>
              <w:rPr>
                <w:rFonts w:ascii="宋体" w:hAnsi="宋体" w:cs="宋体" w:eastAsia="宋体" w:hint="default"/>
                <w:sz w:val="18"/>
                <w:szCs w:val="18"/>
              </w:rPr>
            </w:pPr>
            <w:r>
              <w:rPr>
                <w:rFonts w:ascii="宋体" w:hAnsi="宋体" w:cs="宋体" w:eastAsia="宋体" w:hint="default"/>
                <w:sz w:val="18"/>
                <w:szCs w:val="18"/>
              </w:rPr>
              <w:t>一般缺陷：是指除重大缺陷和重要缺陷之 外的其他控制缺陷。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11"/>
              <w:ind w:left="26" w:right="20"/>
              <w:jc w:val="both"/>
              <w:rPr>
                <w:rFonts w:ascii="宋体" w:hAnsi="宋体" w:cs="宋体" w:eastAsia="宋体" w:hint="default"/>
                <w:sz w:val="18"/>
                <w:szCs w:val="18"/>
              </w:rPr>
            </w:pPr>
            <w:r>
              <w:rPr>
                <w:rFonts w:ascii="宋体" w:hAnsi="宋体" w:cs="宋体" w:eastAsia="宋体" w:hint="default"/>
                <w:spacing w:val="-9"/>
                <w:sz w:val="18"/>
                <w:szCs w:val="18"/>
              </w:rPr>
              <w:t>误；（</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）公司重要业务制度或系统存在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缺陷；（</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）公司关键岗位业务人员流失</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严重；（</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）公司违反规章制度，形成损</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4"/>
                <w:sz w:val="18"/>
                <w:szCs w:val="18"/>
              </w:rPr>
              <w:t>失；除重大缺陷和重要缺陷之外的其他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控制缺陷为一般缺陷。</w:t>
            </w:r>
          </w:p>
        </w:tc>
      </w:tr>
      <w:tr>
        <w:trPr>
          <w:trHeight w:val="859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3"/>
              <w:ind w:left="24" w:right="18"/>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）符合下列条件之一的，认定为重大缺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陷：</w:t>
            </w:r>
            <w:r>
              <w:rPr>
                <w:rFonts w:ascii="Times New Roman" w:hAnsi="Times New Roman" w:cs="Times New Roman" w:eastAsia="Times New Roman" w:hint="default"/>
                <w:spacing w:val="-8"/>
                <w:sz w:val="18"/>
                <w:szCs w:val="18"/>
              </w:rPr>
              <w:t>a</w:t>
            </w:r>
            <w:r>
              <w:rPr>
                <w:rFonts w:ascii="宋体" w:hAnsi="宋体" w:cs="宋体" w:eastAsia="宋体" w:hint="default"/>
                <w:spacing w:val="-8"/>
                <w:sz w:val="18"/>
                <w:szCs w:val="18"/>
              </w:rPr>
              <w:t>）涉及资产、负债的错报：错报金额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合并报表最近一个会计年度经审计资产总 额</w:t>
            </w:r>
            <w:r>
              <w:rPr>
                <w:rFonts w:ascii="宋体" w:hAnsi="宋体" w:cs="宋体" w:eastAsia="宋体" w:hint="default"/>
                <w:spacing w:val="12"/>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b</w:t>
            </w:r>
            <w:r>
              <w:rPr>
                <w:rFonts w:ascii="宋体" w:hAnsi="宋体" w:cs="宋体" w:eastAsia="宋体" w:hint="default"/>
                <w:spacing w:val="-8"/>
                <w:sz w:val="18"/>
                <w:szCs w:val="18"/>
              </w:rPr>
              <w:t>）涉及净资产的错报：错报金额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合并报表最近一个会计年度经审计净资产 总额</w:t>
            </w:r>
            <w:r>
              <w:rPr>
                <w:rFonts w:ascii="宋体" w:hAnsi="宋体" w:cs="宋体" w:eastAsia="宋体" w:hint="default"/>
                <w:spacing w:val="14"/>
                <w:sz w:val="18"/>
                <w:szCs w:val="18"/>
              </w:rPr>
              <w:t> </w:t>
            </w: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c</w:t>
            </w:r>
            <w:r>
              <w:rPr>
                <w:rFonts w:ascii="宋体" w:hAnsi="宋体" w:cs="宋体" w:eastAsia="宋体" w:hint="default"/>
                <w:spacing w:val="-8"/>
                <w:sz w:val="18"/>
                <w:szCs w:val="18"/>
              </w:rPr>
              <w:t>）涉及收入的错报：错报金额</w:t>
            </w:r>
            <w:r>
              <w:rPr>
                <w:rFonts w:ascii="Times New Roman" w:hAnsi="Times New Roman" w:cs="Times New Roman" w:eastAsia="Times New Roman" w:hint="default"/>
                <w:spacing w:val="-8"/>
                <w:sz w:val="18"/>
                <w:szCs w:val="18"/>
              </w:rPr>
              <w:t>&gt;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合并报表最近一个会计年度经审计收入总 额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304" w:lineRule="auto" w:before="48"/>
              <w:ind w:left="24"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）符合下列条件之一的，认定为重要缺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陷：</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）涉及资产、负债的错报：合并报表</w:t>
            </w:r>
            <w:r>
              <w:rPr>
                <w:rFonts w:ascii="宋体" w:hAnsi="宋体" w:cs="宋体" w:eastAsia="宋体" w:hint="default"/>
                <w:sz w:val="18"/>
                <w:szCs w:val="18"/>
              </w:rPr>
              <w:t> 最近一个会计年度经审计资产总额 </w:t>
            </w:r>
            <w:r>
              <w:rPr>
                <w:rFonts w:ascii="Times New Roman" w:hAnsi="Times New Roman" w:cs="Times New Roman" w:eastAsia="Times New Roman" w:hint="default"/>
                <w:sz w:val="18"/>
                <w:szCs w:val="18"/>
              </w:rPr>
              <w:t>3%&lt; </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 审计资产总额 </w:t>
            </w:r>
            <w:r>
              <w:rPr>
                <w:rFonts w:ascii="Times New Roman" w:hAnsi="Times New Roman" w:cs="Times New Roman" w:eastAsia="Times New Roman" w:hint="default"/>
                <w:spacing w:val="-13"/>
                <w:sz w:val="18"/>
                <w:szCs w:val="18"/>
              </w:rPr>
              <w:t>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b</w:t>
            </w:r>
            <w:r>
              <w:rPr>
                <w:rFonts w:ascii="宋体" w:hAnsi="宋体" w:cs="宋体" w:eastAsia="宋体" w:hint="default"/>
                <w:spacing w:val="-13"/>
                <w:sz w:val="18"/>
                <w:szCs w:val="18"/>
              </w:rPr>
              <w:t>）</w:t>
            </w:r>
            <w:r>
              <w:rPr>
                <w:rFonts w:ascii="宋体" w:hAnsi="宋体" w:cs="宋体" w:eastAsia="宋体" w:hint="default"/>
                <w:spacing w:val="-86"/>
                <w:sz w:val="18"/>
                <w:szCs w:val="18"/>
              </w:rPr>
              <w:t> </w:t>
            </w:r>
            <w:r>
              <w:rPr>
                <w:rFonts w:ascii="宋体" w:hAnsi="宋体" w:cs="宋体" w:eastAsia="宋体" w:hint="default"/>
                <w:sz w:val="18"/>
                <w:szCs w:val="18"/>
              </w:rPr>
              <w:t>合并报表最近一个会计年度经审计净资产 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 计年度经审计净资产总额</w:t>
            </w:r>
            <w:r>
              <w:rPr>
                <w:rFonts w:ascii="宋体" w:hAnsi="宋体" w:cs="宋体" w:eastAsia="宋体" w:hint="default"/>
                <w:spacing w:val="5"/>
                <w:sz w:val="18"/>
                <w:szCs w:val="18"/>
              </w:rPr>
              <w:t> </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c</w:t>
            </w:r>
            <w:r>
              <w:rPr>
                <w:rFonts w:ascii="宋体" w:hAnsi="宋体" w:cs="宋体" w:eastAsia="宋体" w:hint="default"/>
                <w:spacing w:val="-4"/>
                <w:sz w:val="18"/>
                <w:szCs w:val="18"/>
              </w:rPr>
              <w:t>）涉及收</w:t>
            </w:r>
            <w:r>
              <w:rPr>
                <w:rFonts w:ascii="宋体" w:hAnsi="宋体" w:cs="宋体" w:eastAsia="宋体" w:hint="default"/>
                <w:sz w:val="18"/>
                <w:szCs w:val="18"/>
              </w:rPr>
              <w:t> 入的错报：合并报表最近一个会计年度经 审计收入总额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3%&lt;</w:t>
            </w:r>
            <w:r>
              <w:rPr>
                <w:rFonts w:ascii="宋体" w:hAnsi="宋体" w:cs="宋体" w:eastAsia="宋体" w:hint="default"/>
                <w:sz w:val="18"/>
                <w:szCs w:val="18"/>
              </w:rPr>
              <w:t>错报金额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 近一个会计年度经审计收入总额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300" w:lineRule="auto" w:before="50"/>
              <w:ind w:left="24" w:right="19"/>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）符合下列条件之一的，认定为一般缺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陷：</w:t>
            </w:r>
            <w:r>
              <w:rPr>
                <w:rFonts w:ascii="Times New Roman" w:hAnsi="Times New Roman" w:cs="Times New Roman" w:eastAsia="Times New Roman" w:hint="default"/>
                <w:spacing w:val="-3"/>
                <w:sz w:val="18"/>
                <w:szCs w:val="18"/>
              </w:rPr>
              <w:t>a</w:t>
            </w:r>
            <w:r>
              <w:rPr>
                <w:rFonts w:ascii="宋体" w:hAnsi="宋体" w:cs="宋体" w:eastAsia="宋体" w:hint="default"/>
                <w:spacing w:val="-3"/>
                <w:sz w:val="18"/>
                <w:szCs w:val="18"/>
              </w:rPr>
              <w:t>）涉及资产、负债的错报：错报金额</w:t>
            </w:r>
          </w:p>
          <w:p>
            <w:pPr>
              <w:pStyle w:val="TableParagraph"/>
              <w:spacing w:line="300" w:lineRule="auto" w:before="13"/>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合并报表最近一个会计年度经审计资产 总额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b</w:t>
            </w:r>
            <w:r>
              <w:rPr>
                <w:rFonts w:ascii="宋体" w:hAnsi="宋体" w:cs="宋体" w:eastAsia="宋体" w:hint="default"/>
                <w:sz w:val="18"/>
                <w:szCs w:val="18"/>
              </w:rPr>
              <w:t>）涉及净资产的错报：</w:t>
            </w:r>
            <w:r>
              <w:rPr>
                <w:rFonts w:ascii="宋体" w:hAnsi="宋体" w:cs="宋体" w:eastAsia="宋体" w:hint="default"/>
                <w:spacing w:val="-1"/>
                <w:sz w:val="18"/>
                <w:szCs w:val="18"/>
              </w:rPr>
              <w:t> </w:t>
            </w:r>
            <w:r>
              <w:rPr>
                <w:rFonts w:ascii="宋体" w:hAnsi="宋体" w:cs="宋体" w:eastAsia="宋体" w:hint="default"/>
                <w:sz w:val="18"/>
                <w:szCs w:val="18"/>
              </w:rPr>
              <w:t>错报</w:t>
            </w:r>
            <w:r>
              <w:rPr>
                <w:rFonts w:ascii="宋体" w:hAnsi="宋体" w:cs="宋体" w:eastAsia="宋体" w:hint="default"/>
                <w:sz w:val="18"/>
                <w:szCs w:val="18"/>
              </w:rPr>
              <w:t>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合并报表最近一个会计年度经审计 净资产总额</w:t>
            </w:r>
            <w:r>
              <w:rPr>
                <w:rFonts w:ascii="宋体" w:hAnsi="宋体" w:cs="宋体" w:eastAsia="宋体" w:hint="default"/>
                <w:spacing w:val="12"/>
                <w:sz w:val="18"/>
                <w:szCs w:val="18"/>
              </w:rPr>
              <w:t> </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）涉及收入的错报：错</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报金额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合并报表最近一个会计年度经审 计收入总额</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65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152.1pt;height:132.65pt;mso-position-horizontal-relative:char;mso-position-vertical-relative:line" coordorigin="0,0" coordsize="3042,2653">
                  <v:group style="position:absolute;left:0;top:0;width:3042;height:2653" coordorigin="0,0" coordsize="3042,2653">
                    <v:shape style="position:absolute;left:0;top:0;width:3042;height:2653" coordorigin="0,0" coordsize="3042,2653" path="m0,2652l3041,2652,3041,0,0,0,0,2652xe" filled="true" fillcolor="#ffffff" stroked="false">
                      <v:path arrowok="t"/>
                      <v:fill type="solid"/>
                    </v:shape>
                  </v:group>
                </v:group>
              </w:pict>
            </w:r>
            <w:r>
              <w:rPr>
                <w:rFonts w:ascii="Times New Roman" w:hAnsi="Times New Roman" w:cs="Times New Roman" w:eastAsia="Times New Roman" w:hint="default"/>
                <w:position w:val="-52"/>
                <w:sz w:val="20"/>
                <w:szCs w:val="20"/>
              </w:rPr>
            </w:r>
          </w:p>
          <w:p>
            <w:pPr>
              <w:pStyle w:val="TableParagraph"/>
              <w:spacing w:line="300" w:lineRule="auto" w:before="54"/>
              <w:ind w:left="26" w:right="3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）重大缺陷：缺陷导致的直接损失 金额</w:t>
            </w:r>
            <w:r>
              <w:rPr>
                <w:rFonts w:ascii="Times New Roman" w:hAnsi="Times New Roman" w:cs="Times New Roman" w:eastAsia="Times New Roman" w:hint="default"/>
                <w:sz w:val="18"/>
                <w:szCs w:val="18"/>
              </w:rPr>
              <w:t>&gt;</w:t>
            </w:r>
            <w:r>
              <w:rPr>
                <w:rFonts w:ascii="宋体" w:hAnsi="宋体" w:cs="宋体" w:eastAsia="宋体" w:hint="default"/>
                <w:sz w:val="18"/>
                <w:szCs w:val="18"/>
              </w:rPr>
              <w:t>合并报表最近一期经审计净资产 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300" w:lineRule="auto" w:before="53"/>
              <w:ind w:left="26" w:right="3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）重要缺陷：合并报表最近一期经 审计净资产的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5%&lt;</w:t>
            </w:r>
            <w:r>
              <w:rPr>
                <w:rFonts w:ascii="宋体" w:hAnsi="宋体" w:cs="宋体" w:eastAsia="宋体" w:hint="default"/>
                <w:sz w:val="18"/>
                <w:szCs w:val="18"/>
              </w:rPr>
              <w:t>缺陷导致的直接损 失金额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合并报表最近一期经审计净资 产的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p>
            <w:pPr>
              <w:pStyle w:val="TableParagraph"/>
              <w:spacing w:line="300" w:lineRule="auto" w:before="53"/>
              <w:ind w:left="26" w:right="3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）一般缺陷：缺陷导致的直接损失 金额</w:t>
            </w:r>
            <w:r>
              <w:rPr>
                <w:rFonts w:ascii="Times New Roman" w:hAnsi="Times New Roman" w:cs="Times New Roman" w:eastAsia="Times New Roman" w:hint="default"/>
                <w:sz w:val="18"/>
                <w:szCs w:val="18"/>
              </w:rPr>
              <w:t>≤</w:t>
            </w:r>
            <w:r>
              <w:rPr>
                <w:rFonts w:ascii="宋体" w:hAnsi="宋体" w:cs="宋体" w:eastAsia="宋体" w:hint="default"/>
                <w:sz w:val="18"/>
                <w:szCs w:val="18"/>
              </w:rPr>
              <w:t>合并报表最近一期经审计净资产 的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0"/>
              <w:ind w:right="0"/>
              <w:jc w:val="left"/>
              <w:rPr>
                <w:rFonts w:ascii="Times New Roman" w:hAnsi="Times New Roman" w:cs="Times New Roman" w:eastAsia="Times New Roman" w:hint="default"/>
                <w:sz w:val="16"/>
                <w:szCs w:val="16"/>
              </w:rPr>
            </w:pPr>
          </w:p>
          <w:p>
            <w:pPr>
              <w:pStyle w:val="TableParagraph"/>
              <w:spacing w:line="2652" w:lineRule="exact"/>
              <w:ind w:left="2"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52"/>
                <w:sz w:val="20"/>
                <w:szCs w:val="20"/>
              </w:rPr>
              <w:pict>
                <v:group style="width:152.1pt;height:132.6pt;mso-position-horizontal-relative:char;mso-position-vertical-relative:line" coordorigin="0,0" coordsize="3042,2652">
                  <v:group style="position:absolute;left:0;top:0;width:3042;height:2652" coordorigin="0,0" coordsize="3042,2652">
                    <v:shape style="position:absolute;left:0;top:0;width:3042;height:2652" coordorigin="0,0" coordsize="3042,2652" path="m0,2652l3041,2652,3041,0,0,0,0,2652xe" filled="true" fillcolor="#ffffff" stroked="false">
                      <v:path arrowok="t"/>
                      <v:fill type="solid"/>
                    </v:shape>
                  </v:group>
                </v:group>
              </w:pict>
            </w:r>
            <w:r>
              <w:rPr>
                <w:rFonts w:ascii="Times New Roman" w:hAnsi="Times New Roman" w:cs="Times New Roman" w:eastAsia="Times New Roman" w:hint="default"/>
                <w:position w:val="-52"/>
                <w:sz w:val="20"/>
                <w:szCs w:val="20"/>
              </w:rPr>
            </w:r>
          </w:p>
        </w:tc>
      </w:tr>
      <w:tr>
        <w:trPr>
          <w:trHeight w:val="404"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3194"/>
        <w:gridCol w:w="6375"/>
      </w:tblGrid>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z w:val="18"/>
              </w:rPr>
              <w:t>2</w:t>
            </w:r>
          </w:p>
        </w:tc>
      </w:tr>
    </w:tbl>
    <w:p>
      <w:pPr>
        <w:spacing w:line="240" w:lineRule="auto" w:before="9"/>
        <w:rPr>
          <w:rFonts w:ascii="Times New Roman" w:hAnsi="Times New Roman" w:cs="Times New Roman" w:eastAsia="Times New Roman" w:hint="default"/>
          <w:sz w:val="20"/>
          <w:szCs w:val="20"/>
        </w:rPr>
      </w:pPr>
    </w:p>
    <w:p>
      <w:pPr>
        <w:pStyle w:val="Heading2"/>
        <w:spacing w:line="240" w:lineRule="auto" w:before="26"/>
        <w:ind w:right="1133"/>
        <w:jc w:val="left"/>
        <w:rPr>
          <w:b w:val="0"/>
          <w:bCs w:val="0"/>
        </w:rPr>
      </w:pPr>
      <w:r>
        <w:rPr/>
        <w:t>十、内部控制审计报告或鉴证报告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内部控制鉴证报告</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61"/>
        <w:gridCol w:w="6908"/>
      </w:tblGrid>
      <w:tr>
        <w:trPr>
          <w:trHeight w:val="402"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3"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我们认为，易联众公司于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日按照《企业内部控制基本规范》和相关规定在所有重大方面保持了有效的财 务报告内部控制。</w:t>
            </w:r>
          </w:p>
        </w:tc>
      </w:tr>
      <w:tr>
        <w:trPr>
          <w:trHeight w:val="404"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3">
              <w:r>
                <w:rPr>
                  <w:rFonts w:ascii="Times New Roman" w:hAnsi="Times New Roman" w:cs="Times New Roman" w:eastAsia="Times New Roman" w:hint="default"/>
                  <w:spacing w:val="1"/>
                  <w:sz w:val="18"/>
                  <w:szCs w:val="18"/>
                </w:rPr>
                <w:t>h</w:t>
              </w:r>
              <w:r>
                <w:rPr>
                  <w:rFonts w:ascii="Times New Roman" w:hAnsi="Times New Roman" w:cs="Times New Roman" w:eastAsia="Times New Roman" w:hint="default"/>
                  <w:sz w:val="18"/>
                  <w:szCs w:val="18"/>
                </w:rPr>
                <w:t>tt</w:t>
              </w:r>
              <w:r>
                <w:rPr>
                  <w:rFonts w:ascii="Times New Roman" w:hAnsi="Times New Roman" w:cs="Times New Roman" w:eastAsia="Times New Roman" w:hint="default"/>
                  <w:spacing w:val="1"/>
                  <w:sz w:val="18"/>
                  <w:szCs w:val="18"/>
                </w:rPr>
                <w:t>p</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w</w:t>
              </w:r>
              <w:r>
                <w:rPr>
                  <w:rFonts w:ascii="Times New Roman" w:hAnsi="Times New Roman" w:cs="Times New Roman" w:eastAsia="Times New Roman" w:hint="default"/>
                  <w:spacing w:val="-1"/>
                  <w:w w:val="99"/>
                  <w:sz w:val="18"/>
                  <w:szCs w:val="18"/>
                </w:rPr>
                <w:t>w</w:t>
              </w:r>
              <w:r>
                <w:rPr>
                  <w:rFonts w:ascii="Times New Roman" w:hAnsi="Times New Roman" w:cs="Times New Roman" w:eastAsia="Times New Roman" w:hint="default"/>
                  <w:spacing w:val="-13"/>
                  <w:w w:val="99"/>
                  <w:sz w:val="18"/>
                  <w:szCs w:val="18"/>
                </w:rPr>
                <w:t>w</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z w:val="18"/>
                  <w:szCs w:val="18"/>
                </w:rPr>
                <w:t>i</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3"/>
                  <w:sz w:val="18"/>
                  <w:szCs w:val="18"/>
                </w:rPr>
                <w:t>f</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1"/>
                  <w:sz w:val="18"/>
                  <w:szCs w:val="18"/>
                </w:rPr>
                <w:t>o</w:t>
              </w:r>
              <w:r>
                <w:rPr>
                  <w:rFonts w:ascii="Times New Roman" w:hAnsi="Times New Roman" w:cs="Times New Roman" w:eastAsia="Times New Roman" w:hint="default"/>
                  <w:spacing w:val="-1"/>
                  <w:sz w:val="18"/>
                  <w:szCs w:val="18"/>
                </w:rPr>
                <w:t>m</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c</w:t>
              </w:r>
              <w:r>
                <w:rPr>
                  <w:rFonts w:ascii="Times New Roman" w:hAnsi="Times New Roman" w:cs="Times New Roman" w:eastAsia="Times New Roman" w:hint="default"/>
                  <w:spacing w:val="3"/>
                  <w:sz w:val="18"/>
                  <w:szCs w:val="18"/>
                </w:rPr>
                <w:t>n</w:t>
              </w:r>
            </w:hyperlink>
            <w:r>
              <w:rPr>
                <w:rFonts w:ascii="宋体" w:hAnsi="宋体" w:cs="宋体" w:eastAsia="宋体" w:hint="default"/>
                <w:spacing w:val="-92"/>
                <w:sz w:val="18"/>
                <w:szCs w:val="18"/>
              </w:rPr>
              <w:t>）</w:t>
            </w:r>
            <w:r>
              <w:rPr>
                <w:rFonts w:ascii="宋体" w:hAnsi="宋体" w:cs="宋体" w:eastAsia="宋体" w:hint="default"/>
                <w:sz w:val="18"/>
                <w:szCs w:val="18"/>
              </w:rPr>
              <w:t>：易联众</w:t>
            </w:r>
            <w:r>
              <w:rPr>
                <w:rFonts w:ascii="宋体" w:hAnsi="宋体" w:cs="宋体" w:eastAsia="宋体" w:hint="default"/>
                <w:spacing w:val="-92"/>
                <w:sz w:val="18"/>
                <w:szCs w:val="18"/>
              </w:rPr>
              <w:t>：</w:t>
            </w:r>
            <w:r>
              <w:rPr>
                <w:rFonts w:ascii="宋体" w:hAnsi="宋体" w:cs="宋体" w:eastAsia="宋体" w:hint="default"/>
                <w:sz w:val="18"/>
                <w:szCs w:val="18"/>
              </w:rPr>
              <w:t>《内部控</w:t>
            </w:r>
            <w:r>
              <w:rPr>
                <w:rFonts w:ascii="宋体" w:hAnsi="宋体" w:cs="宋体" w:eastAsia="宋体" w:hint="default"/>
                <w:spacing w:val="2"/>
                <w:sz w:val="18"/>
                <w:szCs w:val="18"/>
              </w:rPr>
              <w:t>制</w:t>
            </w:r>
            <w:r>
              <w:rPr>
                <w:rFonts w:ascii="宋体" w:hAnsi="宋体" w:cs="宋体" w:eastAsia="宋体" w:hint="default"/>
                <w:sz w:val="18"/>
                <w:szCs w:val="18"/>
              </w:rPr>
              <w:t>鉴证报告》</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标准无保留</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1133"/>
        <w:jc w:val="left"/>
      </w:pPr>
      <w:r>
        <w:rPr/>
        <w:t>会计师事务所是否出具非标准意见的内部控制鉴证报告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会计师事务所出具的内部控制鉴证报告与董事会的自我评价报告意见是否一致</w:t>
      </w:r>
    </w:p>
    <w:p>
      <w:pPr>
        <w:pStyle w:val="BodyText"/>
        <w:spacing w:line="240" w:lineRule="auto" w:before="41"/>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045" w:right="1133"/>
        <w:jc w:val="left"/>
        <w:rPr>
          <w:b w:val="0"/>
          <w:bCs w:val="0"/>
        </w:rPr>
      </w:pPr>
      <w:bookmarkStart w:name="_bookmark10" w:id="11"/>
      <w:bookmarkEnd w:id="11"/>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478"/>
        <w:jc w:val="center"/>
        <w:rPr>
          <w:b w:val="0"/>
          <w:bCs w:val="0"/>
        </w:rPr>
      </w:pPr>
      <w:bookmarkStart w:name="_bookmark11" w:id="12"/>
      <w:bookmarkEnd w:id="12"/>
      <w:r>
        <w:rPr>
          <w:b w:val="0"/>
          <w:bCs w:val="0"/>
        </w:rPr>
      </w:r>
      <w:r>
        <w:rPr/>
        <w:t>第十二节财务报告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1133"/>
        <w:jc w:val="left"/>
        <w:rPr>
          <w:b w:val="0"/>
          <w:bCs w:val="0"/>
        </w:rPr>
      </w:pPr>
      <w:r>
        <w:rPr/>
        <w:t>一、审计报告</w:t>
      </w:r>
      <w:r>
        <w:rPr>
          <w:b w:val="0"/>
          <w:bCs w:val="0"/>
        </w:rPr>
      </w:r>
    </w:p>
    <w:p>
      <w:pPr>
        <w:spacing w:line="240" w:lineRule="auto" w:before="6"/>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容诚会计师事务所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容诚审字</w:t>
            </w:r>
            <w:r>
              <w:rPr>
                <w:rFonts w:ascii="Times New Roman" w:hAnsi="Times New Roman" w:cs="Times New Roman" w:eastAsia="Times New Roman" w:hint="default"/>
                <w:sz w:val="18"/>
                <w:szCs w:val="18"/>
              </w:rPr>
              <w:t>[2020]361Z0210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许瑞生、李新星</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宋体" w:hAnsi="宋体" w:cs="宋体" w:eastAsia="宋体" w:hint="default"/>
          <w:b/>
          <w:bCs/>
          <w:sz w:val="18"/>
          <w:szCs w:val="18"/>
        </w:rPr>
      </w:pPr>
    </w:p>
    <w:p>
      <w:pPr>
        <w:spacing w:line="240" w:lineRule="auto" w:before="9"/>
        <w:rPr>
          <w:rFonts w:ascii="宋体" w:hAnsi="宋体" w:cs="宋体" w:eastAsia="宋体" w:hint="default"/>
          <w:b/>
          <w:bCs/>
          <w:sz w:val="12"/>
          <w:szCs w:val="12"/>
        </w:rPr>
      </w:pPr>
    </w:p>
    <w:p>
      <w:pPr>
        <w:spacing w:line="316" w:lineRule="auto" w:before="0"/>
        <w:ind w:left="635" w:right="0" w:hanging="483"/>
        <w:jc w:val="left"/>
        <w:rPr>
          <w:rFonts w:ascii="宋体" w:hAnsi="宋体" w:cs="宋体" w:eastAsia="宋体" w:hint="default"/>
          <w:sz w:val="18"/>
          <w:szCs w:val="18"/>
        </w:rPr>
      </w:pPr>
      <w:r>
        <w:rPr>
          <w:rFonts w:ascii="宋体" w:hAnsi="宋体" w:cs="宋体" w:eastAsia="宋体" w:hint="default"/>
          <w:sz w:val="18"/>
          <w:szCs w:val="18"/>
        </w:rPr>
        <w:t>易联众信息技术股份有限公司全体股东：</w:t>
      </w:r>
      <w:r>
        <w:rPr>
          <w:rFonts w:ascii="宋体" w:hAnsi="宋体" w:cs="宋体" w:eastAsia="宋体" w:hint="default"/>
          <w:sz w:val="18"/>
          <w:szCs w:val="18"/>
        </w:rPr>
        <w:t> </w:t>
      </w:r>
      <w:r>
        <w:rPr>
          <w:rFonts w:ascii="宋体" w:hAnsi="宋体" w:cs="宋体" w:eastAsia="宋体" w:hint="default"/>
          <w:b/>
          <w:bCs/>
          <w:sz w:val="18"/>
          <w:szCs w:val="18"/>
        </w:rPr>
        <w:t>一、审计意见</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40" w:lineRule="auto" w:before="51"/>
        <w:ind w:right="0"/>
        <w:jc w:val="left"/>
      </w:pPr>
      <w:r>
        <w:rPr/>
        <w:br w:type="column"/>
      </w:r>
      <w:r>
        <w:rPr/>
        <w:t>审计报告正文</w:t>
      </w:r>
    </w:p>
    <w:p>
      <w:pPr>
        <w:spacing w:after="0" w:line="240" w:lineRule="auto"/>
        <w:jc w:val="left"/>
        <w:sectPr>
          <w:type w:val="continuous"/>
          <w:pgSz w:w="11910" w:h="16840"/>
          <w:pgMar w:top="1060" w:bottom="1160" w:left="980" w:right="0"/>
          <w:cols w:num="2" w:equalWidth="0">
            <w:col w:w="3484" w:space="796"/>
            <w:col w:w="6650"/>
          </w:cols>
        </w:sectPr>
      </w:pPr>
    </w:p>
    <w:p>
      <w:pPr>
        <w:pStyle w:val="BodyText"/>
        <w:spacing w:line="316" w:lineRule="auto" w:before="19"/>
        <w:ind w:right="1128" w:firstLine="480"/>
        <w:jc w:val="both"/>
        <w:rPr>
          <w:rFonts w:ascii="宋体" w:hAnsi="宋体" w:cs="宋体" w:eastAsia="宋体" w:hint="default"/>
        </w:rPr>
      </w:pPr>
      <w:r>
        <w:rPr>
          <w:spacing w:val="-1"/>
        </w:rPr>
        <w:t>我们审计了易联众信息技术股份有限公司（以下简称易联众公司）财务报表，包括</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日的合并及母公司资</w:t>
      </w:r>
      <w:r>
        <w:rPr/>
        <w:t> </w:t>
      </w:r>
      <w:r>
        <w:rPr>
          <w:spacing w:val="-2"/>
        </w:rPr>
        <w:t>产负债表，</w:t>
      </w:r>
      <w:r>
        <w:rPr>
          <w:rFonts w:ascii="宋体" w:hAnsi="宋体" w:cs="宋体" w:eastAsia="宋体" w:hint="default"/>
          <w:spacing w:val="-2"/>
        </w:rPr>
        <w:t>2019</w:t>
      </w:r>
      <w:r>
        <w:rPr>
          <w:spacing w:val="-2"/>
        </w:rPr>
        <w:t>年度的合并及母公司利润表、合并及母公司现金流量表、合并及母公司所有者权益变动表以及相关财务报表</w:t>
      </w:r>
      <w:r>
        <w:rPr>
          <w:spacing w:val="-60"/>
        </w:rPr>
        <w:t> </w:t>
      </w:r>
      <w:r>
        <w:rPr>
          <w:spacing w:val="-60"/>
        </w:rPr>
      </w:r>
      <w:r>
        <w:rPr/>
        <w:t>附注。</w:t>
      </w:r>
      <w:r>
        <w:rPr>
          <w:rFonts w:ascii="宋体" w:hAnsi="宋体" w:cs="宋体" w:eastAsia="宋体" w:hint="default"/>
        </w:rPr>
        <w:t> </w:t>
      </w:r>
    </w:p>
    <w:p>
      <w:pPr>
        <w:pStyle w:val="BodyText"/>
        <w:spacing w:line="316" w:lineRule="auto" w:before="19"/>
        <w:ind w:right="1131" w:firstLine="480"/>
        <w:jc w:val="both"/>
        <w:rPr>
          <w:rFonts w:ascii="宋体" w:hAnsi="宋体" w:cs="宋体" w:eastAsia="宋体" w:hint="default"/>
        </w:rPr>
      </w:pPr>
      <w:r>
        <w:rPr>
          <w:spacing w:val="-1"/>
        </w:rPr>
        <w:t>我们认为，后附的财务报表在所有重大方面按照企业会计准则的规定编制，公允反映了易联众公司</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日的</w:t>
      </w:r>
      <w:r>
        <w:rPr/>
        <w:t> 合并及母公司财务状况以及</w:t>
      </w:r>
      <w:r>
        <w:rPr>
          <w:rFonts w:ascii="宋体" w:hAnsi="宋体" w:cs="宋体" w:eastAsia="宋体" w:hint="default"/>
        </w:rPr>
        <w:t>2019</w:t>
      </w:r>
      <w:r>
        <w:rPr/>
        <w:t>年度的合并及母公司经营成果和现金流量。</w:t>
      </w:r>
      <w:r>
        <w:rPr>
          <w:rFonts w:ascii="宋体" w:hAnsi="宋体" w:cs="宋体" w:eastAsia="宋体" w:hint="default"/>
        </w:rPr>
        <w:t> </w:t>
      </w:r>
    </w:p>
    <w:p>
      <w:pPr>
        <w:pStyle w:val="BodyText"/>
        <w:spacing w:line="316" w:lineRule="auto" w:before="19"/>
        <w:ind w:left="633" w:right="0" w:firstLine="2"/>
        <w:jc w:val="left"/>
      </w:pPr>
      <w:r>
        <w:rPr>
          <w:rFonts w:ascii="宋体" w:hAnsi="宋体" w:cs="宋体" w:eastAsia="宋体" w:hint="default"/>
          <w:b/>
          <w:bCs/>
        </w:rPr>
        <w:t>二、形成审计意见的基础</w:t>
      </w:r>
      <w:r>
        <w:rPr>
          <w:rFonts w:ascii="宋体" w:hAnsi="宋体" w:cs="宋体" w:eastAsia="宋体" w:hint="default"/>
          <w:b/>
          <w:bCs/>
          <w:w w:val="99"/>
        </w:rPr>
        <w:t> </w:t>
      </w:r>
      <w:r>
        <w:rPr>
          <w:spacing w:val="-1"/>
        </w:rPr>
        <w:t>我们按照中国注册会计师审计准则的规定执行了审计工作。审计报告的“注册会计师对财务报表审计的责任”部分进</w:t>
      </w:r>
    </w:p>
    <w:p>
      <w:pPr>
        <w:pStyle w:val="BodyText"/>
        <w:spacing w:line="316" w:lineRule="auto" w:before="19"/>
        <w:ind w:right="0"/>
        <w:jc w:val="left"/>
        <w:rPr>
          <w:rFonts w:ascii="宋体" w:hAnsi="宋体" w:cs="宋体" w:eastAsia="宋体" w:hint="default"/>
        </w:rPr>
      </w:pPr>
      <w:r>
        <w:rPr>
          <w:spacing w:val="-2"/>
        </w:rPr>
        <w:t>一步阐述了我们在这些准则下的责任。按照中国注册会计师职业道德守则，我们独立于易联众公司，并履行了职业道德方面</w:t>
      </w:r>
      <w:r>
        <w:rPr>
          <w:spacing w:val="-63"/>
        </w:rPr>
        <w:t> </w:t>
      </w:r>
      <w:r>
        <w:rPr>
          <w:spacing w:val="-63"/>
        </w:rPr>
      </w:r>
      <w:r>
        <w:rPr/>
        <w:t>的其他责任。我们相信，我们获取的审计证据是充分、适当的，为发表审计意见提供了基础。</w:t>
      </w:r>
      <w:r>
        <w:rPr>
          <w:rFonts w:ascii="宋体" w:hAnsi="宋体" w:cs="宋体" w:eastAsia="宋体" w:hint="default"/>
        </w:rPr>
        <w:t> </w:t>
      </w:r>
    </w:p>
    <w:p>
      <w:pPr>
        <w:pStyle w:val="BodyText"/>
        <w:spacing w:line="316" w:lineRule="auto" w:before="19"/>
        <w:ind w:left="633" w:right="1133"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关键审计事项是我们根据职业判断，认为对本期财务报表审计最为重要的事项。这些事项的应对以对财务报表整体进</w:t>
      </w:r>
    </w:p>
    <w:p>
      <w:pPr>
        <w:pStyle w:val="BodyText"/>
        <w:spacing w:line="240" w:lineRule="auto" w:before="19"/>
        <w:ind w:right="1133"/>
        <w:jc w:val="left"/>
        <w:rPr>
          <w:rFonts w:ascii="宋体" w:hAnsi="宋体" w:cs="宋体" w:eastAsia="宋体" w:hint="default"/>
        </w:rPr>
      </w:pPr>
      <w:r>
        <w:rPr/>
        <w:t>行审计并形成审计意见为背景，我们不对这些事项单独发表意见。</w:t>
      </w:r>
      <w:r>
        <w:rPr>
          <w:rFonts w:ascii="宋体" w:hAnsi="宋体" w:cs="宋体" w:eastAsia="宋体" w:hint="default"/>
        </w:rPr>
        <w:t> </w:t>
      </w:r>
    </w:p>
    <w:p>
      <w:pPr>
        <w:pStyle w:val="BodyText"/>
        <w:spacing w:line="316" w:lineRule="auto" w:before="76"/>
        <w:ind w:left="633" w:right="5714"/>
        <w:jc w:val="left"/>
        <w:rPr>
          <w:rFonts w:ascii="宋体" w:hAnsi="宋体" w:cs="宋体" w:eastAsia="宋体" w:hint="default"/>
        </w:rPr>
      </w:pPr>
      <w:r>
        <w:rPr/>
        <w:t>（一）民生服务行业收入确认</w:t>
      </w:r>
      <w:r>
        <w:rPr>
          <w:rFonts w:ascii="宋体" w:hAnsi="宋体" w:cs="宋体" w:eastAsia="宋体" w:hint="default"/>
        </w:rPr>
        <w:t> </w:t>
      </w:r>
      <w:r>
        <w:rPr/>
        <w:t>相关信息披露详见财务报表附注三之</w:t>
      </w:r>
      <w:r>
        <w:rPr>
          <w:rFonts w:ascii="宋体" w:hAnsi="宋体" w:cs="宋体" w:eastAsia="宋体" w:hint="default"/>
        </w:rPr>
        <w:t>20</w:t>
      </w:r>
      <w:r>
        <w:rPr/>
        <w:t>及附注五之</w:t>
      </w:r>
      <w:r>
        <w:rPr>
          <w:rFonts w:ascii="宋体" w:hAnsi="宋体" w:cs="宋体" w:eastAsia="宋体" w:hint="default"/>
        </w:rPr>
        <w:t>34</w:t>
      </w:r>
      <w:r>
        <w:rPr/>
        <w:t>。</w:t>
      </w:r>
      <w:r>
        <w:rPr>
          <w:rFonts w:ascii="宋体" w:hAnsi="宋体" w:cs="宋体" w:eastAsia="宋体" w:hint="default"/>
        </w:rPr>
        <w:t> 1</w:t>
      </w:r>
      <w:r>
        <w:rPr/>
        <w:t>、事项描述</w:t>
      </w:r>
      <w:r>
        <w:rPr>
          <w:rFonts w:ascii="宋体" w:hAnsi="宋体" w:cs="宋体" w:eastAsia="宋体" w:hint="default"/>
        </w:rPr>
        <w:t> </w:t>
      </w:r>
    </w:p>
    <w:p>
      <w:pPr>
        <w:pStyle w:val="BodyText"/>
        <w:spacing w:line="316" w:lineRule="auto" w:before="19"/>
        <w:ind w:right="1110" w:firstLine="480"/>
        <w:jc w:val="both"/>
        <w:rPr>
          <w:rFonts w:ascii="宋体" w:hAnsi="宋体" w:cs="宋体" w:eastAsia="宋体" w:hint="default"/>
        </w:rPr>
      </w:pPr>
      <w:r>
        <w:rPr/>
        <w:t>易联众公司主要从事以“医疗保障、卫生健康、人力资源和社会保障”为核心的民生信息服务，相关营业收入包括： </w:t>
      </w:r>
      <w:r>
        <w:rPr>
          <w:spacing w:val="-2"/>
        </w:rPr>
        <w:t>客户定制软件设计开发收入、</w:t>
      </w:r>
      <w:r>
        <w:rPr>
          <w:rFonts w:ascii="宋体" w:hAnsi="宋体" w:cs="宋体" w:eastAsia="宋体" w:hint="default"/>
          <w:spacing w:val="-2"/>
        </w:rPr>
        <w:t>IC</w:t>
      </w:r>
      <w:r>
        <w:rPr>
          <w:spacing w:val="-2"/>
        </w:rPr>
        <w:t>卡销售收入、系统维护服务收入、系统集成及外购硬件销售收入、自制硬件销售收入、让渡</w:t>
      </w:r>
      <w:r>
        <w:rPr>
          <w:spacing w:val="-63"/>
        </w:rPr>
        <w:t> </w:t>
      </w:r>
      <w:r>
        <w:rPr>
          <w:spacing w:val="-63"/>
        </w:rPr>
      </w:r>
      <w:r>
        <w:rPr>
          <w:spacing w:val="-2"/>
        </w:rPr>
        <w:t>资产使用权收入和咨询服务收入等。</w:t>
      </w:r>
      <w:r>
        <w:rPr>
          <w:rFonts w:ascii="宋体" w:hAnsi="宋体" w:cs="宋体" w:eastAsia="宋体" w:hint="default"/>
          <w:spacing w:val="-2"/>
        </w:rPr>
        <w:t>2019</w:t>
      </w:r>
      <w:r>
        <w:rPr>
          <w:spacing w:val="-2"/>
        </w:rPr>
        <w:t>年度，易联众公司来自定制软件及</w:t>
      </w:r>
      <w:r>
        <w:rPr>
          <w:rFonts w:ascii="宋体" w:hAnsi="宋体" w:cs="宋体" w:eastAsia="宋体" w:hint="default"/>
          <w:spacing w:val="-2"/>
        </w:rPr>
        <w:t>IC</w:t>
      </w:r>
      <w:r>
        <w:rPr>
          <w:spacing w:val="-2"/>
        </w:rPr>
        <w:t>、技术服务、系统集成及硬件等民生服务行业</w:t>
      </w:r>
      <w:r>
        <w:rPr>
          <w:spacing w:val="-58"/>
        </w:rPr>
        <w:t> </w:t>
      </w:r>
      <w:r>
        <w:rPr>
          <w:spacing w:val="-58"/>
        </w:rPr>
      </w:r>
      <w:r>
        <w:rPr/>
        <w:t>的收入为人民币</w:t>
      </w:r>
      <w:r>
        <w:rPr>
          <w:rFonts w:ascii="宋体" w:hAnsi="宋体" w:cs="宋体" w:eastAsia="宋体" w:hint="default"/>
        </w:rPr>
        <w:t>89,743.31</w:t>
      </w:r>
      <w:r>
        <w:rPr/>
        <w:t>万元，占营业收入总额的</w:t>
      </w:r>
      <w:r>
        <w:rPr>
          <w:rFonts w:ascii="宋体" w:hAnsi="宋体" w:cs="宋体" w:eastAsia="宋体" w:hint="default"/>
        </w:rPr>
        <w:t>94.59%</w:t>
      </w:r>
      <w:r>
        <w:rPr/>
        <w:t>。如财务报表附注三之</w:t>
      </w:r>
      <w:r>
        <w:rPr>
          <w:rFonts w:ascii="宋体" w:hAnsi="宋体" w:cs="宋体" w:eastAsia="宋体" w:hint="default"/>
        </w:rPr>
        <w:t>20</w:t>
      </w:r>
      <w:r>
        <w:rPr/>
        <w:t>所述：易联众公司定制软件收入的确认 </w:t>
      </w:r>
      <w:r>
        <w:rPr>
          <w:spacing w:val="-2"/>
        </w:rPr>
        <w:t>采用完工百分比法，并采用已经完成的合同工作量占合同预计总工作量的比例确定合同完工进度；技术服务收入于劳务提供</w:t>
      </w:r>
      <w:r>
        <w:rPr>
          <w:spacing w:val="-63"/>
        </w:rPr>
        <w:t> </w:t>
      </w:r>
      <w:r>
        <w:rPr>
          <w:spacing w:val="-63"/>
        </w:rPr>
      </w:r>
      <w:r>
        <w:rPr>
          <w:spacing w:val="-2"/>
        </w:rPr>
        <w:t>后，根据合同约定的服务期间分期确认；系统集成项目在系统安装调试完毕且项目经过客户初步验收后，相关的收入已经实</w:t>
      </w:r>
      <w:r>
        <w:rPr>
          <w:spacing w:val="-63"/>
        </w:rPr>
        <w:t> </w:t>
      </w:r>
      <w:r>
        <w:rPr>
          <w:spacing w:val="-63"/>
        </w:rPr>
      </w:r>
      <w:r>
        <w:rPr/>
        <w:t>现或取得收款的证据时，确认收入实现；</w:t>
      </w:r>
      <w:r>
        <w:rPr>
          <w:rFonts w:ascii="宋体" w:hAnsi="宋体" w:cs="宋体" w:eastAsia="宋体" w:hint="default"/>
        </w:rPr>
        <w:t>IC</w:t>
      </w:r>
      <w:r>
        <w:rPr/>
        <w:t>卡销售、外购及自制硬件等销售则根据《企业会计准则第</w:t>
      </w:r>
      <w:r>
        <w:rPr>
          <w:rFonts w:ascii="宋体" w:hAnsi="宋体" w:cs="宋体" w:eastAsia="宋体" w:hint="default"/>
        </w:rPr>
        <w:t>14</w:t>
      </w:r>
      <w:r>
        <w:rPr/>
        <w:t>号</w:t>
      </w:r>
      <w:r>
        <w:rPr>
          <w:rFonts w:ascii="宋体" w:hAnsi="宋体" w:cs="宋体" w:eastAsia="宋体" w:hint="default"/>
        </w:rPr>
        <w:t>-</w:t>
      </w:r>
      <w:r>
        <w:rPr/>
        <w:t>收入》中销售商</w:t>
      </w:r>
      <w:r>
        <w:rPr>
          <w:spacing w:val="-83"/>
        </w:rPr>
        <w:t> </w:t>
      </w:r>
      <w:r>
        <w:rPr>
          <w:spacing w:val="-83"/>
        </w:rPr>
      </w:r>
      <w:r>
        <w:rPr/>
        <w:t>品收入确认原则，在商品交付并经客户验收后，相关的收入已经实现或取得收款的证据，确认销售收入实现。</w:t>
      </w:r>
      <w:r>
        <w:rPr>
          <w:rFonts w:ascii="宋体" w:hAnsi="宋体" w:cs="宋体" w:eastAsia="宋体" w:hint="default"/>
        </w:rPr>
        <w:t> </w:t>
      </w:r>
    </w:p>
    <w:p>
      <w:pPr>
        <w:pStyle w:val="BodyText"/>
        <w:spacing w:line="319" w:lineRule="auto" w:before="19"/>
        <w:ind w:right="1132" w:firstLine="480"/>
        <w:jc w:val="both"/>
        <w:rPr>
          <w:rFonts w:ascii="宋体" w:hAnsi="宋体" w:cs="宋体" w:eastAsia="宋体" w:hint="default"/>
        </w:rPr>
      </w:pPr>
      <w:r>
        <w:rPr>
          <w:spacing w:val="-1"/>
        </w:rPr>
        <w:t>此次审计，我们将易联众公司的民生服务行业收入确认确定为关键审计事项予以重点关注，一方面是由于收入系易联</w:t>
      </w:r>
      <w:r>
        <w:rPr/>
        <w:t> </w:t>
      </w:r>
      <w:r>
        <w:rPr>
          <w:spacing w:val="-2"/>
        </w:rPr>
        <w:t>众公司的关键业绩指标之一，存在管理层为了达到特定目标或期望而操纵收入确认时点的固有风险；另一方面，易联众公司</w:t>
      </w:r>
      <w:r>
        <w:rPr>
          <w:spacing w:val="-65"/>
        </w:rPr>
        <w:t> </w:t>
      </w:r>
      <w:r>
        <w:rPr>
          <w:spacing w:val="-65"/>
        </w:rPr>
      </w:r>
      <w:r>
        <w:rPr>
          <w:spacing w:val="-2"/>
        </w:rPr>
        <w:t>的营业收入绝大部分来自民生服务行业（</w:t>
      </w:r>
      <w:r>
        <w:rPr>
          <w:rFonts w:ascii="宋体" w:hAnsi="宋体" w:cs="宋体" w:eastAsia="宋体" w:hint="default"/>
          <w:spacing w:val="-2"/>
        </w:rPr>
        <w:t>94.59%</w:t>
      </w:r>
      <w:r>
        <w:rPr>
          <w:spacing w:val="-2"/>
        </w:rPr>
        <w:t>），其中定制软件的收入确认采用完工百分比法，相关核算涉及管理层的重</w:t>
      </w:r>
      <w:r>
        <w:rPr>
          <w:spacing w:val="-61"/>
        </w:rPr>
        <w:t> </w:t>
      </w:r>
      <w:r>
        <w:rPr>
          <w:spacing w:val="-61"/>
        </w:rPr>
      </w:r>
      <w:r>
        <w:rPr/>
        <w:t>大会计估计和判断，从而导致收入确认存在相关错报风险。</w:t>
      </w:r>
      <w:r>
        <w:rPr>
          <w:rFonts w:ascii="宋体" w:hAnsi="宋体" w:cs="宋体" w:eastAsia="宋体" w:hint="default"/>
        </w:rPr>
        <w:t> </w:t>
      </w:r>
    </w:p>
    <w:p>
      <w:pPr>
        <w:pStyle w:val="BodyText"/>
        <w:spacing w:line="240" w:lineRule="auto" w:before="17"/>
        <w:ind w:left="633" w:right="1133"/>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p>
    <w:p>
      <w:pPr>
        <w:spacing w:after="0" w:line="240" w:lineRule="auto"/>
        <w:jc w:val="left"/>
        <w:rPr>
          <w:rFonts w:ascii="宋体" w:hAnsi="宋体" w:cs="宋体" w:eastAsia="宋体" w:hint="default"/>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33" w:right="1133"/>
        <w:jc w:val="left"/>
        <w:rPr>
          <w:rFonts w:ascii="宋体" w:hAnsi="宋体" w:cs="宋体" w:eastAsia="宋体" w:hint="default"/>
        </w:rPr>
      </w:pPr>
      <w:r>
        <w:rPr/>
        <w:t>我们针对这一关键审计事项执行的审计程序主要包括：</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1</w:t>
      </w:r>
      <w:r>
        <w:rPr/>
        <w:t>）了解、评估管理层设计的与收入确认相关的内部控制有效性，并测试关键内部控制运行的有效性；</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2</w:t>
      </w:r>
      <w:r>
        <w:rPr/>
        <w:t>）评价易联众公司的收入确认政策是否符合企业会计准则的规定；</w:t>
      </w:r>
      <w:r>
        <w:rPr>
          <w:rFonts w:ascii="宋体" w:hAnsi="宋体" w:cs="宋体" w:eastAsia="宋体" w:hint="default"/>
        </w:rPr>
        <w:t> </w:t>
      </w:r>
    </w:p>
    <w:p>
      <w:pPr>
        <w:pStyle w:val="BodyText"/>
        <w:spacing w:line="316" w:lineRule="auto" w:before="76"/>
        <w:ind w:right="1133" w:firstLine="480"/>
        <w:jc w:val="left"/>
        <w:rPr>
          <w:rFonts w:ascii="宋体" w:hAnsi="宋体" w:cs="宋体" w:eastAsia="宋体" w:hint="default"/>
        </w:rPr>
      </w:pPr>
      <w:r>
        <w:rPr/>
        <w:t>（</w:t>
      </w:r>
      <w:r>
        <w:rPr>
          <w:rFonts w:ascii="宋体" w:hAnsi="宋体" w:cs="宋体" w:eastAsia="宋体" w:hint="default"/>
        </w:rPr>
        <w:t>3</w:t>
      </w:r>
      <w:r>
        <w:rPr/>
        <w:t>）针对定制软件收入，选取样本检查合同、进度标志性文件等与收入确认相关的支持性文件，核实完工进度，并 根据收入确认相关的支持性文件重新测算本年收入，以评价相关收入确认是否符合公司的会计政策；</w:t>
      </w:r>
      <w:r>
        <w:rPr>
          <w:rFonts w:ascii="宋体" w:hAnsi="宋体" w:cs="宋体" w:eastAsia="宋体" w:hint="default"/>
        </w:rPr>
        <w:t> </w:t>
      </w:r>
    </w:p>
    <w:p>
      <w:pPr>
        <w:pStyle w:val="BodyText"/>
        <w:spacing w:line="316" w:lineRule="auto" w:before="19"/>
        <w:ind w:right="1133" w:firstLine="480"/>
        <w:jc w:val="left"/>
        <w:rPr>
          <w:rFonts w:ascii="宋体" w:hAnsi="宋体" w:cs="宋体" w:eastAsia="宋体" w:hint="default"/>
        </w:rPr>
      </w:pPr>
      <w:r>
        <w:rPr/>
        <w:t>（</w:t>
      </w:r>
      <w:r>
        <w:rPr>
          <w:rFonts w:ascii="宋体" w:hAnsi="宋体" w:cs="宋体" w:eastAsia="宋体" w:hint="default"/>
        </w:rPr>
        <w:t>4</w:t>
      </w:r>
      <w:r>
        <w:rPr/>
        <w:t>）针对技术服务收入，选取样本检查合同，查看服务期限、合同金额等关键条款，并对收入进行重新测算，以评 价相关收入确认是否符合公司的会计政策；</w:t>
      </w:r>
      <w:r>
        <w:rPr>
          <w:rFonts w:ascii="宋体" w:hAnsi="宋体" w:cs="宋体" w:eastAsia="宋体" w:hint="default"/>
        </w:rPr>
        <w:t> </w:t>
      </w:r>
    </w:p>
    <w:p>
      <w:pPr>
        <w:pStyle w:val="BodyText"/>
        <w:spacing w:line="316" w:lineRule="auto" w:before="19"/>
        <w:ind w:left="633" w:right="1133"/>
        <w:jc w:val="left"/>
      </w:pPr>
      <w:r>
        <w:rPr/>
        <w:t>（</w:t>
      </w:r>
      <w:r>
        <w:rPr>
          <w:rFonts w:ascii="宋体" w:hAnsi="宋体" w:cs="宋体" w:eastAsia="宋体" w:hint="default"/>
        </w:rPr>
        <w:t>5</w:t>
      </w:r>
      <w:r>
        <w:rPr/>
        <w:t>）针对系统集成及</w:t>
      </w:r>
      <w:r>
        <w:rPr>
          <w:rFonts w:ascii="宋体" w:hAnsi="宋体" w:cs="宋体" w:eastAsia="宋体" w:hint="default"/>
        </w:rPr>
        <w:t>IC</w:t>
      </w:r>
      <w:r>
        <w:rPr/>
        <w:t>卡、硬件销售收入：</w:t>
      </w:r>
      <w:r>
        <w:rPr>
          <w:rFonts w:ascii="宋体" w:hAnsi="宋体" w:cs="宋体" w:eastAsia="宋体" w:hint="default"/>
        </w:rPr>
        <w:t> 1</w:t>
      </w:r>
      <w:r>
        <w:rPr/>
        <w:t>）选取样本检查合同、签收单或验收单等与收入确认相关的支持性文件，以评价相关收入确认是否符合公司的会计</w:t>
      </w:r>
    </w:p>
    <w:p>
      <w:pPr>
        <w:pStyle w:val="BodyText"/>
        <w:spacing w:line="240" w:lineRule="auto" w:before="19"/>
        <w:ind w:right="1133"/>
        <w:jc w:val="left"/>
        <w:rPr>
          <w:rFonts w:ascii="宋体" w:hAnsi="宋体" w:cs="宋体" w:eastAsia="宋体" w:hint="default"/>
        </w:rPr>
      </w:pPr>
      <w:r>
        <w:rPr/>
        <w:t>政策；</w:t>
      </w:r>
      <w:r>
        <w:rPr>
          <w:rFonts w:ascii="宋体" w:hAnsi="宋体" w:cs="宋体" w:eastAsia="宋体" w:hint="default"/>
        </w:rPr>
        <w:t> </w:t>
      </w:r>
    </w:p>
    <w:p>
      <w:pPr>
        <w:pStyle w:val="BodyText"/>
        <w:spacing w:line="319" w:lineRule="auto" w:before="76"/>
        <w:ind w:right="1133" w:firstLine="480"/>
        <w:jc w:val="left"/>
        <w:rPr>
          <w:rFonts w:ascii="宋体" w:hAnsi="宋体" w:cs="宋体" w:eastAsia="宋体" w:hint="default"/>
        </w:rPr>
      </w:pPr>
      <w:r>
        <w:rPr>
          <w:rFonts w:ascii="宋体" w:hAnsi="宋体" w:cs="宋体" w:eastAsia="宋体" w:hint="default"/>
        </w:rPr>
        <w:t>2</w:t>
      </w:r>
      <w:r>
        <w:rPr/>
        <w:t>）对于资产负债表日前后确认的销售收入，选取样本核对至签收单或验收单等相关支持性文件，以评估收入是否在 恰当的期间确认；</w:t>
      </w:r>
      <w:r>
        <w:rPr>
          <w:rFonts w:ascii="宋体" w:hAnsi="宋体" w:cs="宋体" w:eastAsia="宋体" w:hint="default"/>
        </w:rPr>
        <w:t> </w:t>
      </w:r>
    </w:p>
    <w:p>
      <w:pPr>
        <w:pStyle w:val="BodyText"/>
        <w:spacing w:line="316" w:lineRule="auto" w:before="17"/>
        <w:ind w:right="1133" w:firstLine="480"/>
        <w:jc w:val="left"/>
        <w:rPr>
          <w:rFonts w:ascii="宋体" w:hAnsi="宋体" w:cs="宋体" w:eastAsia="宋体" w:hint="default"/>
        </w:rPr>
      </w:pPr>
      <w:r>
        <w:rPr/>
        <w:t>（</w:t>
      </w:r>
      <w:r>
        <w:rPr>
          <w:rFonts w:ascii="宋体" w:hAnsi="宋体" w:cs="宋体" w:eastAsia="宋体" w:hint="default"/>
        </w:rPr>
        <w:t>6</w:t>
      </w:r>
      <w:r>
        <w:rPr/>
        <w:t>）选取样本对收入确认相关信息（项目合同金额、项目进度、签收或验收情况，开票金额及回款情况等）及应收 账款余额执行函证程序，并将函证结果与账面记录进行核对。</w:t>
      </w:r>
      <w:r>
        <w:rPr>
          <w:rFonts w:ascii="宋体" w:hAnsi="宋体" w:cs="宋体" w:eastAsia="宋体" w:hint="default"/>
        </w:rPr>
        <w:t> </w:t>
      </w:r>
    </w:p>
    <w:p>
      <w:pPr>
        <w:pStyle w:val="BodyText"/>
        <w:spacing w:line="316" w:lineRule="auto" w:before="19"/>
        <w:ind w:left="633" w:right="5714"/>
        <w:jc w:val="left"/>
        <w:rPr>
          <w:rFonts w:ascii="宋体" w:hAnsi="宋体" w:cs="宋体" w:eastAsia="宋体" w:hint="default"/>
        </w:rPr>
      </w:pPr>
      <w:r>
        <w:rPr/>
        <w:t>（二）应收账款预期信用损失的计量</w:t>
      </w:r>
      <w:r>
        <w:rPr>
          <w:rFonts w:ascii="宋体" w:hAnsi="宋体" w:cs="宋体" w:eastAsia="宋体" w:hint="default"/>
        </w:rPr>
        <w:t> </w:t>
      </w:r>
      <w:r>
        <w:rPr/>
        <w:t>相关信息披露详见财务报表附注三之</w:t>
      </w:r>
      <w:r>
        <w:rPr>
          <w:rFonts w:ascii="宋体" w:hAnsi="宋体" w:cs="宋体" w:eastAsia="宋体" w:hint="default"/>
        </w:rPr>
        <w:t>8</w:t>
      </w:r>
      <w:r>
        <w:rPr/>
        <w:t>和附注五之</w:t>
      </w:r>
      <w:r>
        <w:rPr>
          <w:rFonts w:ascii="宋体" w:hAnsi="宋体" w:cs="宋体" w:eastAsia="宋体" w:hint="default"/>
        </w:rPr>
        <w:t>2</w:t>
      </w:r>
      <w:r>
        <w:rPr/>
        <w:t>。</w:t>
      </w:r>
      <w:r>
        <w:rPr>
          <w:rFonts w:ascii="宋体" w:hAnsi="宋体" w:cs="宋体" w:eastAsia="宋体" w:hint="default"/>
        </w:rPr>
        <w:t> 1</w:t>
      </w:r>
      <w:r>
        <w:rPr/>
        <w:t>、事项描述</w:t>
      </w:r>
      <w:r>
        <w:rPr>
          <w:rFonts w:ascii="宋体" w:hAnsi="宋体" w:cs="宋体" w:eastAsia="宋体" w:hint="default"/>
        </w:rPr>
        <w:t> </w:t>
      </w:r>
    </w:p>
    <w:p>
      <w:pPr>
        <w:pStyle w:val="BodyText"/>
        <w:spacing w:line="316" w:lineRule="auto" w:before="19"/>
        <w:ind w:right="1031" w:firstLine="480"/>
        <w:jc w:val="left"/>
        <w:rPr>
          <w:rFonts w:ascii="宋体" w:hAnsi="宋体" w:cs="宋体" w:eastAsia="宋体" w:hint="default"/>
        </w:rPr>
      </w:pPr>
      <w:r>
        <w:rPr>
          <w:spacing w:val="-1"/>
        </w:rPr>
        <w:t>截止</w:t>
      </w:r>
      <w:r>
        <w:rPr>
          <w:rFonts w:ascii="宋体" w:hAnsi="宋体" w:cs="宋体" w:eastAsia="宋体" w:hint="default"/>
          <w:spacing w:val="-1"/>
        </w:rPr>
        <w:t>2019</w:t>
      </w:r>
      <w:r>
        <w:rPr>
          <w:spacing w:val="-1"/>
        </w:rPr>
        <w:t>年</w:t>
      </w:r>
      <w:r>
        <w:rPr>
          <w:rFonts w:ascii="宋体" w:hAnsi="宋体" w:cs="宋体" w:eastAsia="宋体" w:hint="default"/>
          <w:spacing w:val="-1"/>
        </w:rPr>
        <w:t>12</w:t>
      </w:r>
      <w:r>
        <w:rPr>
          <w:spacing w:val="-1"/>
        </w:rPr>
        <w:t>月</w:t>
      </w:r>
      <w:r>
        <w:rPr>
          <w:rFonts w:ascii="宋体" w:hAnsi="宋体" w:cs="宋体" w:eastAsia="宋体" w:hint="default"/>
          <w:spacing w:val="-1"/>
        </w:rPr>
        <w:t>31</w:t>
      </w:r>
      <w:r>
        <w:rPr>
          <w:spacing w:val="-1"/>
        </w:rPr>
        <w:t>日，易联众公司应收账款账面余额为人民币</w:t>
      </w:r>
      <w:r>
        <w:rPr>
          <w:rFonts w:ascii="宋体" w:hAnsi="宋体" w:cs="宋体" w:eastAsia="宋体" w:hint="default"/>
          <w:spacing w:val="-1"/>
        </w:rPr>
        <w:t>61,946.82</w:t>
      </w:r>
      <w:r>
        <w:rPr>
          <w:spacing w:val="-1"/>
        </w:rPr>
        <w:t>万元，其中应收融资服务款项</w:t>
      </w:r>
      <w:r>
        <w:rPr>
          <w:rFonts w:ascii="宋体" w:hAnsi="宋体" w:cs="宋体" w:eastAsia="宋体" w:hint="default"/>
          <w:spacing w:val="-1"/>
        </w:rPr>
        <w:t>8,143.79</w:t>
      </w:r>
      <w:r>
        <w:rPr>
          <w:spacing w:val="-1"/>
        </w:rPr>
        <w:t>万元，</w:t>
      </w:r>
      <w:r>
        <w:rPr/>
        <w:t> </w:t>
      </w:r>
      <w:r>
        <w:rPr>
          <w:spacing w:val="-2"/>
        </w:rPr>
        <w:t>应收销售商品及提供劳务款项</w:t>
      </w:r>
      <w:r>
        <w:rPr>
          <w:rFonts w:ascii="宋体" w:hAnsi="宋体" w:cs="宋体" w:eastAsia="宋体" w:hint="default"/>
          <w:spacing w:val="-2"/>
        </w:rPr>
        <w:t>53,803.03</w:t>
      </w:r>
      <w:r>
        <w:rPr>
          <w:spacing w:val="-2"/>
        </w:rPr>
        <w:t>万元，已计提坏账准备</w:t>
      </w:r>
      <w:r>
        <w:rPr>
          <w:rFonts w:ascii="宋体" w:hAnsi="宋体" w:cs="宋体" w:eastAsia="宋体" w:hint="default"/>
          <w:spacing w:val="-2"/>
        </w:rPr>
        <w:t>10,456.08</w:t>
      </w:r>
      <w:r>
        <w:rPr>
          <w:spacing w:val="-2"/>
        </w:rPr>
        <w:t>万元，应收账款净额占合并财务报表中资产总额的</w:t>
      </w:r>
      <w:r>
        <w:rPr>
          <w:spacing w:val="-53"/>
        </w:rPr>
        <w:t> </w:t>
      </w:r>
      <w:r>
        <w:rPr>
          <w:spacing w:val="-53"/>
        </w:rPr>
      </w:r>
      <w:r>
        <w:rPr>
          <w:rFonts w:ascii="宋体" w:hAnsi="宋体" w:cs="宋体" w:eastAsia="宋体" w:hint="default"/>
        </w:rPr>
        <w:t>29.87%</w:t>
      </w:r>
      <w:r>
        <w:rPr/>
        <w:t>。</w:t>
      </w:r>
      <w:r>
        <w:rPr>
          <w:rFonts w:ascii="宋体" w:hAnsi="宋体" w:cs="宋体" w:eastAsia="宋体" w:hint="default"/>
        </w:rPr>
        <w:t> </w:t>
      </w:r>
    </w:p>
    <w:p>
      <w:pPr>
        <w:pStyle w:val="BodyText"/>
        <w:spacing w:line="319" w:lineRule="auto" w:before="19"/>
        <w:ind w:right="1130" w:firstLine="480"/>
        <w:jc w:val="both"/>
        <w:rPr>
          <w:rFonts w:ascii="宋体" w:hAnsi="宋体" w:cs="宋体" w:eastAsia="宋体" w:hint="default"/>
        </w:rPr>
      </w:pPr>
      <w:r>
        <w:rPr>
          <w:spacing w:val="-1"/>
        </w:rPr>
        <w:t>应收账款坏账准备余额反映了管理层在资产负债表日对预期信用损失做出的最佳估计。在估计时，管理层需要考虑以</w:t>
      </w:r>
      <w:r>
        <w:rPr/>
        <w:t> </w:t>
      </w:r>
      <w:r>
        <w:rPr>
          <w:spacing w:val="-2"/>
        </w:rPr>
        <w:t>前年度的信用违约记录，回款率，实施判断以估计债务人的资信状况以及前瞻性经济指标。上述事项涉及重大会计估计和管</w:t>
      </w:r>
      <w:r>
        <w:rPr>
          <w:spacing w:val="-63"/>
        </w:rPr>
        <w:t> </w:t>
      </w:r>
      <w:r>
        <w:rPr>
          <w:spacing w:val="-63"/>
        </w:rPr>
      </w:r>
      <w:r>
        <w:rPr/>
        <w:t>理层的判断，且对于财务报表具有重要性，因此我们将应收账款预期信用损失的计量确定为关键审计事项。</w:t>
      </w:r>
      <w:r>
        <w:rPr>
          <w:rFonts w:ascii="宋体" w:hAnsi="宋体" w:cs="宋体" w:eastAsia="宋体" w:hint="default"/>
        </w:rPr>
        <w:t> </w:t>
      </w:r>
    </w:p>
    <w:p>
      <w:pPr>
        <w:pStyle w:val="BodyText"/>
        <w:spacing w:line="240" w:lineRule="auto" w:before="17"/>
        <w:ind w:left="633" w:right="1133"/>
        <w:jc w:val="left"/>
        <w:rPr>
          <w:rFonts w:ascii="宋体" w:hAnsi="宋体" w:cs="宋体" w:eastAsia="宋体" w:hint="default"/>
        </w:rPr>
      </w:pPr>
      <w:r>
        <w:rPr>
          <w:rFonts w:ascii="宋体" w:hAnsi="宋体" w:cs="宋体" w:eastAsia="宋体" w:hint="default"/>
        </w:rPr>
        <w:t>2</w:t>
      </w:r>
      <w:r>
        <w:rPr/>
        <w:t>、审计应对</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我们针对这一关键审计事项执行的审计程序主要包括：</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1</w:t>
      </w:r>
      <w:r>
        <w:rPr/>
        <w:t>）了解、评估与应收账款坏账准备相关的内部控制有效性，并测试关键内部控制运行的有效性；</w:t>
      </w:r>
      <w:r>
        <w:rPr>
          <w:rFonts w:ascii="宋体" w:hAnsi="宋体" w:cs="宋体" w:eastAsia="宋体" w:hint="default"/>
        </w:rPr>
        <w:t> </w:t>
      </w:r>
    </w:p>
    <w:p>
      <w:pPr>
        <w:pStyle w:val="BodyText"/>
        <w:spacing w:line="240" w:lineRule="auto" w:before="76"/>
        <w:ind w:left="633" w:right="0"/>
        <w:jc w:val="left"/>
        <w:rPr>
          <w:rFonts w:ascii="宋体" w:hAnsi="宋体" w:cs="宋体" w:eastAsia="宋体" w:hint="default"/>
        </w:rPr>
      </w:pPr>
      <w:r>
        <w:rPr/>
        <w:t>（</w:t>
      </w:r>
      <w:r>
        <w:rPr>
          <w:rFonts w:ascii="宋体" w:hAnsi="宋体" w:cs="宋体" w:eastAsia="宋体" w:hint="default"/>
          <w:spacing w:val="1"/>
        </w:rPr>
        <w:t>2</w:t>
      </w:r>
      <w:r>
        <w:rPr>
          <w:spacing w:val="-13"/>
        </w:rPr>
        <w:t>）</w:t>
      </w:r>
      <w:r>
        <w:rPr/>
        <w:t>检查预期信用损失的计量模型</w:t>
      </w:r>
      <w:r>
        <w:rPr>
          <w:spacing w:val="-13"/>
        </w:rPr>
        <w:t>，</w:t>
      </w:r>
      <w:r>
        <w:rPr/>
        <w:t>评估模型中重大假设和关键参数的合理性以及信用风险组合划分方法的恰当性</w:t>
      </w:r>
      <w:r>
        <w:rPr>
          <w:spacing w:val="-88"/>
        </w:rPr>
        <w:t>；</w:t>
      </w:r>
      <w:r>
        <w:rPr>
          <w:rFonts w:ascii="宋体" w:hAnsi="宋体" w:cs="宋体" w:eastAsia="宋体" w:hint="default"/>
          <w:spacing w:val="1"/>
        </w:rPr>
        <w:t> </w:t>
      </w:r>
      <w:r>
        <w:rPr>
          <w:rFonts w:ascii="宋体" w:hAnsi="宋体" w:cs="宋体" w:eastAsia="宋体" w:hint="default"/>
        </w:rPr>
        <w:t> </w:t>
      </w:r>
    </w:p>
    <w:p>
      <w:pPr>
        <w:pStyle w:val="BodyText"/>
        <w:spacing w:line="316" w:lineRule="auto" w:before="76"/>
        <w:ind w:right="1133" w:firstLine="480"/>
        <w:jc w:val="left"/>
        <w:rPr>
          <w:rFonts w:ascii="宋体" w:hAnsi="宋体" w:cs="宋体" w:eastAsia="宋体" w:hint="default"/>
        </w:rPr>
      </w:pPr>
      <w:r>
        <w:rPr/>
        <w:t>（</w:t>
      </w:r>
      <w:r>
        <w:rPr>
          <w:rFonts w:ascii="宋体" w:hAnsi="宋体" w:cs="宋体" w:eastAsia="宋体" w:hint="default"/>
        </w:rPr>
        <w:t>3</w:t>
      </w:r>
      <w:r>
        <w:rPr/>
        <w:t>）选取样本检查客户的信用记录、经营情况、历史还款记录、期后回款，并考虑前瞻性信息等因素，评估管理层 对整个存续期信用损失预计的适当性；</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19"/>
        <w:ind w:left="633" w:right="1133"/>
        <w:jc w:val="left"/>
        <w:rPr>
          <w:rFonts w:ascii="宋体" w:hAnsi="宋体" w:cs="宋体" w:eastAsia="宋体" w:hint="default"/>
        </w:rPr>
      </w:pPr>
      <w:r>
        <w:rPr/>
        <w:t>（</w:t>
      </w:r>
      <w:r>
        <w:rPr>
          <w:rFonts w:ascii="宋体" w:hAnsi="宋体" w:cs="宋体" w:eastAsia="宋体" w:hint="default"/>
        </w:rPr>
        <w:t>4</w:t>
      </w:r>
      <w:r>
        <w:rPr/>
        <w:t>）检查预期信用损失模型的关键数据，包括历史数据，以评估其完整性和准确性；</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5</w:t>
      </w:r>
      <w:r>
        <w:rPr/>
        <w:t>）选取样本对应收账款进行函证，并将函证结果与账面记录进行核对。</w:t>
      </w:r>
      <w:r>
        <w:rPr>
          <w:rFonts w:ascii="宋体" w:hAnsi="宋体" w:cs="宋体" w:eastAsia="宋体" w:hint="default"/>
        </w:rPr>
        <w:t> </w:t>
      </w:r>
    </w:p>
    <w:p>
      <w:pPr>
        <w:pStyle w:val="BodyText"/>
        <w:spacing w:line="319" w:lineRule="auto" w:before="76"/>
        <w:ind w:left="633" w:right="5714"/>
        <w:jc w:val="left"/>
        <w:rPr>
          <w:rFonts w:ascii="宋体" w:hAnsi="宋体" w:cs="宋体" w:eastAsia="宋体" w:hint="default"/>
        </w:rPr>
      </w:pPr>
      <w:r>
        <w:rPr/>
        <w:t>（三）海南易联众商誉减值</w:t>
      </w:r>
      <w:r>
        <w:rPr>
          <w:rFonts w:ascii="宋体" w:hAnsi="宋体" w:cs="宋体" w:eastAsia="宋体" w:hint="default"/>
        </w:rPr>
        <w:t> </w:t>
      </w:r>
      <w:r>
        <w:rPr/>
        <w:t>相关信息披露详见财务报表附注三之</w:t>
      </w:r>
      <w:r>
        <w:rPr>
          <w:rFonts w:ascii="宋体" w:hAnsi="宋体" w:cs="宋体" w:eastAsia="宋体" w:hint="default"/>
        </w:rPr>
        <w:t>16</w:t>
      </w:r>
      <w:r>
        <w:rPr/>
        <w:t>和附注五之</w:t>
      </w:r>
      <w:r>
        <w:rPr>
          <w:rFonts w:ascii="宋体" w:hAnsi="宋体" w:cs="宋体" w:eastAsia="宋体" w:hint="default"/>
        </w:rPr>
        <w:t>17</w:t>
      </w:r>
      <w:r>
        <w:rPr/>
        <w:t>。</w:t>
      </w:r>
      <w:r>
        <w:rPr>
          <w:rFonts w:ascii="宋体" w:hAnsi="宋体" w:cs="宋体" w:eastAsia="宋体" w:hint="default"/>
        </w:rPr>
        <w:t> 1</w:t>
      </w:r>
      <w:r>
        <w:rPr/>
        <w:t>、事项描述</w:t>
      </w:r>
      <w:r>
        <w:rPr>
          <w:rFonts w:ascii="宋体" w:hAnsi="宋体" w:cs="宋体" w:eastAsia="宋体" w:hint="default"/>
        </w:rPr>
        <w:t> </w:t>
      </w:r>
    </w:p>
    <w:p>
      <w:pPr>
        <w:pStyle w:val="BodyText"/>
        <w:spacing w:line="316" w:lineRule="auto" w:before="17"/>
        <w:ind w:right="1127" w:firstLine="480"/>
        <w:jc w:val="both"/>
        <w:rPr>
          <w:rFonts w:ascii="宋体" w:hAnsi="宋体" w:cs="宋体" w:eastAsia="宋体" w:hint="default"/>
        </w:rPr>
      </w:pPr>
      <w:r>
        <w:rPr/>
        <w:t>易联众公司通过非同一控制下企业合并取得海南易联众信息技术有限公司（以下简称海南易联众）</w:t>
      </w:r>
      <w:r>
        <w:rPr>
          <w:rFonts w:ascii="宋体" w:hAnsi="宋体" w:cs="宋体" w:eastAsia="宋体" w:hint="default"/>
        </w:rPr>
        <w:t>60%</w:t>
      </w:r>
      <w:r>
        <w:rPr/>
        <w:t>股权，合并产 </w:t>
      </w:r>
      <w:r>
        <w:rPr>
          <w:spacing w:val="-2"/>
        </w:rPr>
        <w:t>生商誉</w:t>
      </w:r>
      <w:r>
        <w:rPr>
          <w:rFonts w:ascii="宋体" w:hAnsi="宋体" w:cs="宋体" w:eastAsia="宋体" w:hint="default"/>
          <w:spacing w:val="-2"/>
        </w:rPr>
        <w:t>958.35</w:t>
      </w:r>
      <w:r>
        <w:rPr>
          <w:spacing w:val="-2"/>
        </w:rPr>
        <w:t>万元。管理层聘请独立评估师对海南易联众相关资产组于</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日的可收回金额进行了评估，以协助管</w:t>
      </w:r>
      <w:r>
        <w:rPr>
          <w:spacing w:val="-56"/>
        </w:rPr>
        <w:t> </w:t>
      </w:r>
      <w:r>
        <w:rPr>
          <w:spacing w:val="-56"/>
        </w:rPr>
      </w:r>
      <w:r>
        <w:rPr>
          <w:spacing w:val="-2"/>
        </w:rPr>
        <w:t>理层对海南易联众的商誉进行减值测试。减值评估涉及确定折现率等评估参数及对未来若干年的经营和财务情况的假设，包</w:t>
      </w:r>
      <w:r>
        <w:rPr>
          <w:spacing w:val="-64"/>
        </w:rPr>
        <w:t> </w:t>
      </w:r>
      <w:r>
        <w:rPr>
          <w:spacing w:val="-64"/>
        </w:rPr>
      </w:r>
      <w:r>
        <w:rPr/>
        <w:t>括未来若干年的销售增长率和毛利率等。</w:t>
      </w:r>
      <w:r>
        <w:rPr>
          <w:rFonts w:ascii="宋体" w:hAnsi="宋体" w:cs="宋体" w:eastAsia="宋体" w:hint="default"/>
        </w:rPr>
        <w:t> </w:t>
      </w:r>
    </w:p>
    <w:p>
      <w:pPr>
        <w:pStyle w:val="BodyText"/>
        <w:spacing w:line="316" w:lineRule="auto" w:before="19"/>
        <w:ind w:left="633" w:right="2185"/>
        <w:jc w:val="left"/>
        <w:rPr>
          <w:rFonts w:ascii="宋体" w:hAnsi="宋体" w:cs="宋体" w:eastAsia="宋体" w:hint="default"/>
        </w:rPr>
      </w:pPr>
      <w:r>
        <w:rPr/>
        <w:t>由于上述商誉的减值测试涉及复杂及重大的判断，我们将其作为关键审计事项予以重点关注。</w:t>
      </w:r>
      <w:r>
        <w:rPr>
          <w:rFonts w:ascii="宋体" w:hAnsi="宋体" w:cs="宋体" w:eastAsia="宋体" w:hint="default"/>
        </w:rPr>
        <w:t> 2</w:t>
      </w:r>
      <w:r>
        <w:rPr/>
        <w:t>、审计应对</w:t>
      </w:r>
      <w:r>
        <w:rPr>
          <w:rFonts w:ascii="宋体" w:hAnsi="宋体" w:cs="宋体" w:eastAsia="宋体" w:hint="default"/>
        </w:rPr>
        <w:t> </w:t>
      </w:r>
    </w:p>
    <w:p>
      <w:pPr>
        <w:pStyle w:val="BodyText"/>
        <w:spacing w:line="240" w:lineRule="auto" w:before="19"/>
        <w:ind w:left="633" w:right="1133"/>
        <w:jc w:val="left"/>
        <w:rPr>
          <w:rFonts w:ascii="宋体" w:hAnsi="宋体" w:cs="宋体" w:eastAsia="宋体" w:hint="default"/>
        </w:rPr>
      </w:pPr>
      <w:r>
        <w:rPr/>
        <w:t>我们针对这一关键审计事项执行的审计程序主要包括：</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1</w:t>
      </w:r>
      <w:r>
        <w:rPr/>
        <w:t>）了解并测试公司对商誉减值评估的内部控制；</w:t>
      </w:r>
      <w:r>
        <w:rPr>
          <w:rFonts w:ascii="宋体" w:hAnsi="宋体" w:cs="宋体" w:eastAsia="宋体" w:hint="default"/>
        </w:rPr>
        <w:t> </w:t>
      </w:r>
    </w:p>
    <w:p>
      <w:pPr>
        <w:pStyle w:val="BodyText"/>
        <w:spacing w:line="240" w:lineRule="auto" w:before="77"/>
        <w:ind w:left="633" w:right="1133"/>
        <w:jc w:val="left"/>
        <w:rPr>
          <w:rFonts w:ascii="宋体" w:hAnsi="宋体" w:cs="宋体" w:eastAsia="宋体" w:hint="default"/>
        </w:rPr>
      </w:pPr>
      <w:r>
        <w:rPr/>
        <w:t>（</w:t>
      </w:r>
      <w:r>
        <w:rPr>
          <w:rFonts w:ascii="宋体" w:hAnsi="宋体" w:cs="宋体" w:eastAsia="宋体" w:hint="default"/>
        </w:rPr>
        <w:t>2</w:t>
      </w:r>
      <w:r>
        <w:rPr/>
        <w:t>）评价独立评估师的胜任能力、专业素质和客观性；</w:t>
      </w:r>
      <w:r>
        <w:rPr>
          <w:rFonts w:ascii="宋体" w:hAnsi="宋体" w:cs="宋体" w:eastAsia="宋体" w:hint="default"/>
          <w:spacing w:val="1"/>
        </w:rPr>
        <w:t> </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3</w:t>
      </w:r>
      <w:r>
        <w:rPr/>
        <w:t>）了解海南易联众的发展规划，于所在区域的优势和行业的发展趋势，评估管理层对现金流量预测的合理性；</w:t>
      </w:r>
      <w:r>
        <w:rPr>
          <w:rFonts w:ascii="宋体" w:hAnsi="宋体" w:cs="宋体" w:eastAsia="宋体" w:hint="default"/>
        </w:rPr>
        <w:t> </w:t>
      </w:r>
    </w:p>
    <w:p>
      <w:pPr>
        <w:spacing w:after="0" w:line="240"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33" w:right="1133"/>
        <w:jc w:val="left"/>
        <w:rPr>
          <w:rFonts w:ascii="宋体" w:hAnsi="宋体" w:cs="宋体" w:eastAsia="宋体" w:hint="default"/>
        </w:rPr>
      </w:pPr>
      <w:r>
        <w:rPr/>
        <w:t>（</w:t>
      </w:r>
      <w:r>
        <w:rPr>
          <w:rFonts w:ascii="宋体" w:hAnsi="宋体" w:cs="宋体" w:eastAsia="宋体" w:hint="default"/>
        </w:rPr>
        <w:t>4</w:t>
      </w:r>
      <w:r>
        <w:rPr/>
        <w:t>）评估价值模型和评估方法的合理性，以及折现率等参数的合理性；</w:t>
      </w:r>
      <w:r>
        <w:rPr>
          <w:rFonts w:ascii="宋体" w:hAnsi="宋体" w:cs="宋体" w:eastAsia="宋体" w:hint="default"/>
        </w:rPr>
        <w:t> </w:t>
      </w:r>
    </w:p>
    <w:p>
      <w:pPr>
        <w:spacing w:line="316" w:lineRule="auto" w:before="76"/>
        <w:ind w:left="635" w:right="6474" w:hanging="3"/>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z w:val="18"/>
          <w:szCs w:val="18"/>
        </w:rPr>
        <w:t>5</w:t>
      </w:r>
      <w:r>
        <w:rPr>
          <w:rFonts w:ascii="宋体" w:hAnsi="宋体" w:cs="宋体" w:eastAsia="宋体" w:hint="default"/>
          <w:sz w:val="18"/>
          <w:szCs w:val="18"/>
        </w:rPr>
        <w:t>）测试未来现金流量净现值计算的准确性。</w:t>
      </w:r>
      <w:r>
        <w:rPr>
          <w:rFonts w:ascii="宋体" w:hAnsi="宋体" w:cs="宋体" w:eastAsia="宋体" w:hint="default"/>
          <w:sz w:val="18"/>
          <w:szCs w:val="18"/>
        </w:rPr>
        <w:t> </w:t>
      </w:r>
      <w:r>
        <w:rPr>
          <w:rFonts w:ascii="宋体" w:hAnsi="宋体" w:cs="宋体" w:eastAsia="宋体" w:hint="default"/>
          <w:b/>
          <w:bCs/>
          <w:sz w:val="18"/>
          <w:szCs w:val="18"/>
        </w:rPr>
        <w:t>四、其他信息</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16" w:lineRule="auto" w:before="19"/>
        <w:ind w:left="633" w:right="0"/>
        <w:jc w:val="left"/>
      </w:pPr>
      <w:r>
        <w:rPr>
          <w:spacing w:val="-4"/>
        </w:rPr>
        <w:t>管理层对其他信息负责。其他信息包括易联众公司</w:t>
      </w:r>
      <w:r>
        <w:rPr>
          <w:rFonts w:ascii="宋体" w:hAnsi="宋体" w:cs="宋体" w:eastAsia="宋体" w:hint="default"/>
          <w:spacing w:val="-4"/>
        </w:rPr>
        <w:t>2019</w:t>
      </w:r>
      <w:r>
        <w:rPr>
          <w:spacing w:val="-4"/>
        </w:rPr>
        <w:t>年度报告中涵盖的信息，但不包括财务报表和我们的审计报告。</w:t>
      </w:r>
      <w:r>
        <w:rPr>
          <w:spacing w:val="-79"/>
        </w:rPr>
        <w:t> </w:t>
      </w:r>
      <w:r>
        <w:rPr>
          <w:rFonts w:ascii="宋体" w:hAnsi="宋体" w:cs="宋体" w:eastAsia="宋体" w:hint="default"/>
          <w:spacing w:val="-79"/>
        </w:rPr>
      </w:r>
      <w:r>
        <w:rPr/>
        <w:t>我们对财务报表发表的审计意见不涵盖其他信息，我们也不对其他信息发表任何形式的鉴证结论。</w:t>
      </w:r>
      <w:r>
        <w:rPr>
          <w:rFonts w:ascii="宋体" w:hAnsi="宋体" w:cs="宋体" w:eastAsia="宋体" w:hint="default"/>
        </w:rPr>
        <w:t> </w:t>
      </w:r>
      <w:r>
        <w:rPr/>
        <w:t>结合我们对财务报表的审计，我们的责任是阅读其他信息，在此过程中，考虑其他信息是否与财务报表或我们在审计</w:t>
      </w:r>
    </w:p>
    <w:p>
      <w:pPr>
        <w:pStyle w:val="BodyText"/>
        <w:spacing w:line="316" w:lineRule="auto" w:before="19"/>
        <w:ind w:left="633" w:right="0" w:hanging="481"/>
        <w:jc w:val="left"/>
      </w:pPr>
      <w:r>
        <w:rPr/>
        <w:t>过程中了解到的情况存在重大不一致或者似乎存在重大错报。</w:t>
      </w:r>
      <w:r>
        <w:rPr>
          <w:rFonts w:ascii="宋体" w:hAnsi="宋体" w:cs="宋体" w:eastAsia="宋体" w:hint="default"/>
        </w:rPr>
        <w:t> </w:t>
      </w:r>
      <w:r>
        <w:rPr>
          <w:spacing w:val="-1"/>
        </w:rPr>
        <w:t>基于我们已执行的工作，如果我们确定其他信息存在重大错报，我们应当报告该事实。在这方面，我们无任何事项需</w:t>
      </w:r>
    </w:p>
    <w:p>
      <w:pPr>
        <w:pStyle w:val="BodyText"/>
        <w:spacing w:line="240" w:lineRule="auto" w:before="19"/>
        <w:ind w:right="1133"/>
        <w:jc w:val="left"/>
        <w:rPr>
          <w:rFonts w:ascii="宋体" w:hAnsi="宋体" w:cs="宋体" w:eastAsia="宋体" w:hint="default"/>
        </w:rPr>
      </w:pPr>
      <w:r>
        <w:rPr/>
        <w:t>要报告。</w:t>
      </w:r>
      <w:r>
        <w:rPr>
          <w:rFonts w:ascii="宋体" w:hAnsi="宋体" w:cs="宋体" w:eastAsia="宋体" w:hint="default"/>
        </w:rPr>
        <w:t> </w:t>
      </w:r>
    </w:p>
    <w:p>
      <w:pPr>
        <w:spacing w:line="316" w:lineRule="auto" w:before="76"/>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五、管理层和治理层对财务报表的责任</w:t>
      </w:r>
      <w:r>
        <w:rPr>
          <w:rFonts w:ascii="宋体" w:hAnsi="宋体" w:cs="宋体" w:eastAsia="宋体" w:hint="default"/>
          <w:b/>
          <w:bCs/>
          <w:w w:val="99"/>
          <w:sz w:val="18"/>
          <w:szCs w:val="18"/>
        </w:rPr>
        <w:t> </w:t>
      </w:r>
      <w:r>
        <w:rPr>
          <w:rFonts w:ascii="宋体" w:hAnsi="宋体" w:cs="宋体" w:eastAsia="宋体" w:hint="default"/>
          <w:spacing w:val="-1"/>
          <w:sz w:val="18"/>
          <w:szCs w:val="18"/>
        </w:rPr>
        <w:t>管理层负责按照企业会计准则的规定编制财务报表，使其实现公允反映，并设计、执行和维护必要的内部控制，以使</w:t>
      </w:r>
    </w:p>
    <w:p>
      <w:pPr>
        <w:pStyle w:val="BodyText"/>
        <w:spacing w:line="316" w:lineRule="auto" w:before="19"/>
        <w:ind w:left="633" w:right="1133" w:hanging="481"/>
        <w:jc w:val="left"/>
      </w:pPr>
      <w:r>
        <w:rPr/>
        <w:t>财务报表不存在由于舞弊或错误导致的重大错报。</w:t>
      </w:r>
      <w:r>
        <w:rPr>
          <w:rFonts w:ascii="宋体" w:hAnsi="宋体" w:cs="宋体" w:eastAsia="宋体" w:hint="default"/>
        </w:rPr>
        <w:t> </w:t>
      </w:r>
      <w:r>
        <w:rPr>
          <w:spacing w:val="-1"/>
        </w:rPr>
        <w:t>在编制财务报表时，管理层负责评估易联众公司的持续经营能力，披露与持续经营相关的事项（如适用），并运用持</w:t>
      </w:r>
    </w:p>
    <w:p>
      <w:pPr>
        <w:spacing w:line="316" w:lineRule="auto" w:before="19"/>
        <w:ind w:left="633" w:right="3793" w:hanging="481"/>
        <w:jc w:val="left"/>
        <w:rPr>
          <w:rFonts w:ascii="宋体" w:hAnsi="宋体" w:cs="宋体" w:eastAsia="宋体" w:hint="default"/>
          <w:sz w:val="18"/>
          <w:szCs w:val="18"/>
        </w:rPr>
      </w:pPr>
      <w:r>
        <w:rPr>
          <w:rFonts w:ascii="宋体" w:hAnsi="宋体" w:cs="宋体" w:eastAsia="宋体" w:hint="default"/>
          <w:sz w:val="18"/>
          <w:szCs w:val="18"/>
        </w:rPr>
        <w:t>续经营假设，除非管理层计划清算易联众公司、终止运营或别无其他现实的选择。</w:t>
      </w:r>
      <w:r>
        <w:rPr>
          <w:rFonts w:ascii="宋体" w:hAnsi="宋体" w:cs="宋体" w:eastAsia="宋体" w:hint="default"/>
          <w:sz w:val="18"/>
          <w:szCs w:val="18"/>
        </w:rPr>
        <w:t> </w:t>
      </w:r>
      <w:r>
        <w:rPr>
          <w:rFonts w:ascii="宋体" w:hAnsi="宋体" w:cs="宋体" w:eastAsia="宋体" w:hint="default"/>
          <w:sz w:val="18"/>
          <w:szCs w:val="18"/>
        </w:rPr>
        <w:t>治理层负责监督易联众公司的财务报告过程。</w:t>
      </w:r>
      <w:r>
        <w:rPr>
          <w:rFonts w:ascii="宋体" w:hAnsi="宋体" w:cs="宋体" w:eastAsia="宋体" w:hint="default"/>
          <w:sz w:val="18"/>
          <w:szCs w:val="18"/>
        </w:rPr>
        <w:t> </w:t>
      </w:r>
      <w:r>
        <w:rPr>
          <w:rFonts w:ascii="宋体" w:hAnsi="宋体" w:cs="宋体" w:eastAsia="宋体" w:hint="default"/>
          <w:b/>
          <w:bCs/>
          <w:sz w:val="18"/>
          <w:szCs w:val="18"/>
        </w:rPr>
        <w:t>六、注册会计师对财务报表审计的责任</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316" w:lineRule="auto" w:before="19"/>
        <w:ind w:right="1130" w:firstLine="480"/>
        <w:jc w:val="both"/>
        <w:rPr>
          <w:rFonts w:ascii="宋体" w:hAnsi="宋体" w:cs="宋体" w:eastAsia="宋体" w:hint="default"/>
        </w:rPr>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3"/>
        </w:rPr>
        <w:t> </w:t>
      </w:r>
      <w:r>
        <w:rPr>
          <w:spacing w:val="-63"/>
        </w:rPr>
      </w:r>
      <w:r>
        <w:rPr>
          <w:spacing w:val="-2"/>
        </w:rPr>
        <w:t>弊或错误导致，如果合理预期错报单独或汇总起来可能影响财务报表使用者依据财务报表作出的经济决策，则通常认为错报</w:t>
      </w:r>
      <w:r>
        <w:rPr>
          <w:spacing w:val="-62"/>
        </w:rPr>
        <w:t> </w:t>
      </w:r>
      <w:r>
        <w:rPr>
          <w:spacing w:val="-62"/>
        </w:rPr>
      </w:r>
      <w:r>
        <w:rPr/>
        <w:t>是重大的。</w:t>
      </w:r>
      <w:r>
        <w:rPr>
          <w:rFonts w:ascii="宋体" w:hAnsi="宋体" w:cs="宋体" w:eastAsia="宋体" w:hint="default"/>
        </w:rPr>
        <w:t> </w:t>
      </w:r>
    </w:p>
    <w:p>
      <w:pPr>
        <w:pStyle w:val="BodyText"/>
        <w:spacing w:line="240" w:lineRule="auto" w:before="19"/>
        <w:ind w:left="633" w:right="1133"/>
        <w:jc w:val="left"/>
        <w:rPr>
          <w:rFonts w:ascii="宋体" w:hAnsi="宋体" w:cs="宋体" w:eastAsia="宋体" w:hint="default"/>
        </w:rPr>
      </w:pPr>
      <w:r>
        <w:rPr/>
        <w:t>在按照审计准则执行审计工作的过程中，我们运用职业判断，并保持职业怀疑。同时，我们也执行以下工作：</w:t>
      </w:r>
      <w:r>
        <w:rPr>
          <w:rFonts w:ascii="宋体" w:hAnsi="宋体" w:cs="宋体" w:eastAsia="宋体" w:hint="default"/>
        </w:rPr>
        <w:t> </w:t>
      </w:r>
    </w:p>
    <w:p>
      <w:pPr>
        <w:pStyle w:val="BodyText"/>
        <w:spacing w:line="316" w:lineRule="auto" w:before="77"/>
        <w:ind w:right="1041" w:firstLine="480"/>
        <w:jc w:val="both"/>
        <w:rPr>
          <w:rFonts w:ascii="宋体" w:hAnsi="宋体" w:cs="宋体" w:eastAsia="宋体" w:hint="default"/>
        </w:rPr>
      </w:pPr>
      <w:r>
        <w:rPr>
          <w:spacing w:val="-1"/>
        </w:rPr>
        <w:t>（</w:t>
      </w:r>
      <w:r>
        <w:rPr>
          <w:rFonts w:ascii="宋体" w:hAnsi="宋体" w:cs="宋体" w:eastAsia="宋体" w:hint="default"/>
          <w:spacing w:val="-1"/>
        </w:rPr>
        <w:t>1</w:t>
      </w:r>
      <w:r>
        <w:rPr>
          <w:spacing w:val="-1"/>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r>
        <w:rPr>
          <w:rFonts w:ascii="宋体" w:hAnsi="宋体" w:cs="宋体" w:eastAsia="宋体" w:hint="default"/>
        </w:rPr>
        <w:t> </w:t>
      </w:r>
    </w:p>
    <w:p>
      <w:pPr>
        <w:pStyle w:val="BodyText"/>
        <w:spacing w:line="240" w:lineRule="auto" w:before="19"/>
        <w:ind w:left="633" w:right="1133"/>
        <w:jc w:val="left"/>
        <w:rPr>
          <w:rFonts w:ascii="宋体" w:hAnsi="宋体" w:cs="宋体" w:eastAsia="宋体" w:hint="default"/>
        </w:rPr>
      </w:pPr>
      <w:r>
        <w:rPr/>
        <w:t>（</w:t>
      </w:r>
      <w:r>
        <w:rPr>
          <w:rFonts w:ascii="宋体" w:hAnsi="宋体" w:cs="宋体" w:eastAsia="宋体" w:hint="default"/>
        </w:rPr>
        <w:t>2</w:t>
      </w:r>
      <w:r>
        <w:rPr/>
        <w:t>）了解与审计相关的内部控制，以设计恰当的审计程序，但目的并非对内部控制的有效性发表意见。</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3</w:t>
      </w:r>
      <w:r>
        <w:rPr/>
        <w:t>）评价管理层选用会计政策的恰当性和作出会计估计及相关披露的合理性。</w:t>
      </w:r>
      <w:r>
        <w:rPr>
          <w:rFonts w:ascii="宋体" w:hAnsi="宋体" w:cs="宋体" w:eastAsia="宋体" w:hint="default"/>
        </w:rPr>
        <w:t> </w:t>
      </w:r>
    </w:p>
    <w:p>
      <w:pPr>
        <w:pStyle w:val="BodyText"/>
        <w:spacing w:line="316" w:lineRule="auto" w:before="76"/>
        <w:ind w:right="1133" w:firstLine="480"/>
        <w:jc w:val="both"/>
        <w:rPr>
          <w:rFonts w:ascii="宋体" w:hAnsi="宋体" w:cs="宋体" w:eastAsia="宋体" w:hint="default"/>
        </w:rPr>
      </w:pPr>
      <w:r>
        <w:rPr/>
        <w:t>（</w:t>
      </w:r>
      <w:r>
        <w:rPr>
          <w:rFonts w:ascii="宋体" w:hAnsi="宋体" w:cs="宋体" w:eastAsia="宋体" w:hint="default"/>
        </w:rPr>
        <w:t>4</w:t>
      </w:r>
      <w:r>
        <w:rPr/>
        <w:t>）对管理层使用持续经营假设的恰当性得出结论。同时，根据获取的审计证据，就可能导致对易联众公司持续经 </w:t>
      </w:r>
      <w:r>
        <w:rPr>
          <w:spacing w:val="-2"/>
        </w:rPr>
        <w:t>营能力产生重大疑虑的事项或情况是否存在重大不确定性得出结论。如果我们得出结论认为存在重大不确定性，审计准则要</w:t>
      </w:r>
      <w:r>
        <w:rPr>
          <w:spacing w:val="-64"/>
        </w:rPr>
        <w:t> </w:t>
      </w:r>
      <w:r>
        <w:rPr>
          <w:spacing w:val="-64"/>
        </w:rPr>
      </w:r>
      <w:r>
        <w:rPr>
          <w:spacing w:val="-2"/>
        </w:rPr>
        <w:t>求我们在审计报告中提请报表使用者注意财务报表中的相关披露；如果披露不充分，我们应当发表非无保留意见。我们的结</w:t>
      </w:r>
      <w:r>
        <w:rPr>
          <w:spacing w:val="-66"/>
        </w:rPr>
        <w:t> </w:t>
      </w:r>
      <w:r>
        <w:rPr>
          <w:spacing w:val="-66"/>
        </w:rPr>
      </w:r>
      <w:r>
        <w:rPr/>
        <w:t>论基于截至审计报告日可获得的信息。然而，未来的事项或情况可能导致易联众公司不能持续经营。</w:t>
      </w:r>
      <w:r>
        <w:rPr>
          <w:rFonts w:ascii="宋体" w:hAnsi="宋体" w:cs="宋体" w:eastAsia="宋体" w:hint="default"/>
        </w:rPr>
        <w:t> </w:t>
      </w:r>
    </w:p>
    <w:p>
      <w:pPr>
        <w:pStyle w:val="BodyText"/>
        <w:spacing w:line="240" w:lineRule="auto" w:before="19"/>
        <w:ind w:left="633" w:right="1133"/>
        <w:jc w:val="left"/>
        <w:rPr>
          <w:rFonts w:ascii="宋体" w:hAnsi="宋体" w:cs="宋体" w:eastAsia="宋体" w:hint="default"/>
        </w:rPr>
      </w:pPr>
      <w:r>
        <w:rPr/>
        <w:t>（</w:t>
      </w:r>
      <w:r>
        <w:rPr>
          <w:rFonts w:ascii="宋体" w:hAnsi="宋体" w:cs="宋体" w:eastAsia="宋体" w:hint="default"/>
        </w:rPr>
        <w:t>5</w:t>
      </w:r>
      <w:r>
        <w:rPr/>
        <w:t>）评价财务报表的总体列报、结构和内容，并评价财务报表是否公允反映相关交易和事项。</w:t>
      </w:r>
      <w:r>
        <w:rPr>
          <w:rFonts w:ascii="宋体" w:hAnsi="宋体" w:cs="宋体" w:eastAsia="宋体" w:hint="default"/>
        </w:rPr>
        <w:t> </w:t>
      </w:r>
    </w:p>
    <w:p>
      <w:pPr>
        <w:pStyle w:val="BodyText"/>
        <w:spacing w:line="319" w:lineRule="auto" w:before="76"/>
        <w:ind w:right="1137" w:firstLine="480"/>
        <w:jc w:val="both"/>
        <w:rPr>
          <w:rFonts w:ascii="宋体" w:hAnsi="宋体" w:cs="宋体" w:eastAsia="宋体" w:hint="default"/>
        </w:rPr>
      </w:pPr>
      <w:r>
        <w:rPr/>
        <w:t>（</w:t>
      </w:r>
      <w:r>
        <w:rPr>
          <w:rFonts w:ascii="宋体" w:hAnsi="宋体" w:cs="宋体" w:eastAsia="宋体" w:hint="default"/>
        </w:rPr>
        <w:t>6</w:t>
      </w:r>
      <w:r>
        <w:rPr/>
        <w:t>）就易联众公司中实体或业务活动的财务信息获取充分、适当的审计证据，以对财务报表发表审计意见。我们负 责指导、监督和执行集团审计，并对审计意见承担全部责任。</w:t>
      </w:r>
      <w:r>
        <w:rPr>
          <w:rFonts w:ascii="宋体" w:hAnsi="宋体" w:cs="宋体" w:eastAsia="宋体" w:hint="default"/>
        </w:rPr>
        <w:t> </w:t>
      </w:r>
    </w:p>
    <w:p>
      <w:pPr>
        <w:pStyle w:val="BodyText"/>
        <w:spacing w:line="316" w:lineRule="auto" w:before="17"/>
        <w:ind w:right="1135" w:firstLine="480"/>
        <w:jc w:val="both"/>
        <w:rPr>
          <w:rFonts w:ascii="宋体" w:hAnsi="宋体" w:cs="宋体" w:eastAsia="宋体" w:hint="default"/>
        </w:rPr>
      </w:pPr>
      <w:r>
        <w:rPr>
          <w:spacing w:val="-1"/>
        </w:rPr>
        <w:t>我们与治理层就计划的审计范围、时间安排和重大审计发现等事项进行沟通，包括沟通我们在审计中识别出的值得关</w:t>
      </w:r>
      <w:r>
        <w:rPr/>
        <w:t> 注的内部控制缺陷。</w:t>
      </w:r>
      <w:r>
        <w:rPr>
          <w:rFonts w:ascii="宋体" w:hAnsi="宋体" w:cs="宋体" w:eastAsia="宋体" w:hint="default"/>
        </w:rPr>
        <w:t> </w:t>
      </w:r>
    </w:p>
    <w:p>
      <w:pPr>
        <w:pStyle w:val="BodyText"/>
        <w:spacing w:line="316" w:lineRule="auto" w:before="19"/>
        <w:ind w:right="1132" w:firstLine="480"/>
        <w:jc w:val="both"/>
        <w:rPr>
          <w:rFonts w:ascii="宋体" w:hAnsi="宋体" w:cs="宋体" w:eastAsia="宋体" w:hint="default"/>
        </w:rPr>
      </w:pPr>
      <w:r>
        <w:rPr>
          <w:spacing w:val="-1"/>
        </w:rPr>
        <w:t>我们还就已遵守与独立性相关的职业道德要求向治理层提供声明，并与治理层沟通可能被合理认为影响我们独立性的</w:t>
      </w:r>
      <w:r>
        <w:rPr/>
        <w:t> 所有关系和其他事项，以及相关的防范措施（如适用）。</w:t>
      </w:r>
      <w:r>
        <w:rPr>
          <w:rFonts w:ascii="宋体" w:hAnsi="宋体" w:cs="宋体" w:eastAsia="宋体" w:hint="default"/>
        </w:rPr>
        <w:t> </w:t>
      </w:r>
    </w:p>
    <w:p>
      <w:pPr>
        <w:pStyle w:val="BodyText"/>
        <w:spacing w:line="316" w:lineRule="auto" w:before="19"/>
        <w:ind w:right="1132" w:firstLine="480"/>
        <w:jc w:val="both"/>
        <w:rPr>
          <w:rFonts w:ascii="宋体" w:hAnsi="宋体" w:cs="宋体" w:eastAsia="宋体" w:hint="default"/>
        </w:rPr>
      </w:pPr>
      <w:r>
        <w:rPr>
          <w:spacing w:val="-1"/>
        </w:rPr>
        <w:t>从与治理层沟通过的事项中，我们确定哪些事项对本期财务报表审计最为重要，因而构成关键审计事项。我们在审计</w:t>
      </w:r>
      <w:r>
        <w:rPr/>
        <w:t> </w:t>
      </w:r>
      <w:r>
        <w:rPr>
          <w:spacing w:val="-2"/>
        </w:rPr>
        <w:t>报告中描述这些事项，除非法律法规禁止公开披露这些事项，或在极少数情形下，如果合理预期在审计报告中沟通某事项造</w:t>
      </w:r>
      <w:r>
        <w:rPr>
          <w:spacing w:val="-66"/>
        </w:rPr>
        <w:t> </w:t>
      </w:r>
      <w:r>
        <w:rPr>
          <w:spacing w:val="-66"/>
        </w:rPr>
      </w:r>
      <w:r>
        <w:rPr/>
        <w:t>成的负面后果超过在公众利益方面产生的益处，我们确定不应在审计报告中沟通该事项。</w:t>
      </w:r>
      <w:r>
        <w:rPr>
          <w:rFonts w:ascii="宋体" w:hAnsi="宋体" w:cs="宋体" w:eastAsia="宋体" w:hint="default"/>
        </w:rPr>
        <w:t> </w:t>
      </w:r>
    </w:p>
    <w:p>
      <w:pPr>
        <w:pStyle w:val="BodyText"/>
        <w:spacing w:line="240" w:lineRule="auto" w:before="19"/>
        <w:ind w:right="0"/>
        <w:jc w:val="left"/>
        <w:rPr>
          <w:rFonts w:ascii="宋体" w:hAnsi="宋体" w:cs="宋体" w:eastAsia="宋体" w:hint="default"/>
        </w:rPr>
      </w:pPr>
      <w:r>
        <w:rPr>
          <w:rFonts w:ascii="宋体"/>
        </w:rPr>
        <w:t> </w:t>
      </w:r>
    </w:p>
    <w:p>
      <w:pPr>
        <w:pStyle w:val="BodyText"/>
        <w:spacing w:line="240" w:lineRule="auto" w:before="155"/>
        <w:ind w:left="273"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2"/>
        </w:rPr>
        <w:t> </w:t>
      </w:r>
      <w:r>
        <w:rPr/>
        <w:t>容诚会计师事务所                            </w:t>
      </w:r>
      <w:r>
        <w:rPr>
          <w:spacing w:val="77"/>
        </w:rPr>
        <w:t> </w:t>
      </w:r>
      <w:r>
        <w:rPr>
          <w:rFonts w:ascii="宋体" w:hAnsi="宋体" w:cs="宋体" w:eastAsia="宋体" w:hint="default"/>
          <w:spacing w:val="77"/>
        </w:rPr>
      </w:r>
      <w:r>
        <w:rPr/>
        <w:t>中国注册会计师：许瑞生</w:t>
      </w:r>
      <w:r>
        <w:rPr>
          <w:rFonts w:ascii="宋体" w:hAnsi="宋体" w:cs="宋体" w:eastAsia="宋体" w:hint="default"/>
        </w:rPr>
        <w:t> </w:t>
      </w:r>
    </w:p>
    <w:p>
      <w:pPr>
        <w:pStyle w:val="BodyText"/>
        <w:spacing w:line="240" w:lineRule="auto" w:before="153"/>
        <w:ind w:left="393"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2"/>
        </w:rPr>
        <w:t> </w:t>
      </w:r>
      <w:r>
        <w:rPr/>
        <w:t>（特殊普通合伙）                            </w:t>
      </w:r>
      <w:r>
        <w:rPr>
          <w:spacing w:val="78"/>
        </w:rPr>
        <w:t> </w:t>
      </w:r>
      <w:r>
        <w:rPr>
          <w:rFonts w:ascii="宋体" w:hAnsi="宋体" w:cs="宋体" w:eastAsia="宋体" w:hint="default"/>
          <w:spacing w:val="78"/>
        </w:rPr>
      </w:r>
      <w:r>
        <w:rPr/>
        <w:t>（项目合伙人）</w:t>
      </w:r>
      <w:r>
        <w:rPr>
          <w:rFonts w:ascii="宋体" w:hAnsi="宋体" w:cs="宋体" w:eastAsia="宋体" w:hint="default"/>
        </w:rPr>
        <w:t> </w:t>
      </w:r>
    </w:p>
    <w:p>
      <w:pPr>
        <w:pStyle w:val="BodyText"/>
        <w:spacing w:line="240" w:lineRule="auto" w:before="155"/>
        <w:ind w:left="2791" w:right="0"/>
        <w:jc w:val="center"/>
        <w:rPr>
          <w:rFonts w:ascii="宋体" w:hAnsi="宋体" w:cs="宋体" w:eastAsia="宋体" w:hint="default"/>
        </w:rPr>
      </w:pPr>
      <w:r>
        <w:rPr>
          <w:rFonts w:ascii="宋体"/>
        </w:rPr>
        <w:t> </w:t>
      </w:r>
    </w:p>
    <w:p>
      <w:pPr>
        <w:spacing w:after="0" w:line="240" w:lineRule="auto"/>
        <w:jc w:val="center"/>
        <w:rPr>
          <w:rFonts w:ascii="宋体" w:hAnsi="宋体" w:cs="宋体" w:eastAsia="宋体" w:hint="default"/>
        </w:rPr>
        <w:sectPr>
          <w:footerReference w:type="default" r:id="rId18"/>
          <w:pgSz w:w="11910" w:h="16840"/>
          <w:pgMar w:footer="974" w:header="748"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33"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t>中国·北京                                 </w:t>
      </w:r>
      <w:r>
        <w:rPr>
          <w:spacing w:val="75"/>
        </w:rPr>
        <w:t> </w:t>
      </w:r>
      <w:r>
        <w:rPr>
          <w:rFonts w:ascii="宋体" w:hAnsi="宋体" w:cs="宋体" w:eastAsia="宋体" w:hint="default"/>
          <w:spacing w:val="75"/>
        </w:rPr>
      </w:r>
      <w:r>
        <w:rPr/>
        <w:t>中国注册会计师：李新星</w:t>
      </w:r>
      <w:r>
        <w:rPr>
          <w:rFonts w:ascii="宋体" w:hAnsi="宋体" w:cs="宋体" w:eastAsia="宋体" w:hint="default"/>
        </w:rPr>
        <w:t> </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8"/>
          <w:szCs w:val="18"/>
        </w:rPr>
      </w:pPr>
    </w:p>
    <w:p>
      <w:pPr>
        <w:pStyle w:val="BodyText"/>
        <w:spacing w:line="240" w:lineRule="auto" w:before="44"/>
        <w:ind w:left="4113" w:right="1133"/>
        <w:jc w:val="left"/>
        <w:rPr>
          <w:rFonts w:ascii="宋体" w:hAnsi="宋体" w:cs="宋体" w:eastAsia="宋体" w:hint="default"/>
        </w:rPr>
      </w:pP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spacing w:val="-2"/>
        </w:rPr>
        <w:t> </w:t>
      </w:r>
      <w:r>
        <w:rPr>
          <w:rFonts w:ascii="宋体" w:hAnsi="宋体" w:cs="宋体" w:eastAsia="宋体" w:hint="default"/>
          <w:spacing w:val="1"/>
        </w:rPr>
        <w:t> </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27</w:t>
      </w:r>
      <w:r>
        <w:rPr/>
        <w:t>日</w:t>
      </w:r>
      <w:r>
        <w:rPr>
          <w:rFonts w:ascii="宋体" w:hAnsi="宋体" w:cs="宋体" w:eastAsia="宋体" w:hint="default"/>
          <w:b/>
          <w:bCs/>
          <w:w w:val="99"/>
        </w:rPr>
        <w:t> </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p>
      <w:pPr>
        <w:pStyle w:val="Heading2"/>
        <w:spacing w:line="240" w:lineRule="auto" w:before="26"/>
        <w:ind w:right="1133"/>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财务附注中报表的单位为：元</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19"/>
          <w:pgSz w:w="11910" w:h="16840"/>
          <w:pgMar w:footer="974" w:header="748" w:top="1060" w:bottom="1160" w:left="980" w:right="0"/>
          <w:pgNumType w:start="101"/>
        </w:sectPr>
      </w:pPr>
    </w:p>
    <w:p>
      <w:pPr>
        <w:pStyle w:val="BodyText"/>
        <w:spacing w:line="240" w:lineRule="auto" w:before="44"/>
        <w:ind w:right="-20"/>
        <w:jc w:val="left"/>
      </w:pPr>
      <w:r>
        <w:rPr/>
        <w:t>编制单位：易联众信息技术股份有限公司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31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3" w:equalWidth="0">
            <w:col w:w="3393" w:space="683"/>
            <w:col w:w="1642" w:space="3202"/>
            <w:col w:w="2010"/>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460,893,072.86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343,503,676.38</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514,907,457.40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739,844,880.10</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9,911,663.75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13,629,985.24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28,788,650.39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22,553,070.26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3,706,866.66</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111,113,636.04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106,481,939.02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75,747,784.28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9,669,502.81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10,253,277.82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1,135,896,983.25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1,312,014,613.10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4,674,180.05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5,084,867.23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384,385,995.38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380,972,704.91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67,993,331.45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72,949,527.30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437,311.93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30,477,340.48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29,685,551.01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33,958,768.39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9,740,579.47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9,129,924.93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10,275,743.30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4,498,388.46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5,553,550.13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46,056,566.69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42,242,660.33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587,674,495.83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602,942,495.61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1,723,571,479.08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1,914,957,108.71</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250,429,331.00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284,500,000.00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287,943,263.83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226,126,287.61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114,058,968.56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98,462,072.77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93,433,263.05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68,851,278.81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33,578,711.47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36,991,413.98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46,976,398.80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64,282,441.19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20,522,566.54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2,583,062.81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2,071,379.00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829,002,999.52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781,284,873.36</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300,221,363.84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300,221,363.84</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849,402,999.52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1,081,506,237.20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34,792,805.03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32,401,913.78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1,052,379.78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1,159,187.06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26,927,422.86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26,927,422.86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241,740,231.09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250,158,960.13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734,512,838.76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740,647,483.83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139,655,640.80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92,803,387.68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874,168,479.56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833,450,871.51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1,723,571,479.08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1,914,957,108.71</w:t>
            </w:r>
          </w:p>
        </w:tc>
      </w:tr>
    </w:tbl>
    <w:p>
      <w:pPr>
        <w:spacing w:line="240" w:lineRule="auto" w:before="2"/>
        <w:rPr>
          <w:rFonts w:ascii="Times New Roman" w:hAnsi="Times New Roman" w:cs="Times New Roman" w:eastAsia="Times New Roman" w:hint="default"/>
          <w:sz w:val="23"/>
          <w:szCs w:val="23"/>
        </w:rPr>
      </w:pPr>
    </w:p>
    <w:p>
      <w:pPr>
        <w:pStyle w:val="BodyText"/>
        <w:tabs>
          <w:tab w:pos="3334" w:val="left" w:leader="none"/>
          <w:tab w:pos="7566" w:val="left" w:leader="none"/>
        </w:tabs>
        <w:spacing w:line="240" w:lineRule="auto" w:before="44"/>
        <w:ind w:left="0" w:right="1225"/>
        <w:jc w:val="right"/>
      </w:pPr>
      <w:r>
        <w:rPr/>
        <w:t>法定代表人：张曦</w:t>
        <w:tab/>
      </w:r>
      <w:r>
        <w:rPr>
          <w:spacing w:val="-1"/>
        </w:rPr>
        <w:t>主管会计工作负责人：陈东红</w:t>
        <w:tab/>
      </w:r>
      <w:r>
        <w:rPr/>
        <w:t>会计机构负责人：尤泽祥</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80,708,101.55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82,433,001.43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期损益的金融资产</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267,696,829.19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205,643,969.26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40,131,817.11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57,769,432.40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41,159,239.12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38,415,544.14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456,704.09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27,854,498.16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37,943,576.72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2,697,003.40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4,766,340.57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460,860,488.53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427,584,864.52</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4,030,428.90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4,441,116.08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897,296,779.92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974,993,226.71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56,105,104.04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61,955,887.89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437,311.93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9,898,588.68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15,121,773.97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11,481,024.32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1,888,899.36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2,113,401.91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23,288,471.45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16,502,410.44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1,003,989,296.67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1,076,565,128.93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1,464,849,785.20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1,504,149,993.45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250,429,331.00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245,000,000.00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以公允价值计量且其变动计入当 期损益的金融负债</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261,313,650.24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210,022,242.72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17,064,249.03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3"/>
              <w:jc w:val="right"/>
              <w:rPr>
                <w:rFonts w:ascii="Times New Roman" w:hAnsi="Times New Roman" w:cs="Times New Roman" w:eastAsia="Times New Roman" w:hint="default"/>
                <w:sz w:val="18"/>
                <w:szCs w:val="18"/>
              </w:rPr>
            </w:pPr>
            <w:r>
              <w:rPr>
                <w:rFonts w:ascii="Times New Roman"/>
                <w:spacing w:val="-1"/>
                <w:sz w:val="18"/>
              </w:rPr>
              <w:t>37,117,509.30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13,256,328.35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9,400,550.57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735,828.86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414,979.48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318,738,025.81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402,114,362.11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662,667.17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3,057,037.00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2,678,249.00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864,594,450.29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906,747,893.18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3,990,124.66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4,410,917.83</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24,390,124.66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4,410,917.83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888,984,574.95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2"/>
                <w:sz w:val="18"/>
              </w:rPr>
              <w:t>911,158,811.01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430,000,000.00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39,361,001.73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37,727,060.86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1,052,379.78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1,159,187.06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27,136,905.60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27,136,905.60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78,314,923.14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96,968,028.92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575,865,210.25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592,991,182.44</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1,464,849,785.20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1,504,149,993.45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948,718,436.87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729,805,790.24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其中：营业收入</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948,718,436.87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729,805,790.24</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已赚保费</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手续费及佣金收入</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875,758,483.04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685,448,025.13</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其中：营业成本</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459,682,264.26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343,960,271.40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手续费及佣金支出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退保金</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赔付支出净额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 </w:t>
            </w:r>
            <w:r>
              <w:rPr>
                <w:rFonts w:ascii="宋体" w:hAnsi="宋体" w:cs="宋体" w:eastAsia="宋体" w:hint="default"/>
                <w:sz w:val="18"/>
                <w:szCs w:val="18"/>
              </w:rPr>
              <w:t>提取保险责任合同准备金 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保单红利支出</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分保费用</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10,434,020.48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8,135,818.37</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81,376,931.36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70,925,094.80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171,488,258.18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138,831,188.62</w:t>
            </w: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137,592,625.26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105,432,970.39</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15,184,383.50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18,162,681.55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177.860001pt;margin-top:498.909973pt;width:193.15pt;height:19.6pt;mso-position-horizontal-relative:page;mso-position-vertical-relative:page;z-index:-1326520" type="#_x0000_t202" filled="false" stroked="false">
            <v:textbox inset="0,0,0,0">
              <w:txbxContent>
                <w:p>
                  <w:pPr>
                    <w:pStyle w:val="BodyText"/>
                    <w:spacing w:line="240" w:lineRule="auto" w:before="51"/>
                    <w:ind w:left="0" w:right="0"/>
                    <w:jc w:val="left"/>
                  </w:pPr>
                  <w:r>
                    <w:rPr/>
                    <w:t>号填列）</w:t>
                  </w:r>
                </w:p>
              </w:txbxContent>
            </v:textbox>
            <w10:wrap type="none"/>
          </v:shape>
        </w:pict>
      </w:r>
      <w:r>
        <w:rPr/>
        <w:pict>
          <v:group style="position:absolute;margin-left:211.009995pt;margin-top:239.905975pt;width:160pt;height:19.6pt;mso-position-horizontal-relative:page;mso-position-vertical-relative:page;z-index:-1326496" coordorigin="4220,4798" coordsize="3200,392">
            <v:group style="position:absolute;left:7398;top:4798;width:22;height:392" coordorigin="7398,4798" coordsize="22,392">
              <v:shape style="position:absolute;left:7398;top:4798;width:22;height:392" coordorigin="7398,4798" coordsize="22,392" path="m7398,5190l7420,5190,7420,4798,7398,4798,7398,5190xe" filled="true" fillcolor="#ffffff" stroked="false">
                <v:path arrowok="t"/>
                <v:fill type="solid"/>
              </v:shape>
            </v:group>
            <v:group style="position:absolute;left:4220;top:4798;width:22;height:392" coordorigin="4220,4798" coordsize="22,392">
              <v:shape style="position:absolute;left:4220;top:4798;width:22;height:392" coordorigin="4220,4798" coordsize="22,392" path="m4220,5190l4242,5190,4242,4798,4220,4798,4220,5190xe" filled="true" fillcolor="#ffffff" stroked="false">
                <v:path arrowok="t"/>
                <v:fill type="solid"/>
              </v:shape>
            </v:group>
            <v:group style="position:absolute;left:4242;top:4798;width:3157;height:392" coordorigin="4242,4798" coordsize="3157,392">
              <v:shape style="position:absolute;left:4242;top:4798;width:3157;height:392" coordorigin="4242,4798" coordsize="3157,392" path="m4242,5190l7398,5190,7398,4798,4242,4798,4242,5190xe" filled="true" fillcolor="#ffffff" stroked="false">
                <v:path arrowok="t"/>
                <v:fill type="solid"/>
              </v:shape>
            </v:group>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1106"/>
        <w:gridCol w:w="2105"/>
        <w:gridCol w:w="3277"/>
      </w:tblGrid>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16,748,040.42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20,362,967.80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2,124,372.48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2,494,638.75</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40,861,185.13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20,879,770.75</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8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-3,583,120.87</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533,655.37</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3"/>
                <w:sz w:val="18"/>
                <w:szCs w:val="18"/>
              </w:rPr>
              <w:t>其中：对联营企业和合营企业</w:t>
            </w:r>
            <w:r>
              <w:rPr>
                <w:rFonts w:ascii="宋体" w:hAnsi="宋体" w:cs="宋体" w:eastAsia="宋体" w:hint="default"/>
                <w:sz w:val="18"/>
                <w:szCs w:val="18"/>
              </w:rPr>
              <w:t> 的投资收益</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83" w:right="0"/>
              <w:jc w:val="left"/>
              <w:rPr>
                <w:rFonts w:ascii="Times New Roman" w:hAnsi="Times New Roman" w:cs="Times New Roman" w:eastAsia="Times New Roman" w:hint="default"/>
                <w:sz w:val="18"/>
                <w:szCs w:val="18"/>
              </w:rPr>
            </w:pPr>
            <w:r>
              <w:rPr>
                <w:rFonts w:ascii="Times New Roman"/>
                <w:sz w:val="18"/>
              </w:rPr>
              <w:t>-11,130,389.94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533,655.37</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信用减值损失（损失以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076" w:right="0"/>
              <w:jc w:val="left"/>
              <w:rPr>
                <w:rFonts w:ascii="Times New Roman" w:hAnsi="Times New Roman" w:cs="Times New Roman" w:eastAsia="Times New Roman" w:hint="default"/>
                <w:sz w:val="18"/>
                <w:szCs w:val="18"/>
              </w:rPr>
            </w:pPr>
            <w:r>
              <w:rPr>
                <w:rFonts w:ascii="Times New Roman"/>
                <w:sz w:val="18"/>
              </w:rPr>
              <w:t>-42,572,067.31</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资产减值损失（损失以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-9,391,044.40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-22,425,124.49</w:t>
            </w: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4"/>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6"/>
                <w:w w:val="100"/>
                <w:sz w:val="18"/>
                <w:szCs w:val="18"/>
              </w:rPr>
              <w:t>资产处置收益（损失以</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Times New Roman" w:hAnsi="Times New Roman" w:cs="Times New Roman" w:eastAsia="Times New Roman" w:hint="default"/>
                <w:spacing w:val="-6"/>
                <w:w w:val="100"/>
                <w:sz w:val="18"/>
                <w:szCs w:val="18"/>
              </w:rPr>
              <w:t>”</w:t>
            </w:r>
            <w:r>
              <w:rPr>
                <w:rFonts w:ascii="宋体" w:hAnsi="宋体" w:cs="宋体" w:eastAsia="宋体" w:hint="default"/>
                <w:spacing w:val="-6"/>
                <w:w w:val="100"/>
                <w:sz w:val="18"/>
                <w:szCs w:val="18"/>
              </w:rPr>
              <w:t>号填</w:t>
            </w:r>
            <w:r>
              <w:rPr>
                <w:rFonts w:ascii="宋体" w:hAnsi="宋体" w:cs="宋体" w:eastAsia="宋体" w:hint="default"/>
                <w:sz w:val="18"/>
                <w:szCs w:val="18"/>
              </w:rPr>
              <w:t> 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56,116.88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-822,439.50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58,331,023.26</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42,523,627.24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334,361.02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510,083.49</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381,963.03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560,245.73</w:t>
            </w:r>
          </w:p>
        </w:tc>
      </w:tr>
      <w:tr>
        <w:trPr>
          <w:trHeight w:val="403" w:hRule="exact"/>
        </w:trPr>
        <w:tc>
          <w:tcPr>
            <w:tcW w:w="3080"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8"/>
                <w:sz w:val="18"/>
                <w:szCs w:val="18"/>
              </w:rPr>
              <w:t>四、利润总额（亏损总额以</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w:t>
            </w:r>
          </w:p>
        </w:tc>
        <w:tc>
          <w:tcPr>
            <w:tcW w:w="1106" w:type="dxa"/>
            <w:tcBorders>
              <w:top w:val="single" w:sz="4" w:space="0" w:color="000000"/>
              <w:left w:val="single" w:sz="13" w:space="0" w:color="FFFFFF"/>
              <w:bottom w:val="single" w:sz="4" w:space="0" w:color="000000"/>
              <w:right w:val="nil" w:sz="6" w:space="0" w:color="auto"/>
            </w:tcBorders>
          </w:tcPr>
          <w:p>
            <w:pPr/>
          </w:p>
        </w:tc>
        <w:tc>
          <w:tcPr>
            <w:tcW w:w="210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6"/>
              <w:ind w:left="1042" w:right="0"/>
              <w:jc w:val="left"/>
              <w:rPr>
                <w:rFonts w:ascii="Times New Roman" w:hAnsi="Times New Roman" w:cs="Times New Roman" w:eastAsia="Times New Roman" w:hint="default"/>
                <w:sz w:val="18"/>
                <w:szCs w:val="18"/>
              </w:rPr>
            </w:pPr>
            <w:r>
              <w:rPr>
                <w:rFonts w:ascii="Times New Roman"/>
                <w:sz w:val="18"/>
              </w:rPr>
              <w:t>58,283,421.25</w:t>
            </w:r>
          </w:p>
        </w:tc>
        <w:tc>
          <w:tcPr>
            <w:tcW w:w="3277"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42,473,465.00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1,719,230.40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4,341,480.80</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56,564,190.85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38,131,984.20</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（一）按经营持续性分类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56,564,190.85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38,131,984.20</w:t>
            </w:r>
          </w:p>
        </w:tc>
      </w:tr>
      <w:tr>
        <w:trPr>
          <w:trHeight w:val="71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212" w:type="dxa"/>
            <w:gridSpan w:val="2"/>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（二）按所有权归属分类</w:t>
            </w:r>
          </w:p>
        </w:tc>
        <w:tc>
          <w:tcPr>
            <w:tcW w:w="3212" w:type="dxa"/>
            <w:gridSpan w:val="2"/>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10,505,744.63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14,664,775.38</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46,058,446.22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23,467,208.82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21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393,118.60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1,159,187.06</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归属母公司所有者的其他综合收益 的税后净额</w:t>
            </w:r>
          </w:p>
        </w:tc>
        <w:tc>
          <w:tcPr>
            <w:tcW w:w="3212"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393,118.60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1,159,187.06</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080"/>
        <w:gridCol w:w="3212"/>
        <w:gridCol w:w="3277"/>
      </w:tblGrid>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（一）不能重分类进损益的其他综</w:t>
            </w:r>
            <w:r>
              <w:rPr>
                <w:rFonts w:ascii="宋体" w:hAnsi="宋体" w:cs="宋体" w:eastAsia="宋体" w:hint="default"/>
                <w:sz w:val="18"/>
                <w:szCs w:val="18"/>
              </w:rPr>
              <w:t> 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-350,074.12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 动额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 他综合收益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 值变动</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-350,074.12</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 值变动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9"/>
                <w:sz w:val="18"/>
                <w:szCs w:val="18"/>
              </w:rPr>
              <w:t> </w:t>
            </w:r>
            <w:r>
              <w:rPr>
                <w:rFonts w:ascii="宋体" w:hAnsi="宋体" w:cs="宋体" w:eastAsia="宋体" w:hint="default"/>
                <w:spacing w:val="-2"/>
                <w:sz w:val="18"/>
                <w:szCs w:val="18"/>
              </w:rPr>
              <w:t>（二）将重分类进损益的其他综合</w:t>
            </w:r>
            <w:r>
              <w:rPr>
                <w:rFonts w:ascii="宋体" w:hAnsi="宋体" w:cs="宋体" w:eastAsia="宋体" w:hint="default"/>
                <w:sz w:val="18"/>
                <w:szCs w:val="18"/>
              </w:rPr>
              <w:t> 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743,192.72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1,159,187.06</w:t>
            </w: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 综合收益</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743,192.72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1,159,187.06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 动</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 值变动损益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 综合收益的金额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 可供出售金融资产损益</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 备</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212" w:type="dxa"/>
            <w:tcBorders>
              <w:top w:val="single" w:sz="4" w:space="0" w:color="000000"/>
              <w:left w:val="single" w:sz="4" w:space="0" w:color="000000"/>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归属于少数股东的其他综合收益的 税后净额</w:t>
            </w:r>
          </w:p>
        </w:tc>
        <w:tc>
          <w:tcPr>
            <w:tcW w:w="3212" w:type="dxa"/>
            <w:tcBorders>
              <w:top w:val="single" w:sz="4" w:space="0" w:color="000000"/>
              <w:left w:val="single" w:sz="10" w:space="0" w:color="D2D2D2"/>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56,957,309.45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39,291,171.26</w:t>
            </w:r>
          </w:p>
        </w:tc>
      </w:tr>
      <w:tr>
        <w:trPr>
          <w:trHeight w:val="71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6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归属于母公司所有者的综合收益 总额</w:t>
            </w:r>
          </w:p>
        </w:tc>
        <w:tc>
          <w:tcPr>
            <w:tcW w:w="321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10,898,863.23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15,823,962.44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归属于少数股东的综合收益总额</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46,058,446.22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23,467,208.82</w:t>
            </w:r>
          </w:p>
        </w:tc>
      </w:tr>
      <w:tr>
        <w:trPr>
          <w:trHeight w:val="401"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z w:val="18"/>
              </w:rPr>
              <w:t>0.024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z w:val="18"/>
              </w:rPr>
              <w:t>0.034</w:t>
            </w:r>
          </w:p>
        </w:tc>
      </w:tr>
      <w:tr>
        <w:trPr>
          <w:trHeight w:val="403" w:hRule="exact"/>
        </w:trPr>
        <w:tc>
          <w:tcPr>
            <w:tcW w:w="3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0.024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0.034</w:t>
            </w:r>
          </w:p>
        </w:tc>
      </w:tr>
    </w:tbl>
    <w:p>
      <w:pPr>
        <w:pStyle w:val="BodyText"/>
        <w:spacing w:line="240" w:lineRule="auto" w:before="51"/>
        <w:ind w:right="1133"/>
        <w:jc w:val="left"/>
      </w:pPr>
      <w:r>
        <w:rPr/>
        <w:t>本期发生同一控制下企业合并的，被合并方在合并前实现的净利润为：元，上期被合并方实现的净利润为：元。</w:t>
      </w:r>
    </w:p>
    <w:p>
      <w:pPr>
        <w:spacing w:after="0" w:line="240" w:lineRule="auto"/>
        <w:jc w:val="left"/>
        <w:sectPr>
          <w:footerReference w:type="default" r:id="rId20"/>
          <w:pgSz w:w="11910" w:h="16840"/>
          <w:pgMar w:footer="974" w:header="748" w:top="1060" w:bottom="1160" w:left="980" w:right="0"/>
          <w:pgNumType w:start="109"/>
        </w:sectPr>
      </w:pPr>
    </w:p>
    <w:p>
      <w:pPr>
        <w:spacing w:line="240" w:lineRule="auto" w:before="12"/>
        <w:rPr>
          <w:rFonts w:ascii="宋体" w:hAnsi="宋体" w:cs="宋体" w:eastAsia="宋体" w:hint="default"/>
          <w:sz w:val="25"/>
          <w:szCs w:val="25"/>
        </w:rPr>
      </w:pPr>
    </w:p>
    <w:p>
      <w:pPr>
        <w:pStyle w:val="BodyText"/>
        <w:tabs>
          <w:tab w:pos="3334" w:val="left" w:leader="none"/>
          <w:tab w:pos="7566" w:val="left" w:leader="none"/>
        </w:tabs>
        <w:spacing w:line="240" w:lineRule="auto" w:before="44"/>
        <w:ind w:left="0" w:right="1225"/>
        <w:jc w:val="right"/>
      </w:pPr>
      <w:r>
        <w:rPr/>
        <w:t>法定代表人：张曦</w:t>
        <w:tab/>
      </w:r>
      <w:r>
        <w:rPr>
          <w:spacing w:val="-1"/>
        </w:rPr>
        <w:t>主管会计工作负责人：陈东红</w:t>
        <w:tab/>
      </w:r>
      <w:r>
        <w:rPr/>
        <w:t>会计机构负责人：尤泽祥</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463,102,540.35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344,911,703.95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减：营业成本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429,453,760.36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321,243,616.14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税金及附加</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1,793,238.67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759,691.69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10,798,567.40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8,187,788.56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管理费用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41,401,712.63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34,958,430.36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研发费用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14,243,131.82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7,008,284.38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16,361,016.82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15,697,479.98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其中：利息费用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17,578,741.78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20,530,321.97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利息收入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1,287,448.21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4,894,780.41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加：其他收益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6,595,263.34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6,600,549.58</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4"/>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49,462,132.71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-1,086,725.55</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其中：对联营企业和合营企 业的投资收益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-11,492,835.67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1,405,274.45</w:t>
            </w:r>
          </w:p>
        </w:tc>
      </w:tr>
      <w:tr>
        <w:trPr>
          <w:trHeight w:val="102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以摊余成本计量的金融 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净敞口套期收益（损失以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公允价值变动收益（损失以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信用减值损失（损失以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-12,964,609.36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资产减值损失（损失以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-7,770,868.03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-6,111,191.22</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z w:val="18"/>
                <w:szCs w:val="18"/>
              </w:rPr>
              <w:t> 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11,368.30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-840,817.58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-15,615,600.39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-44,381,771.93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加：营业外收入</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7,613.98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500,398.66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减：营业外支出</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7,405.03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396,777.43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-15,615,391.44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-44,278,150.70</w:t>
            </w:r>
          </w:p>
        </w:tc>
      </w:tr>
    </w:tbl>
    <w:p>
      <w:pPr>
        <w:spacing w:after="0" w:line="240" w:lineRule="auto"/>
        <w:jc w:val="right"/>
        <w:rPr>
          <w:rFonts w:ascii="Times New Roman" w:hAnsi="Times New Roman" w:cs="Times New Roman" w:eastAsia="Times New Roman" w:hint="default"/>
          <w:sz w:val="18"/>
          <w:szCs w:val="18"/>
        </w:rPr>
        <w:sectPr>
          <w:footerReference w:type="default" r:id="rId21"/>
          <w:pgSz w:w="11910" w:h="16840"/>
          <w:pgMar w:footer="974" w:header="748" w:top="1060" w:bottom="1160" w:left="980" w:right="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减：所得税费用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-5,507,494.71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2"/>
                <w:sz w:val="18"/>
              </w:rPr>
              <w:t>-6,111,077.47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-10,107,896.73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-38,167,073.23</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（一）持续经营净利润（净亏损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-10,107,896.73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-38,167,073.23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（二）终止经营净利润（净亏损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393,118.60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1,159,187.06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（一）不能重分类进损益的其他 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-350,074.12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 变动额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 其他综合收益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 价值变动</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-350,074.12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 价值变动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4"/>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（二）将重分类进损益的其他综 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743,192.72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1,159,187.06</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 他综合收益</w:t>
            </w:r>
          </w:p>
        </w:tc>
        <w:tc>
          <w:tcPr>
            <w:tcW w:w="33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743,192.72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1,159,187.06</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 变动</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 价值变动损益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 他综合收益的金额</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 为可供出售金融资产损益</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 准备</w:t>
            </w:r>
          </w:p>
        </w:tc>
        <w:tc>
          <w:tcPr>
            <w:tcW w:w="3300"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-9,714,778.13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-37,007,886.17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（一）基本每股收益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（二）稀释每股收益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944,360,917.74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777,515,162.65</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客户存款和同业存放款项净增加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向其他金融机构拆入资金净增加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收到原保险合同保费取得的现金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收到再保业务现金净额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保户储金及投资款净增加额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收取利息、手续费及佣金的现金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回购业务资金净增加额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代理买卖证券收到的现金净额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17,280,561.28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9,145,402.66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122,514,287.30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98,932,075.80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1,084,155,766.32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885,592,641.11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364,414,638.76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347,617,158.68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客户贷款及垫款净增加额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存放中央银行和同业款项净增加 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支付原保险合同赔付款项的现金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支付利息、手续费及佣金的现金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支付保单红利的现金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323,924,835.44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231,258,869.00</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79,437,477.27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74,682,721.93</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252,884,616.93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175,259,525.41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1,020,661,568.40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828,818,275.02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63,494,197.92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56,774,366.09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57,560,080.00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15,314,250.40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1,441,614.37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539,790.00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852,420.00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98,121,214.48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171,535,334.88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2,804,034.37</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45,269,190.55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20,419,394.88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36,401,007.09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2,923,500.00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质押贷款净增加额</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87,170,197.64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23,842,894.88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84,365,137.24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-21,038,860.51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14,390,400.00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28,855,000.00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其中：子公司吸收少数股东投资 收到的现金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14,390,400.00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28,855,000.00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284,150,000.00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364,500,000.00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13,159,250.00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298,540,400.00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406,514,250.00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297,958,346.00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495,524,718.80</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29,843,015.42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26,585,491.89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9,801,250.00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327,801,361.42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522,110,210.69</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-29,260,961.42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-115,595,960.69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36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118,598,373.74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-79,860,455.11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325,781,246.11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405,641,701.22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444,379,619.85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325,781,246.11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销售商品、提供劳务收到的现金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398,058,322.72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355,636,723.34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收到的税费返还</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668,042.32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757,828.31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177,075,826.44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128,992,378.81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575,802,191.48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485,386,930.46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购买商品、接受劳务支付的现金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379,433,007.29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355,246,905.13</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支付给职工以及为职工支付的现 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27,878,769.92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23,081,650.95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支付的各项税费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7,087,719.59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10,599,178.57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支付其他与经营活动有关的现金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276,650,651.04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45,122,711.25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691,050,147.84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434,050,445.90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-115,247,956.36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51,336,484.56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收回投资收到的现金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12,560,080.00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取得投资收益收到的现金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53,926,950.00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1,441,614.37</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长期资产收回的现金净额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453,200.00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1,029,900.00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处置子公司及其他营业单位收到 的现金净额</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2,608,000.00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41,287,141.72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8,900,920.37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215,227,371.72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13,980,434.74</w:t>
            </w: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购建固定资产、无形资产和其他 长期资产支付的现金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15,733,264.20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1,845,939.40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56,925,007.09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11,391,900.00</w:t>
            </w:r>
          </w:p>
        </w:tc>
      </w:tr>
      <w:tr>
        <w:trPr>
          <w:trHeight w:val="716"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取得子公司及其他营业单位支付 的现金净额</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支付其他与投资活动有关的现金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86,658,271.29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42,717,839.40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128,569,100.43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-28,737,404.66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284,150,000.00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58,000,000.00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38,159,250.00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342,150,000.00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363,159,250.00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258,458,346.00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455,024,718.80</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18,829,101.28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22,678,510.93</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78,079,411.67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6,789,166.66</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355,366,858.95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484,492,396.39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-13,216,858.95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-121,333,146.39</w:t>
            </w: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104,285.12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-98,734,066.49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70,561,927.68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169,295,994.17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70,666,212.80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70,561,927.68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53"/>
        <w:gridCol w:w="494"/>
        <w:gridCol w:w="466"/>
        <w:gridCol w:w="466"/>
        <w:gridCol w:w="468"/>
        <w:gridCol w:w="583"/>
        <w:gridCol w:w="586"/>
        <w:gridCol w:w="583"/>
        <w:gridCol w:w="584"/>
        <w:gridCol w:w="583"/>
        <w:gridCol w:w="583"/>
        <w:gridCol w:w="586"/>
        <w:gridCol w:w="584"/>
        <w:gridCol w:w="583"/>
        <w:gridCol w:w="586"/>
        <w:gridCol w:w="578"/>
      </w:tblGrid>
      <w:tr>
        <w:trPr>
          <w:trHeight w:val="403" w:hRule="exact"/>
        </w:trPr>
        <w:tc>
          <w:tcPr>
            <w:tcW w:w="12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1" w:hRule="exact"/>
        </w:trPr>
        <w:tc>
          <w:tcPr>
            <w:tcW w:w="1253"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9" w:lineRule="auto"/>
              <w:ind w:left="110" w:right="103"/>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40"/>
              <w:ind w:left="105" w:right="101"/>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3" w:hRule="exact"/>
        </w:trPr>
        <w:tc>
          <w:tcPr>
            <w:tcW w:w="1253"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07" w:right="22" w:hanging="84"/>
              <w:jc w:val="left"/>
              <w:rPr>
                <w:rFonts w:ascii="宋体" w:hAnsi="宋体" w:cs="宋体" w:eastAsia="宋体" w:hint="default"/>
                <w:sz w:val="18"/>
                <w:szCs w:val="18"/>
              </w:rPr>
            </w:pPr>
            <w:r>
              <w:rPr>
                <w:rFonts w:ascii="宋体" w:hAnsi="宋体" w:cs="宋体" w:eastAsia="宋体" w:hint="default"/>
                <w:spacing w:val="-5"/>
                <w:sz w:val="18"/>
                <w:szCs w:val="18"/>
              </w:rPr>
              <w:t>减：库</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存股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8"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08" w:right="10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7"/>
              <w:ind w:left="110" w:right="103"/>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tcBorders>
              <w:left w:val="single" w:sz="4" w:space="0" w:color="000000"/>
              <w:right w:val="single" w:sz="4" w:space="0" w:color="000000"/>
            </w:tcBorders>
            <w:shd w:val="clear" w:color="auto" w:fill="D2D2D2"/>
          </w:tcPr>
          <w:p>
            <w:pPr/>
          </w:p>
        </w:tc>
        <w:tc>
          <w:tcPr>
            <w:tcW w:w="578" w:type="dxa"/>
            <w:vMerge/>
            <w:tcBorders>
              <w:left w:val="single" w:sz="4" w:space="0" w:color="000000"/>
              <w:right w:val="single" w:sz="4" w:space="0" w:color="000000"/>
            </w:tcBorders>
            <w:shd w:val="clear" w:color="auto" w:fill="D2D2D2"/>
          </w:tcPr>
          <w:p>
            <w:pPr/>
          </w:p>
        </w:tc>
      </w:tr>
      <w:tr>
        <w:trPr>
          <w:trHeight w:val="713" w:hRule="exact"/>
        </w:trPr>
        <w:tc>
          <w:tcPr>
            <w:tcW w:w="1253"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39" w:right="4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39" w:right="46"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32,401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187.06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250,15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8,960.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13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740,64</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7,483.</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83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92,803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,387.6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833,45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0,871.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51</w:t>
            </w:r>
          </w:p>
        </w:tc>
      </w:tr>
      <w:tr>
        <w:trPr>
          <w:trHeight w:val="1025"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2,960,</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984.22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-21,38</w:t>
            </w:r>
          </w:p>
          <w:p>
            <w:pPr>
              <w:pStyle w:val="TableParagraph"/>
              <w:spacing w:line="240" w:lineRule="auto" w:before="102"/>
              <w:ind w:left="103" w:right="0"/>
              <w:jc w:val="left"/>
              <w:rPr>
                <w:rFonts w:ascii="Times New Roman" w:hAnsi="Times New Roman" w:cs="Times New Roman" w:eastAsia="Times New Roman" w:hint="default"/>
                <w:sz w:val="18"/>
                <w:szCs w:val="18"/>
              </w:rPr>
            </w:pPr>
            <w:r>
              <w:rPr>
                <w:rFonts w:ascii="Times New Roman"/>
                <w:sz w:val="18"/>
              </w:rPr>
              <w:t>9,020.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47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6" w:right="0"/>
              <w:jc w:val="left"/>
              <w:rPr>
                <w:rFonts w:ascii="Times New Roman" w:hAnsi="Times New Roman" w:cs="Times New Roman" w:eastAsia="Times New Roman" w:hint="default"/>
                <w:sz w:val="18"/>
                <w:szCs w:val="18"/>
              </w:rPr>
            </w:pPr>
            <w:r>
              <w:rPr>
                <w:rFonts w:ascii="Times New Roman"/>
                <w:sz w:val="18"/>
              </w:rPr>
              <w:t>-18,42</w:t>
            </w:r>
          </w:p>
          <w:p>
            <w:pPr>
              <w:pStyle w:val="TableParagraph"/>
              <w:spacing w:line="240" w:lineRule="auto" w:before="102"/>
              <w:ind w:left="100" w:right="0"/>
              <w:jc w:val="left"/>
              <w:rPr>
                <w:rFonts w:ascii="Times New Roman" w:hAnsi="Times New Roman" w:cs="Times New Roman" w:eastAsia="Times New Roman" w:hint="default"/>
                <w:sz w:val="18"/>
                <w:szCs w:val="18"/>
              </w:rPr>
            </w:pPr>
            <w:r>
              <w:rPr>
                <w:rFonts w:ascii="Times New Roman"/>
                <w:sz w:val="18"/>
              </w:rPr>
              <w:t>8,036.</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25</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-122,9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65.63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-18,55</w:t>
            </w:r>
          </w:p>
          <w:p>
            <w:pPr>
              <w:pStyle w:val="TableParagraph"/>
              <w:spacing w:line="240" w:lineRule="auto" w:before="102"/>
              <w:ind w:left="95" w:right="0"/>
              <w:jc w:val="left"/>
              <w:rPr>
                <w:rFonts w:ascii="Times New Roman" w:hAnsi="Times New Roman" w:cs="Times New Roman" w:eastAsia="Times New Roman" w:hint="default"/>
                <w:sz w:val="18"/>
                <w:szCs w:val="18"/>
              </w:rPr>
            </w:pPr>
            <w:r>
              <w:rPr>
                <w:rFonts w:ascii="Times New Roman"/>
                <w:sz w:val="18"/>
              </w:rPr>
              <w:t>1,001.</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88</w:t>
            </w:r>
          </w:p>
        </w:tc>
      </w:tr>
      <w:tr>
        <w:trPr>
          <w:trHeight w:val="71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37"/>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67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22" w:right="137"/>
              <w:jc w:val="left"/>
              <w:rPr>
                <w:rFonts w:ascii="宋体" w:hAnsi="宋体" w:cs="宋体" w:eastAsia="宋体" w:hint="default"/>
                <w:sz w:val="18"/>
                <w:szCs w:val="18"/>
              </w:rPr>
            </w:pPr>
            <w:r>
              <w:rPr>
                <w:rFonts w:ascii="宋体" w:hAnsi="宋体" w:cs="宋体" w:eastAsia="宋体" w:hint="default"/>
                <w:sz w:val="18"/>
                <w:szCs w:val="18"/>
              </w:rPr>
              <w:t>控制下企业合 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32,401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4,120,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171.28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228,76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9,939.</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66</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722,21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9,447.</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58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92,680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,422.0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814,89</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9,869.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63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2,390,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891.25</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-3,067,</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791.50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12,970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,291.4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12,293</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,391.1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46,975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59,268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,609.9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center"/>
              <w:rPr>
                <w:rFonts w:ascii="Times New Roman" w:hAnsi="Times New Roman" w:cs="Times New Roman" w:eastAsia="Times New Roman" w:hint="default"/>
                <w:sz w:val="18"/>
                <w:szCs w:val="18"/>
              </w:rPr>
            </w:pPr>
            <w:r>
              <w:rPr>
                <w:rFonts w:ascii="Times New Roman"/>
                <w:sz w:val="18"/>
              </w:rPr>
              <w:t>393,11</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8.60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10,505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,744.6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10,898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,863.2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46,058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,446.2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56,957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（二）所有者投</w:t>
            </w:r>
            <w:r>
              <w:rPr>
                <w:rFonts w:ascii="宋体" w:hAnsi="宋体" w:cs="宋体" w:eastAsia="宋体" w:hint="default"/>
                <w:sz w:val="18"/>
                <w:szCs w:val="18"/>
              </w:rPr>
              <w:t> 入和减少资本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756,95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0.38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756,95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0.38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10,718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,022.5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2"/>
                <w:sz w:val="18"/>
              </w:rPr>
              <w:t>11,474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,972.9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14,390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756,95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0.38</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 w:right="0"/>
              <w:jc w:val="center"/>
              <w:rPr>
                <w:rFonts w:ascii="Times New Roman" w:hAnsi="Times New Roman" w:cs="Times New Roman" w:eastAsia="Times New Roman" w:hint="default"/>
                <w:sz w:val="18"/>
                <w:szCs w:val="18"/>
              </w:rPr>
            </w:pPr>
            <w:r>
              <w:rPr>
                <w:rFonts w:ascii="Times New Roman"/>
                <w:sz w:val="18"/>
              </w:rPr>
              <w:t>756,95</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0.38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-3,672,</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377.47</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-2,915,</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427.09</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-9,801,</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250.00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-11,95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 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0" w:lineRule="auto"/>
              <w:ind w:left="22" w:right="19"/>
              <w:jc w:val="left"/>
              <w:rPr>
                <w:rFonts w:ascii="宋体" w:hAnsi="宋体" w:cs="宋体" w:eastAsia="宋体" w:hint="default"/>
                <w:sz w:val="18"/>
                <w:szCs w:val="18"/>
              </w:rPr>
            </w:pPr>
            <w:r>
              <w:rPr>
                <w:rFonts w:ascii="Times New Roman" w:hAnsi="Times New Roman" w:cs="Times New Roman" w:eastAsia="Times New Roman" w:hint="default"/>
                <w:spacing w:val="-20"/>
                <w:sz w:val="18"/>
                <w:szCs w:val="18"/>
              </w:rPr>
              <w:t>3</w:t>
            </w:r>
            <w:r>
              <w:rPr>
                <w:rFonts w:ascii="宋体" w:hAnsi="宋体" w:cs="宋体" w:eastAsia="宋体" w:hint="default"/>
                <w:spacing w:val="-20"/>
                <w:sz w:val="18"/>
                <w:szCs w:val="18"/>
              </w:rPr>
              <w:t>．对所有者（或</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股东）的分配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000.00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-9,801,</w:t>
            </w:r>
          </w:p>
          <w:p>
            <w:pPr>
              <w:pStyle w:val="TableParagraph"/>
              <w:spacing w:line="240" w:lineRule="auto" w:before="105"/>
              <w:ind w:left="59" w:right="0"/>
              <w:jc w:val="left"/>
              <w:rPr>
                <w:rFonts w:ascii="Times New Roman" w:hAnsi="Times New Roman" w:cs="Times New Roman" w:eastAsia="Times New Roman" w:hint="default"/>
                <w:sz w:val="18"/>
                <w:szCs w:val="18"/>
              </w:rPr>
            </w:pPr>
            <w:r>
              <w:rPr>
                <w:rFonts w:ascii="Times New Roman"/>
                <w:sz w:val="18"/>
              </w:rPr>
              <w:t>250.00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-11,95</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1,250.</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-3,460,</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910.10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Times New Roman" w:hAnsi="Times New Roman" w:cs="Times New Roman" w:eastAsia="Times New Roman" w:hint="default"/>
                <w:sz w:val="18"/>
                <w:szCs w:val="18"/>
              </w:rPr>
            </w:pPr>
            <w:r>
              <w:rPr>
                <w:rFonts w:ascii="Times New Roman"/>
                <w:sz w:val="18"/>
              </w:rPr>
              <w:t>4,614,</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546.80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1,153,</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636.70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5" w:right="0"/>
              <w:jc w:val="left"/>
              <w:rPr>
                <w:rFonts w:ascii="Times New Roman" w:hAnsi="Times New Roman" w:cs="Times New Roman" w:eastAsia="Times New Roman" w:hint="default"/>
                <w:sz w:val="18"/>
                <w:szCs w:val="18"/>
              </w:rPr>
            </w:pPr>
            <w:r>
              <w:rPr>
                <w:rFonts w:ascii="Times New Roman"/>
                <w:sz w:val="18"/>
              </w:rPr>
              <w:t>1,153,</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636.70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-4,614,</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546.80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4,614,</w:t>
            </w:r>
          </w:p>
          <w:p>
            <w:pPr>
              <w:pStyle w:val="TableParagraph"/>
              <w:spacing w:line="240" w:lineRule="auto" w:before="105"/>
              <w:ind w:left="60" w:right="0"/>
              <w:jc w:val="left"/>
              <w:rPr>
                <w:rFonts w:ascii="Times New Roman" w:hAnsi="Times New Roman" w:cs="Times New Roman" w:eastAsia="Times New Roman" w:hint="default"/>
                <w:sz w:val="18"/>
                <w:szCs w:val="18"/>
              </w:rPr>
            </w:pPr>
            <w:r>
              <w:rPr>
                <w:rFonts w:ascii="Times New Roman"/>
                <w:sz w:val="18"/>
              </w:rPr>
              <w:t>546.80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1,153,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636.70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1,153,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636.70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1,153,</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636.70</w:t>
            </w: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1,633,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940.87</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0" w:right="0"/>
              <w:jc w:val="left"/>
              <w:rPr>
                <w:rFonts w:ascii="Times New Roman" w:hAnsi="Times New Roman" w:cs="Times New Roman" w:eastAsia="Times New Roman" w:hint="default"/>
                <w:sz w:val="18"/>
                <w:szCs w:val="18"/>
              </w:rPr>
            </w:pPr>
            <w:r>
              <w:rPr>
                <w:rFonts w:ascii="Times New Roman"/>
                <w:sz w:val="18"/>
              </w:rPr>
              <w:t>1,633,</w:t>
            </w:r>
          </w:p>
          <w:p>
            <w:pPr>
              <w:pStyle w:val="TableParagraph"/>
              <w:spacing w:line="240" w:lineRule="auto" w:before="102"/>
              <w:ind w:left="57" w:right="0"/>
              <w:jc w:val="left"/>
              <w:rPr>
                <w:rFonts w:ascii="Times New Roman" w:hAnsi="Times New Roman" w:cs="Times New Roman" w:eastAsia="Times New Roman" w:hint="default"/>
                <w:sz w:val="18"/>
                <w:szCs w:val="18"/>
              </w:rPr>
            </w:pPr>
            <w:r>
              <w:rPr>
                <w:rFonts w:ascii="Times New Roman"/>
                <w:sz w:val="18"/>
              </w:rPr>
              <w:t>940.87</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5" w:right="0"/>
              <w:jc w:val="left"/>
              <w:rPr>
                <w:rFonts w:ascii="Times New Roman" w:hAnsi="Times New Roman" w:cs="Times New Roman" w:eastAsia="Times New Roman" w:hint="default"/>
                <w:sz w:val="18"/>
                <w:szCs w:val="18"/>
              </w:rPr>
            </w:pPr>
            <w:r>
              <w:rPr>
                <w:rFonts w:ascii="Times New Roman"/>
                <w:sz w:val="18"/>
              </w:rPr>
              <w:t>1,633,</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940.87</w:t>
            </w: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55"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0.00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34,792</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,805.0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1,052,</w:t>
            </w:r>
          </w:p>
          <w:p>
            <w:pPr>
              <w:pStyle w:val="TableParagraph"/>
              <w:spacing w:line="240" w:lineRule="auto" w:before="105"/>
              <w:ind w:left="57" w:right="0"/>
              <w:jc w:val="left"/>
              <w:rPr>
                <w:rFonts w:ascii="Times New Roman" w:hAnsi="Times New Roman" w:cs="Times New Roman" w:eastAsia="Times New Roman" w:hint="default"/>
                <w:sz w:val="18"/>
                <w:szCs w:val="18"/>
              </w:rPr>
            </w:pPr>
            <w:r>
              <w:rPr>
                <w:rFonts w:ascii="Times New Roman"/>
                <w:sz w:val="18"/>
              </w:rPr>
              <w:t>379.78</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241,74</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0,231.</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734,51</w:t>
            </w:r>
          </w:p>
          <w:p>
            <w:pPr>
              <w:pStyle w:val="TableParagraph"/>
              <w:spacing w:line="240" w:lineRule="auto" w:before="105"/>
              <w:ind w:left="100" w:right="0"/>
              <w:jc w:val="left"/>
              <w:rPr>
                <w:rFonts w:ascii="Times New Roman" w:hAnsi="Times New Roman" w:cs="Times New Roman" w:eastAsia="Times New Roman" w:hint="default"/>
                <w:sz w:val="18"/>
                <w:szCs w:val="18"/>
              </w:rPr>
            </w:pPr>
            <w:r>
              <w:rPr>
                <w:rFonts w:ascii="Times New Roman"/>
                <w:sz w:val="18"/>
              </w:rPr>
              <w:t>2,838.</w:t>
            </w:r>
          </w:p>
          <w:p>
            <w:pPr>
              <w:pStyle w:val="TableParagraph"/>
              <w:spacing w:line="240" w:lineRule="auto" w:before="105"/>
              <w:ind w:left="371" w:right="0"/>
              <w:jc w:val="left"/>
              <w:rPr>
                <w:rFonts w:ascii="Times New Roman" w:hAnsi="Times New Roman" w:cs="Times New Roman" w:eastAsia="Times New Roman" w:hint="default"/>
                <w:sz w:val="18"/>
                <w:szCs w:val="18"/>
              </w:rPr>
            </w:pPr>
            <w:r>
              <w:rPr>
                <w:rFonts w:ascii="Times New Roman"/>
                <w:sz w:val="18"/>
              </w:rPr>
              <w:t>76</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left"/>
              <w:rPr>
                <w:rFonts w:ascii="Times New Roman" w:hAnsi="Times New Roman" w:cs="Times New Roman" w:eastAsia="Times New Roman" w:hint="default"/>
                <w:sz w:val="18"/>
                <w:szCs w:val="18"/>
              </w:rPr>
            </w:pPr>
            <w:r>
              <w:rPr>
                <w:rFonts w:ascii="Times New Roman"/>
                <w:sz w:val="18"/>
              </w:rPr>
              <w:t>139,65</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5,640.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80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874,16</w:t>
            </w:r>
          </w:p>
          <w:p>
            <w:pPr>
              <w:pStyle w:val="TableParagraph"/>
              <w:spacing w:line="240" w:lineRule="auto" w:before="105"/>
              <w:ind w:left="95" w:right="0"/>
              <w:jc w:val="left"/>
              <w:rPr>
                <w:rFonts w:ascii="Times New Roman" w:hAnsi="Times New Roman" w:cs="Times New Roman" w:eastAsia="Times New Roman" w:hint="default"/>
                <w:sz w:val="18"/>
                <w:szCs w:val="18"/>
              </w:rPr>
            </w:pPr>
            <w:r>
              <w:rPr>
                <w:rFonts w:ascii="Times New Roman"/>
                <w:sz w:val="18"/>
              </w:rPr>
              <w:t>8,479.</w:t>
            </w:r>
          </w:p>
          <w:p>
            <w:pPr>
              <w:pStyle w:val="TableParagraph"/>
              <w:spacing w:line="240" w:lineRule="auto" w:before="105"/>
              <w:ind w:left="367" w:right="0"/>
              <w:jc w:val="left"/>
              <w:rPr>
                <w:rFonts w:ascii="Times New Roman" w:hAnsi="Times New Roman" w:cs="Times New Roman" w:eastAsia="Times New Roman" w:hint="default"/>
                <w:sz w:val="18"/>
                <w:szCs w:val="18"/>
              </w:rPr>
            </w:pPr>
            <w:r>
              <w:rPr>
                <w:rFonts w:ascii="Times New Roman"/>
                <w:sz w:val="18"/>
              </w:rPr>
              <w:t>56</w:t>
            </w:r>
          </w:p>
        </w:tc>
      </w:tr>
    </w:tbl>
    <w:p>
      <w:pPr>
        <w:pStyle w:val="BodyText"/>
        <w:spacing w:line="240" w:lineRule="auto" w:before="51"/>
        <w:ind w:right="1133"/>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12"/>
        <w:gridCol w:w="490"/>
        <w:gridCol w:w="449"/>
        <w:gridCol w:w="449"/>
        <w:gridCol w:w="492"/>
        <w:gridCol w:w="576"/>
        <w:gridCol w:w="576"/>
        <w:gridCol w:w="578"/>
        <w:gridCol w:w="576"/>
        <w:gridCol w:w="576"/>
        <w:gridCol w:w="578"/>
        <w:gridCol w:w="588"/>
        <w:gridCol w:w="567"/>
        <w:gridCol w:w="569"/>
        <w:gridCol w:w="641"/>
        <w:gridCol w:w="653"/>
      </w:tblGrid>
      <w:tr>
        <w:trPr>
          <w:trHeight w:val="401"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4"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6"/>
                <w:szCs w:val="16"/>
              </w:rPr>
            </w:pPr>
          </w:p>
          <w:p>
            <w:pPr>
              <w:pStyle w:val="TableParagraph"/>
              <w:spacing w:line="314" w:lineRule="auto"/>
              <w:ind w:left="48" w:right="41"/>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52"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1"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03" w:right="19" w:hanging="80"/>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3"/>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03"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10"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1" w:type="dxa"/>
            <w:vMerge/>
            <w:tcBorders>
              <w:left w:val="single" w:sz="4" w:space="0" w:color="000000"/>
              <w:right w:val="single" w:sz="4" w:space="0" w:color="000000"/>
            </w:tcBorders>
            <w:shd w:val="clear" w:color="auto" w:fill="D2D2D2"/>
          </w:tcPr>
          <w:p>
            <w:pPr/>
          </w:p>
        </w:tc>
        <w:tc>
          <w:tcPr>
            <w:tcW w:w="653" w:type="dxa"/>
            <w:vMerge/>
            <w:tcBorders>
              <w:left w:val="single" w:sz="4" w:space="0" w:color="000000"/>
              <w:right w:val="single" w:sz="4" w:space="0" w:color="000000"/>
            </w:tcBorders>
            <w:shd w:val="clear" w:color="auto" w:fill="D2D2D2"/>
          </w:tcPr>
          <w:p>
            <w:pPr/>
          </w:p>
        </w:tc>
      </w:tr>
      <w:tr>
        <w:trPr>
          <w:trHeight w:val="715"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6" w:hanging="89"/>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9" w:right="38" w:hanging="89"/>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4" w:lineRule="auto"/>
              <w:ind w:left="24" w:right="9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2"/>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32,401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,913.7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26,957</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237,91</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3,376.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727,27</w:t>
            </w:r>
          </w:p>
          <w:p>
            <w:pPr>
              <w:pStyle w:val="TableParagraph"/>
              <w:spacing w:line="240" w:lineRule="auto" w:before="102"/>
              <w:ind w:left="84" w:right="0"/>
              <w:jc w:val="left"/>
              <w:rPr>
                <w:rFonts w:ascii="Times New Roman" w:hAnsi="Times New Roman" w:cs="Times New Roman" w:eastAsia="Times New Roman" w:hint="default"/>
                <w:sz w:val="18"/>
                <w:szCs w:val="18"/>
              </w:rPr>
            </w:pPr>
            <w:r>
              <w:rPr>
                <w:rFonts w:ascii="Times New Roman"/>
                <w:sz w:val="18"/>
              </w:rPr>
              <w:t>2,623.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40,744,</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576.63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768,017</w:t>
            </w:r>
          </w:p>
          <w:p>
            <w:pPr>
              <w:pStyle w:val="TableParagraph"/>
              <w:spacing w:line="240" w:lineRule="auto" w:before="102"/>
              <w:ind w:left="81" w:right="0"/>
              <w:jc w:val="left"/>
              <w:rPr>
                <w:rFonts w:ascii="Times New Roman" w:hAnsi="Times New Roman" w:cs="Times New Roman" w:eastAsia="Times New Roman" w:hint="default"/>
                <w:sz w:val="18"/>
                <w:szCs w:val="18"/>
              </w:rPr>
            </w:pPr>
            <w:r>
              <w:rPr>
                <w:rFonts w:ascii="Times New Roman"/>
                <w:sz w:val="18"/>
              </w:rPr>
              <w:t>,200.25</w:t>
            </w: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加：会计 政策变更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同一 控制下企业合 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32,401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26,957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,333.0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237,91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3,376.</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76</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727,27</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2,623.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62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40,744,</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576.63</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768,017</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,200.25</w:t>
            </w:r>
          </w:p>
        </w:tc>
      </w:tr>
      <w:tr>
        <w:trPr>
          <w:trHeight w:val="1340"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3"/>
              <w:ind w:left="22" w:right="9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2"/>
              <w:ind w:left="50" w:right="0"/>
              <w:jc w:val="left"/>
              <w:rPr>
                <w:rFonts w:ascii="Times New Roman" w:hAnsi="Times New Roman" w:cs="Times New Roman" w:eastAsia="Times New Roman" w:hint="default"/>
                <w:sz w:val="18"/>
                <w:szCs w:val="18"/>
              </w:rPr>
            </w:pPr>
            <w:r>
              <w:rPr>
                <w:rFonts w:ascii="Times New Roman"/>
                <w:sz w:val="18"/>
              </w:rPr>
              <w:t>187.06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-29,91</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0.22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12,245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,583.3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13,374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,860.2</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52,058,</w:t>
            </w:r>
          </w:p>
          <w:p>
            <w:pPr>
              <w:pStyle w:val="TableParagraph"/>
              <w:spacing w:line="240" w:lineRule="auto" w:before="102"/>
              <w:ind w:left="124" w:right="0"/>
              <w:jc w:val="left"/>
              <w:rPr>
                <w:rFonts w:ascii="Times New Roman" w:hAnsi="Times New Roman" w:cs="Times New Roman" w:eastAsia="Times New Roman" w:hint="default"/>
                <w:sz w:val="18"/>
                <w:szCs w:val="18"/>
              </w:rPr>
            </w:pPr>
            <w:r>
              <w:rPr>
                <w:rFonts w:ascii="Times New Roman"/>
                <w:sz w:val="18"/>
              </w:rPr>
              <w:t>811.05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65,433,</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671.26</w:t>
            </w: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187.06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14,664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15,823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,962.4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23,467,</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208.82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39,291,</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171.26</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96"/>
              <w:jc w:val="both"/>
              <w:rPr>
                <w:rFonts w:ascii="宋体" w:hAnsi="宋体" w:cs="宋体" w:eastAsia="宋体" w:hint="default"/>
                <w:sz w:val="18"/>
                <w:szCs w:val="18"/>
              </w:rPr>
            </w:pPr>
            <w:r>
              <w:rPr>
                <w:rFonts w:ascii="宋体" w:hAnsi="宋体" w:cs="宋体" w:eastAsia="宋体" w:hint="default"/>
                <w:sz w:val="18"/>
                <w:szCs w:val="18"/>
              </w:rPr>
              <w:t>（二）所有者 投入和减少资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-29,91</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0.22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-269,1</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92.01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9" w:right="0"/>
              <w:jc w:val="left"/>
              <w:rPr>
                <w:rFonts w:ascii="Times New Roman" w:hAnsi="Times New Roman" w:cs="Times New Roman" w:eastAsia="Times New Roman" w:hint="default"/>
                <w:sz w:val="18"/>
                <w:szCs w:val="18"/>
              </w:rPr>
            </w:pPr>
            <w:r>
              <w:rPr>
                <w:rFonts w:ascii="Times New Roman"/>
                <w:sz w:val="18"/>
              </w:rPr>
              <w:t>-299,1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02.23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2"/>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81" w:right="0"/>
              <w:jc w:val="left"/>
              <w:rPr>
                <w:rFonts w:ascii="Times New Roman" w:hAnsi="Times New Roman" w:cs="Times New Roman" w:eastAsia="Times New Roman" w:hint="default"/>
                <w:sz w:val="18"/>
                <w:szCs w:val="18"/>
              </w:rPr>
            </w:pPr>
            <w:r>
              <w:rPr>
                <w:rFonts w:ascii="Times New Roman"/>
                <w:sz w:val="18"/>
              </w:rPr>
              <w:t>28,555,</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897.77</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．所有者投入</w:t>
            </w:r>
            <w:r>
              <w:rPr>
                <w:rFonts w:ascii="宋体" w:hAnsi="宋体" w:cs="宋体" w:eastAsia="宋体" w:hint="default"/>
                <w:sz w:val="18"/>
                <w:szCs w:val="18"/>
              </w:rPr>
              <w:t> 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000.00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28,855,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4"/>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．其他权益工</w:t>
            </w:r>
            <w:r>
              <w:rPr>
                <w:rFonts w:ascii="宋体" w:hAnsi="宋体" w:cs="宋体" w:eastAsia="宋体" w:hint="default"/>
                <w:sz w:val="18"/>
                <w:szCs w:val="18"/>
              </w:rPr>
              <w:t> 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．股份支付计</w:t>
            </w:r>
            <w:r>
              <w:rPr>
                <w:rFonts w:ascii="宋体" w:hAnsi="宋体" w:cs="宋体" w:eastAsia="宋体" w:hint="default"/>
                <w:sz w:val="18"/>
                <w:szCs w:val="18"/>
              </w:rPr>
              <w:t> 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58" w:right="0"/>
              <w:jc w:val="center"/>
              <w:rPr>
                <w:rFonts w:ascii="Times New Roman" w:hAnsi="Times New Roman" w:cs="Times New Roman" w:eastAsia="Times New Roman" w:hint="default"/>
                <w:sz w:val="18"/>
                <w:szCs w:val="18"/>
              </w:rPr>
            </w:pPr>
            <w:r>
              <w:rPr>
                <w:rFonts w:ascii="Times New Roman"/>
                <w:sz w:val="18"/>
              </w:rPr>
              <w:t>-29,91</w:t>
            </w:r>
          </w:p>
          <w:p>
            <w:pPr>
              <w:pStyle w:val="TableParagraph"/>
              <w:spacing w:line="240" w:lineRule="auto" w:before="102"/>
              <w:ind w:left="209" w:right="0"/>
              <w:jc w:val="center"/>
              <w:rPr>
                <w:rFonts w:ascii="Times New Roman" w:hAnsi="Times New Roman" w:cs="Times New Roman" w:eastAsia="Times New Roman" w:hint="default"/>
                <w:sz w:val="18"/>
                <w:szCs w:val="18"/>
              </w:rPr>
            </w:pPr>
            <w:r>
              <w:rPr>
                <w:rFonts w:ascii="Times New Roman"/>
                <w:sz w:val="18"/>
              </w:rPr>
              <w:t>0.22</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1" w:right="0"/>
              <w:jc w:val="left"/>
              <w:rPr>
                <w:rFonts w:ascii="Times New Roman" w:hAnsi="Times New Roman" w:cs="Times New Roman" w:eastAsia="Times New Roman" w:hint="default"/>
                <w:sz w:val="18"/>
                <w:szCs w:val="18"/>
              </w:rPr>
            </w:pPr>
            <w:r>
              <w:rPr>
                <w:rFonts w:ascii="Times New Roman"/>
                <w:sz w:val="18"/>
              </w:rPr>
              <w:t>-269,1</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92.01</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9" w:right="0"/>
              <w:jc w:val="left"/>
              <w:rPr>
                <w:rFonts w:ascii="Times New Roman" w:hAnsi="Times New Roman" w:cs="Times New Roman" w:eastAsia="Times New Roman" w:hint="default"/>
                <w:sz w:val="18"/>
                <w:szCs w:val="18"/>
              </w:rPr>
            </w:pPr>
            <w:r>
              <w:rPr>
                <w:rFonts w:ascii="Times New Roman"/>
                <w:sz w:val="18"/>
              </w:rPr>
              <w:t>-299,1</w:t>
            </w:r>
          </w:p>
          <w:p>
            <w:pPr>
              <w:pStyle w:val="TableParagraph"/>
              <w:spacing w:line="240" w:lineRule="auto" w:before="102"/>
              <w:ind w:left="129" w:right="0"/>
              <w:jc w:val="left"/>
              <w:rPr>
                <w:rFonts w:ascii="Times New Roman" w:hAnsi="Times New Roman" w:cs="Times New Roman" w:eastAsia="Times New Roman" w:hint="default"/>
                <w:sz w:val="18"/>
                <w:szCs w:val="18"/>
              </w:rPr>
            </w:pPr>
            <w:r>
              <w:rPr>
                <w:rFonts w:ascii="Times New Roman"/>
                <w:sz w:val="18"/>
              </w:rPr>
              <w:t>02.23</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7" w:right="0"/>
              <w:jc w:val="left"/>
              <w:rPr>
                <w:rFonts w:ascii="Times New Roman" w:hAnsi="Times New Roman" w:cs="Times New Roman" w:eastAsia="Times New Roman" w:hint="default"/>
                <w:sz w:val="18"/>
                <w:szCs w:val="18"/>
              </w:rPr>
            </w:pPr>
            <w:r>
              <w:rPr>
                <w:rFonts w:ascii="Times New Roman"/>
                <w:sz w:val="18"/>
              </w:rPr>
              <w:t>-299,10</w:t>
            </w:r>
          </w:p>
          <w:p>
            <w:pPr>
              <w:pStyle w:val="TableParagraph"/>
              <w:spacing w:line="240" w:lineRule="auto" w:before="102"/>
              <w:ind w:left="307" w:right="0"/>
              <w:jc w:val="left"/>
              <w:rPr>
                <w:rFonts w:ascii="Times New Roman" w:hAnsi="Times New Roman" w:cs="Times New Roman" w:eastAsia="Times New Roman" w:hint="default"/>
                <w:sz w:val="18"/>
                <w:szCs w:val="18"/>
              </w:rPr>
            </w:pPr>
            <w:r>
              <w:rPr>
                <w:rFonts w:ascii="Times New Roman"/>
                <w:sz w:val="18"/>
              </w:rPr>
              <w:t>2.23</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5"/>
              <w:ind w:left="62" w:right="0"/>
              <w:jc w:val="left"/>
              <w:rPr>
                <w:rFonts w:ascii="Times New Roman" w:hAnsi="Times New Roman" w:cs="Times New Roman" w:eastAsia="Times New Roman" w:hint="default"/>
                <w:sz w:val="18"/>
                <w:szCs w:val="18"/>
              </w:rPr>
            </w:pPr>
            <w:r>
              <w:rPr>
                <w:rFonts w:ascii="Times New Roman"/>
                <w:sz w:val="18"/>
              </w:rPr>
              <w:t>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5"/>
              <w:ind w:left="4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2" w:right="0"/>
              <w:jc w:val="left"/>
              <w:rPr>
                <w:rFonts w:ascii="Times New Roman" w:hAnsi="Times New Roman" w:cs="Times New Roman" w:eastAsia="Times New Roman" w:hint="default"/>
                <w:sz w:val="18"/>
                <w:szCs w:val="18"/>
              </w:rPr>
            </w:pPr>
            <w:r>
              <w:rPr>
                <w:rFonts w:ascii="Times New Roman"/>
                <w:sz w:val="18"/>
              </w:rPr>
              <w:t>-2,413,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397.77</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．提取盈余公</w:t>
            </w:r>
            <w:r>
              <w:rPr>
                <w:rFonts w:ascii="宋体" w:hAnsi="宋体" w:cs="宋体" w:eastAsia="宋体" w:hint="default"/>
                <w:sz w:val="18"/>
                <w:szCs w:val="18"/>
              </w:rPr>
              <w:t> 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．提取一般风</w:t>
            </w:r>
            <w:r>
              <w:rPr>
                <w:rFonts w:ascii="宋体" w:hAnsi="宋体" w:cs="宋体" w:eastAsia="宋体" w:hint="default"/>
                <w:sz w:val="18"/>
                <w:szCs w:val="18"/>
              </w:rPr>
              <w:t> 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22" w:right="96"/>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2"/>
              <w:ind w:left="62" w:right="0"/>
              <w:jc w:val="left"/>
              <w:rPr>
                <w:rFonts w:ascii="Times New Roman" w:hAnsi="Times New Roman" w:cs="Times New Roman" w:eastAsia="Times New Roman" w:hint="default"/>
                <w:sz w:val="18"/>
                <w:szCs w:val="18"/>
              </w:rPr>
            </w:pPr>
            <w:r>
              <w:rPr>
                <w:rFonts w:ascii="Times New Roman"/>
                <w:sz w:val="18"/>
              </w:rPr>
              <w:t>000.00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2"/>
              <w:ind w:left="40" w:right="0"/>
              <w:jc w:val="left"/>
              <w:rPr>
                <w:rFonts w:ascii="Times New Roman" w:hAnsi="Times New Roman" w:cs="Times New Roman" w:eastAsia="Times New Roman" w:hint="default"/>
                <w:sz w:val="18"/>
                <w:szCs w:val="18"/>
              </w:rPr>
            </w:pPr>
            <w:r>
              <w:rPr>
                <w:rFonts w:ascii="Times New Roman"/>
                <w:sz w:val="18"/>
              </w:rPr>
              <w:t>000.00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2"/>
              <w:ind w:left="127"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left"/>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-263,39</w:t>
            </w:r>
          </w:p>
          <w:p>
            <w:pPr>
              <w:pStyle w:val="TableParagraph"/>
              <w:spacing w:line="240" w:lineRule="auto" w:before="105"/>
              <w:ind w:left="307" w:right="0"/>
              <w:jc w:val="left"/>
              <w:rPr>
                <w:rFonts w:ascii="Times New Roman" w:hAnsi="Times New Roman" w:cs="Times New Roman" w:eastAsia="Times New Roman" w:hint="default"/>
                <w:sz w:val="18"/>
                <w:szCs w:val="18"/>
              </w:rPr>
            </w:pPr>
            <w:r>
              <w:rPr>
                <w:rFonts w:ascii="Times New Roman"/>
                <w:sz w:val="18"/>
              </w:rPr>
              <w:t>7.77</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96"/>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1"/>
        <w:gridCol w:w="490"/>
        <w:gridCol w:w="449"/>
        <w:gridCol w:w="449"/>
        <w:gridCol w:w="492"/>
        <w:gridCol w:w="576"/>
        <w:gridCol w:w="576"/>
        <w:gridCol w:w="578"/>
        <w:gridCol w:w="576"/>
        <w:gridCol w:w="576"/>
        <w:gridCol w:w="578"/>
        <w:gridCol w:w="588"/>
        <w:gridCol w:w="567"/>
        <w:gridCol w:w="569"/>
        <w:gridCol w:w="641"/>
        <w:gridCol w:w="653"/>
      </w:tblGrid>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．资本公积转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．盈余公积转</w:t>
            </w:r>
            <w:r>
              <w:rPr>
                <w:rFonts w:ascii="宋体" w:hAnsi="宋体" w:cs="宋体" w:eastAsia="宋体" w:hint="default"/>
                <w:sz w:val="18"/>
                <w:szCs w:val="18"/>
              </w:rPr>
              <w:t> 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．盈余公积弥</w:t>
            </w:r>
            <w:r>
              <w:rPr>
                <w:rFonts w:ascii="宋体" w:hAnsi="宋体" w:cs="宋体" w:eastAsia="宋体" w:hint="default"/>
                <w:sz w:val="18"/>
                <w:szCs w:val="18"/>
              </w:rPr>
              <w:t> 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．设定受益计</w:t>
            </w:r>
            <w:r>
              <w:rPr>
                <w:rFonts w:ascii="宋体" w:hAnsi="宋体" w:cs="宋体" w:eastAsia="宋体" w:hint="default"/>
                <w:sz w:val="18"/>
                <w:szCs w:val="18"/>
              </w:rPr>
              <w:t> 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．其他综合收</w:t>
            </w:r>
            <w:r>
              <w:rPr>
                <w:rFonts w:ascii="宋体" w:hAnsi="宋体" w:cs="宋体" w:eastAsia="宋体" w:hint="default"/>
                <w:sz w:val="18"/>
                <w:szCs w:val="18"/>
              </w:rPr>
              <w:t> 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96"/>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6"/>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 w:right="0"/>
              <w:jc w:val="left"/>
              <w:rPr>
                <w:rFonts w:ascii="Times New Roman" w:hAnsi="Times New Roman" w:cs="Times New Roman" w:eastAsia="Times New Roman" w:hint="default"/>
                <w:sz w:val="18"/>
                <w:szCs w:val="18"/>
              </w:rPr>
            </w:pPr>
            <w:r>
              <w:rPr>
                <w:rFonts w:ascii="Times New Roman"/>
                <w:sz w:val="18"/>
              </w:rPr>
              <w:t>430,0</w:t>
            </w:r>
          </w:p>
          <w:p>
            <w:pPr>
              <w:pStyle w:val="TableParagraph"/>
              <w:spacing w:line="240" w:lineRule="auto" w:before="105"/>
              <w:ind w:left="52"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144" w:right="0"/>
              <w:jc w:val="left"/>
              <w:rPr>
                <w:rFonts w:ascii="Times New Roman" w:hAnsi="Times New Roman" w:cs="Times New Roman" w:eastAsia="Times New Roman" w:hint="default"/>
                <w:sz w:val="18"/>
                <w:szCs w:val="18"/>
              </w:rPr>
            </w:pPr>
            <w:r>
              <w:rPr>
                <w:rFonts w:ascii="Times New Roman"/>
                <w:sz w:val="18"/>
              </w:rPr>
              <w:t>0.00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2"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32,401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,913.7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1,159,</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187.06</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26,927</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,422.8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250,15</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8,960.</w:t>
            </w:r>
          </w:p>
          <w:p>
            <w:pPr>
              <w:pStyle w:val="TableParagraph"/>
              <w:spacing w:line="240" w:lineRule="auto" w:before="105"/>
              <w:ind w:left="376" w:right="0"/>
              <w:jc w:val="left"/>
              <w:rPr>
                <w:rFonts w:ascii="Times New Roman" w:hAnsi="Times New Roman" w:cs="Times New Roman" w:eastAsia="Times New Roman" w:hint="default"/>
                <w:sz w:val="18"/>
                <w:szCs w:val="18"/>
              </w:rPr>
            </w:pPr>
            <w:r>
              <w:rPr>
                <w:rFonts w:ascii="Times New Roman"/>
                <w:sz w:val="18"/>
              </w:rPr>
              <w:t>13</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740,64</w:t>
            </w:r>
          </w:p>
          <w:p>
            <w:pPr>
              <w:pStyle w:val="TableParagraph"/>
              <w:spacing w:line="240" w:lineRule="auto" w:before="105"/>
              <w:ind w:left="84" w:right="0"/>
              <w:jc w:val="left"/>
              <w:rPr>
                <w:rFonts w:ascii="Times New Roman" w:hAnsi="Times New Roman" w:cs="Times New Roman" w:eastAsia="Times New Roman" w:hint="default"/>
                <w:sz w:val="18"/>
                <w:szCs w:val="18"/>
              </w:rPr>
            </w:pPr>
            <w:r>
              <w:rPr>
                <w:rFonts w:ascii="Times New Roman"/>
                <w:sz w:val="18"/>
              </w:rPr>
              <w:t>7,483.</w:t>
            </w:r>
          </w:p>
          <w:p>
            <w:pPr>
              <w:pStyle w:val="TableParagraph"/>
              <w:spacing w:line="240" w:lineRule="auto" w:before="105"/>
              <w:ind w:left="355" w:right="0"/>
              <w:jc w:val="left"/>
              <w:rPr>
                <w:rFonts w:ascii="Times New Roman" w:hAnsi="Times New Roman" w:cs="Times New Roman" w:eastAsia="Times New Roman" w:hint="default"/>
                <w:sz w:val="18"/>
                <w:szCs w:val="18"/>
              </w:rPr>
            </w:pPr>
            <w:r>
              <w:rPr>
                <w:rFonts w:ascii="Times New Roman"/>
                <w:sz w:val="18"/>
              </w:rPr>
              <w:t>83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92,803,</w:t>
            </w:r>
          </w:p>
          <w:p>
            <w:pPr>
              <w:pStyle w:val="TableParagraph"/>
              <w:spacing w:line="240" w:lineRule="auto" w:before="105"/>
              <w:ind w:left="117" w:right="0"/>
              <w:jc w:val="left"/>
              <w:rPr>
                <w:rFonts w:ascii="Times New Roman" w:hAnsi="Times New Roman" w:cs="Times New Roman" w:eastAsia="Times New Roman" w:hint="default"/>
                <w:sz w:val="18"/>
                <w:szCs w:val="18"/>
              </w:rPr>
            </w:pPr>
            <w:r>
              <w:rPr>
                <w:rFonts w:ascii="Times New Roman"/>
                <w:sz w:val="18"/>
              </w:rPr>
              <w:t>387.68</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833,450</w:t>
            </w:r>
          </w:p>
          <w:p>
            <w:pPr>
              <w:pStyle w:val="TableParagraph"/>
              <w:spacing w:line="240" w:lineRule="auto" w:before="105"/>
              <w:ind w:left="81" w:right="0"/>
              <w:jc w:val="left"/>
              <w:rPr>
                <w:rFonts w:ascii="Times New Roman" w:hAnsi="Times New Roman" w:cs="Times New Roman" w:eastAsia="Times New Roman" w:hint="default"/>
                <w:sz w:val="18"/>
                <w:szCs w:val="18"/>
              </w:rPr>
            </w:pPr>
            <w:r>
              <w:rPr>
                <w:rFonts w:ascii="Times New Roman"/>
                <w:sz w:val="18"/>
              </w:rPr>
              <w:t>,871.51</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本期金额</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06"/>
        <w:gridCol w:w="629"/>
        <w:gridCol w:w="605"/>
        <w:gridCol w:w="603"/>
        <w:gridCol w:w="605"/>
        <w:gridCol w:w="727"/>
        <w:gridCol w:w="728"/>
        <w:gridCol w:w="725"/>
        <w:gridCol w:w="727"/>
        <w:gridCol w:w="727"/>
        <w:gridCol w:w="615"/>
        <w:gridCol w:w="710"/>
        <w:gridCol w:w="862"/>
      </w:tblGrid>
      <w:tr>
        <w:trPr>
          <w:trHeight w:val="401" w:hRule="exact"/>
        </w:trPr>
        <w:tc>
          <w:tcPr>
            <w:tcW w:w="13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306" w:type="dxa"/>
            <w:vMerge/>
            <w:tcBorders>
              <w:left w:val="single" w:sz="4" w:space="0" w:color="000000"/>
              <w:right w:val="single" w:sz="4" w:space="0" w:color="000000"/>
            </w:tcBorders>
            <w:shd w:val="clear" w:color="auto" w:fill="D2D2D2"/>
          </w:tcPr>
          <w:p>
            <w:pPr/>
          </w:p>
        </w:tc>
        <w:tc>
          <w:tcPr>
            <w:tcW w:w="6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w:t>
            </w: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88" w:right="84"/>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22" w:right="29"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7"/>
              <w:ind w:left="155" w:right="62"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01" w:hRule="exact"/>
        </w:trPr>
        <w:tc>
          <w:tcPr>
            <w:tcW w:w="1306" w:type="dxa"/>
            <w:vMerge/>
            <w:tcBorders>
              <w:left w:val="single" w:sz="4" w:space="0" w:color="000000"/>
              <w:bottom w:val="single" w:sz="4" w:space="0" w:color="000000"/>
              <w:right w:val="single" w:sz="4" w:space="0" w:color="000000"/>
            </w:tcBorders>
            <w:shd w:val="clear" w:color="auto" w:fill="D2D2D2"/>
          </w:tcPr>
          <w:p>
            <w:pPr/>
          </w:p>
        </w:tc>
        <w:tc>
          <w:tcPr>
            <w:tcW w:w="629" w:type="dxa"/>
            <w:vMerge/>
            <w:tcBorders>
              <w:left w:val="single" w:sz="4" w:space="0" w:color="000000"/>
              <w:bottom w:val="single" w:sz="4" w:space="0" w:color="000000"/>
              <w:right w:val="single" w:sz="4" w:space="0" w:color="000000"/>
            </w:tcBorders>
            <w:shd w:val="clear" w:color="auto" w:fill="D2D2D2"/>
          </w:tcPr>
          <w:p>
            <w:pP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7" w:type="dxa"/>
            <w:vMerge/>
            <w:tcBorders>
              <w:left w:val="single" w:sz="4" w:space="0" w:color="000000"/>
              <w:bottom w:val="single" w:sz="4" w:space="0" w:color="000000"/>
              <w:right w:val="single" w:sz="4" w:space="0" w:color="000000"/>
            </w:tcBorders>
            <w:shd w:val="clear" w:color="auto" w:fill="D2D2D2"/>
          </w:tcPr>
          <w:p>
            <w:pPr/>
          </w:p>
        </w:tc>
        <w:tc>
          <w:tcPr>
            <w:tcW w:w="728"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727" w:type="dxa"/>
            <w:vMerge/>
            <w:tcBorders>
              <w:left w:val="single" w:sz="4" w:space="0" w:color="000000"/>
              <w:bottom w:val="single" w:sz="4" w:space="0" w:color="000000"/>
              <w:right w:val="single" w:sz="4" w:space="0" w:color="000000"/>
            </w:tcBorders>
            <w:shd w:val="clear" w:color="auto" w:fill="D2D2D2"/>
          </w:tcPr>
          <w:p>
            <w:pPr/>
          </w:p>
        </w:tc>
        <w:tc>
          <w:tcPr>
            <w:tcW w:w="615"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9"/>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37,727,0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60.86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1,159,18</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7.06</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27,136,9</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05.60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96,968,</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028.92</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592,991,1</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82.44</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-499,925</w:t>
            </w:r>
          </w:p>
          <w:p>
            <w:pPr>
              <w:pStyle w:val="TableParagraph"/>
              <w:spacing w:line="240" w:lineRule="auto" w:before="102"/>
              <w:ind w:left="467" w:right="0"/>
              <w:jc w:val="left"/>
              <w:rPr>
                <w:rFonts w:ascii="Times New Roman" w:hAnsi="Times New Roman" w:cs="Times New Roman" w:eastAsia="Times New Roman" w:hint="default"/>
                <w:sz w:val="18"/>
                <w:szCs w:val="18"/>
              </w:rPr>
            </w:pPr>
            <w:r>
              <w:rPr>
                <w:rFonts w:ascii="Times New Roman"/>
                <w:sz w:val="18"/>
              </w:rPr>
              <w:t>.88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-6,395,</w:t>
            </w:r>
          </w:p>
          <w:p>
            <w:pPr>
              <w:pStyle w:val="TableParagraph"/>
              <w:spacing w:line="240" w:lineRule="auto" w:before="102"/>
              <w:ind w:left="88" w:right="0"/>
              <w:jc w:val="left"/>
              <w:rPr>
                <w:rFonts w:ascii="Times New Roman" w:hAnsi="Times New Roman" w:cs="Times New Roman" w:eastAsia="Times New Roman" w:hint="default"/>
                <w:sz w:val="18"/>
                <w:szCs w:val="18"/>
              </w:rPr>
            </w:pPr>
            <w:r>
              <w:rPr>
                <w:rFonts w:ascii="Times New Roman"/>
                <w:sz w:val="18"/>
              </w:rPr>
              <w:t>209.05</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-6,895,134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.93</w:t>
            </w:r>
          </w:p>
        </w:tc>
      </w:tr>
      <w:tr>
        <w:trPr>
          <w:trHeight w:val="71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37,727,0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60.86</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659,261.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27,136,9</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05.60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90,572,</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819.87</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586,096,0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47.51</w:t>
            </w: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9"/>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1,633,94</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0.87</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393,118.</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60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28" w:right="0"/>
              <w:jc w:val="left"/>
              <w:rPr>
                <w:rFonts w:ascii="Times New Roman" w:hAnsi="Times New Roman" w:cs="Times New Roman" w:eastAsia="Times New Roman" w:hint="default"/>
                <w:sz w:val="18"/>
                <w:szCs w:val="18"/>
              </w:rPr>
            </w:pPr>
            <w:r>
              <w:rPr>
                <w:rFonts w:ascii="Times New Roman"/>
                <w:sz w:val="18"/>
              </w:rPr>
              <w:t>-12,257</w:t>
            </w:r>
          </w:p>
          <w:p>
            <w:pPr>
              <w:pStyle w:val="TableParagraph"/>
              <w:spacing w:line="240" w:lineRule="auto" w:before="102"/>
              <w:ind w:left="43" w:right="0"/>
              <w:jc w:val="left"/>
              <w:rPr>
                <w:rFonts w:ascii="Times New Roman" w:hAnsi="Times New Roman" w:cs="Times New Roman" w:eastAsia="Times New Roman" w:hint="default"/>
                <w:sz w:val="18"/>
                <w:szCs w:val="18"/>
              </w:rPr>
            </w:pPr>
            <w:r>
              <w:rPr>
                <w:rFonts w:ascii="Times New Roman"/>
                <w:sz w:val="18"/>
              </w:rPr>
              <w:t>,896.73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-10,230,83</w:t>
            </w:r>
          </w:p>
          <w:p>
            <w:pPr>
              <w:pStyle w:val="TableParagraph"/>
              <w:spacing w:line="240" w:lineRule="auto" w:before="102"/>
              <w:ind w:left="515" w:right="0"/>
              <w:jc w:val="left"/>
              <w:rPr>
                <w:rFonts w:ascii="Times New Roman" w:hAnsi="Times New Roman" w:cs="Times New Roman" w:eastAsia="Times New Roman" w:hint="default"/>
                <w:sz w:val="18"/>
                <w:szCs w:val="18"/>
              </w:rPr>
            </w:pPr>
            <w:r>
              <w:rPr>
                <w:rFonts w:ascii="Times New Roman"/>
                <w:sz w:val="18"/>
              </w:rPr>
              <w:t>7.26</w:t>
            </w: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393,118.</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-10,107</w:t>
            </w:r>
          </w:p>
          <w:p>
            <w:pPr>
              <w:pStyle w:val="TableParagraph"/>
              <w:spacing w:line="240" w:lineRule="auto" w:before="105"/>
              <w:ind w:left="43" w:right="0"/>
              <w:jc w:val="left"/>
              <w:rPr>
                <w:rFonts w:ascii="Times New Roman" w:hAnsi="Times New Roman" w:cs="Times New Roman" w:eastAsia="Times New Roman" w:hint="default"/>
                <w:sz w:val="18"/>
                <w:szCs w:val="18"/>
              </w:rPr>
            </w:pPr>
            <w:r>
              <w:rPr>
                <w:rFonts w:ascii="Times New Roman"/>
                <w:sz w:val="18"/>
              </w:rPr>
              <w:t>,896.73</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-9,714,778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.13</w:t>
            </w:r>
          </w:p>
        </w:tc>
      </w:tr>
      <w:tr>
        <w:trPr>
          <w:trHeight w:val="716"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-2,150,</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000.00</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9"/>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2"/>
          <w:pgSz w:w="11910" w:h="16840"/>
          <w:pgMar w:footer="974" w:header="748" w:top="1060" w:bottom="1160" w:left="980" w:right="0"/>
          <w:pgNumType w:start="12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5"/>
        <w:gridCol w:w="629"/>
        <w:gridCol w:w="605"/>
        <w:gridCol w:w="603"/>
        <w:gridCol w:w="605"/>
        <w:gridCol w:w="727"/>
        <w:gridCol w:w="728"/>
        <w:gridCol w:w="725"/>
        <w:gridCol w:w="727"/>
        <w:gridCol w:w="727"/>
        <w:gridCol w:w="615"/>
        <w:gridCol w:w="710"/>
        <w:gridCol w:w="862"/>
      </w:tblGrid>
      <w:tr>
        <w:trPr>
          <w:trHeight w:val="102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1,633,94</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0.87</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615"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1,633,940.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87</w:t>
            </w:r>
          </w:p>
        </w:tc>
      </w:tr>
      <w:tr>
        <w:trPr>
          <w:trHeight w:val="1028" w:hRule="exact"/>
        </w:trPr>
        <w:tc>
          <w:tcPr>
            <w:tcW w:w="1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2" w:right="19"/>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430,00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605" w:type="dxa"/>
            <w:tcBorders>
              <w:top w:val="single" w:sz="4" w:space="0" w:color="000000"/>
              <w:left w:val="single" w:sz="4" w:space="0" w:color="000000"/>
              <w:bottom w:val="single" w:sz="4" w:space="0" w:color="000000"/>
              <w:right w:val="single" w:sz="4" w:space="0" w:color="000000"/>
            </w:tcBorders>
          </w:tcPr>
          <w:p>
            <w:pPr/>
          </w:p>
        </w:tc>
        <w:tc>
          <w:tcPr>
            <w:tcW w:w="603" w:type="dxa"/>
            <w:tcBorders>
              <w:top w:val="single" w:sz="4" w:space="0" w:color="000000"/>
              <w:left w:val="single" w:sz="4" w:space="0" w:color="000000"/>
              <w:bottom w:val="single" w:sz="4" w:space="0" w:color="000000"/>
              <w:right w:val="single" w:sz="4" w:space="0" w:color="000000"/>
            </w:tcBorders>
          </w:tcPr>
          <w:p>
            <w:pPr/>
          </w:p>
        </w:tc>
        <w:tc>
          <w:tcPr>
            <w:tcW w:w="60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39,361,0</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01.73</w:t>
            </w:r>
          </w:p>
        </w:tc>
        <w:tc>
          <w:tcPr>
            <w:tcW w:w="728" w:type="dxa"/>
            <w:tcBorders>
              <w:top w:val="single" w:sz="4" w:space="0" w:color="000000"/>
              <w:left w:val="single" w:sz="4" w:space="0" w:color="000000"/>
              <w:bottom w:val="single" w:sz="4" w:space="0" w:color="000000"/>
              <w:right w:val="single" w:sz="4" w:space="0" w:color="000000"/>
            </w:tcBorders>
          </w:tcPr>
          <w:p>
            <w:pP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1,052,37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9.78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2" w:right="0"/>
              <w:jc w:val="left"/>
              <w:rPr>
                <w:rFonts w:ascii="Times New Roman" w:hAnsi="Times New Roman" w:cs="Times New Roman" w:eastAsia="Times New Roman" w:hint="default"/>
                <w:sz w:val="18"/>
                <w:szCs w:val="18"/>
              </w:rPr>
            </w:pPr>
            <w:r>
              <w:rPr>
                <w:rFonts w:ascii="Times New Roman"/>
                <w:sz w:val="18"/>
              </w:rPr>
              <w:t>27,136,9</w:t>
            </w:r>
          </w:p>
          <w:p>
            <w:pPr>
              <w:pStyle w:val="TableParagraph"/>
              <w:spacing w:line="240" w:lineRule="auto" w:before="105"/>
              <w:ind w:left="287" w:right="0"/>
              <w:jc w:val="left"/>
              <w:rPr>
                <w:rFonts w:ascii="Times New Roman" w:hAnsi="Times New Roman" w:cs="Times New Roman" w:eastAsia="Times New Roman" w:hint="default"/>
                <w:sz w:val="18"/>
                <w:szCs w:val="18"/>
              </w:rPr>
            </w:pPr>
            <w:r>
              <w:rPr>
                <w:rFonts w:ascii="Times New Roman"/>
                <w:sz w:val="18"/>
              </w:rPr>
              <w:t>05.60</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78,314,</w:t>
            </w:r>
          </w:p>
          <w:p>
            <w:pPr>
              <w:pStyle w:val="TableParagraph"/>
              <w:spacing w:line="240" w:lineRule="auto" w:before="105"/>
              <w:ind w:left="88" w:right="0"/>
              <w:jc w:val="left"/>
              <w:rPr>
                <w:rFonts w:ascii="Times New Roman" w:hAnsi="Times New Roman" w:cs="Times New Roman" w:eastAsia="Times New Roman" w:hint="default"/>
                <w:sz w:val="18"/>
                <w:szCs w:val="18"/>
              </w:rPr>
            </w:pPr>
            <w:r>
              <w:rPr>
                <w:rFonts w:ascii="Times New Roman"/>
                <w:sz w:val="18"/>
              </w:rPr>
              <w:t>923.14</w:t>
            </w:r>
          </w:p>
        </w:tc>
        <w:tc>
          <w:tcPr>
            <w:tcW w:w="710"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575,865,2</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10.25</w:t>
            </w:r>
          </w:p>
        </w:tc>
      </w:tr>
    </w:tbl>
    <w:p>
      <w:pPr>
        <w:pStyle w:val="BodyText"/>
        <w:spacing w:line="240" w:lineRule="auto" w:before="51"/>
        <w:ind w:right="1133"/>
        <w:jc w:val="left"/>
      </w:pPr>
      <w:r>
        <w:rPr/>
        <w:t>上期金额</w:t>
      </w:r>
    </w:p>
    <w:p>
      <w:pPr>
        <w:pStyle w:val="BodyText"/>
        <w:spacing w:line="240" w:lineRule="auto" w:before="115"/>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32"/>
        <w:gridCol w:w="593"/>
        <w:gridCol w:w="574"/>
        <w:gridCol w:w="572"/>
        <w:gridCol w:w="571"/>
        <w:gridCol w:w="686"/>
        <w:gridCol w:w="686"/>
        <w:gridCol w:w="684"/>
        <w:gridCol w:w="782"/>
        <w:gridCol w:w="665"/>
        <w:gridCol w:w="797"/>
        <w:gridCol w:w="797"/>
        <w:gridCol w:w="931"/>
      </w:tblGrid>
      <w:tr>
        <w:trPr>
          <w:trHeight w:val="401" w:hRule="exact"/>
        </w:trPr>
        <w:tc>
          <w:tcPr>
            <w:tcW w:w="123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39"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3" w:hRule="exact"/>
        </w:trPr>
        <w:tc>
          <w:tcPr>
            <w:tcW w:w="1232" w:type="dxa"/>
            <w:vMerge/>
            <w:tcBorders>
              <w:left w:val="single" w:sz="4" w:space="0" w:color="000000"/>
              <w:right w:val="single" w:sz="4" w:space="0" w:color="000000"/>
            </w:tcBorders>
            <w:shd w:val="clear" w:color="auto" w:fill="D2D2D2"/>
          </w:tcPr>
          <w:p>
            <w:pPr/>
          </w:p>
        </w:tc>
        <w:tc>
          <w:tcPr>
            <w:tcW w:w="5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1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6"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304" w:right="32"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9" w:right="98"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713" w:hRule="exact"/>
        </w:trPr>
        <w:tc>
          <w:tcPr>
            <w:tcW w:w="1232" w:type="dxa"/>
            <w:vMerge/>
            <w:tcBorders>
              <w:left w:val="single" w:sz="4" w:space="0" w:color="000000"/>
              <w:bottom w:val="single" w:sz="4" w:space="0" w:color="000000"/>
              <w:right w:val="single" w:sz="4" w:space="0" w:color="000000"/>
            </w:tcBorders>
            <w:shd w:val="clear" w:color="auto" w:fill="D2D2D2"/>
          </w:tcPr>
          <w:p>
            <w:pPr/>
          </w:p>
        </w:tc>
        <w:tc>
          <w:tcPr>
            <w:tcW w:w="593"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4" w:right="98"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92" w:right="99" w:hanging="92"/>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6" w:type="dxa"/>
            <w:vMerge/>
            <w:tcBorders>
              <w:left w:val="single" w:sz="4" w:space="0" w:color="000000"/>
              <w:bottom w:val="single" w:sz="4" w:space="0" w:color="000000"/>
              <w:right w:val="single" w:sz="4" w:space="0" w:color="000000"/>
            </w:tcBorders>
            <w:shd w:val="clear" w:color="auto" w:fill="D2D2D2"/>
          </w:tcPr>
          <w:p>
            <w:pPr/>
          </w:p>
        </w:tc>
        <w:tc>
          <w:tcPr>
            <w:tcW w:w="686" w:type="dxa"/>
            <w:vMerge/>
            <w:tcBorders>
              <w:left w:val="single" w:sz="4" w:space="0" w:color="000000"/>
              <w:bottom w:val="single" w:sz="4" w:space="0" w:color="000000"/>
              <w:right w:val="single" w:sz="4" w:space="0" w:color="000000"/>
            </w:tcBorders>
            <w:shd w:val="clear" w:color="auto" w:fill="D2D2D2"/>
          </w:tcPr>
          <w:p>
            <w:pPr/>
          </w:p>
        </w:tc>
        <w:tc>
          <w:tcPr>
            <w:tcW w:w="684" w:type="dxa"/>
            <w:vMerge/>
            <w:tcBorders>
              <w:left w:val="single" w:sz="4" w:space="0" w:color="000000"/>
              <w:bottom w:val="single" w:sz="4" w:space="0" w:color="000000"/>
              <w:right w:val="single" w:sz="4" w:space="0" w:color="000000"/>
            </w:tcBorders>
            <w:shd w:val="clear" w:color="auto" w:fill="D2D2D2"/>
          </w:tcPr>
          <w:p>
            <w:pPr/>
          </w:p>
        </w:tc>
        <w:tc>
          <w:tcPr>
            <w:tcW w:w="782"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37,727,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060.86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27,136,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905.60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137,285,1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632,149,06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8.61</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17"/>
                <w:sz w:val="18"/>
                <w:szCs w:val="18"/>
              </w:rPr>
              <w:t>加：会计政</w:t>
            </w:r>
            <w:r>
              <w:rPr>
                <w:rFonts w:ascii="宋体" w:hAnsi="宋体" w:cs="宋体" w:eastAsia="宋体" w:hint="default"/>
                <w:sz w:val="18"/>
                <w:szCs w:val="18"/>
              </w:rPr>
              <w:t> 策变更</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15"/>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前期 差错更正</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37,727,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060.86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27,136,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905.60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137,285,1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02.15</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632,149,06</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8.61</w:t>
            </w:r>
          </w:p>
        </w:tc>
      </w:tr>
      <w:tr>
        <w:trPr>
          <w:trHeight w:val="102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87.06</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-40,317,0</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73.23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-39,157,886</w:t>
            </w:r>
            <w:r>
              <w:rPr>
                <w:rFonts w:ascii="Times New Roman"/>
                <w:sz w:val="18"/>
              </w:rPr>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.17</w:t>
            </w:r>
          </w:p>
        </w:tc>
      </w:tr>
      <w:tr>
        <w:trPr>
          <w:trHeight w:val="715"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总额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1" w:right="0"/>
              <w:jc w:val="center"/>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87.06</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-38,167,0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73.23</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-37,007,886</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.17</w:t>
            </w:r>
          </w:p>
        </w:tc>
      </w:tr>
      <w:tr>
        <w:trPr>
          <w:trHeight w:val="713"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20"/>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入和减少资本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 的普通股</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30"/>
        <w:gridCol w:w="593"/>
        <w:gridCol w:w="574"/>
        <w:gridCol w:w="572"/>
        <w:gridCol w:w="571"/>
        <w:gridCol w:w="686"/>
        <w:gridCol w:w="686"/>
        <w:gridCol w:w="684"/>
        <w:gridCol w:w="782"/>
        <w:gridCol w:w="665"/>
        <w:gridCol w:w="797"/>
        <w:gridCol w:w="797"/>
        <w:gridCol w:w="931"/>
      </w:tblGrid>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 具持有者投入 资本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 入所有者权益 的金额</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5"/>
                <w:sz w:val="18"/>
                <w:szCs w:val="18"/>
              </w:rPr>
              <w:t>）</w:t>
            </w:r>
            <w:r>
              <w:rPr>
                <w:rFonts w:ascii="宋体" w:hAnsi="宋体" w:cs="宋体" w:eastAsia="宋体" w:hint="default"/>
                <w:sz w:val="18"/>
                <w:szCs w:val="18"/>
              </w:rPr>
              <w:t>利润分配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-2,150,000.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 积</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17"/>
              <w:jc w:val="left"/>
              <w:rPr>
                <w:rFonts w:ascii="宋体" w:hAnsi="宋体" w:cs="宋体" w:eastAsia="宋体" w:hint="default"/>
                <w:sz w:val="18"/>
                <w:szCs w:val="18"/>
              </w:rPr>
            </w:pPr>
            <w:r>
              <w:rPr>
                <w:rFonts w:ascii="Times New Roman" w:hAnsi="Times New Roman" w:cs="Times New Roman" w:eastAsia="Times New Roman" w:hint="default"/>
                <w:spacing w:val="-22"/>
                <w:sz w:val="18"/>
                <w:szCs w:val="18"/>
              </w:rPr>
              <w:t>2</w:t>
            </w:r>
            <w:r>
              <w:rPr>
                <w:rFonts w:ascii="宋体" w:hAnsi="宋体" w:cs="宋体" w:eastAsia="宋体" w:hint="default"/>
                <w:spacing w:val="-22"/>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6" w:right="0"/>
              <w:jc w:val="left"/>
              <w:rPr>
                <w:rFonts w:ascii="Times New Roman" w:hAnsi="Times New Roman" w:cs="Times New Roman" w:eastAsia="Times New Roman" w:hint="default"/>
                <w:sz w:val="18"/>
                <w:szCs w:val="18"/>
              </w:rPr>
            </w:pPr>
            <w:r>
              <w:rPr>
                <w:rFonts w:ascii="Times New Roman"/>
                <w:sz w:val="18"/>
              </w:rPr>
              <w:t>-2,150,00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-2,150,000.</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00</w:t>
            </w: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益内部结转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 增资本（或股 本）</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 补亏损</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 划变动额结转 留存收益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4"/>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．其他综合收 益结转留存收 益</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5"/>
                <w:sz w:val="18"/>
                <w:szCs w:val="18"/>
              </w:rPr>
              <w:t>）</w:t>
            </w:r>
            <w:r>
              <w:rPr>
                <w:rFonts w:ascii="宋体" w:hAnsi="宋体" w:cs="宋体" w:eastAsia="宋体" w:hint="default"/>
                <w:sz w:val="18"/>
                <w:szCs w:val="18"/>
              </w:rPr>
              <w:t>专项储备</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3"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0"/>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7" w:right="0"/>
              <w:jc w:val="left"/>
              <w:rPr>
                <w:rFonts w:ascii="Times New Roman" w:hAnsi="Times New Roman" w:cs="Times New Roman" w:eastAsia="Times New Roman" w:hint="default"/>
                <w:sz w:val="18"/>
                <w:szCs w:val="18"/>
              </w:rPr>
            </w:pPr>
            <w:r>
              <w:rPr>
                <w:rFonts w:ascii="Times New Roman"/>
                <w:sz w:val="18"/>
              </w:rPr>
              <w:t>430,00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00</w:t>
            </w:r>
          </w:p>
        </w:tc>
        <w:tc>
          <w:tcPr>
            <w:tcW w:w="57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37,727,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060.86</w:t>
            </w: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1" w:right="0"/>
              <w:jc w:val="center"/>
              <w:rPr>
                <w:rFonts w:ascii="Times New Roman" w:hAnsi="Times New Roman" w:cs="Times New Roman" w:eastAsia="Times New Roman" w:hint="default"/>
                <w:sz w:val="18"/>
                <w:szCs w:val="18"/>
              </w:rPr>
            </w:pPr>
            <w:r>
              <w:rPr>
                <w:rFonts w:ascii="Times New Roman"/>
                <w:sz w:val="18"/>
              </w:rPr>
              <w:t>1,159,1</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87.06</w:t>
            </w:r>
          </w:p>
        </w:tc>
        <w:tc>
          <w:tcPr>
            <w:tcW w:w="782"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Times New Roman" w:hAnsi="Times New Roman" w:cs="Times New Roman" w:eastAsia="Times New Roman" w:hint="default"/>
                <w:sz w:val="18"/>
                <w:szCs w:val="18"/>
              </w:rPr>
            </w:pPr>
            <w:r>
              <w:rPr>
                <w:rFonts w:ascii="Times New Roman"/>
                <w:sz w:val="18"/>
              </w:rPr>
              <w:t>27,136,</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905.60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96,968,02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8.92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6" w:right="0"/>
              <w:jc w:val="left"/>
              <w:rPr>
                <w:rFonts w:ascii="Times New Roman" w:hAnsi="Times New Roman" w:cs="Times New Roman" w:eastAsia="Times New Roman" w:hint="default"/>
                <w:sz w:val="18"/>
                <w:szCs w:val="18"/>
              </w:rPr>
            </w:pPr>
            <w:r>
              <w:rPr>
                <w:rFonts w:ascii="Times New Roman"/>
                <w:sz w:val="18"/>
              </w:rPr>
              <w:t>592,991,18</w:t>
            </w:r>
          </w:p>
          <w:p>
            <w:pPr>
              <w:pStyle w:val="TableParagraph"/>
              <w:spacing w:line="240" w:lineRule="auto" w:before="105"/>
              <w:ind w:left="583" w:right="0"/>
              <w:jc w:val="left"/>
              <w:rPr>
                <w:rFonts w:ascii="Times New Roman" w:hAnsi="Times New Roman" w:cs="Times New Roman" w:eastAsia="Times New Roman" w:hint="default"/>
                <w:sz w:val="18"/>
                <w:szCs w:val="18"/>
              </w:rPr>
            </w:pPr>
            <w:r>
              <w:rPr>
                <w:rFonts w:ascii="Times New Roman"/>
                <w:sz w:val="18"/>
              </w:rPr>
              <w:t>2.44</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before="26"/>
        <w:ind w:right="1133"/>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w:t>
      </w:r>
      <w:r>
        <w:rPr/>
        <w:t>．公司概况</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76"/>
        <w:ind w:right="0" w:firstLine="480"/>
        <w:jc w:val="left"/>
        <w:rPr>
          <w:rFonts w:ascii="宋体" w:hAnsi="宋体" w:cs="宋体" w:eastAsia="宋体" w:hint="default"/>
        </w:rPr>
      </w:pPr>
      <w:r>
        <w:rPr/>
        <w:t>易联众信息技术股份有限公司（以下简称“本公司”）系由实达科技（福建）软件系统集团有限公司依法整体变更设 </w:t>
      </w:r>
      <w:r>
        <w:rPr>
          <w:spacing w:val="-2"/>
        </w:rPr>
        <w:t>立，于</w:t>
      </w:r>
      <w:r>
        <w:rPr>
          <w:rFonts w:ascii="宋体" w:hAnsi="宋体" w:cs="宋体" w:eastAsia="宋体" w:hint="default"/>
          <w:spacing w:val="-2"/>
        </w:rPr>
        <w:t>2009</w:t>
      </w:r>
      <w:r>
        <w:rPr>
          <w:spacing w:val="-2"/>
        </w:rPr>
        <w:t>年</w:t>
      </w:r>
      <w:r>
        <w:rPr>
          <w:rFonts w:ascii="宋体" w:hAnsi="宋体" w:cs="宋体" w:eastAsia="宋体" w:hint="default"/>
          <w:spacing w:val="-2"/>
        </w:rPr>
        <w:t>6</w:t>
      </w:r>
      <w:r>
        <w:rPr>
          <w:spacing w:val="-2"/>
        </w:rPr>
        <w:t>月</w:t>
      </w:r>
      <w:r>
        <w:rPr>
          <w:rFonts w:ascii="宋体" w:hAnsi="宋体" w:cs="宋体" w:eastAsia="宋体" w:hint="default"/>
          <w:spacing w:val="-2"/>
        </w:rPr>
        <w:t>29</w:t>
      </w:r>
      <w:r>
        <w:rPr>
          <w:spacing w:val="-2"/>
        </w:rPr>
        <w:t>日取得厦门市工商行政管理局核发的《企业法人营业执照》，统一社会信用代码为</w:t>
      </w:r>
      <w:r>
        <w:rPr>
          <w:rFonts w:ascii="宋体" w:hAnsi="宋体" w:cs="宋体" w:eastAsia="宋体" w:hint="default"/>
          <w:spacing w:val="-2"/>
        </w:rPr>
        <w:t>91350200612040492E</w:t>
      </w:r>
      <w:r>
        <w:rPr>
          <w:spacing w:val="-2"/>
        </w:rPr>
        <w:t>。</w:t>
      </w:r>
      <w:r>
        <w:rPr>
          <w:spacing w:val="-45"/>
        </w:rPr>
        <w:t> </w:t>
      </w:r>
      <w:r>
        <w:rPr/>
        <w:t>设立时本公司股本总额为</w:t>
      </w:r>
      <w:r>
        <w:rPr>
          <w:rFonts w:ascii="宋体" w:hAnsi="宋体" w:cs="宋体" w:eastAsia="宋体" w:hint="default"/>
        </w:rPr>
        <w:t>6,400</w:t>
      </w:r>
      <w:r>
        <w:rPr/>
        <w:t>万股，每股面值</w:t>
      </w:r>
      <w:r>
        <w:rPr>
          <w:rFonts w:ascii="宋体" w:hAnsi="宋体" w:cs="宋体" w:eastAsia="宋体" w:hint="default"/>
        </w:rPr>
        <w:t>1</w:t>
      </w:r>
      <w:r>
        <w:rPr/>
        <w:t>元，注册资本为人民币</w:t>
      </w:r>
      <w:r>
        <w:rPr>
          <w:rFonts w:ascii="宋体" w:hAnsi="宋体" w:cs="宋体" w:eastAsia="宋体" w:hint="default"/>
        </w:rPr>
        <w:t>6,400</w:t>
      </w:r>
      <w:r>
        <w:rPr/>
        <w:t>万元。</w:t>
      </w:r>
      <w:r>
        <w:rPr>
          <w:rFonts w:ascii="宋体" w:hAnsi="宋体" w:cs="宋体" w:eastAsia="宋体" w:hint="default"/>
        </w:rPr>
        <w:t> </w:t>
      </w:r>
    </w:p>
    <w:p>
      <w:pPr>
        <w:pStyle w:val="BodyText"/>
        <w:spacing w:line="316" w:lineRule="auto" w:before="19"/>
        <w:ind w:right="1130" w:firstLine="480"/>
        <w:jc w:val="both"/>
        <w:rPr>
          <w:rFonts w:ascii="宋体" w:hAnsi="宋体" w:cs="宋体" w:eastAsia="宋体" w:hint="default"/>
        </w:rPr>
      </w:pPr>
      <w:r>
        <w:rPr>
          <w:rFonts w:ascii="宋体" w:hAnsi="宋体" w:cs="宋体" w:eastAsia="宋体" w:hint="default"/>
          <w:spacing w:val="-1"/>
        </w:rPr>
        <w:t>2010</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spacing w:val="-1"/>
        </w:rPr>
        <w:t>日，经中国证券监督管理委员会“证监许可</w:t>
      </w:r>
      <w:r>
        <w:rPr>
          <w:rFonts w:ascii="宋体" w:hAnsi="宋体" w:cs="宋体" w:eastAsia="宋体" w:hint="default"/>
          <w:spacing w:val="-1"/>
        </w:rPr>
        <w:t>[2010]890</w:t>
      </w:r>
      <w:r>
        <w:rPr>
          <w:spacing w:val="-1"/>
        </w:rPr>
        <w:t>号”文《关于核准易联众信息技术股份有限公司首</w:t>
      </w:r>
      <w:r>
        <w:rPr/>
        <w:t> 次公开发行股票并在创业板上市的批复》核准，本公司向社会公开发行人民币普通股（</w:t>
      </w:r>
      <w:r>
        <w:rPr>
          <w:rFonts w:ascii="宋体" w:hAnsi="宋体" w:cs="宋体" w:eastAsia="宋体" w:hint="default"/>
        </w:rPr>
        <w:t>A</w:t>
      </w:r>
      <w:r>
        <w:rPr/>
        <w:t>股）</w:t>
      </w:r>
      <w:r>
        <w:rPr>
          <w:rFonts w:ascii="宋体" w:hAnsi="宋体" w:cs="宋体" w:eastAsia="宋体" w:hint="default"/>
        </w:rPr>
        <w:t>2,200</w:t>
      </w:r>
      <w:r>
        <w:rPr/>
        <w:t>万股，并于</w:t>
      </w:r>
      <w:r>
        <w:rPr>
          <w:rFonts w:ascii="宋体" w:hAnsi="宋体" w:cs="宋体" w:eastAsia="宋体" w:hint="default"/>
        </w:rPr>
        <w:t>2010</w:t>
      </w:r>
      <w:r>
        <w:rPr/>
        <w:t>年</w:t>
      </w:r>
      <w:r>
        <w:rPr>
          <w:rFonts w:ascii="宋体" w:hAnsi="宋体" w:cs="宋体" w:eastAsia="宋体" w:hint="default"/>
        </w:rPr>
        <w:t>7</w:t>
      </w:r>
      <w:r>
        <w:rPr/>
        <w:t>月</w:t>
      </w:r>
      <w:r>
        <w:rPr>
          <w:rFonts w:ascii="宋体" w:hAnsi="宋体" w:cs="宋体" w:eastAsia="宋体" w:hint="default"/>
        </w:rPr>
        <w:t>28</w:t>
      </w:r>
      <w:r>
        <w:rPr>
          <w:rFonts w:ascii="宋体" w:hAnsi="宋体" w:cs="宋体" w:eastAsia="宋体" w:hint="default"/>
          <w:spacing w:val="-2"/>
        </w:rPr>
        <w:t> </w:t>
      </w:r>
      <w:r>
        <w:rPr>
          <w:spacing w:val="-6"/>
        </w:rPr>
        <w:t>日在深圳证券交易所创业板上市交易（股票简称为“易联众”，股票代码为“</w:t>
      </w:r>
      <w:r>
        <w:rPr>
          <w:rFonts w:ascii="宋体" w:hAnsi="宋体" w:cs="宋体" w:eastAsia="宋体" w:hint="default"/>
          <w:spacing w:val="-6"/>
        </w:rPr>
        <w:t>300096</w:t>
      </w:r>
      <w:r>
        <w:rPr>
          <w:spacing w:val="-6"/>
        </w:rPr>
        <w:t>”），发行后注册资本变更为人民币</w:t>
      </w:r>
      <w:r>
        <w:rPr>
          <w:rFonts w:ascii="宋体" w:hAnsi="宋体" w:cs="宋体" w:eastAsia="宋体" w:hint="default"/>
          <w:spacing w:val="-6"/>
        </w:rPr>
        <w:t>8,600</w:t>
      </w:r>
      <w:r>
        <w:rPr>
          <w:rFonts w:ascii="宋体" w:hAnsi="宋体" w:cs="宋体" w:eastAsia="宋体" w:hint="default"/>
          <w:spacing w:val="-83"/>
        </w:rPr>
        <w:t> </w:t>
      </w:r>
      <w:r>
        <w:rPr>
          <w:rFonts w:ascii="宋体" w:hAnsi="宋体" w:cs="宋体" w:eastAsia="宋体" w:hint="default"/>
          <w:spacing w:val="-83"/>
        </w:rPr>
      </w:r>
      <w:r>
        <w:rPr/>
        <w:t>万元。根据本公司于</w:t>
      </w:r>
      <w:r>
        <w:rPr>
          <w:rFonts w:ascii="宋体" w:hAnsi="宋体" w:cs="宋体" w:eastAsia="宋体" w:hint="default"/>
        </w:rPr>
        <w:t>2009</w:t>
      </w:r>
      <w:r>
        <w:rPr/>
        <w:t>年</w:t>
      </w:r>
      <w:r>
        <w:rPr>
          <w:rFonts w:ascii="宋体" w:hAnsi="宋体" w:cs="宋体" w:eastAsia="宋体" w:hint="default"/>
        </w:rPr>
        <w:t>8</w:t>
      </w:r>
      <w:r>
        <w:rPr/>
        <w:t>月</w:t>
      </w:r>
      <w:r>
        <w:rPr>
          <w:rFonts w:ascii="宋体" w:hAnsi="宋体" w:cs="宋体" w:eastAsia="宋体" w:hint="default"/>
        </w:rPr>
        <w:t>22</w:t>
      </w:r>
      <w:r>
        <w:rPr/>
        <w:t>日召开的</w:t>
      </w:r>
      <w:r>
        <w:rPr>
          <w:rFonts w:ascii="宋体" w:hAnsi="宋体" w:cs="宋体" w:eastAsia="宋体" w:hint="default"/>
        </w:rPr>
        <w:t>2009</w:t>
      </w:r>
      <w:r>
        <w:rPr/>
        <w:t>年第二次临时股东大会决议，本公司完成了变更注册资本的工商变更登记手</w:t>
      </w:r>
      <w:r>
        <w:rPr>
          <w:spacing w:val="-87"/>
        </w:rPr>
        <w:t> </w:t>
      </w:r>
      <w:r>
        <w:rPr>
          <w:spacing w:val="-87"/>
        </w:rPr>
      </w:r>
      <w:r>
        <w:rPr/>
        <w:t>续，注册资本由人民币</w:t>
      </w:r>
      <w:r>
        <w:rPr>
          <w:rFonts w:ascii="宋体" w:hAnsi="宋体" w:cs="宋体" w:eastAsia="宋体" w:hint="default"/>
        </w:rPr>
        <w:t>6,400</w:t>
      </w:r>
      <w:r>
        <w:rPr/>
        <w:t>万元变更为人民币</w:t>
      </w:r>
      <w:r>
        <w:rPr>
          <w:rFonts w:ascii="宋体" w:hAnsi="宋体" w:cs="宋体" w:eastAsia="宋体" w:hint="default"/>
        </w:rPr>
        <w:t>8,600</w:t>
      </w:r>
      <w:r>
        <w:rPr/>
        <w:t>万元。</w:t>
      </w:r>
      <w:r>
        <w:rPr>
          <w:rFonts w:ascii="宋体" w:hAnsi="宋体" w:cs="宋体" w:eastAsia="宋体" w:hint="default"/>
        </w:rPr>
        <w:t> </w:t>
      </w:r>
    </w:p>
    <w:p>
      <w:pPr>
        <w:pStyle w:val="BodyText"/>
        <w:spacing w:line="240" w:lineRule="auto" w:before="19"/>
        <w:ind w:left="633" w:right="0"/>
        <w:jc w:val="left"/>
      </w:pPr>
      <w:r>
        <w:rPr/>
        <w:t>根据本公司</w:t>
      </w:r>
      <w:r>
        <w:rPr>
          <w:rFonts w:ascii="宋体" w:hAnsi="宋体" w:cs="宋体" w:eastAsia="宋体" w:hint="default"/>
        </w:rPr>
        <w:t>2010</w:t>
      </w:r>
      <w:r>
        <w:rPr/>
        <w:t>年度股东大会决议通过的《公司</w:t>
      </w:r>
      <w:r>
        <w:rPr>
          <w:rFonts w:ascii="宋体" w:hAnsi="宋体" w:cs="宋体" w:eastAsia="宋体" w:hint="default"/>
        </w:rPr>
        <w:t>2010</w:t>
      </w:r>
      <w:r>
        <w:rPr/>
        <w:t>年度利润分配及资本公积金转增股本的议案》，本公司于</w:t>
      </w:r>
      <w:r>
        <w:rPr>
          <w:rFonts w:ascii="宋体" w:hAnsi="宋体" w:cs="宋体" w:eastAsia="宋体" w:hint="default"/>
        </w:rPr>
        <w:t>2011</w:t>
      </w:r>
      <w:r>
        <w:rPr/>
        <w:t>年</w:t>
      </w:r>
    </w:p>
    <w:p>
      <w:pPr>
        <w:pStyle w:val="BodyText"/>
        <w:spacing w:line="240" w:lineRule="auto" w:before="76"/>
        <w:ind w:right="0"/>
        <w:jc w:val="left"/>
      </w:pPr>
      <w:r>
        <w:rPr>
          <w:rFonts w:ascii="宋体" w:hAnsi="宋体" w:cs="宋体" w:eastAsia="宋体" w:hint="default"/>
        </w:rPr>
        <w:t>7</w:t>
      </w:r>
      <w:r>
        <w:rPr/>
        <w:t>月</w:t>
      </w:r>
      <w:r>
        <w:rPr>
          <w:rFonts w:ascii="宋体" w:hAnsi="宋体" w:cs="宋体" w:eastAsia="宋体" w:hint="default"/>
        </w:rPr>
        <w:t>7</w:t>
      </w:r>
      <w:r>
        <w:rPr/>
        <w:t>日以本公司总股本</w:t>
      </w:r>
      <w:r>
        <w:rPr>
          <w:rFonts w:ascii="宋体" w:hAnsi="宋体" w:cs="宋体" w:eastAsia="宋体" w:hint="default"/>
        </w:rPr>
        <w:t>8,600</w:t>
      </w:r>
      <w:r>
        <w:rPr/>
        <w:t>万股为基数，以资本公积向全体股东每</w:t>
      </w:r>
      <w:r>
        <w:rPr>
          <w:rFonts w:ascii="宋体" w:hAnsi="宋体" w:cs="宋体" w:eastAsia="宋体" w:hint="default"/>
        </w:rPr>
        <w:t>10</w:t>
      </w:r>
      <w:r>
        <w:rPr/>
        <w:t>股转增</w:t>
      </w:r>
      <w:r>
        <w:rPr>
          <w:rFonts w:ascii="宋体" w:hAnsi="宋体" w:cs="宋体" w:eastAsia="宋体" w:hint="default"/>
        </w:rPr>
        <w:t>10</w:t>
      </w:r>
      <w:r>
        <w:rPr/>
        <w:t>股。资本公积转增股本后，本公司总股本为</w:t>
      </w:r>
    </w:p>
    <w:p>
      <w:pPr>
        <w:pStyle w:val="BodyText"/>
        <w:spacing w:line="240" w:lineRule="auto" w:before="76"/>
        <w:ind w:right="0"/>
        <w:jc w:val="left"/>
        <w:rPr>
          <w:rFonts w:ascii="宋体" w:hAnsi="宋体" w:cs="宋体" w:eastAsia="宋体" w:hint="default"/>
        </w:rPr>
      </w:pPr>
      <w:r>
        <w:rPr>
          <w:rFonts w:ascii="宋体" w:hAnsi="宋体" w:cs="宋体" w:eastAsia="宋体" w:hint="default"/>
        </w:rPr>
        <w:t>17,200</w:t>
      </w:r>
      <w:r>
        <w:rPr/>
        <w:t>万股。</w:t>
      </w:r>
      <w:r>
        <w:rPr>
          <w:rFonts w:ascii="宋体" w:hAnsi="宋体" w:cs="宋体" w:eastAsia="宋体" w:hint="default"/>
        </w:rPr>
        <w:t>2011</w:t>
      </w:r>
      <w:r>
        <w:rPr/>
        <w:t>年</w:t>
      </w:r>
      <w:r>
        <w:rPr>
          <w:rFonts w:ascii="宋体" w:hAnsi="宋体" w:cs="宋体" w:eastAsia="宋体" w:hint="default"/>
        </w:rPr>
        <w:t>8</w:t>
      </w:r>
      <w:r>
        <w:rPr/>
        <w:t>月本公司完成了变更注册资本的工商变更登记手续，注册资本由人民币</w:t>
      </w:r>
      <w:r>
        <w:rPr>
          <w:rFonts w:ascii="宋体" w:hAnsi="宋体" w:cs="宋体" w:eastAsia="宋体" w:hint="default"/>
        </w:rPr>
        <w:t>8,600</w:t>
      </w:r>
      <w:r>
        <w:rPr/>
        <w:t>万元变更为人民币</w:t>
      </w:r>
      <w:r>
        <w:rPr>
          <w:rFonts w:ascii="宋体" w:hAnsi="宋体" w:cs="宋体" w:eastAsia="宋体" w:hint="default"/>
        </w:rPr>
        <w:t>17,200</w:t>
      </w:r>
    </w:p>
    <w:p>
      <w:pPr>
        <w:pStyle w:val="BodyText"/>
        <w:spacing w:line="240" w:lineRule="auto" w:before="76"/>
        <w:ind w:right="1133"/>
        <w:jc w:val="left"/>
        <w:rPr>
          <w:rFonts w:ascii="宋体" w:hAnsi="宋体" w:cs="宋体" w:eastAsia="宋体" w:hint="default"/>
        </w:rPr>
      </w:pPr>
      <w:r>
        <w:rPr/>
        <w:t>万元。</w:t>
      </w:r>
      <w:r>
        <w:rPr>
          <w:rFonts w:ascii="宋体" w:hAnsi="宋体" w:cs="宋体" w:eastAsia="宋体" w:hint="default"/>
        </w:rPr>
        <w:t> </w:t>
      </w:r>
    </w:p>
    <w:p>
      <w:pPr>
        <w:pStyle w:val="BodyText"/>
        <w:spacing w:line="316" w:lineRule="auto" w:before="76"/>
        <w:ind w:right="1127" w:firstLine="480"/>
        <w:jc w:val="both"/>
        <w:rPr>
          <w:rFonts w:ascii="宋体" w:hAnsi="宋体" w:cs="宋体" w:eastAsia="宋体" w:hint="default"/>
        </w:rPr>
      </w:pPr>
      <w:r>
        <w:rPr>
          <w:rFonts w:ascii="宋体" w:hAnsi="宋体" w:cs="宋体" w:eastAsia="宋体" w:hint="default"/>
          <w:spacing w:val="-1"/>
        </w:rPr>
        <w:t>2014</w:t>
      </w:r>
      <w:r>
        <w:rPr>
          <w:spacing w:val="-1"/>
        </w:rPr>
        <w:t>年</w:t>
      </w:r>
      <w:r>
        <w:rPr>
          <w:rFonts w:ascii="宋体" w:hAnsi="宋体" w:cs="宋体" w:eastAsia="宋体" w:hint="default"/>
          <w:spacing w:val="-1"/>
        </w:rPr>
        <w:t>9</w:t>
      </w:r>
      <w:r>
        <w:rPr>
          <w:spacing w:val="-1"/>
        </w:rPr>
        <w:t>月</w:t>
      </w:r>
      <w:r>
        <w:rPr>
          <w:rFonts w:ascii="宋体" w:hAnsi="宋体" w:cs="宋体" w:eastAsia="宋体" w:hint="default"/>
          <w:spacing w:val="-1"/>
        </w:rPr>
        <w:t>12</w:t>
      </w:r>
      <w:r>
        <w:rPr>
          <w:spacing w:val="-1"/>
        </w:rPr>
        <w:t>日，本公司</w:t>
      </w:r>
      <w:r>
        <w:rPr>
          <w:rFonts w:ascii="宋体" w:hAnsi="宋体" w:cs="宋体" w:eastAsia="宋体" w:hint="default"/>
          <w:spacing w:val="-1"/>
        </w:rPr>
        <w:t>2014</w:t>
      </w:r>
      <w:r>
        <w:rPr>
          <w:spacing w:val="-1"/>
        </w:rPr>
        <w:t>年第一次临时股东大会审议通过了</w:t>
      </w:r>
      <w:r>
        <w:rPr>
          <w:rFonts w:ascii="宋体" w:hAnsi="宋体" w:cs="宋体" w:eastAsia="宋体" w:hint="default"/>
          <w:spacing w:val="-1"/>
        </w:rPr>
        <w:t>2014</w:t>
      </w:r>
      <w:r>
        <w:rPr>
          <w:spacing w:val="-1"/>
        </w:rPr>
        <w:t>年半年度资本公积转增股本方案：以</w:t>
      </w:r>
      <w:r>
        <w:rPr>
          <w:rFonts w:ascii="宋体" w:hAnsi="宋体" w:cs="宋体" w:eastAsia="宋体" w:hint="default"/>
          <w:spacing w:val="-1"/>
        </w:rPr>
        <w:t>2014</w:t>
      </w:r>
      <w:r>
        <w:rPr>
          <w:spacing w:val="-1"/>
        </w:rPr>
        <w:t>年</w:t>
      </w:r>
      <w:r>
        <w:rPr>
          <w:rFonts w:ascii="宋体" w:hAnsi="宋体" w:cs="宋体" w:eastAsia="宋体" w:hint="default"/>
          <w:spacing w:val="-1"/>
        </w:rPr>
        <w:t>6</w:t>
      </w:r>
      <w:r>
        <w:rPr>
          <w:spacing w:val="-1"/>
        </w:rPr>
        <w:t>月</w:t>
      </w:r>
      <w:r>
        <w:rPr>
          <w:rFonts w:ascii="宋体" w:hAnsi="宋体" w:cs="宋体" w:eastAsia="宋体" w:hint="default"/>
          <w:spacing w:val="-1"/>
        </w:rPr>
        <w:t>30</w:t>
      </w:r>
      <w:r>
        <w:rPr>
          <w:rFonts w:ascii="宋体" w:hAnsi="宋体" w:cs="宋体" w:eastAsia="宋体" w:hint="default"/>
          <w:spacing w:val="1"/>
        </w:rPr>
        <w:t> </w:t>
      </w:r>
      <w:r>
        <w:rPr>
          <w:spacing w:val="-4"/>
        </w:rPr>
        <w:t>日总股本</w:t>
      </w:r>
      <w:r>
        <w:rPr>
          <w:rFonts w:ascii="宋体" w:hAnsi="宋体" w:cs="宋体" w:eastAsia="宋体" w:hint="default"/>
          <w:spacing w:val="-4"/>
        </w:rPr>
        <w:t>17,200</w:t>
      </w:r>
      <w:r>
        <w:rPr>
          <w:spacing w:val="-4"/>
        </w:rPr>
        <w:t>万股为基数向全体股东每</w:t>
      </w:r>
      <w:r>
        <w:rPr>
          <w:rFonts w:ascii="宋体" w:hAnsi="宋体" w:cs="宋体" w:eastAsia="宋体" w:hint="default"/>
          <w:spacing w:val="-4"/>
        </w:rPr>
        <w:t>10</w:t>
      </w:r>
      <w:r>
        <w:rPr>
          <w:spacing w:val="-4"/>
        </w:rPr>
        <w:t>股转增</w:t>
      </w:r>
      <w:r>
        <w:rPr>
          <w:rFonts w:ascii="宋体" w:hAnsi="宋体" w:cs="宋体" w:eastAsia="宋体" w:hint="default"/>
          <w:spacing w:val="-4"/>
        </w:rPr>
        <w:t>15</w:t>
      </w:r>
      <w:r>
        <w:rPr>
          <w:spacing w:val="-4"/>
        </w:rPr>
        <w:t>股，共计转增</w:t>
      </w:r>
      <w:r>
        <w:rPr>
          <w:rFonts w:ascii="宋体" w:hAnsi="宋体" w:cs="宋体" w:eastAsia="宋体" w:hint="default"/>
          <w:spacing w:val="-4"/>
        </w:rPr>
        <w:t>25,800</w:t>
      </w:r>
      <w:r>
        <w:rPr>
          <w:spacing w:val="-4"/>
        </w:rPr>
        <w:t>万股，转增后公司总股本将增加至</w:t>
      </w:r>
      <w:r>
        <w:rPr>
          <w:rFonts w:ascii="宋体" w:hAnsi="宋体" w:cs="宋体" w:eastAsia="宋体" w:hint="default"/>
          <w:spacing w:val="-4"/>
        </w:rPr>
        <w:t>43,000</w:t>
      </w:r>
      <w:r>
        <w:rPr>
          <w:spacing w:val="-4"/>
        </w:rPr>
        <w:t>万股。</w:t>
      </w:r>
      <w:r>
        <w:rPr>
          <w:rFonts w:ascii="宋体" w:hAnsi="宋体" w:cs="宋体" w:eastAsia="宋体" w:hint="default"/>
          <w:spacing w:val="-4"/>
        </w:rPr>
        <w:t>2014</w:t>
      </w:r>
      <w:r>
        <w:rPr>
          <w:rFonts w:ascii="宋体" w:hAnsi="宋体" w:cs="宋体" w:eastAsia="宋体" w:hint="default"/>
        </w:rPr>
        <w:t> </w:t>
      </w:r>
      <w:r>
        <w:rPr/>
        <w:t>年</w:t>
      </w:r>
      <w:r>
        <w:rPr>
          <w:rFonts w:ascii="宋体" w:hAnsi="宋体" w:cs="宋体" w:eastAsia="宋体" w:hint="default"/>
        </w:rPr>
        <w:t>9</w:t>
      </w:r>
      <w:r>
        <w:rPr/>
        <w:t>月本公司完成了变更注册资本的工商变更登记手续，注册资本由人民币</w:t>
      </w:r>
      <w:r>
        <w:rPr>
          <w:rFonts w:ascii="宋体" w:hAnsi="宋体" w:cs="宋体" w:eastAsia="宋体" w:hint="default"/>
        </w:rPr>
        <w:t>17,200</w:t>
      </w:r>
      <w:r>
        <w:rPr/>
        <w:t>万元变更为人民币</w:t>
      </w:r>
      <w:r>
        <w:rPr>
          <w:rFonts w:ascii="宋体" w:hAnsi="宋体" w:cs="宋体" w:eastAsia="宋体" w:hint="default"/>
        </w:rPr>
        <w:t>43,000</w:t>
      </w:r>
      <w:r>
        <w:rPr/>
        <w:t>万元。</w:t>
      </w:r>
      <w:r>
        <w:rPr>
          <w:rFonts w:ascii="宋体" w:hAnsi="宋体" w:cs="宋体" w:eastAsia="宋体" w:hint="default"/>
        </w:rPr>
        <w:t> </w:t>
      </w:r>
    </w:p>
    <w:p>
      <w:pPr>
        <w:pStyle w:val="BodyText"/>
        <w:spacing w:line="316" w:lineRule="auto" w:before="19"/>
        <w:ind w:right="1111" w:firstLine="480"/>
        <w:jc w:val="both"/>
        <w:rPr>
          <w:rFonts w:ascii="宋体" w:hAnsi="宋体" w:cs="宋体" w:eastAsia="宋体" w:hint="default"/>
        </w:rPr>
      </w:pPr>
      <w:r>
        <w:rPr/>
        <w:t>本公司建立了股东大会、董事会、监事会的法人治理结构，目前设制卡中心、综合行政部、人力资源部、财务中心、 总经理办公室、战略投资部、市场战略及大商务事务部、董事会办公室和审计部等部门，拥有</w:t>
      </w:r>
      <w:r>
        <w:rPr>
          <w:rFonts w:ascii="宋体" w:hAnsi="宋体" w:cs="宋体" w:eastAsia="宋体" w:hint="default"/>
        </w:rPr>
        <w:t>51</w:t>
      </w:r>
      <w:r>
        <w:rPr/>
        <w:t>家子公司及孙公司。</w:t>
      </w:r>
      <w:r>
        <w:rPr>
          <w:rFonts w:ascii="宋体" w:hAnsi="宋体" w:cs="宋体" w:eastAsia="宋体" w:hint="default"/>
        </w:rPr>
        <w:t> </w:t>
      </w:r>
    </w:p>
    <w:p>
      <w:pPr>
        <w:pStyle w:val="BodyText"/>
        <w:spacing w:line="319" w:lineRule="auto" w:before="19"/>
        <w:ind w:right="1040" w:firstLine="480"/>
        <w:jc w:val="both"/>
        <w:rPr>
          <w:rFonts w:ascii="宋体" w:hAnsi="宋体" w:cs="宋体" w:eastAsia="宋体" w:hint="default"/>
        </w:rPr>
      </w:pPr>
      <w:r>
        <w:rPr>
          <w:spacing w:val="-3"/>
        </w:rPr>
        <w:t>本公司及子公司（以下简称“本公司”）业务性质和主要经营活动（经营范围）：研发、设计、生产智能卡、银行卡；</w:t>
      </w:r>
      <w:r>
        <w:rPr/>
        <w:t> </w:t>
      </w:r>
      <w:r>
        <w:rPr>
          <w:spacing w:val="-4"/>
        </w:rPr>
        <w:t>销售智能卡；商务信息咨询；档案处理及档案电子化服务；第二类医疗器械批发；信息技术咨询服务；数据处理和存储服务；</w:t>
      </w:r>
      <w:r>
        <w:rPr>
          <w:spacing w:val="-42"/>
        </w:rPr>
        <w:t> </w:t>
      </w:r>
      <w:r>
        <w:rPr>
          <w:spacing w:val="-42"/>
        </w:rPr>
      </w:r>
      <w:r>
        <w:rPr>
          <w:spacing w:val="-4"/>
        </w:rPr>
        <w:t>集成电路设计；数字内容服务；呼叫中心（不含需经许可审批的项目）；计算机、软件及辅助设备批发和零售；对第一产业、</w:t>
      </w:r>
      <w:r>
        <w:rPr>
          <w:spacing w:val="-41"/>
        </w:rPr>
        <w:t> </w:t>
      </w:r>
      <w:r>
        <w:rPr>
          <w:spacing w:val="-41"/>
        </w:rPr>
      </w:r>
      <w:r>
        <w:rPr/>
        <w:t>第二产业、第三产业的投资；融资租赁；商业保理；保险经纪。</w:t>
      </w:r>
      <w:r>
        <w:rPr>
          <w:rFonts w:ascii="宋体" w:hAnsi="宋体" w:cs="宋体" w:eastAsia="宋体" w:hint="default"/>
        </w:rPr>
        <w:t> </w:t>
      </w:r>
    </w:p>
    <w:p>
      <w:pPr>
        <w:pStyle w:val="BodyText"/>
        <w:spacing w:line="316" w:lineRule="auto" w:before="17"/>
        <w:ind w:left="633" w:right="1119"/>
        <w:jc w:val="left"/>
      </w:pPr>
      <w:r>
        <w:rPr/>
        <w:t>本财务报表及财务报表附注业经本公司第四届董事会第二十三次会议于</w:t>
      </w:r>
      <w:r>
        <w:rPr>
          <w:rFonts w:ascii="宋体" w:hAnsi="宋体" w:cs="宋体" w:eastAsia="宋体" w:hint="default"/>
        </w:rPr>
        <w:t>2020</w:t>
      </w:r>
      <w:r>
        <w:rPr/>
        <w:t>年</w:t>
      </w:r>
      <w:r>
        <w:rPr>
          <w:rFonts w:ascii="宋体" w:hAnsi="宋体" w:cs="宋体" w:eastAsia="宋体" w:hint="default"/>
        </w:rPr>
        <w:t>4</w:t>
      </w:r>
      <w:r>
        <w:rPr/>
        <w:t>月</w:t>
      </w:r>
      <w:r>
        <w:rPr>
          <w:rFonts w:ascii="宋体" w:hAnsi="宋体" w:cs="宋体" w:eastAsia="宋体" w:hint="default"/>
        </w:rPr>
        <w:t>27</w:t>
      </w:r>
      <w:r>
        <w:rPr/>
        <w:t>日批准。</w:t>
      </w:r>
      <w:r>
        <w:rPr>
          <w:rFonts w:ascii="宋体" w:hAnsi="宋体" w:cs="宋体" w:eastAsia="宋体" w:hint="default"/>
        </w:rPr>
        <w:t> </w:t>
      </w:r>
      <w:r>
        <w:rPr>
          <w:rFonts w:ascii="宋体" w:hAnsi="宋体" w:cs="宋体" w:eastAsia="宋体" w:hint="default"/>
          <w:b/>
          <w:bCs/>
        </w:rPr>
        <w:t>2</w:t>
      </w:r>
      <w:r>
        <w:rPr>
          <w:rFonts w:ascii="宋体" w:hAnsi="宋体" w:cs="宋体" w:eastAsia="宋体" w:hint="default"/>
          <w:b/>
          <w:bCs/>
        </w:rPr>
        <w:t>．合并财务报表范围及变化</w:t>
      </w:r>
      <w:r>
        <w:rPr>
          <w:rFonts w:ascii="宋体" w:hAnsi="宋体" w:cs="宋体" w:eastAsia="宋体" w:hint="default"/>
          <w:b/>
          <w:bCs/>
          <w:w w:val="99"/>
        </w:rPr>
        <w:t> </w:t>
      </w:r>
      <w:r>
        <w:rPr>
          <w:spacing w:val="-1"/>
        </w:rPr>
        <w:t>本公司本期纳入合并范围的子公司合计</w:t>
      </w:r>
      <w:r>
        <w:rPr>
          <w:rFonts w:ascii="宋体" w:hAnsi="宋体" w:cs="宋体" w:eastAsia="宋体" w:hint="default"/>
          <w:spacing w:val="-1"/>
        </w:rPr>
        <w:t>51</w:t>
      </w:r>
      <w:r>
        <w:rPr>
          <w:spacing w:val="-1"/>
        </w:rPr>
        <w:t>家，其中本年新增</w:t>
      </w:r>
      <w:r>
        <w:rPr>
          <w:rFonts w:ascii="宋体" w:hAnsi="宋体" w:cs="宋体" w:eastAsia="宋体" w:hint="default"/>
          <w:spacing w:val="-1"/>
        </w:rPr>
        <w:t>9</w:t>
      </w:r>
      <w:r>
        <w:rPr>
          <w:spacing w:val="-1"/>
        </w:rPr>
        <w:t>家，本年减少</w:t>
      </w:r>
      <w:r>
        <w:rPr>
          <w:rFonts w:ascii="宋体" w:hAnsi="宋体" w:cs="宋体" w:eastAsia="宋体" w:hint="default"/>
          <w:spacing w:val="-1"/>
        </w:rPr>
        <w:t>3</w:t>
      </w:r>
      <w:r>
        <w:rPr>
          <w:spacing w:val="-1"/>
        </w:rPr>
        <w:t>家，具体请参阅“附注八、合并范围的变</w:t>
      </w:r>
    </w:p>
    <w:p>
      <w:pPr>
        <w:pStyle w:val="BodyText"/>
        <w:spacing w:line="240" w:lineRule="auto" w:before="19"/>
        <w:ind w:right="1133"/>
        <w:jc w:val="left"/>
        <w:rPr>
          <w:rFonts w:ascii="宋体" w:hAnsi="宋体" w:cs="宋体" w:eastAsia="宋体" w:hint="default"/>
        </w:rPr>
      </w:pPr>
      <w:r>
        <w:rPr/>
        <w:t>动”和“附注九、在其他主体中的权益”。</w:t>
      </w:r>
      <w:r>
        <w:rPr>
          <w:rFonts w:ascii="宋体" w:hAnsi="宋体" w:cs="宋体" w:eastAsia="宋体" w:hint="default"/>
        </w:rPr>
        <w:t> </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四、财务报表的编制基础</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8" w:firstLine="482"/>
        <w:jc w:val="both"/>
        <w:rPr>
          <w:rFonts w:ascii="宋体" w:hAnsi="宋体" w:cs="宋体" w:eastAsia="宋体" w:hint="default"/>
        </w:rPr>
      </w:pPr>
      <w:r>
        <w:rPr>
          <w:spacing w:val="-1"/>
        </w:rPr>
        <w:t>本公司以持续经营为基础，根据实际发生的交易和事项，按照企业会计准则及其应用指南和准则解释的规定进行确认</w:t>
      </w:r>
      <w:r>
        <w:rPr/>
        <w:t> </w:t>
      </w:r>
      <w:r>
        <w:rPr>
          <w:spacing w:val="-2"/>
        </w:rPr>
        <w:t>和计量，在此基础上编制财务报表。此外，本公司还按照中国证监会《公开发行证券的公司信息披露编报规则第</w:t>
      </w:r>
      <w:r>
        <w:rPr>
          <w:rFonts w:ascii="宋体" w:hAnsi="宋体" w:cs="宋体" w:eastAsia="宋体" w:hint="default"/>
          <w:spacing w:val="-2"/>
        </w:rPr>
        <w:t>15</w:t>
      </w:r>
      <w:r>
        <w:rPr>
          <w:spacing w:val="-2"/>
        </w:rPr>
        <w:t>号——财</w:t>
      </w:r>
      <w:r>
        <w:rPr>
          <w:spacing w:val="-61"/>
        </w:rPr>
        <w:t> </w:t>
      </w:r>
      <w:r>
        <w:rPr>
          <w:spacing w:val="-61"/>
        </w:rPr>
      </w:r>
      <w:r>
        <w:rPr/>
        <w:t>务报告的一般规定》（</w:t>
      </w:r>
      <w:r>
        <w:rPr>
          <w:rFonts w:ascii="宋体" w:hAnsi="宋体" w:cs="宋体" w:eastAsia="宋体" w:hint="default"/>
        </w:rPr>
        <w:t>2014</w:t>
      </w:r>
      <w:r>
        <w:rPr/>
        <w:t>年修订）披露有关财务信息。</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、持续经营</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482"/>
        <w:jc w:val="both"/>
        <w:rPr>
          <w:rFonts w:ascii="宋体" w:hAnsi="宋体" w:cs="宋体" w:eastAsia="宋体" w:hint="default"/>
        </w:rPr>
      </w:pPr>
      <w:r>
        <w:rPr>
          <w:spacing w:val="-1"/>
        </w:rPr>
        <w:t>本公司对自报告期末起</w:t>
      </w:r>
      <w:r>
        <w:rPr>
          <w:rFonts w:ascii="宋体" w:hAnsi="宋体" w:cs="宋体" w:eastAsia="宋体" w:hint="default"/>
          <w:spacing w:val="-1"/>
        </w:rPr>
        <w:t>12</w:t>
      </w:r>
      <w:r>
        <w:rPr>
          <w:spacing w:val="-1"/>
        </w:rPr>
        <w:t>个月的持续经营能力进行了评估，未发现影响本公司持续经营能力的事项，本公司以持续经</w:t>
      </w:r>
      <w:r>
        <w:rPr/>
        <w:t> 营为基础编制财务报表是合理的。</w:t>
      </w:r>
      <w:r>
        <w:rPr>
          <w:rFonts w:ascii="宋体" w:hAnsi="宋体" w:cs="宋体" w:eastAsia="宋体" w:hint="default"/>
        </w:rPr>
        <w:t> </w:t>
      </w:r>
    </w:p>
    <w:p>
      <w:pPr>
        <w:spacing w:line="240" w:lineRule="auto" w:before="11"/>
        <w:rPr>
          <w:rFonts w:ascii="宋体" w:hAnsi="宋体" w:cs="宋体" w:eastAsia="宋体" w:hint="default"/>
          <w:sz w:val="20"/>
          <w:szCs w:val="20"/>
        </w:rPr>
      </w:pPr>
    </w:p>
    <w:p>
      <w:pPr>
        <w:pStyle w:val="Heading2"/>
        <w:spacing w:line="240" w:lineRule="auto"/>
        <w:ind w:right="1133"/>
        <w:jc w:val="left"/>
        <w:rPr>
          <w:b w:val="0"/>
          <w:bCs w:val="0"/>
        </w:rPr>
      </w:pPr>
      <w:r>
        <w:rPr/>
        <w:t>五、重要会计政策及会计估计</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1133"/>
        <w:jc w:val="left"/>
      </w:pPr>
      <w:r>
        <w:rPr/>
        <w:t>具体会计政策和会计估计提示：</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35" w:right="1133"/>
        <w:jc w:val="left"/>
      </w:pPr>
      <w:r>
        <w:rPr/>
        <w:t>本公司下列重要会计政策、会计估计根据企业会计准则制定。未提及的业务按企业会计准则中相关会计政策执行。</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jc w:val="both"/>
      </w:pPr>
      <w:r>
        <w:rPr>
          <w:rFonts w:ascii="宋体" w:hAnsi="宋体" w:cs="宋体" w:eastAsia="宋体" w:hint="default"/>
          <w:sz w:val="24"/>
          <w:szCs w:val="24"/>
        </w:rPr>
        <w:t>    </w:t>
      </w:r>
      <w:r>
        <w:rPr>
          <w:spacing w:val="-1"/>
        </w:rPr>
        <w:t>本公司所编制的财务报表符合企业会计准则的要求，真实、完整地反映了公司的财务状况、经营成果、所有者权益变</w:t>
      </w:r>
      <w:r>
        <w:rPr/>
        <w:t> 动和现金流量等有关信息。</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33" w:right="1133"/>
        <w:jc w:val="left"/>
        <w:rPr>
          <w:rFonts w:ascii="宋体" w:hAnsi="宋体" w:cs="宋体" w:eastAsia="宋体" w:hint="default"/>
        </w:rPr>
      </w:pPr>
      <w:r>
        <w:rPr/>
        <w:t>本公司会计年度自公历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3" w:right="1133"/>
        <w:jc w:val="left"/>
      </w:pPr>
      <w:r>
        <w:rPr/>
        <w:t>本公司正常营业周期为一年。</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33" w:right="1133"/>
        <w:jc w:val="left"/>
      </w:pPr>
      <w:r>
        <w:rPr/>
        <w:t>本公司的记账本位币为人民币。</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spacing w:line="316" w:lineRule="auto" w:before="0"/>
        <w:ind w:left="633" w:right="113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1</w:t>
      </w:r>
      <w:r>
        <w:rPr>
          <w:rFonts w:ascii="宋体" w:hAnsi="宋体" w:cs="宋体" w:eastAsia="宋体" w:hint="default"/>
          <w:b/>
          <w:bCs/>
          <w:sz w:val="18"/>
          <w:szCs w:val="18"/>
        </w:rPr>
        <w:t>）同一控制下的企业合并</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本公司在企业合并中取得的资产和负债，在合并日按取得被合并方在最终控制方合并财务报表中的账面价值计量。其</w:t>
      </w:r>
    </w:p>
    <w:p>
      <w:pPr>
        <w:pStyle w:val="BodyText"/>
        <w:spacing w:line="316" w:lineRule="auto" w:before="19"/>
        <w:ind w:right="1130"/>
        <w:jc w:val="both"/>
        <w:rPr>
          <w:rFonts w:ascii="宋体" w:hAnsi="宋体" w:cs="宋体" w:eastAsia="宋体" w:hint="default"/>
        </w:rPr>
      </w:pPr>
      <w:r>
        <w:rPr>
          <w:spacing w:val="-2"/>
        </w:rPr>
        <w:t>中，对于被合并方与本公司在企业合并前采用的会计政策不同的，基于重要性原则统一会计政策，即按照本公司的会计政策</w:t>
      </w:r>
      <w:r>
        <w:rPr>
          <w:spacing w:val="-63"/>
        </w:rPr>
        <w:t> </w:t>
      </w:r>
      <w:r>
        <w:rPr>
          <w:spacing w:val="-63"/>
        </w:rPr>
      </w:r>
      <w:r>
        <w:rPr>
          <w:spacing w:val="-2"/>
        </w:rPr>
        <w:t>对被合并方资产、负债的账面价值进行调整。本公司在企业合并中取得的净资产账面价值与所支付对价的账面价值之间存在</w:t>
      </w:r>
      <w:r>
        <w:rPr>
          <w:spacing w:val="-64"/>
        </w:rPr>
        <w:t> </w:t>
      </w:r>
      <w:r>
        <w:rPr>
          <w:spacing w:val="-64"/>
        </w:rPr>
      </w:r>
      <w:r>
        <w:rPr>
          <w:spacing w:val="-2"/>
        </w:rPr>
        <w:t>差额的，首先调整资本公积（资本溢价或股本溢价），资本公积（资本溢价或股本溢价）的余额不足冲减的，依次冲减盈余</w:t>
      </w:r>
      <w:r>
        <w:rPr>
          <w:spacing w:val="-73"/>
        </w:rPr>
        <w:t> </w:t>
      </w:r>
      <w:r>
        <w:rPr>
          <w:spacing w:val="-73"/>
        </w:rPr>
      </w:r>
      <w:r>
        <w:rPr/>
        <w:t>公积和未分配利润。</w:t>
      </w:r>
      <w:r>
        <w:rPr>
          <w:rFonts w:ascii="宋体" w:hAnsi="宋体" w:cs="宋体" w:eastAsia="宋体" w:hint="default"/>
        </w:rPr>
        <w:t> </w:t>
      </w:r>
    </w:p>
    <w:p>
      <w:pPr>
        <w:spacing w:line="316" w:lineRule="auto" w:before="19"/>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）非同一控制下的企业合并</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本公司在企业合并中取得的被购买方各项可辨认资产和负债，在购买日按其公允价值计量。其中，对于被购买方与本</w:t>
      </w:r>
    </w:p>
    <w:p>
      <w:pPr>
        <w:pStyle w:val="BodyText"/>
        <w:spacing w:line="319" w:lineRule="auto" w:before="19"/>
        <w:ind w:right="1130"/>
        <w:jc w:val="both"/>
        <w:rPr>
          <w:rFonts w:ascii="宋体" w:hAnsi="宋体" w:cs="宋体" w:eastAsia="宋体" w:hint="default"/>
        </w:rPr>
      </w:pPr>
      <w:r>
        <w:rPr>
          <w:spacing w:val="-2"/>
        </w:rPr>
        <w:t>公司在企业合并前采用的会计政策不同的，基于重要性原则统一会计政策，即按照本公司的会计政策对被购买方资产、负债</w:t>
      </w:r>
      <w:r>
        <w:rPr>
          <w:spacing w:val="-63"/>
        </w:rPr>
        <w:t> </w:t>
      </w:r>
      <w:r>
        <w:rPr>
          <w:spacing w:val="-63"/>
        </w:rPr>
      </w:r>
      <w:r>
        <w:rPr>
          <w:spacing w:val="-2"/>
        </w:rPr>
        <w:t>的账面价值进行调整。本公司在购买日的合并成本大于企业合并中取得的被购买方可辨认资产、负债公允价值的差额，确认</w:t>
      </w:r>
      <w:r>
        <w:rPr>
          <w:spacing w:val="-65"/>
        </w:rPr>
        <w:t> </w:t>
      </w:r>
      <w:r>
        <w:rPr>
          <w:spacing w:val="-65"/>
        </w:rPr>
      </w:r>
      <w:r>
        <w:rPr>
          <w:spacing w:val="-2"/>
        </w:rPr>
        <w:t>为商誉；如果合并成本小于企业合并中取得的被购买方可辨认资产、负债公允价值的差额，首先对合并成本以及在企业合并</w:t>
      </w:r>
      <w:r>
        <w:rPr>
          <w:spacing w:val="-63"/>
        </w:rPr>
        <w:t> </w:t>
      </w:r>
      <w:r>
        <w:rPr>
          <w:spacing w:val="-63"/>
        </w:rPr>
      </w:r>
      <w:r>
        <w:rPr>
          <w:spacing w:val="-2"/>
        </w:rPr>
        <w:t>中取得的被购买方可辨认资产、负债的公允价值进行复核，经复核后合并成本仍小于取得的被购买方可辨认资产、负债公允</w:t>
      </w:r>
      <w:r>
        <w:rPr>
          <w:spacing w:val="-65"/>
        </w:rPr>
        <w:t> </w:t>
      </w:r>
      <w:r>
        <w:rPr>
          <w:spacing w:val="-65"/>
        </w:rPr>
      </w:r>
      <w:r>
        <w:rPr/>
        <w:t>价值的，其差额确认为合并当期损益。</w:t>
      </w:r>
      <w:r>
        <w:rPr>
          <w:rFonts w:ascii="宋体" w:hAnsi="宋体" w:cs="宋体" w:eastAsia="宋体" w:hint="default"/>
        </w:rPr>
        <w:t> </w:t>
      </w:r>
    </w:p>
    <w:p>
      <w:pPr>
        <w:spacing w:line="316" w:lineRule="auto" w:before="17"/>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3</w:t>
      </w:r>
      <w:r>
        <w:rPr>
          <w:rFonts w:ascii="宋体" w:hAnsi="宋体" w:cs="宋体" w:eastAsia="宋体" w:hint="default"/>
          <w:b/>
          <w:bCs/>
          <w:sz w:val="18"/>
          <w:szCs w:val="18"/>
        </w:rPr>
        <w:t>）企业合并中有关交易费用的处理</w:t>
      </w:r>
      <w:r>
        <w:rPr>
          <w:rFonts w:ascii="宋体" w:hAnsi="宋体" w:cs="宋体" w:eastAsia="宋体" w:hint="default"/>
          <w:b/>
          <w:bCs/>
          <w:w w:val="99"/>
          <w:sz w:val="18"/>
          <w:szCs w:val="18"/>
        </w:rPr>
        <w:t> </w:t>
      </w:r>
      <w:r>
        <w:rPr>
          <w:rFonts w:ascii="宋体" w:hAnsi="宋体" w:cs="宋体" w:eastAsia="宋体" w:hint="default"/>
          <w:spacing w:val="-1"/>
          <w:sz w:val="18"/>
          <w:szCs w:val="18"/>
        </w:rPr>
        <w:t>为进行企业合并发生的审计、法律服务、评估咨询等中介费用以及其他相关管理费用，于发生时计入当期损益。作为</w:t>
      </w:r>
    </w:p>
    <w:p>
      <w:pPr>
        <w:pStyle w:val="BodyText"/>
        <w:spacing w:line="240" w:lineRule="auto" w:before="19"/>
        <w:ind w:right="0"/>
        <w:jc w:val="both"/>
        <w:rPr>
          <w:rFonts w:ascii="宋体" w:hAnsi="宋体" w:cs="宋体" w:eastAsia="宋体" w:hint="default"/>
        </w:rPr>
      </w:pPr>
      <w:r>
        <w:rPr/>
        <w:t>合并对价发行的权益性证券或债务性证券的交易费用，计入权益性证券或债务性证券的初始确认金额。</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right="1133"/>
        <w:jc w:val="left"/>
        <w:rPr>
          <w:rFonts w:ascii="宋体" w:hAnsi="宋体" w:cs="宋体" w:eastAsia="宋体" w:hint="default"/>
          <w:b w:val="0"/>
          <w:bCs w:val="0"/>
        </w:rPr>
      </w:pPr>
      <w:r>
        <w:rPr/>
        <w:t>（</w:t>
      </w:r>
      <w:r>
        <w:rPr>
          <w:rFonts w:ascii="宋体" w:hAnsi="宋体" w:cs="宋体" w:eastAsia="宋体" w:hint="default"/>
        </w:rPr>
        <w:t>1</w:t>
      </w:r>
      <w:r>
        <w:rPr/>
        <w:t>）合并范围的确定</w:t>
      </w:r>
      <w:r>
        <w:rPr>
          <w:rFonts w:ascii="宋体" w:hAnsi="宋体" w:cs="宋体" w:eastAsia="宋体" w:hint="default"/>
          <w:w w:val="99"/>
        </w:rPr>
        <w:t> </w:t>
      </w:r>
      <w:r>
        <w:rPr>
          <w:rFonts w:ascii="宋体" w:hAnsi="宋体" w:cs="宋体" w:eastAsia="宋体" w:hint="default"/>
          <w:b w:val="0"/>
          <w:bCs w:val="0"/>
        </w:rPr>
      </w:r>
    </w:p>
    <w:p>
      <w:pPr>
        <w:pStyle w:val="BodyText"/>
        <w:spacing w:line="319" w:lineRule="auto" w:before="76"/>
        <w:ind w:right="1116" w:firstLine="480"/>
        <w:jc w:val="left"/>
        <w:rPr>
          <w:rFonts w:ascii="宋体" w:hAnsi="宋体" w:cs="宋体" w:eastAsia="宋体" w:hint="default"/>
        </w:rPr>
      </w:pPr>
      <w:r>
        <w:rPr/>
        <w:t>合并财务报表的合并范围以控制为基础予以确定</w:t>
      </w:r>
      <w:r>
        <w:rPr>
          <w:rFonts w:ascii="宋体" w:hAnsi="宋体" w:cs="宋体" w:eastAsia="宋体" w:hint="default"/>
        </w:rPr>
        <w:t>,</w:t>
      </w:r>
      <w:r>
        <w:rPr>
          <w:rFonts w:ascii="宋体" w:hAnsi="宋体" w:cs="宋体" w:eastAsia="宋体" w:hint="default"/>
          <w:spacing w:val="-22"/>
        </w:rPr>
        <w:t> </w:t>
      </w:r>
      <w:r>
        <w:rPr/>
        <w:t>不仅包括根据表决权（或类似表决权）本身或者结合其他安排确定 的子公司，也包括基于一项或多项合同安排决定的结构化主体。</w:t>
      </w:r>
      <w:r>
        <w:rPr>
          <w:rFonts w:ascii="宋体" w:hAnsi="宋体" w:cs="宋体" w:eastAsia="宋体" w:hint="default"/>
        </w:rPr>
        <w:t> </w:t>
      </w:r>
    </w:p>
    <w:p>
      <w:pPr>
        <w:pStyle w:val="BodyText"/>
        <w:spacing w:line="316" w:lineRule="auto" w:before="17"/>
        <w:ind w:right="0" w:firstLine="480"/>
        <w:jc w:val="left"/>
      </w:pPr>
      <w:r>
        <w:rPr>
          <w:spacing w:val="-1"/>
        </w:rPr>
        <w:t>控制是指本公司拥有对被投资方的权力，通过参与被投资方的相关活动而享有可变回报，并且有能力运用对被投资方</w:t>
      </w:r>
      <w:r>
        <w:rPr/>
        <w:t> </w:t>
      </w:r>
      <w:r>
        <w:rPr>
          <w:spacing w:val="-2"/>
        </w:rPr>
        <w:t>的权力影响其回报金额。子公司是指被本公司控制的主体（含企业、被投资单位中可分割的部分，以及企业所控制的结构化</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19"/>
        <w:jc w:val="left"/>
        <w:rPr>
          <w:rFonts w:ascii="宋体" w:hAnsi="宋体" w:cs="宋体" w:eastAsia="宋体" w:hint="default"/>
        </w:rPr>
      </w:pPr>
      <w:r>
        <w:rPr>
          <w:spacing w:val="-2"/>
        </w:rPr>
        <w:t>主体等），结构化主体是指在确定其控制方时没有将表决权或类似权利作为决定性因素而设计的主体（注：有时也称为特殊</w:t>
      </w:r>
      <w:r>
        <w:rPr>
          <w:spacing w:val="-66"/>
        </w:rPr>
        <w:t> </w:t>
      </w:r>
      <w:r>
        <w:rPr>
          <w:spacing w:val="-66"/>
        </w:rPr>
      </w:r>
      <w:r>
        <w:rPr/>
        <w:t>目的主体）。</w:t>
      </w:r>
      <w:r>
        <w:rPr>
          <w:rFonts w:ascii="宋体" w:hAnsi="宋体" w:cs="宋体" w:eastAsia="宋体" w:hint="default"/>
        </w:rPr>
        <w:t> </w:t>
      </w:r>
    </w:p>
    <w:p>
      <w:pPr>
        <w:spacing w:line="316" w:lineRule="auto" w:before="19"/>
        <w:ind w:left="633" w:right="113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宋体" w:hAnsi="宋体" w:cs="宋体" w:eastAsia="宋体" w:hint="default"/>
          <w:b/>
          <w:bCs/>
          <w:sz w:val="18"/>
          <w:szCs w:val="18"/>
        </w:rPr>
        <w:t>2</w:t>
      </w:r>
      <w:r>
        <w:rPr>
          <w:rFonts w:ascii="宋体" w:hAnsi="宋体" w:cs="宋体" w:eastAsia="宋体" w:hint="default"/>
          <w:b/>
          <w:bCs/>
          <w:sz w:val="18"/>
          <w:szCs w:val="18"/>
        </w:rPr>
        <w:t>）关于母公司是投资性主体的特殊规定</w:t>
      </w:r>
      <w:r>
        <w:rPr>
          <w:rFonts w:ascii="宋体" w:hAnsi="宋体" w:cs="宋体" w:eastAsia="宋体" w:hint="default"/>
          <w:b/>
          <w:bCs/>
          <w:w w:val="99"/>
          <w:sz w:val="18"/>
          <w:szCs w:val="18"/>
        </w:rPr>
        <w:t> </w:t>
      </w:r>
      <w:r>
        <w:rPr>
          <w:rFonts w:ascii="宋体" w:hAnsi="宋体" w:cs="宋体" w:eastAsia="宋体" w:hint="default"/>
          <w:spacing w:val="-1"/>
          <w:sz w:val="18"/>
          <w:szCs w:val="18"/>
        </w:rPr>
        <w:t>如果母公司是投资性主体，则只将那些为投资性主体的投资活动提供相关服务的子公司纳入合并范围，其他子公司不</w:t>
      </w:r>
    </w:p>
    <w:p>
      <w:pPr>
        <w:pStyle w:val="BodyText"/>
        <w:spacing w:line="316" w:lineRule="auto" w:before="19"/>
        <w:ind w:left="633" w:right="1133" w:hanging="481"/>
        <w:jc w:val="left"/>
        <w:rPr>
          <w:rFonts w:ascii="宋体" w:hAnsi="宋体" w:cs="宋体" w:eastAsia="宋体" w:hint="default"/>
        </w:rPr>
      </w:pPr>
      <w:r>
        <w:rPr/>
        <w:t>予以合并，对不纳入合并范围的子公司的股权投资方确认为以公允价值计量且其变动计入当期损益的金融资产。</w:t>
      </w:r>
      <w:r>
        <w:rPr>
          <w:rFonts w:ascii="宋体" w:hAnsi="宋体" w:cs="宋体" w:eastAsia="宋体" w:hint="default"/>
        </w:rPr>
        <w:t> </w:t>
      </w:r>
      <w:r>
        <w:rPr/>
        <w:t>当母公司同时满足下列条件时，该母公司属于投资性主体：</w:t>
      </w:r>
      <w:r>
        <w:rPr>
          <w:rFonts w:ascii="宋体" w:hAnsi="宋体" w:cs="宋体" w:eastAsia="宋体" w:hint="default"/>
        </w:rPr>
        <w:t> </w:t>
      </w:r>
    </w:p>
    <w:p>
      <w:pPr>
        <w:pStyle w:val="BodyText"/>
        <w:spacing w:line="240" w:lineRule="auto" w:before="19"/>
        <w:ind w:left="633" w:right="1133"/>
        <w:jc w:val="left"/>
        <w:rPr>
          <w:rFonts w:ascii="宋体" w:hAnsi="宋体" w:cs="宋体" w:eastAsia="宋体" w:hint="default"/>
        </w:rPr>
      </w:pPr>
      <w:r>
        <w:rPr/>
        <w:t>①该公司是以向投资方提供投资管理服务为目的，从一个或多个投资者处获取资金。</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②该公司的唯一经营目的，是通过资本增值、投资收益或两者兼有而让投资者获得回报。</w:t>
      </w:r>
      <w:r>
        <w:rPr>
          <w:rFonts w:ascii="宋体" w:hAnsi="宋体" w:cs="宋体" w:eastAsia="宋体" w:hint="default"/>
        </w:rPr>
        <w:t> </w:t>
      </w:r>
    </w:p>
    <w:p>
      <w:pPr>
        <w:pStyle w:val="BodyText"/>
        <w:spacing w:line="316" w:lineRule="auto" w:before="76"/>
        <w:ind w:left="633" w:right="0"/>
        <w:jc w:val="left"/>
      </w:pPr>
      <w:r>
        <w:rPr/>
        <w:t>③该公司按照公允价值对几乎所有投资的业绩进行考量和评价。</w:t>
      </w:r>
      <w:r>
        <w:rPr>
          <w:rFonts w:ascii="宋体" w:hAnsi="宋体" w:cs="宋体" w:eastAsia="宋体" w:hint="default"/>
        </w:rPr>
        <w:t> </w:t>
      </w:r>
      <w:r>
        <w:rPr>
          <w:spacing w:val="-1"/>
        </w:rPr>
        <w:t>当母公司由非投资性主体转变为投资性主体时，除仅将为其投资活动提供相关服务的子公司纳入合并财务报表范围编</w:t>
      </w:r>
    </w:p>
    <w:p>
      <w:pPr>
        <w:pStyle w:val="BodyText"/>
        <w:spacing w:line="319" w:lineRule="auto" w:before="19"/>
        <w:ind w:left="633" w:right="0" w:hanging="481"/>
        <w:jc w:val="left"/>
      </w:pPr>
      <w:r>
        <w:rPr>
          <w:spacing w:val="-2"/>
        </w:rPr>
        <w:t>制合并财务报表外，企业自转变日起对其他子公司不再予以合并，并参照部分处置子公司股权但未丧失控制权的原则处理。</w:t>
      </w:r>
      <w:r>
        <w:rPr>
          <w:spacing w:val="-72"/>
        </w:rPr>
        <w:t> </w:t>
      </w:r>
      <w:r>
        <w:rPr>
          <w:rFonts w:ascii="宋体" w:hAnsi="宋体" w:cs="宋体" w:eastAsia="宋体" w:hint="default"/>
          <w:spacing w:val="-72"/>
        </w:rPr>
      </w:r>
      <w:r>
        <w:rPr/>
        <w:t>当母公司由投资性主体转变为非投资性主体时，应将原未纳入合并财务报表范围的子公司于转变日纳入合并财务报表</w:t>
      </w:r>
    </w:p>
    <w:p>
      <w:pPr>
        <w:pStyle w:val="BodyText"/>
        <w:spacing w:line="316" w:lineRule="auto" w:before="17"/>
        <w:ind w:right="0"/>
        <w:jc w:val="left"/>
        <w:rPr>
          <w:rFonts w:ascii="宋体" w:hAnsi="宋体" w:cs="宋体" w:eastAsia="宋体" w:hint="default"/>
        </w:rPr>
      </w:pPr>
      <w:r>
        <w:rPr>
          <w:spacing w:val="-2"/>
        </w:rPr>
        <w:t>范围，原未纳入合并财务报表范围的子公司在转变日的公允价值视同为购买的交易对价，按照非同一控制下企业合并的会计</w:t>
      </w:r>
      <w:r>
        <w:rPr>
          <w:spacing w:val="-64"/>
        </w:rPr>
        <w:t> </w:t>
      </w:r>
      <w:r>
        <w:rPr>
          <w:spacing w:val="-64"/>
        </w:rPr>
      </w:r>
      <w:r>
        <w:rPr/>
        <w:t>处理方法进行处理。</w:t>
      </w:r>
      <w:r>
        <w:rPr>
          <w:rFonts w:ascii="宋体" w:hAnsi="宋体" w:cs="宋体" w:eastAsia="宋体" w:hint="default"/>
        </w:rPr>
        <w:t> </w:t>
      </w:r>
    </w:p>
    <w:p>
      <w:pPr>
        <w:pStyle w:val="BodyText"/>
        <w:spacing w:line="316" w:lineRule="auto" w:before="19"/>
        <w:ind w:left="633" w:right="1130" w:firstLine="2"/>
        <w:jc w:val="left"/>
      </w:pPr>
      <w:r>
        <w:rPr>
          <w:rFonts w:ascii="宋体" w:hAnsi="宋体" w:cs="宋体" w:eastAsia="宋体" w:hint="default"/>
          <w:b/>
          <w:bCs/>
        </w:rPr>
        <w:t>（</w:t>
      </w:r>
      <w:r>
        <w:rPr>
          <w:rFonts w:ascii="宋体" w:hAnsi="宋体" w:cs="宋体" w:eastAsia="宋体" w:hint="default"/>
          <w:b/>
          <w:bCs/>
        </w:rPr>
        <w:t>3</w:t>
      </w:r>
      <w:r>
        <w:rPr>
          <w:rFonts w:ascii="宋体" w:hAnsi="宋体" w:cs="宋体" w:eastAsia="宋体" w:hint="default"/>
          <w:b/>
          <w:bCs/>
        </w:rPr>
        <w:t>）合并财务报表的编制方法</w:t>
      </w:r>
      <w:r>
        <w:rPr>
          <w:rFonts w:ascii="宋体" w:hAnsi="宋体" w:cs="宋体" w:eastAsia="宋体" w:hint="default"/>
          <w:b/>
          <w:bCs/>
          <w:w w:val="99"/>
        </w:rPr>
        <w:t> </w:t>
      </w:r>
      <w:r>
        <w:rPr/>
        <w:t>本公司以自身和子公司的财务报表为基础，根据其他有关资料，编制合并财务报表。</w:t>
      </w:r>
      <w:r>
        <w:rPr>
          <w:rFonts w:ascii="宋体" w:hAnsi="宋体" w:cs="宋体" w:eastAsia="宋体" w:hint="default"/>
        </w:rPr>
        <w:t> </w:t>
      </w:r>
      <w:r>
        <w:rPr>
          <w:spacing w:val="-1"/>
        </w:rPr>
        <w:t>本公司编制合并财务报表，将整个企业集团视为一个会计主体，依据相关企业会计准则的确认、计量和列报要求，按</w:t>
      </w:r>
    </w:p>
    <w:p>
      <w:pPr>
        <w:pStyle w:val="BodyText"/>
        <w:spacing w:line="240" w:lineRule="auto" w:before="19"/>
        <w:ind w:right="1133"/>
        <w:jc w:val="left"/>
        <w:rPr>
          <w:rFonts w:ascii="宋体" w:hAnsi="宋体" w:cs="宋体" w:eastAsia="宋体" w:hint="default"/>
        </w:rPr>
      </w:pPr>
      <w:r>
        <w:rPr/>
        <w:t>照统一的会计政策和会计期间，反映企业集团整体财务状况、经营成果和现金流量。</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①合并母公司与子公司的资产、负债、所有者权益、收入、费用和现金流等项目。</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②抵销母公司对子公司的长期股权投资与母公司在子公司所有者权益中所享有的份额。</w:t>
      </w:r>
      <w:r>
        <w:rPr>
          <w:rFonts w:ascii="宋体" w:hAnsi="宋体" w:cs="宋体" w:eastAsia="宋体" w:hint="default"/>
        </w:rPr>
        <w:t> </w:t>
      </w:r>
    </w:p>
    <w:p>
      <w:pPr>
        <w:pStyle w:val="BodyText"/>
        <w:spacing w:line="319" w:lineRule="auto" w:before="76"/>
        <w:ind w:right="0" w:firstLine="480"/>
        <w:jc w:val="left"/>
        <w:rPr>
          <w:rFonts w:ascii="宋体" w:hAnsi="宋体" w:cs="宋体" w:eastAsia="宋体" w:hint="default"/>
        </w:rPr>
      </w:pPr>
      <w:r>
        <w:rPr>
          <w:spacing w:val="-1"/>
        </w:rPr>
        <w:t>③抵销母公司与子公司、子公司相互之间发生的内部交易的影响。内部交易表明相关资产发生减值损失的，应当全额</w:t>
      </w:r>
      <w:r>
        <w:rPr/>
        <w:t> 确认该部分损失。</w:t>
      </w:r>
      <w:r>
        <w:rPr>
          <w:rFonts w:ascii="宋体" w:hAnsi="宋体" w:cs="宋体" w:eastAsia="宋体" w:hint="default"/>
        </w:rPr>
        <w:t> </w:t>
      </w:r>
    </w:p>
    <w:p>
      <w:pPr>
        <w:pStyle w:val="BodyText"/>
        <w:spacing w:line="240" w:lineRule="auto" w:before="17"/>
        <w:ind w:left="633" w:right="1133"/>
        <w:jc w:val="left"/>
        <w:rPr>
          <w:rFonts w:ascii="宋体" w:hAnsi="宋体" w:cs="宋体" w:eastAsia="宋体" w:hint="default"/>
        </w:rPr>
      </w:pPr>
      <w:r>
        <w:rPr/>
        <w:t>④站在企业集团角度对特殊交易事项予以调整。</w:t>
      </w:r>
      <w:r>
        <w:rPr>
          <w:rFonts w:ascii="宋体" w:hAnsi="宋体" w:cs="宋体" w:eastAsia="宋体" w:hint="default"/>
        </w:rPr>
        <w:t> </w:t>
      </w:r>
    </w:p>
    <w:p>
      <w:pPr>
        <w:pStyle w:val="Heading4"/>
        <w:spacing w:line="240" w:lineRule="auto" w:before="76"/>
        <w:ind w:right="1133"/>
        <w:jc w:val="left"/>
        <w:rPr>
          <w:rFonts w:ascii="宋体" w:hAnsi="宋体" w:cs="宋体" w:eastAsia="宋体" w:hint="default"/>
          <w:b w:val="0"/>
          <w:bCs w:val="0"/>
        </w:rPr>
      </w:pPr>
      <w:r>
        <w:rPr/>
        <w:t>（</w:t>
      </w:r>
      <w:r>
        <w:rPr>
          <w:rFonts w:ascii="宋体" w:hAnsi="宋体" w:cs="宋体" w:eastAsia="宋体" w:hint="default"/>
        </w:rPr>
        <w:t>4</w:t>
      </w:r>
      <w:r>
        <w:rPr/>
        <w:t>）报告期内增减子公司的处理</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76"/>
        <w:ind w:left="633" w:right="6794"/>
        <w:jc w:val="left"/>
        <w:rPr>
          <w:rFonts w:ascii="宋体" w:hAnsi="宋体" w:cs="宋体" w:eastAsia="宋体" w:hint="default"/>
        </w:rPr>
      </w:pPr>
      <w:r>
        <w:rPr/>
        <w:t>①增加子公司或业务</w:t>
      </w:r>
      <w:r>
        <w:rPr>
          <w:rFonts w:ascii="宋体" w:hAnsi="宋体" w:cs="宋体" w:eastAsia="宋体" w:hint="default"/>
        </w:rPr>
        <w:t> A.</w:t>
      </w:r>
      <w:r>
        <w:rPr/>
        <w:t>同一控制下企业合并增加的子公司或业务</w:t>
      </w:r>
      <w:r>
        <w:rPr>
          <w:rFonts w:ascii="宋体" w:hAnsi="宋体" w:cs="宋体" w:eastAsia="宋体" w:hint="default"/>
        </w:rPr>
        <w:t> </w:t>
      </w:r>
    </w:p>
    <w:p>
      <w:pPr>
        <w:pStyle w:val="BodyText"/>
        <w:spacing w:line="316" w:lineRule="auto" w:before="19"/>
        <w:ind w:right="1133" w:firstLine="480"/>
        <w:jc w:val="left"/>
        <w:rPr>
          <w:rFonts w:ascii="宋体" w:hAnsi="宋体" w:cs="宋体" w:eastAsia="宋体" w:hint="default"/>
        </w:rPr>
      </w:pPr>
      <w:r>
        <w:rPr/>
        <w:t>（</w:t>
      </w:r>
      <w:r>
        <w:rPr>
          <w:rFonts w:ascii="宋体" w:hAnsi="宋体" w:cs="宋体" w:eastAsia="宋体" w:hint="default"/>
        </w:rPr>
        <w:t>a</w:t>
      </w:r>
      <w:r>
        <w:rPr/>
        <w:t>）编制合并资产负债表时，调整合并资产负债表的期初数，同时对比较报表的相关项目进行调整，视同合并后的 报告主体自最终控制方开始控制时点起一直存在。</w:t>
      </w:r>
      <w:r>
        <w:rPr>
          <w:rFonts w:ascii="宋体" w:hAnsi="宋体" w:cs="宋体" w:eastAsia="宋体" w:hint="default"/>
        </w:rPr>
        <w:t> </w:t>
      </w:r>
    </w:p>
    <w:p>
      <w:pPr>
        <w:pStyle w:val="BodyText"/>
        <w:spacing w:line="316" w:lineRule="auto" w:before="19"/>
        <w:ind w:right="1133" w:firstLine="480"/>
        <w:jc w:val="left"/>
        <w:rPr>
          <w:rFonts w:ascii="宋体" w:hAnsi="宋体" w:cs="宋体" w:eastAsia="宋体" w:hint="default"/>
        </w:rPr>
      </w:pPr>
      <w:r>
        <w:rPr/>
        <w:t>（</w:t>
      </w:r>
      <w:r>
        <w:rPr>
          <w:rFonts w:ascii="宋体" w:hAnsi="宋体" w:cs="宋体" w:eastAsia="宋体" w:hint="default"/>
        </w:rPr>
        <w:t>b</w:t>
      </w:r>
      <w:r>
        <w:rPr/>
        <w:t>）编制合并利润表时，将该子公司以及业务合并当期期初至报告期末的收入、费用、利润纳入合并利润表，同时 对比较报表的相关项目进行调整，视同合并后的报告主体自最终控制方开始控制时点起一直存在。</w:t>
      </w:r>
      <w:r>
        <w:rPr>
          <w:rFonts w:ascii="宋体" w:hAnsi="宋体" w:cs="宋体" w:eastAsia="宋体" w:hint="default"/>
        </w:rPr>
        <w:t> </w:t>
      </w:r>
    </w:p>
    <w:p>
      <w:pPr>
        <w:pStyle w:val="BodyText"/>
        <w:spacing w:line="316" w:lineRule="auto" w:before="19"/>
        <w:ind w:right="1133" w:firstLine="480"/>
        <w:jc w:val="left"/>
        <w:rPr>
          <w:rFonts w:ascii="宋体" w:hAnsi="宋体" w:cs="宋体" w:eastAsia="宋体" w:hint="default"/>
        </w:rPr>
      </w:pPr>
      <w:r>
        <w:rPr/>
        <w:t>（</w:t>
      </w:r>
      <w:r>
        <w:rPr>
          <w:rFonts w:ascii="宋体" w:hAnsi="宋体" w:cs="宋体" w:eastAsia="宋体" w:hint="default"/>
        </w:rPr>
        <w:t>c</w:t>
      </w:r>
      <w:r>
        <w:rPr/>
        <w:t>）编制合并现金流量表时，将该子公司以及业务合并当期期初至报告期末的现金流量纳入合并现金流量表，同时 对比较报表的相关项目进行调整，视同合并后的报告主体自最终控制方开始控制时点起一直存在。</w:t>
      </w:r>
      <w:r>
        <w:rPr>
          <w:rFonts w:ascii="宋体" w:hAnsi="宋体" w:cs="宋体" w:eastAsia="宋体" w:hint="default"/>
        </w:rPr>
        <w:t> </w:t>
      </w:r>
    </w:p>
    <w:p>
      <w:pPr>
        <w:pStyle w:val="BodyText"/>
        <w:spacing w:line="240" w:lineRule="auto" w:before="19"/>
        <w:ind w:left="633" w:right="1133"/>
        <w:jc w:val="left"/>
        <w:rPr>
          <w:rFonts w:ascii="宋体" w:hAnsi="宋体" w:cs="宋体" w:eastAsia="宋体" w:hint="default"/>
        </w:rPr>
      </w:pPr>
      <w:r>
        <w:rPr>
          <w:rFonts w:ascii="宋体" w:hAnsi="宋体" w:cs="宋体" w:eastAsia="宋体" w:hint="default"/>
        </w:rPr>
        <w:t>B.</w:t>
      </w:r>
      <w:r>
        <w:rPr/>
        <w:t>非同一控制下企业合并增加的子公司或业务</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a</w:t>
      </w:r>
      <w:r>
        <w:rPr/>
        <w:t>）编制合并资产负债表时，不调整合并资产负债表的期初数。</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b</w:t>
      </w:r>
      <w:r>
        <w:rPr/>
        <w:t>）编制合并利润表时，将该子公司以及业务购买日至报告期末的收入、费用、利润纳入合并利润表。</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c</w:t>
      </w:r>
      <w:r>
        <w:rPr/>
        <w:t>）编制合并现金流量表时，将该子公司购买日至报告期末的现金流量纳入合并现金流量表。</w:t>
      </w:r>
      <w:r>
        <w:rPr>
          <w:rFonts w:ascii="宋体" w:hAnsi="宋体" w:cs="宋体" w:eastAsia="宋体" w:hint="default"/>
        </w:rPr>
        <w:t> </w:t>
      </w:r>
    </w:p>
    <w:p>
      <w:pPr>
        <w:pStyle w:val="BodyText"/>
        <w:spacing w:line="316" w:lineRule="auto" w:before="76"/>
        <w:ind w:left="633" w:right="4259"/>
        <w:jc w:val="left"/>
        <w:rPr>
          <w:rFonts w:ascii="宋体" w:hAnsi="宋体" w:cs="宋体" w:eastAsia="宋体" w:hint="default"/>
        </w:rPr>
      </w:pPr>
      <w:r>
        <w:rPr/>
        <w:t>②处置子公司或业务</w:t>
      </w:r>
      <w:r>
        <w:rPr>
          <w:rFonts w:ascii="宋体" w:hAnsi="宋体" w:cs="宋体" w:eastAsia="宋体" w:hint="default"/>
        </w:rPr>
        <w:t> A.</w:t>
      </w:r>
      <w:r>
        <w:rPr/>
        <w:t>编制合并资产负债表时，不调整合并资产负债表的期初数。</w:t>
      </w:r>
      <w:r>
        <w:rPr>
          <w:rFonts w:ascii="宋体" w:hAnsi="宋体" w:cs="宋体" w:eastAsia="宋体" w:hint="default"/>
        </w:rPr>
        <w:t> </w:t>
      </w:r>
    </w:p>
    <w:p>
      <w:pPr>
        <w:pStyle w:val="BodyText"/>
        <w:spacing w:line="316" w:lineRule="auto" w:before="19"/>
        <w:ind w:left="633" w:right="1133"/>
        <w:jc w:val="left"/>
        <w:rPr>
          <w:rFonts w:ascii="宋体" w:hAnsi="宋体" w:cs="宋体" w:eastAsia="宋体" w:hint="default"/>
        </w:rPr>
      </w:pPr>
      <w:r>
        <w:rPr>
          <w:rFonts w:ascii="宋体" w:hAnsi="宋体" w:cs="宋体" w:eastAsia="宋体" w:hint="default"/>
        </w:rPr>
        <w:t>B.</w:t>
      </w:r>
      <w:r>
        <w:rPr/>
        <w:t>编制合并利润表时，将该子公司以及业务期初至处置日的收入、费用、利润纳入合并利润表。</w:t>
      </w:r>
      <w:r>
        <w:rPr>
          <w:rFonts w:ascii="宋体" w:hAnsi="宋体" w:cs="宋体" w:eastAsia="宋体" w:hint="default"/>
        </w:rPr>
        <w:t> C.</w:t>
      </w:r>
      <w:r>
        <w:rPr/>
        <w:t>编制合并现金流量表时将该子公司以及业务期初至处置日的现金流量纳入合并现金流量表。</w:t>
      </w:r>
      <w:r>
        <w:rPr>
          <w:rFonts w:ascii="宋体" w:hAnsi="宋体" w:cs="宋体" w:eastAsia="宋体" w:hint="default"/>
        </w:rPr>
        <w:t> </w:t>
      </w:r>
    </w:p>
    <w:p>
      <w:pPr>
        <w:pStyle w:val="Heading4"/>
        <w:spacing w:line="240" w:lineRule="auto" w:before="19"/>
        <w:ind w:right="1133"/>
        <w:jc w:val="left"/>
        <w:rPr>
          <w:rFonts w:ascii="宋体" w:hAnsi="宋体" w:cs="宋体" w:eastAsia="宋体" w:hint="default"/>
          <w:b w:val="0"/>
          <w:bCs w:val="0"/>
        </w:rPr>
      </w:pPr>
      <w:r>
        <w:rPr/>
        <w:t>（</w:t>
      </w:r>
      <w:r>
        <w:rPr>
          <w:rFonts w:ascii="宋体" w:hAnsi="宋体" w:cs="宋体" w:eastAsia="宋体" w:hint="default"/>
        </w:rPr>
        <w:t>5</w:t>
      </w:r>
      <w:r>
        <w:rPr/>
        <w:t>）合并抵销中的特殊考虑</w:t>
      </w:r>
      <w:r>
        <w:rPr>
          <w:rFonts w:ascii="宋体" w:hAnsi="宋体" w:cs="宋体" w:eastAsia="宋体" w:hint="default"/>
          <w:w w:val="99"/>
        </w:rPr>
        <w:t> </w:t>
      </w:r>
      <w:r>
        <w:rPr>
          <w:rFonts w:ascii="宋体" w:hAnsi="宋体" w:cs="宋体" w:eastAsia="宋体" w:hint="default"/>
          <w:b w:val="0"/>
          <w:bCs w:val="0"/>
        </w:rPr>
      </w:r>
    </w:p>
    <w:p>
      <w:pPr>
        <w:pStyle w:val="BodyText"/>
        <w:spacing w:line="319" w:lineRule="auto" w:before="76"/>
        <w:ind w:right="0" w:firstLine="480"/>
        <w:jc w:val="left"/>
        <w:rPr>
          <w:rFonts w:ascii="宋体" w:hAnsi="宋体" w:cs="宋体" w:eastAsia="宋体" w:hint="default"/>
        </w:rPr>
      </w:pPr>
      <w:r>
        <w:rPr>
          <w:spacing w:val="-1"/>
        </w:rPr>
        <w:t>①子公司持有本公司的长期股权投资，应当视为本公司的库存股，作为所有者权益的减项，在合并资产负债表中所有</w:t>
      </w:r>
      <w:r>
        <w:rPr/>
        <w:t> 者权益项目下以“减：库存股”项目列示。</w:t>
      </w:r>
      <w:r>
        <w:rPr>
          <w:rFonts w:ascii="宋体" w:hAnsi="宋体" w:cs="宋体" w:eastAsia="宋体" w:hint="default"/>
        </w:rPr>
        <w:t> </w:t>
      </w:r>
    </w:p>
    <w:p>
      <w:pPr>
        <w:pStyle w:val="BodyText"/>
        <w:spacing w:line="240" w:lineRule="auto" w:before="17"/>
        <w:ind w:left="633" w:right="0"/>
        <w:jc w:val="left"/>
      </w:pPr>
      <w:r>
        <w:rPr/>
        <w:t>子公司相互之间持有的长期股权投资，比照本公司对子公司的股权投资的抵销方法，将长期股权投资与其对应的子公</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rPr>
          <w:rFonts w:ascii="宋体" w:hAnsi="宋体" w:cs="宋体" w:eastAsia="宋体" w:hint="default"/>
        </w:rPr>
      </w:pPr>
      <w:r>
        <w:rPr/>
        <w:t>司所有者权益中所享有的份额相互抵销。</w:t>
      </w:r>
      <w:r>
        <w:rPr>
          <w:rFonts w:ascii="宋体" w:hAnsi="宋体" w:cs="宋体" w:eastAsia="宋体" w:hint="default"/>
        </w:rPr>
        <w:t> </w:t>
      </w:r>
    </w:p>
    <w:p>
      <w:pPr>
        <w:pStyle w:val="BodyText"/>
        <w:spacing w:line="316" w:lineRule="auto" w:before="76"/>
        <w:ind w:right="1131" w:firstLine="480"/>
        <w:jc w:val="both"/>
        <w:rPr>
          <w:rFonts w:ascii="宋体" w:hAnsi="宋体" w:cs="宋体" w:eastAsia="宋体" w:hint="default"/>
        </w:rPr>
      </w:pPr>
      <w:r>
        <w:rPr>
          <w:spacing w:val="-1"/>
        </w:rPr>
        <w:t>②“专项储备”和“一般风险准备”项目由于既不属于实收资本（或股本）、资本公积，也与留存收益、未分配利润</w:t>
      </w:r>
      <w:r>
        <w:rPr/>
        <w:t> 不同，在长期股权投资与子公司所有者权益相互抵销后，按归属于母公司所有者的份额予以恢复。</w:t>
      </w:r>
      <w:r>
        <w:rPr>
          <w:rFonts w:ascii="宋体" w:hAnsi="宋体" w:cs="宋体" w:eastAsia="宋体" w:hint="default"/>
        </w:rPr>
        <w:t> </w:t>
      </w:r>
    </w:p>
    <w:p>
      <w:pPr>
        <w:pStyle w:val="BodyText"/>
        <w:spacing w:line="316" w:lineRule="auto" w:before="19"/>
        <w:ind w:right="1129" w:firstLine="480"/>
        <w:jc w:val="both"/>
        <w:rPr>
          <w:rFonts w:ascii="宋体" w:hAnsi="宋体" w:cs="宋体" w:eastAsia="宋体" w:hint="default"/>
        </w:rPr>
      </w:pPr>
      <w:r>
        <w:rPr>
          <w:spacing w:val="-1"/>
        </w:rPr>
        <w:t>③因抵销未实现内部销售损益导致合并资产负债表中资产、负债的账面价值与其在所属纳税主体的计税基础之间产生</w:t>
      </w:r>
      <w:r>
        <w:rPr/>
        <w:t> </w:t>
      </w:r>
      <w:r>
        <w:rPr>
          <w:spacing w:val="-2"/>
        </w:rPr>
        <w:t>暂时性差异的，在合并资产负债表中确认递延所得税资产或递延所得税负债，同时调整合并利润表中的所得税费用，但与直</w:t>
      </w:r>
      <w:r>
        <w:rPr>
          <w:spacing w:val="-62"/>
        </w:rPr>
        <w:t> </w:t>
      </w:r>
      <w:r>
        <w:rPr>
          <w:spacing w:val="-62"/>
        </w:rPr>
      </w:r>
      <w:r>
        <w:rPr/>
        <w:t>接计入所有者权益的交易或事项及企业合并相关的递延所得税除外。</w:t>
      </w:r>
      <w:r>
        <w:rPr>
          <w:rFonts w:ascii="宋体" w:hAnsi="宋体" w:cs="宋体" w:eastAsia="宋体" w:hint="default"/>
        </w:rPr>
        <w:t> </w:t>
      </w:r>
    </w:p>
    <w:p>
      <w:pPr>
        <w:pStyle w:val="BodyText"/>
        <w:spacing w:line="316" w:lineRule="auto" w:before="19"/>
        <w:ind w:right="0" w:firstLine="480"/>
        <w:jc w:val="left"/>
        <w:rPr>
          <w:rFonts w:ascii="宋体" w:hAnsi="宋体" w:cs="宋体" w:eastAsia="宋体" w:hint="default"/>
        </w:rPr>
      </w:pPr>
      <w:r>
        <w:rPr/>
        <w:t>④本公司向子公司出售资产所发生的未实现内部交易损益，应当全额抵销“归属于母公司所有者的净利润”。子公司 </w:t>
      </w:r>
      <w:r>
        <w:rPr>
          <w:spacing w:val="-4"/>
        </w:rPr>
        <w:t>向本公司出售资产所发生的未实现内部交易损益，应当按照本公司对该子公司的分配比例在“归属于母公司所有者的净利润”</w:t>
      </w:r>
      <w:r>
        <w:rPr>
          <w:spacing w:val="-42"/>
        </w:rPr>
        <w:t> </w:t>
      </w:r>
      <w:r>
        <w:rPr>
          <w:spacing w:val="-42"/>
        </w:rPr>
      </w:r>
      <w:r>
        <w:rPr>
          <w:spacing w:val="-2"/>
        </w:rPr>
        <w:t>和“少数股东损益”之间分配抵销。子公司之间出售资产所发生的未实现内部交易损益，应当按照本公司对出售方子公司的</w:t>
      </w:r>
      <w:r>
        <w:rPr>
          <w:spacing w:val="-65"/>
        </w:rPr>
        <w:t> </w:t>
      </w:r>
      <w:r>
        <w:rPr>
          <w:spacing w:val="-65"/>
        </w:rPr>
      </w:r>
      <w:r>
        <w:rPr/>
        <w:t>分配比例在“归属于母公司所有者的净利润”和“少数股东损益”之间分配抵销。</w:t>
      </w:r>
      <w:r>
        <w:rPr>
          <w:rFonts w:ascii="宋体" w:hAnsi="宋体" w:cs="宋体" w:eastAsia="宋体" w:hint="default"/>
        </w:rPr>
        <w:t> </w:t>
      </w:r>
    </w:p>
    <w:p>
      <w:pPr>
        <w:pStyle w:val="BodyText"/>
        <w:spacing w:line="319" w:lineRule="auto" w:before="19"/>
        <w:ind w:right="1132" w:firstLine="480"/>
        <w:jc w:val="both"/>
        <w:rPr>
          <w:rFonts w:ascii="宋体" w:hAnsi="宋体" w:cs="宋体" w:eastAsia="宋体" w:hint="default"/>
        </w:rPr>
      </w:pPr>
      <w:r>
        <w:rPr>
          <w:spacing w:val="-1"/>
        </w:rPr>
        <w:t>⑤子公司少数股东分担的当期亏损超过了少数股东在该子公司期初所有者权益中所享有的份额的，其余额仍应当冲减</w:t>
      </w:r>
      <w:r>
        <w:rPr/>
        <w:t> 少数股东权益。</w:t>
      </w:r>
      <w:r>
        <w:rPr>
          <w:rFonts w:ascii="宋体" w:hAnsi="宋体" w:cs="宋体" w:eastAsia="宋体" w:hint="default"/>
        </w:rPr>
        <w:t> </w:t>
      </w:r>
    </w:p>
    <w:p>
      <w:pPr>
        <w:pStyle w:val="Heading4"/>
        <w:spacing w:line="240" w:lineRule="auto" w:before="17"/>
        <w:ind w:right="1133"/>
        <w:jc w:val="left"/>
        <w:rPr>
          <w:rFonts w:ascii="宋体" w:hAnsi="宋体" w:cs="宋体" w:eastAsia="宋体" w:hint="default"/>
          <w:b w:val="0"/>
          <w:bCs w:val="0"/>
        </w:rPr>
      </w:pPr>
      <w:r>
        <w:rPr/>
        <w:t>（</w:t>
      </w:r>
      <w:r>
        <w:rPr>
          <w:rFonts w:ascii="宋体" w:hAnsi="宋体" w:cs="宋体" w:eastAsia="宋体" w:hint="default"/>
        </w:rPr>
        <w:t>6</w:t>
      </w:r>
      <w:r>
        <w:rPr/>
        <w:t>）特殊交易的会计处理</w:t>
      </w:r>
      <w:r>
        <w:rPr>
          <w:rFonts w:ascii="宋体" w:hAnsi="宋体" w:cs="宋体" w:eastAsia="宋体" w:hint="default"/>
          <w:w w:val="99"/>
        </w:rPr>
        <w:t> </w:t>
      </w:r>
      <w:r>
        <w:rPr>
          <w:rFonts w:ascii="宋体" w:hAnsi="宋体" w:cs="宋体" w:eastAsia="宋体" w:hint="default"/>
          <w:b w:val="0"/>
          <w:bCs w:val="0"/>
        </w:rPr>
      </w:r>
    </w:p>
    <w:p>
      <w:pPr>
        <w:pStyle w:val="BodyText"/>
        <w:spacing w:line="316" w:lineRule="auto" w:before="76"/>
        <w:ind w:left="633" w:right="1133"/>
        <w:jc w:val="left"/>
      </w:pPr>
      <w:r>
        <w:rPr/>
        <w:t>①购买少数股东股权</w:t>
      </w:r>
      <w:r>
        <w:rPr>
          <w:rFonts w:ascii="宋体" w:hAnsi="宋体" w:cs="宋体" w:eastAsia="宋体" w:hint="default"/>
        </w:rPr>
        <w:t> </w:t>
      </w:r>
      <w:r>
        <w:rPr>
          <w:spacing w:val="-1"/>
        </w:rPr>
        <w:t>本公司购买子公司少数股东拥有的子公司股权，在个别财务报表中，购买少数股权新取得的长期股权投资的投资成本</w:t>
      </w:r>
    </w:p>
    <w:p>
      <w:pPr>
        <w:pStyle w:val="BodyText"/>
        <w:spacing w:line="316" w:lineRule="auto" w:before="19"/>
        <w:ind w:right="1133"/>
        <w:jc w:val="both"/>
        <w:rPr>
          <w:rFonts w:ascii="宋体" w:hAnsi="宋体" w:cs="宋体" w:eastAsia="宋体" w:hint="default"/>
        </w:rPr>
      </w:pPr>
      <w:r>
        <w:rPr>
          <w:spacing w:val="-2"/>
        </w:rPr>
        <w:t>按照所支付对价的公允价值计量。在合并财务报表中，因购买少数股权新取得的长期股权投资与按照新增持股比例计算应享</w:t>
      </w:r>
      <w:r>
        <w:rPr>
          <w:spacing w:val="-64"/>
        </w:rPr>
        <w:t> </w:t>
      </w:r>
      <w:r>
        <w:rPr>
          <w:spacing w:val="-64"/>
        </w:rPr>
      </w:r>
      <w:r>
        <w:rPr>
          <w:spacing w:val="-2"/>
        </w:rPr>
        <w:t>有子公司自购买日或合并日开始持续计算的净资产份额之间的差额，应当调整资本公积（资本溢价或股本溢价），资本公积</w:t>
      </w:r>
      <w:r>
        <w:rPr>
          <w:spacing w:val="-66"/>
        </w:rPr>
        <w:t> </w:t>
      </w:r>
      <w:r>
        <w:rPr>
          <w:spacing w:val="-66"/>
        </w:rPr>
      </w:r>
      <w:r>
        <w:rPr/>
        <w:t>不足冲减的，依次冲减盈余公积和未分配利润。</w:t>
      </w:r>
      <w:r>
        <w:rPr>
          <w:rFonts w:ascii="宋体" w:hAnsi="宋体" w:cs="宋体" w:eastAsia="宋体" w:hint="default"/>
        </w:rPr>
        <w:t> </w:t>
      </w:r>
    </w:p>
    <w:p>
      <w:pPr>
        <w:pStyle w:val="BodyText"/>
        <w:spacing w:line="316" w:lineRule="auto" w:before="19"/>
        <w:ind w:left="633" w:right="6474"/>
        <w:jc w:val="left"/>
        <w:rPr>
          <w:rFonts w:ascii="宋体" w:hAnsi="宋体" w:cs="宋体" w:eastAsia="宋体" w:hint="default"/>
        </w:rPr>
      </w:pPr>
      <w:r>
        <w:rPr/>
        <w:t>②通过多次交易分步取得子公司控制权的</w:t>
      </w:r>
      <w:r>
        <w:rPr>
          <w:rFonts w:ascii="宋体" w:hAnsi="宋体" w:cs="宋体" w:eastAsia="宋体" w:hint="default"/>
        </w:rPr>
        <w:t> A.</w:t>
      </w:r>
      <w:r>
        <w:rPr/>
        <w:t>通过多次交易分步实现同一控制下企业合并</w:t>
      </w:r>
      <w:r>
        <w:rPr>
          <w:rFonts w:ascii="宋体" w:hAnsi="宋体" w:cs="宋体" w:eastAsia="宋体" w:hint="default"/>
        </w:rPr>
        <w:t> </w:t>
      </w:r>
    </w:p>
    <w:p>
      <w:pPr>
        <w:pStyle w:val="BodyText"/>
        <w:spacing w:line="319" w:lineRule="auto" w:before="19"/>
        <w:ind w:right="0" w:firstLine="480"/>
        <w:jc w:val="left"/>
        <w:rPr>
          <w:rFonts w:ascii="宋体" w:hAnsi="宋体" w:cs="宋体" w:eastAsia="宋体" w:hint="default"/>
        </w:rPr>
      </w:pPr>
      <w:r>
        <w:rPr/>
        <w:t>在合并日，本公司在个别财务报表中，根据合并后应享有的子公司净资产在最终控制方合并财务报表中的账面价值的 </w:t>
      </w:r>
      <w:r>
        <w:rPr>
          <w:spacing w:val="-2"/>
        </w:rPr>
        <w:t>份额，确定长期股权投资的初始投资成本；初始投资成本与达到合并前的长期股权投资账面价值加上合并日取得进一步股份</w:t>
      </w:r>
      <w:r>
        <w:rPr>
          <w:spacing w:val="-64"/>
        </w:rPr>
        <w:t> </w:t>
      </w:r>
      <w:r>
        <w:rPr>
          <w:spacing w:val="-64"/>
        </w:rPr>
      </w:r>
      <w:r>
        <w:rPr>
          <w:spacing w:val="-4"/>
        </w:rPr>
        <w:t>新支付对价的账面价值之和的差额，调整资本公积（资本溢价或股本溢价），资本公积（资本溢价或股本溢价）不足冲减的，</w:t>
      </w:r>
      <w:r>
        <w:rPr>
          <w:spacing w:val="-44"/>
        </w:rPr>
        <w:t> </w:t>
      </w:r>
      <w:r>
        <w:rPr>
          <w:spacing w:val="-44"/>
        </w:rPr>
      </w:r>
      <w:r>
        <w:rPr/>
        <w:t>依次冲减盈余公积和未分配利润。</w:t>
      </w:r>
      <w:r>
        <w:rPr>
          <w:rFonts w:ascii="宋体" w:hAnsi="宋体" w:cs="宋体" w:eastAsia="宋体" w:hint="default"/>
        </w:rPr>
        <w:t> </w:t>
      </w:r>
    </w:p>
    <w:p>
      <w:pPr>
        <w:pStyle w:val="BodyText"/>
        <w:spacing w:line="316" w:lineRule="auto" w:before="17"/>
        <w:ind w:right="1132" w:firstLine="480"/>
        <w:jc w:val="both"/>
        <w:rPr>
          <w:rFonts w:ascii="宋体" w:hAnsi="宋体" w:cs="宋体" w:eastAsia="宋体" w:hint="default"/>
        </w:rPr>
      </w:pPr>
      <w:r>
        <w:rPr>
          <w:spacing w:val="-1"/>
        </w:rPr>
        <w:t>在合并财务报表中，合并方在合并中取得的被合并方的资产、负债，除因会计政策不同而进行的调整以外，按合并日</w:t>
      </w:r>
      <w:r>
        <w:rPr/>
        <w:t> </w:t>
      </w:r>
      <w:r>
        <w:rPr>
          <w:spacing w:val="-2"/>
        </w:rPr>
        <w:t>在最终控制方合并财务报表中的账面价值计量；合并前持有投资的账面价值加上合并日新支付对价的账面价值之和，与合并</w:t>
      </w:r>
      <w:r>
        <w:rPr>
          <w:spacing w:val="-64"/>
        </w:rPr>
        <w:t> </w:t>
      </w:r>
      <w:r>
        <w:rPr>
          <w:spacing w:val="-64"/>
        </w:rPr>
      </w:r>
      <w:r>
        <w:rPr/>
        <w:t>中取得的净资产账面价值的差额，调整资本公积（股本溢价</w:t>
      </w:r>
      <w:r>
        <w:rPr>
          <w:rFonts w:ascii="宋体" w:hAnsi="宋体" w:cs="宋体" w:eastAsia="宋体" w:hint="default"/>
        </w:rPr>
        <w:t>/</w:t>
      </w:r>
      <w:r>
        <w:rPr/>
        <w:t>资本溢价），资本公积不足冲减的，调整留存收益。</w:t>
      </w:r>
      <w:r>
        <w:rPr>
          <w:rFonts w:ascii="宋体" w:hAnsi="宋体" w:cs="宋体" w:eastAsia="宋体" w:hint="default"/>
        </w:rPr>
        <w:t> </w:t>
      </w:r>
    </w:p>
    <w:p>
      <w:pPr>
        <w:pStyle w:val="BodyText"/>
        <w:spacing w:line="316" w:lineRule="auto" w:before="19"/>
        <w:ind w:right="1132" w:firstLine="480"/>
        <w:jc w:val="both"/>
        <w:rPr>
          <w:rFonts w:ascii="宋体" w:hAnsi="宋体" w:cs="宋体" w:eastAsia="宋体" w:hint="default"/>
        </w:rPr>
      </w:pPr>
      <w:r>
        <w:rPr>
          <w:spacing w:val="-1"/>
        </w:rPr>
        <w:t>合并方在取得被合并方控制权之前持有的股权投资且按权益法核算的，在取得原股权之日与合并方和被合并方同处于</w:t>
      </w:r>
      <w:r>
        <w:rPr/>
        <w:t> </w:t>
      </w:r>
      <w:r>
        <w:rPr>
          <w:spacing w:val="-2"/>
        </w:rPr>
        <w:t>同一方最终控制之日孰晚日起至合并日之间已确认有关损益、其他综合收益以及其他所有者权益变动，应分别冲减比较报表</w:t>
      </w:r>
      <w:r>
        <w:rPr>
          <w:spacing w:val="-64"/>
        </w:rPr>
        <w:t> </w:t>
      </w:r>
      <w:r>
        <w:rPr>
          <w:spacing w:val="-64"/>
        </w:rPr>
      </w:r>
      <w:r>
        <w:rPr/>
        <w:t>期间的期初留存收益。</w:t>
      </w:r>
      <w:r>
        <w:rPr>
          <w:rFonts w:ascii="宋体" w:hAnsi="宋体" w:cs="宋体" w:eastAsia="宋体" w:hint="default"/>
        </w:rPr>
        <w:t> </w:t>
      </w:r>
    </w:p>
    <w:p>
      <w:pPr>
        <w:pStyle w:val="BodyText"/>
        <w:spacing w:line="240" w:lineRule="auto" w:before="19"/>
        <w:ind w:left="633" w:right="1133"/>
        <w:jc w:val="left"/>
        <w:rPr>
          <w:rFonts w:ascii="宋体" w:hAnsi="宋体" w:cs="宋体" w:eastAsia="宋体" w:hint="default"/>
        </w:rPr>
      </w:pPr>
      <w:r>
        <w:rPr>
          <w:rFonts w:ascii="宋体" w:hAnsi="宋体" w:cs="宋体" w:eastAsia="宋体" w:hint="default"/>
        </w:rPr>
        <w:t>B.</w:t>
      </w:r>
      <w:r>
        <w:rPr/>
        <w:t>通过多次交易分步实现非同一控制下企业合并</w:t>
      </w:r>
      <w:r>
        <w:rPr>
          <w:rFonts w:ascii="宋体" w:hAnsi="宋体" w:cs="宋体" w:eastAsia="宋体" w:hint="default"/>
        </w:rPr>
        <w:t> </w:t>
      </w:r>
    </w:p>
    <w:p>
      <w:pPr>
        <w:pStyle w:val="BodyText"/>
        <w:spacing w:line="319" w:lineRule="auto" w:before="76"/>
        <w:ind w:right="1132" w:firstLine="480"/>
        <w:jc w:val="both"/>
        <w:rPr>
          <w:rFonts w:ascii="宋体" w:hAnsi="宋体" w:cs="宋体" w:eastAsia="宋体" w:hint="default"/>
        </w:rPr>
      </w:pPr>
      <w:r>
        <w:rPr>
          <w:spacing w:val="-1"/>
        </w:rPr>
        <w:t>在合并日，在个别财务报表中，按照原持有的长期股权投资的账面价值加上合并日新增投资成本之和，作为合并日长</w:t>
      </w:r>
      <w:r>
        <w:rPr/>
        <w:t> 期股权投资的初始投资成本。</w:t>
      </w:r>
      <w:r>
        <w:rPr>
          <w:rFonts w:ascii="宋体" w:hAnsi="宋体" w:cs="宋体" w:eastAsia="宋体" w:hint="default"/>
        </w:rPr>
        <w:t> </w:t>
      </w:r>
    </w:p>
    <w:p>
      <w:pPr>
        <w:pStyle w:val="BodyText"/>
        <w:spacing w:line="316" w:lineRule="auto" w:before="17"/>
        <w:ind w:right="1132" w:firstLine="480"/>
        <w:jc w:val="both"/>
        <w:rPr>
          <w:rFonts w:ascii="宋体" w:hAnsi="宋体" w:cs="宋体" w:eastAsia="宋体" w:hint="default"/>
        </w:rPr>
      </w:pPr>
      <w:r>
        <w:rPr>
          <w:spacing w:val="-1"/>
        </w:rPr>
        <w:t>在合并财务报表中，对于购买日之前持有的被购买方的股权，按照该股权在购买日的公允价值进行重新计量，公允价</w:t>
      </w:r>
      <w:r>
        <w:rPr/>
        <w:t> </w:t>
      </w:r>
      <w:r>
        <w:rPr>
          <w:spacing w:val="-2"/>
        </w:rPr>
        <w:t>值与其账面价值的差额计入当期投资收益；购买日之前持有的被购买方的股权涉及权益法核算下的其他综合收益等的，与其</w:t>
      </w:r>
      <w:r>
        <w:rPr>
          <w:spacing w:val="-64"/>
        </w:rPr>
        <w:t> </w:t>
      </w:r>
      <w:r>
        <w:rPr>
          <w:spacing w:val="-64"/>
        </w:rPr>
      </w:r>
      <w:r>
        <w:rPr>
          <w:spacing w:val="-2"/>
        </w:rPr>
        <w:t>相关的其他综合收益等转为购买日所属当期收益，但由于被合并方重新计量设定受益计划净资产或净负债变动而产生的其他</w:t>
      </w:r>
      <w:r>
        <w:rPr>
          <w:spacing w:val="-64"/>
        </w:rPr>
        <w:t> </w:t>
      </w:r>
      <w:r>
        <w:rPr>
          <w:spacing w:val="-64"/>
        </w:rPr>
      </w:r>
      <w:r>
        <w:rPr>
          <w:spacing w:val="-2"/>
        </w:rPr>
        <w:t>综合收益除外。本公司在附注中披露其在购买日之前持有的被购买方的股权在购买日的公允价值、按照公允价值重新计量产</w:t>
      </w:r>
      <w:r>
        <w:rPr>
          <w:spacing w:val="-64"/>
        </w:rPr>
        <w:t> </w:t>
      </w:r>
      <w:r>
        <w:rPr>
          <w:spacing w:val="-64"/>
        </w:rPr>
      </w:r>
      <w:r>
        <w:rPr/>
        <w:t>生的相关利得或损失的金额。</w:t>
      </w:r>
      <w:r>
        <w:rPr>
          <w:rFonts w:ascii="宋体" w:hAnsi="宋体" w:cs="宋体" w:eastAsia="宋体" w:hint="default"/>
        </w:rPr>
        <w:t> </w:t>
      </w:r>
    </w:p>
    <w:p>
      <w:pPr>
        <w:pStyle w:val="BodyText"/>
        <w:spacing w:line="316" w:lineRule="auto" w:before="19"/>
        <w:ind w:left="633" w:right="0"/>
        <w:jc w:val="left"/>
      </w:pPr>
      <w:r>
        <w:rPr/>
        <w:t>③本公司处置对子公司长期股权投资但未丧失控制权</w:t>
      </w:r>
      <w:r>
        <w:rPr>
          <w:rFonts w:ascii="宋体" w:hAnsi="宋体" w:cs="宋体" w:eastAsia="宋体" w:hint="default"/>
        </w:rPr>
        <w:t> </w:t>
      </w:r>
      <w:r>
        <w:rPr>
          <w:spacing w:val="-1"/>
        </w:rPr>
        <w:t>母公司在不丧失控制权的情况下部分处置对子公司的长期股权投资，在合并财务报表中，处置价款与处置长期股权投</w:t>
      </w:r>
    </w:p>
    <w:p>
      <w:pPr>
        <w:pStyle w:val="BodyText"/>
        <w:spacing w:line="316" w:lineRule="auto" w:before="19"/>
        <w:ind w:right="1133"/>
        <w:jc w:val="both"/>
        <w:rPr>
          <w:rFonts w:ascii="宋体" w:hAnsi="宋体" w:cs="宋体" w:eastAsia="宋体" w:hint="default"/>
        </w:rPr>
      </w:pPr>
      <w:r>
        <w:rPr>
          <w:spacing w:val="-2"/>
        </w:rPr>
        <w:t>资相对应享有子公司自购买日或合并日开始持续计算的净资产份额之间的差额，调整资本公积（资本溢价或股本溢价），资</w:t>
      </w:r>
      <w:r>
        <w:rPr>
          <w:spacing w:val="-66"/>
        </w:rPr>
        <w:t> </w:t>
      </w:r>
      <w:r>
        <w:rPr>
          <w:spacing w:val="-66"/>
        </w:rPr>
      </w:r>
      <w:r>
        <w:rPr/>
        <w:t>本公积不足冲减的，调整留存收益。</w:t>
      </w:r>
      <w:r>
        <w:rPr>
          <w:rFonts w:ascii="宋体" w:hAnsi="宋体" w:cs="宋体" w:eastAsia="宋体" w:hint="default"/>
        </w:rPr>
        <w:t> </w:t>
      </w:r>
    </w:p>
    <w:p>
      <w:pPr>
        <w:pStyle w:val="BodyText"/>
        <w:spacing w:line="316" w:lineRule="auto" w:before="19"/>
        <w:ind w:left="633" w:right="5714"/>
        <w:jc w:val="left"/>
        <w:rPr>
          <w:rFonts w:ascii="宋体" w:hAnsi="宋体" w:cs="宋体" w:eastAsia="宋体" w:hint="default"/>
        </w:rPr>
      </w:pPr>
      <w:r>
        <w:rPr/>
        <w:t>④本公司处置对子公司长期股权投资且丧失控制权</w:t>
      </w:r>
      <w:r>
        <w:rPr>
          <w:rFonts w:ascii="宋体" w:hAnsi="宋体" w:cs="宋体" w:eastAsia="宋体" w:hint="default"/>
        </w:rPr>
        <w:t> A.</w:t>
      </w:r>
      <w:r>
        <w:rPr/>
        <w:t>一次交易处置</w:t>
      </w:r>
      <w:r>
        <w:rPr>
          <w:rFonts w:ascii="宋体" w:hAnsi="宋体" w:cs="宋体" w:eastAsia="宋体" w:hint="default"/>
        </w:rPr>
        <w:t> </w:t>
      </w:r>
    </w:p>
    <w:p>
      <w:pPr>
        <w:spacing w:after="0" w:line="316" w:lineRule="auto"/>
        <w:jc w:val="left"/>
        <w:rPr>
          <w:rFonts w:ascii="宋体" w:hAnsi="宋体" w:cs="宋体" w:eastAsia="宋体" w:hint="default"/>
        </w:rPr>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480"/>
        <w:jc w:val="both"/>
        <w:rPr>
          <w:rFonts w:ascii="宋体" w:hAnsi="宋体" w:cs="宋体" w:eastAsia="宋体" w:hint="default"/>
        </w:rPr>
      </w:pPr>
      <w:r>
        <w:rPr>
          <w:spacing w:val="-1"/>
        </w:rPr>
        <w:t>本公司因处置部分股权投资等原因丧失了对被投资方的控制权的，在编制合并财务报表时，对于剩余股权，按照其在</w:t>
      </w:r>
      <w:r>
        <w:rPr/>
        <w:t> </w:t>
      </w:r>
      <w:r>
        <w:rPr>
          <w:spacing w:val="-2"/>
        </w:rPr>
        <w:t>丧失控制权日的公允价值进行重新计量。处置股权取得的对价与剩余股权公允价值之和，减去按原持股比例计算应享有原有</w:t>
      </w:r>
      <w:r>
        <w:rPr>
          <w:spacing w:val="-64"/>
        </w:rPr>
        <w:t> </w:t>
      </w:r>
      <w:r>
        <w:rPr>
          <w:spacing w:val="-64"/>
        </w:rPr>
      </w:r>
      <w:r>
        <w:rPr/>
        <w:t>子公司自购买日或合并日开始持续计算的净资产的份额之间的差额，计入丧失控制权当期的投资收益。</w:t>
      </w:r>
      <w:r>
        <w:rPr>
          <w:rFonts w:ascii="宋体" w:hAnsi="宋体" w:cs="宋体" w:eastAsia="宋体" w:hint="default"/>
        </w:rPr>
        <w:t> </w:t>
      </w:r>
    </w:p>
    <w:p>
      <w:pPr>
        <w:pStyle w:val="BodyText"/>
        <w:spacing w:line="316" w:lineRule="auto" w:before="19"/>
        <w:ind w:right="0" w:firstLine="480"/>
        <w:jc w:val="left"/>
        <w:rPr>
          <w:rFonts w:ascii="宋体" w:hAnsi="宋体" w:cs="宋体" w:eastAsia="宋体" w:hint="default"/>
        </w:rPr>
      </w:pPr>
      <w:r>
        <w:rPr>
          <w:spacing w:val="-1"/>
        </w:rPr>
        <w:t>与原子公司的股权投资相关的其他综合收益、其他所有者权益变动，在丧失控制权时转入当期损益，由于被投资方重</w:t>
      </w:r>
      <w:r>
        <w:rPr/>
        <w:t> 新计量设定受益计划净负债或净资产变动而产生的其他综合收益除外。</w:t>
      </w:r>
      <w:r>
        <w:rPr>
          <w:rFonts w:ascii="宋体" w:hAnsi="宋体" w:cs="宋体" w:eastAsia="宋体" w:hint="default"/>
        </w:rPr>
        <w:t> </w:t>
      </w:r>
    </w:p>
    <w:p>
      <w:pPr>
        <w:pStyle w:val="BodyText"/>
        <w:spacing w:line="240" w:lineRule="auto" w:before="19"/>
        <w:ind w:left="633" w:right="1133"/>
        <w:jc w:val="left"/>
        <w:rPr>
          <w:rFonts w:ascii="宋体" w:hAnsi="宋体" w:cs="宋体" w:eastAsia="宋体" w:hint="default"/>
        </w:rPr>
      </w:pPr>
      <w:r>
        <w:rPr>
          <w:rFonts w:ascii="宋体" w:hAnsi="宋体" w:cs="宋体" w:eastAsia="宋体" w:hint="default"/>
        </w:rPr>
        <w:t>B.</w:t>
      </w:r>
      <w:r>
        <w:rPr/>
        <w:t>多次交易分步处置</w:t>
      </w:r>
      <w:r>
        <w:rPr>
          <w:rFonts w:ascii="宋体" w:hAnsi="宋体" w:cs="宋体" w:eastAsia="宋体" w:hint="default"/>
        </w:rPr>
        <w:t> </w:t>
      </w:r>
    </w:p>
    <w:p>
      <w:pPr>
        <w:pStyle w:val="BodyText"/>
        <w:spacing w:line="316" w:lineRule="auto" w:before="76"/>
        <w:ind w:left="633" w:right="1133"/>
        <w:jc w:val="left"/>
      </w:pPr>
      <w:r>
        <w:rPr/>
        <w:t>在合并财务报表中，应首先判断分步交易是否属于“一揽子交易”。</w:t>
      </w:r>
      <w:r>
        <w:rPr>
          <w:rFonts w:ascii="宋体" w:hAnsi="宋体" w:cs="宋体" w:eastAsia="宋体" w:hint="default"/>
        </w:rPr>
        <w:t> </w:t>
      </w:r>
      <w:r>
        <w:rPr>
          <w:spacing w:val="-1"/>
        </w:rPr>
        <w:t>如果分步交易不属于“一揽子交易”的，在个别财务报表中，对丧失子公司控制权之前的各项交易，结转每一次处置</w:t>
      </w:r>
    </w:p>
    <w:p>
      <w:pPr>
        <w:pStyle w:val="BodyText"/>
        <w:spacing w:line="316" w:lineRule="auto" w:before="19"/>
        <w:ind w:right="0"/>
        <w:jc w:val="left"/>
        <w:rPr>
          <w:rFonts w:ascii="宋体" w:hAnsi="宋体" w:cs="宋体" w:eastAsia="宋体" w:hint="default"/>
        </w:rPr>
      </w:pPr>
      <w:r>
        <w:rPr>
          <w:spacing w:val="-2"/>
        </w:rPr>
        <w:t>股权相对应的长期股权投资的账面价值，所得价款与处置长期股权投资账面价值之间的差额计入当期投资收益；在合并财务</w:t>
      </w:r>
      <w:r>
        <w:rPr>
          <w:spacing w:val="-64"/>
        </w:rPr>
        <w:t> </w:t>
      </w:r>
      <w:r>
        <w:rPr>
          <w:spacing w:val="-64"/>
        </w:rPr>
      </w:r>
      <w:r>
        <w:rPr/>
        <w:t>报表中，应按照“母公司处置对子公司长期股权投资但未丧失控制权”的有关规定处理。</w:t>
      </w:r>
      <w:r>
        <w:rPr>
          <w:rFonts w:ascii="宋体" w:hAnsi="宋体" w:cs="宋体" w:eastAsia="宋体" w:hint="default"/>
        </w:rPr>
        <w:t> </w:t>
      </w:r>
    </w:p>
    <w:p>
      <w:pPr>
        <w:pStyle w:val="BodyText"/>
        <w:spacing w:line="319" w:lineRule="auto" w:before="19"/>
        <w:ind w:right="1034" w:firstLine="480"/>
        <w:jc w:val="left"/>
        <w:rPr>
          <w:rFonts w:ascii="宋体" w:hAnsi="宋体" w:cs="宋体" w:eastAsia="宋体" w:hint="default"/>
        </w:rPr>
      </w:pPr>
      <w:r>
        <w:rPr/>
        <w:t>如果分步交易属于“一揽子交易”的，应当将各项交易作为一项处置子公司并丧失控制权的交易进行会计处理；在个 </w:t>
      </w:r>
      <w:r>
        <w:rPr>
          <w:spacing w:val="-2"/>
        </w:rPr>
        <w:t>别财务报表中，在丧失控制权之前的每一次处置价款与所处置的股权对应的长期股权投资账面价值之间的差额，先确认为其</w:t>
      </w:r>
      <w:r>
        <w:rPr>
          <w:spacing w:val="-64"/>
        </w:rPr>
        <w:t> </w:t>
      </w:r>
      <w:r>
        <w:rPr>
          <w:spacing w:val="-64"/>
        </w:rPr>
      </w:r>
      <w:r>
        <w:rPr/>
        <w:t>他综合收益，到丧失控制权时再一并转入丧失控制权的当期损益；在合并财务报表中，对于丧失控制权之前的每一次交易， </w:t>
      </w:r>
      <w:r>
        <w:rPr>
          <w:spacing w:val="-2"/>
        </w:rPr>
        <w:t>处置价款与处置投资对应的享有该子公司净资产份额的差额应当确认为其他综合收益，在丧失控制权时一并转入丧失控制权</w:t>
      </w:r>
      <w:r>
        <w:rPr>
          <w:spacing w:val="-64"/>
        </w:rPr>
        <w:t> </w:t>
      </w:r>
      <w:r>
        <w:rPr>
          <w:spacing w:val="-64"/>
        </w:rPr>
      </w:r>
      <w:r>
        <w:rPr/>
        <w:t>当期的损益。</w:t>
      </w:r>
      <w:r>
        <w:rPr>
          <w:rFonts w:ascii="宋体" w:hAnsi="宋体" w:cs="宋体" w:eastAsia="宋体" w:hint="default"/>
        </w:rPr>
        <w:t> </w:t>
      </w:r>
    </w:p>
    <w:p>
      <w:pPr>
        <w:pStyle w:val="BodyText"/>
        <w:spacing w:line="240" w:lineRule="auto" w:before="17"/>
        <w:ind w:left="633" w:right="0"/>
        <w:jc w:val="left"/>
        <w:rPr>
          <w:rFonts w:ascii="宋体" w:hAnsi="宋体" w:cs="宋体" w:eastAsia="宋体" w:hint="default"/>
        </w:rPr>
      </w:pPr>
      <w:r>
        <w:rPr/>
        <w:t>各项交易的条款</w:t>
      </w:r>
      <w:r>
        <w:rPr>
          <w:spacing w:val="-29"/>
        </w:rPr>
        <w:t>、</w:t>
      </w:r>
      <w:r>
        <w:rPr/>
        <w:t>条件以及经济影响符合下列一种或多种情况的</w:t>
      </w:r>
      <w:r>
        <w:rPr>
          <w:spacing w:val="-29"/>
        </w:rPr>
        <w:t>，</w:t>
      </w:r>
      <w:r>
        <w:rPr/>
        <w:t>通常将多次交易作</w:t>
      </w:r>
      <w:r>
        <w:rPr>
          <w:spacing w:val="-28"/>
        </w:rPr>
        <w:t>为</w:t>
      </w:r>
      <w:r>
        <w:rPr>
          <w:spacing w:val="2"/>
        </w:rPr>
        <w:t>“</w:t>
      </w:r>
      <w:r>
        <w:rPr/>
        <w:t>一揽子交易</w:t>
      </w:r>
      <w:r>
        <w:rPr>
          <w:spacing w:val="-29"/>
        </w:rPr>
        <w:t>”</w:t>
      </w:r>
      <w:r>
        <w:rPr/>
        <w:t>进行会计处理</w:t>
      </w:r>
      <w:r>
        <w:rPr>
          <w:spacing w:val="-89"/>
        </w:rPr>
        <w:t>：</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a</w:t>
      </w:r>
      <w:r>
        <w:rPr/>
        <w:t>）这些交易是同时或者在考虑了彼此影响的情况下订立的。</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b</w:t>
      </w:r>
      <w:r>
        <w:rPr/>
        <w:t>）这些交易整体才能达成一项完整的商业结果。</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c</w:t>
      </w:r>
      <w:r>
        <w:rPr/>
        <w:t>）一项交易的发生取决于其他至少一项交易的发生。</w:t>
      </w:r>
      <w:r>
        <w:rPr>
          <w:rFonts w:ascii="宋体" w:hAnsi="宋体" w:cs="宋体" w:eastAsia="宋体" w:hint="default"/>
        </w:rPr>
        <w:t> </w:t>
      </w:r>
    </w:p>
    <w:p>
      <w:pPr>
        <w:pStyle w:val="BodyText"/>
        <w:spacing w:line="240" w:lineRule="auto" w:before="76"/>
        <w:ind w:left="633" w:right="1133"/>
        <w:jc w:val="left"/>
        <w:rPr>
          <w:rFonts w:ascii="宋体" w:hAnsi="宋体" w:cs="宋体" w:eastAsia="宋体" w:hint="default"/>
        </w:rPr>
      </w:pPr>
      <w:r>
        <w:rPr/>
        <w:t>（</w:t>
      </w:r>
      <w:r>
        <w:rPr>
          <w:rFonts w:ascii="宋体" w:hAnsi="宋体" w:cs="宋体" w:eastAsia="宋体" w:hint="default"/>
        </w:rPr>
        <w:t>d</w:t>
      </w:r>
      <w:r>
        <w:rPr/>
        <w:t>）一项交易单独考虑时是不经济的，但是和其他交易一并考虑时是经济的。</w:t>
      </w:r>
      <w:r>
        <w:rPr>
          <w:rFonts w:ascii="宋体" w:hAnsi="宋体" w:cs="宋体" w:eastAsia="宋体" w:hint="default"/>
        </w:rPr>
        <w:t> </w:t>
      </w:r>
    </w:p>
    <w:p>
      <w:pPr>
        <w:pStyle w:val="BodyText"/>
        <w:spacing w:line="319" w:lineRule="auto" w:before="76"/>
        <w:ind w:left="633" w:right="1133"/>
        <w:jc w:val="left"/>
      </w:pPr>
      <w:r>
        <w:rPr/>
        <w:t>⑤因子公司的少数股东增资而稀释母公司拥有的股权比例</w:t>
      </w:r>
      <w:r>
        <w:rPr>
          <w:rFonts w:ascii="宋体" w:hAnsi="宋体" w:cs="宋体" w:eastAsia="宋体" w:hint="default"/>
        </w:rPr>
        <w:t> </w:t>
      </w:r>
      <w:r>
        <w:rPr>
          <w:spacing w:val="-1"/>
        </w:rPr>
        <w:t>子公司的其他股东（少数股东）对子公司进行增资，由此稀释了母公司对子公司的股权比例。在合并财务报表中，按</w:t>
      </w:r>
    </w:p>
    <w:p>
      <w:pPr>
        <w:pStyle w:val="BodyText"/>
        <w:spacing w:line="316" w:lineRule="auto" w:before="17"/>
        <w:ind w:right="0"/>
        <w:jc w:val="left"/>
        <w:rPr>
          <w:rFonts w:ascii="宋体" w:hAnsi="宋体" w:cs="宋体" w:eastAsia="宋体" w:hint="default"/>
        </w:rPr>
      </w:pPr>
      <w:r>
        <w:rPr>
          <w:spacing w:val="-2"/>
        </w:rPr>
        <w:t>照增资前的母公司股权比例计算其在增资前子公司账面净资产中的份额，该份额与增资后按照母公司持股比例计算的在增资</w:t>
      </w:r>
      <w:r>
        <w:rPr>
          <w:spacing w:val="-64"/>
        </w:rPr>
        <w:t> </w:t>
      </w:r>
      <w:r>
        <w:rPr>
          <w:spacing w:val="-64"/>
        </w:rPr>
      </w:r>
      <w:r>
        <w:rPr>
          <w:spacing w:val="-4"/>
        </w:rPr>
        <w:t>后子公司账面净资产份额之间的差额调整资本公积（资本溢价或股本溢价），资本公积（资本溢价或股本溢价）不足冲减的，</w:t>
      </w:r>
      <w:r>
        <w:rPr>
          <w:spacing w:val="-43"/>
        </w:rPr>
        <w:t> </w:t>
      </w:r>
      <w:r>
        <w:rPr>
          <w:spacing w:val="-43"/>
        </w:rPr>
      </w:r>
      <w:r>
        <w:rPr/>
        <w:t>调整留存收益。</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34"/>
        <w:jc w:val="left"/>
      </w:pPr>
      <w:r>
        <w:rPr>
          <w:rFonts w:ascii="宋体" w:hAnsi="宋体" w:cs="宋体" w:eastAsia="宋体" w:hint="default"/>
          <w:spacing w:val="90"/>
        </w:rPr>
        <w:t> </w:t>
      </w:r>
      <w:r>
        <w:rPr>
          <w:rFonts w:ascii="宋体" w:hAnsi="宋体" w:cs="宋体" w:eastAsia="宋体" w:hint="default"/>
        </w:rPr>
        <w:t>  </w:t>
      </w:r>
      <w:r>
        <w:rPr/>
        <w:t>现金指企业库存现金及可以随时用于支付的存款。现金等价物指持有的期限短（一般是指从购买日起三个月内到期）、 流动性强、易于转换为已知金额现金、价值变动风险很小的投资。</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spacing w:line="417" w:lineRule="auto" w:before="0"/>
        <w:ind w:left="633" w:right="3793" w:firstLine="2"/>
        <w:jc w:val="left"/>
        <w:rPr>
          <w:rFonts w:ascii="宋体" w:hAnsi="宋体" w:cs="宋体" w:eastAsia="宋体" w:hint="default"/>
          <w:sz w:val="18"/>
          <w:szCs w:val="18"/>
        </w:rPr>
      </w:pPr>
      <w:r>
        <w:rPr>
          <w:rFonts w:ascii="宋体" w:hAnsi="宋体" w:cs="宋体" w:eastAsia="宋体" w:hint="default"/>
          <w:b/>
          <w:bCs/>
          <w:sz w:val="18"/>
          <w:szCs w:val="18"/>
        </w:rPr>
        <w:t>自</w:t>
      </w:r>
      <w:r>
        <w:rPr>
          <w:rFonts w:ascii="Times New Roman" w:hAnsi="Times New Roman" w:cs="Times New Roman" w:eastAsia="Times New Roman" w:hint="default"/>
          <w:b/>
          <w:bCs/>
          <w:sz w:val="18"/>
          <w:szCs w:val="18"/>
        </w:rPr>
        <w:t>2019</w:t>
      </w:r>
      <w:r>
        <w:rPr>
          <w:rFonts w:ascii="宋体" w:hAnsi="宋体" w:cs="宋体" w:eastAsia="宋体" w:hint="default"/>
          <w:b/>
          <w:bCs/>
          <w:sz w:val="18"/>
          <w:szCs w:val="18"/>
        </w:rPr>
        <w:t>年</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月</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日起适用</w:t>
      </w:r>
      <w:r>
        <w:rPr>
          <w:rFonts w:ascii="宋体" w:hAnsi="宋体" w:cs="宋体" w:eastAsia="宋体" w:hint="default"/>
          <w:b/>
          <w:bCs/>
          <w:w w:val="99"/>
          <w:sz w:val="18"/>
          <w:szCs w:val="18"/>
        </w:rPr>
        <w:t> </w:t>
      </w:r>
      <w:r>
        <w:rPr>
          <w:rFonts w:ascii="宋体" w:hAnsi="宋体" w:cs="宋体" w:eastAsia="宋体" w:hint="default"/>
          <w:sz w:val="18"/>
          <w:szCs w:val="18"/>
        </w:rPr>
        <w:t>金融工具，是指形成一方的金融资产并形成其他方的金融负债或权益工具的合同。</w:t>
      </w:r>
    </w:p>
    <w:p>
      <w:pPr>
        <w:pStyle w:val="Heading4"/>
        <w:spacing w:line="240" w:lineRule="auto" w:before="63"/>
        <w:ind w:right="1133"/>
        <w:jc w:val="left"/>
        <w:rPr>
          <w:b w:val="0"/>
          <w:bCs w:val="0"/>
        </w:rPr>
      </w:pPr>
      <w:r>
        <w:rPr/>
        <w:t>（</w:t>
      </w:r>
      <w:r>
        <w:rPr>
          <w:rFonts w:ascii="Times New Roman" w:hAnsi="Times New Roman" w:cs="Times New Roman" w:eastAsia="Times New Roman" w:hint="default"/>
        </w:rPr>
        <w:t>1</w:t>
      </w:r>
      <w:r>
        <w:rPr/>
        <w:t>）金融工具的确认和终止确认</w:t>
      </w:r>
      <w:r>
        <w:rPr>
          <w:b w:val="0"/>
          <w:bCs w:val="0"/>
        </w:rPr>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pStyle w:val="BodyText"/>
        <w:spacing w:line="439" w:lineRule="auto" w:before="44"/>
        <w:ind w:left="633" w:right="4513"/>
        <w:jc w:val="left"/>
      </w:pPr>
      <w:r>
        <w:rPr/>
        <w:t>当本公司成为金融工具合同的一方时，确认相关的金融资产或金融负债。 金融资产满足下列条件之一的，终止确认：</w:t>
      </w:r>
    </w:p>
    <w:p>
      <w:pPr>
        <w:pStyle w:val="BodyText"/>
        <w:spacing w:line="240" w:lineRule="auto" w:before="47"/>
        <w:ind w:left="633" w:right="1133"/>
        <w:jc w:val="left"/>
      </w:pPr>
      <w:r>
        <w:rPr/>
        <w:t>①收取该金融资产现金流量的合同权利终止；</w:t>
      </w:r>
    </w:p>
    <w:p>
      <w:pPr>
        <w:pStyle w:val="BodyText"/>
        <w:spacing w:line="430" w:lineRule="atLeast" w:before="2"/>
        <w:ind w:left="633" w:right="0"/>
        <w:jc w:val="left"/>
      </w:pPr>
      <w:r>
        <w:rPr/>
        <w:t>②该金融资产已转移，且符合下述金融资产转移的终止确认条件。 </w:t>
      </w:r>
      <w:r>
        <w:rPr>
          <w:spacing w:val="-1"/>
        </w:rPr>
        <w:t>金融负债（或其一部分）的现时义务已经解除的，终止确认该金融负债（或该部分金融负债）。本公司（借入方）与</w:t>
      </w:r>
    </w:p>
    <w:p>
      <w:pPr>
        <w:pStyle w:val="BodyText"/>
        <w:spacing w:line="316" w:lineRule="auto" w:before="76"/>
        <w:ind w:right="1130"/>
        <w:jc w:val="both"/>
      </w:pPr>
      <w:r>
        <w:rPr>
          <w:spacing w:val="-2"/>
        </w:rPr>
        <w:t>借出方之间签订协议，以承担新金融负债方式替换原金融负债，且新金融负债与原金融负债的合同条款实质上不同的，终止</w:t>
      </w:r>
      <w:r>
        <w:rPr>
          <w:spacing w:val="-63"/>
        </w:rPr>
        <w:t> </w:t>
      </w:r>
      <w:r>
        <w:rPr>
          <w:spacing w:val="-63"/>
        </w:rPr>
      </w:r>
      <w:r>
        <w:rPr>
          <w:spacing w:val="-2"/>
        </w:rPr>
        <w:t>确认原金融负债，并同时确认新金融负债。本公司对原金融负债（或其一部分）的合同条款作出实质性修改的，应当终止原</w:t>
      </w:r>
      <w:r>
        <w:rPr>
          <w:spacing w:val="-67"/>
        </w:rPr>
        <w:t> </w:t>
      </w:r>
      <w:r>
        <w:rPr>
          <w:spacing w:val="-67"/>
        </w:rPr>
      </w:r>
      <w:r>
        <w:rPr/>
        <w:t>金融负债，同时按照修改后的条款确认一项新的金融负债。</w:t>
      </w:r>
    </w:p>
    <w:p>
      <w:pPr>
        <w:pStyle w:val="BodyText"/>
        <w:spacing w:line="319" w:lineRule="auto" w:before="139"/>
        <w:ind w:right="1131" w:firstLine="480"/>
        <w:jc w:val="both"/>
      </w:pPr>
      <w:r>
        <w:rPr>
          <w:spacing w:val="-1"/>
        </w:rPr>
        <w:t>以常规方式买卖金融资产，按交易日进行会计确认和终止确认。常规方式买卖金融资产，是指按照合同条款规定，在</w:t>
      </w:r>
      <w:r>
        <w:rPr/>
        <w:t> 法规或市场惯例所确定的时间安排来交付金融资产。交易日，是指本公司承诺买入或卖出金融资产的日期。</w:t>
      </w:r>
    </w:p>
    <w:p>
      <w:pPr>
        <w:spacing w:line="432" w:lineRule="exact" w:before="1"/>
        <w:ind w:left="633" w:right="113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）金融资产的分类与计量</w:t>
      </w:r>
      <w:r>
        <w:rPr>
          <w:rFonts w:ascii="宋体" w:hAnsi="宋体" w:cs="宋体" w:eastAsia="宋体" w:hint="default"/>
          <w:b/>
          <w:bCs/>
          <w:w w:val="99"/>
          <w:sz w:val="18"/>
          <w:szCs w:val="18"/>
        </w:rPr>
        <w:t> </w:t>
      </w:r>
      <w:r>
        <w:rPr>
          <w:rFonts w:ascii="宋体" w:hAnsi="宋体" w:cs="宋体" w:eastAsia="宋体" w:hint="default"/>
          <w:spacing w:val="-1"/>
          <w:sz w:val="18"/>
          <w:szCs w:val="18"/>
        </w:rPr>
        <w:t>本公司在初始确认时根据管理金融资产的业务模式和金融资产的合同现金流量特征，将金融资产分类为：以摊余成本</w:t>
      </w:r>
    </w:p>
    <w:p>
      <w:pPr>
        <w:pStyle w:val="BodyText"/>
        <w:spacing w:line="316" w:lineRule="auto" w:before="15"/>
        <w:ind w:right="1130"/>
        <w:jc w:val="both"/>
      </w:pPr>
      <w:r>
        <w:rPr>
          <w:spacing w:val="-2"/>
        </w:rPr>
        <w:t>计量的金融资产、以公允价值计量且其变动计入当期损益的金融资产、以公允价值计量且其变动计入其他综合收益的金融资</w:t>
      </w:r>
      <w:r>
        <w:rPr>
          <w:spacing w:val="-64"/>
        </w:rPr>
        <w:t> </w:t>
      </w:r>
      <w:r>
        <w:rPr>
          <w:spacing w:val="-64"/>
        </w:rPr>
      </w:r>
      <w:r>
        <w:rPr>
          <w:spacing w:val="-2"/>
        </w:rPr>
        <w:t>产。除非本公司改变管理金融资产的业务模式，在此情形下，所有受影响的相关金融资产在业务模式发生变更后的首个报告</w:t>
      </w:r>
      <w:r>
        <w:rPr>
          <w:spacing w:val="-63"/>
        </w:rPr>
        <w:t> </w:t>
      </w:r>
      <w:r>
        <w:rPr>
          <w:spacing w:val="-63"/>
        </w:rPr>
      </w:r>
      <w:r>
        <w:rPr/>
        <w:t>期间的第一天进行重分类，否则金融资产在初始确认后不得进行重分类。</w:t>
      </w:r>
    </w:p>
    <w:p>
      <w:pPr>
        <w:pStyle w:val="BodyText"/>
        <w:spacing w:line="316" w:lineRule="auto" w:before="139"/>
        <w:ind w:right="1130" w:firstLine="480"/>
        <w:jc w:val="both"/>
      </w:pPr>
      <w:r>
        <w:rPr>
          <w:spacing w:val="-1"/>
        </w:rPr>
        <w:t>金融资产在初始确认时以公允价值计量。对于以公允价值计量且其变动计入当期损益的金融资产，相关交易费用直接</w:t>
      </w:r>
      <w:r>
        <w:rPr/>
        <w:t> </w:t>
      </w:r>
      <w:r>
        <w:rPr>
          <w:spacing w:val="-2"/>
        </w:rPr>
        <w:t>计入当期损益，其他类别的金融资产相关交易费用计入其初始确认金额。因销售商品或提供劳务而产生的、未包含或不考虑</w:t>
      </w:r>
      <w:r>
        <w:rPr>
          <w:spacing w:val="-63"/>
        </w:rPr>
        <w:t> </w:t>
      </w:r>
      <w:r>
        <w:rPr>
          <w:spacing w:val="-63"/>
        </w:rPr>
      </w:r>
      <w:r>
        <w:rPr/>
        <w:t>重大融资成分的应收票据及应收账款，本公司则按照收入准则定义的交易价格进行初始计量。</w:t>
      </w:r>
    </w:p>
    <w:p>
      <w:pPr>
        <w:pStyle w:val="BodyText"/>
        <w:spacing w:line="240" w:lineRule="auto" w:before="139"/>
        <w:ind w:left="633" w:right="1133"/>
        <w:jc w:val="left"/>
      </w:pPr>
      <w:r>
        <w:rPr/>
        <w:t>金融资产的后续计量取决于其分类：</w:t>
      </w:r>
    </w:p>
    <w:p>
      <w:pPr>
        <w:pStyle w:val="BodyText"/>
        <w:spacing w:line="430" w:lineRule="atLeast" w:before="2"/>
        <w:ind w:left="633" w:right="1133"/>
        <w:jc w:val="left"/>
      </w:pPr>
      <w:r>
        <w:rPr/>
        <w:t>①以摊余成本计量的金融资产 </w:t>
      </w:r>
      <w:r>
        <w:rPr>
          <w:spacing w:val="-1"/>
        </w:rPr>
        <w:t>金融资产同时符合下列条件的，分类为以摊余成本计量的金融资产：本公司管理该金融资产的业务模式是以收取合同</w:t>
      </w:r>
    </w:p>
    <w:p>
      <w:pPr>
        <w:pStyle w:val="BodyText"/>
        <w:spacing w:line="316" w:lineRule="auto" w:before="76"/>
        <w:ind w:right="1130"/>
        <w:jc w:val="both"/>
      </w:pPr>
      <w:r>
        <w:rPr>
          <w:spacing w:val="-2"/>
        </w:rPr>
        <w:t>现金流量为目标；该金融资产的合同条款规定，在特定日期产生的现金流量，仅为对本金和以未偿付本金金额为基础的利息</w:t>
      </w:r>
      <w:r>
        <w:rPr>
          <w:spacing w:val="-63"/>
        </w:rPr>
        <w:t> </w:t>
      </w:r>
      <w:r>
        <w:rPr>
          <w:spacing w:val="-63"/>
        </w:rPr>
      </w:r>
      <w:r>
        <w:rPr>
          <w:spacing w:val="-2"/>
        </w:rPr>
        <w:t>的支付。对于此类金融资产，采用实际利率法，按照摊余成本进行后续计量，其终止确认、按实际利率法摊销或减值产生的</w:t>
      </w:r>
      <w:r>
        <w:rPr>
          <w:spacing w:val="-67"/>
        </w:rPr>
        <w:t> </w:t>
      </w:r>
      <w:r>
        <w:rPr>
          <w:spacing w:val="-67"/>
        </w:rPr>
      </w:r>
      <w:r>
        <w:rPr/>
        <w:t>利得或损失，均计入当期损益。</w:t>
      </w:r>
    </w:p>
    <w:p>
      <w:pPr>
        <w:pStyle w:val="BodyText"/>
        <w:spacing w:line="432" w:lineRule="exact" w:before="3"/>
        <w:ind w:left="633" w:right="1133"/>
        <w:jc w:val="left"/>
      </w:pPr>
      <w:r>
        <w:rPr/>
        <w:t>②以公允价值计量且其变动计入其他综合收益的金融资产 </w:t>
      </w:r>
      <w:r>
        <w:rPr>
          <w:spacing w:val="-1"/>
        </w:rPr>
        <w:t>金融资产同时符合下列条件的，分类为以公允价值计量且其变动计入其他综合收益的金融资产：本公司管理该金融资</w:t>
      </w:r>
    </w:p>
    <w:p>
      <w:pPr>
        <w:pStyle w:val="BodyText"/>
        <w:spacing w:line="319" w:lineRule="auto" w:before="15"/>
        <w:ind w:right="0"/>
        <w:jc w:val="left"/>
      </w:pPr>
      <w:r>
        <w:rPr>
          <w:spacing w:val="-2"/>
        </w:rPr>
        <w:t>产的业务模式是既以收取合同现金流量为目标又以出售金融资产为目标；该金融资产的合同条款规定，在特定日期产生的现</w:t>
      </w:r>
      <w:r>
        <w:rPr>
          <w:spacing w:val="-64"/>
        </w:rPr>
        <w:t> </w:t>
      </w:r>
      <w:r>
        <w:rPr>
          <w:spacing w:val="-64"/>
        </w:rPr>
      </w:r>
      <w:r>
        <w:rPr>
          <w:spacing w:val="-2"/>
        </w:rPr>
        <w:t>金流量，仅为对本金和以未偿付本金金额为基础的利息的支付。对于此类金融资产，采用公允价值进行后续计量。除减值损</w:t>
      </w:r>
      <w:r>
        <w:rPr>
          <w:spacing w:val="-64"/>
        </w:rPr>
        <w:t> </w:t>
      </w:r>
      <w:r>
        <w:rPr>
          <w:spacing w:val="-64"/>
        </w:rPr>
      </w:r>
      <w:r>
        <w:rPr>
          <w:spacing w:val="-4"/>
        </w:rPr>
        <w:t>失或利得及汇兑损益确认为当期损益外，此类金融资产的公允价值变动作为其他综合收益确认，直到该金融资产终止确认时，</w:t>
      </w:r>
      <w:r>
        <w:rPr>
          <w:spacing w:val="-44"/>
        </w:rPr>
        <w:t> </w:t>
      </w:r>
      <w:r>
        <w:rPr>
          <w:spacing w:val="-44"/>
        </w:rPr>
      </w:r>
      <w:r>
        <w:rPr/>
        <w:t>其累计利得或损失转入当期损益。但是采用实际利率法计算的该金融资产的相关利息收入计入当期损益。</w:t>
      </w:r>
    </w:p>
    <w:p>
      <w:pPr>
        <w:pStyle w:val="BodyText"/>
        <w:spacing w:line="316" w:lineRule="auto" w:before="137"/>
        <w:ind w:right="1111" w:firstLine="480"/>
        <w:jc w:val="both"/>
      </w:pPr>
      <w:r>
        <w:rPr/>
        <w:t>本公司不可撤销地选择将部分非交易性权益工具投资指定为以公允价值计量且其变动计入其他综合收益的金融资产， </w:t>
      </w:r>
      <w:r>
        <w:rPr>
          <w:spacing w:val="-2"/>
        </w:rPr>
        <w:t>仅将相关股利收入计入当期损益，公允价值变动作为其他综合收益确认，直到该金融资产终止确认时，其累计利得或损失转</w:t>
      </w:r>
      <w:r>
        <w:rPr>
          <w:spacing w:val="-63"/>
        </w:rPr>
        <w:t> </w:t>
      </w:r>
      <w:r>
        <w:rPr>
          <w:spacing w:val="-63"/>
        </w:rPr>
      </w:r>
      <w:r>
        <w:rPr/>
        <w:t>入留存收益。</w:t>
      </w:r>
    </w:p>
    <w:p>
      <w:pPr>
        <w:pStyle w:val="BodyText"/>
        <w:spacing w:line="432" w:lineRule="exact" w:before="3"/>
        <w:ind w:left="633" w:right="0"/>
        <w:jc w:val="left"/>
      </w:pPr>
      <w:r>
        <w:rPr/>
        <w:t>③以公允价值计量且其变动计入当期损益的金融资产 </w:t>
      </w:r>
      <w:r>
        <w:rPr>
          <w:spacing w:val="-1"/>
        </w:rPr>
        <w:t>上述以摊余成本计量的金融资产和以公允价值计量且其变动计入其他综合收益的金融资产之外的金融资产，分类为以</w:t>
      </w:r>
    </w:p>
    <w:p>
      <w:pPr>
        <w:pStyle w:val="BodyText"/>
        <w:spacing w:line="319" w:lineRule="auto" w:before="15"/>
        <w:ind w:right="1130"/>
        <w:jc w:val="both"/>
      </w:pPr>
      <w:r>
        <w:rPr>
          <w:spacing w:val="-2"/>
        </w:rPr>
        <w:t>公允价值计量且其变动计入当期损益的金融资产。对于此类金融资产，采用公允价值进行后续计量，所有公允价值变动计入</w:t>
      </w:r>
      <w:r>
        <w:rPr>
          <w:spacing w:val="-63"/>
        </w:rPr>
        <w:t> </w:t>
      </w:r>
      <w:r>
        <w:rPr>
          <w:spacing w:val="-63"/>
        </w:rPr>
      </w:r>
      <w:r>
        <w:rPr/>
        <w:t>当期损益。</w:t>
      </w:r>
    </w:p>
    <w:p>
      <w:pPr>
        <w:pStyle w:val="Heading4"/>
        <w:spacing w:line="240" w:lineRule="auto" w:before="137"/>
        <w:ind w:right="1133"/>
        <w:jc w:val="left"/>
        <w:rPr>
          <w:b w:val="0"/>
          <w:bCs w:val="0"/>
        </w:rPr>
      </w:pPr>
      <w:r>
        <w:rPr/>
        <w:t>（</w:t>
      </w:r>
      <w:r>
        <w:rPr>
          <w:rFonts w:ascii="Times New Roman" w:hAnsi="Times New Roman" w:cs="Times New Roman" w:eastAsia="Times New Roman" w:hint="default"/>
        </w:rPr>
        <w:t>3</w:t>
      </w:r>
      <w:r>
        <w:rPr/>
        <w:t>）金融负债的分类与计量</w:t>
      </w:r>
      <w:r>
        <w:rPr>
          <w:b w:val="0"/>
          <w:bCs w:val="0"/>
        </w:rPr>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right="1132" w:firstLine="480"/>
        <w:jc w:val="both"/>
      </w:pPr>
      <w:r>
        <w:rPr>
          <w:spacing w:val="-1"/>
        </w:rPr>
        <w:t>本公司将金融负债分类为以公允价值计量且其变动计入当期损益的金融负债、低于市场利率贷款的贷款承诺及财务担</w:t>
      </w:r>
      <w:r>
        <w:rPr/>
        <w:t> 保合同负债及以摊余成本计量的金融负债。</w:t>
      </w:r>
    </w:p>
    <w:p>
      <w:pPr>
        <w:pStyle w:val="BodyText"/>
        <w:spacing w:line="240" w:lineRule="auto" w:before="139"/>
        <w:ind w:left="633" w:right="1133"/>
        <w:jc w:val="left"/>
      </w:pPr>
      <w:r>
        <w:rPr/>
        <w:t>金融负债的后续计量取决于其分类：</w:t>
      </w:r>
    </w:p>
    <w:p>
      <w:pPr>
        <w:pStyle w:val="BodyText"/>
        <w:spacing w:line="430" w:lineRule="atLeast" w:before="2"/>
        <w:ind w:left="633" w:right="1133"/>
        <w:jc w:val="left"/>
      </w:pPr>
      <w:r>
        <w:rPr/>
        <w:t>①以公允价值计量且其变动计入当期损益的金融负债 </w:t>
      </w:r>
      <w:r>
        <w:rPr>
          <w:spacing w:val="-1"/>
        </w:rPr>
        <w:t>该类金融负债包括交易性金融负债（含属于金融负债的衍生工具）和指定为以公允价值计量且其变动计入当期损益的</w:t>
      </w:r>
    </w:p>
    <w:p>
      <w:pPr>
        <w:pStyle w:val="BodyText"/>
        <w:spacing w:line="316" w:lineRule="auto" w:before="76"/>
        <w:ind w:right="1133"/>
        <w:jc w:val="both"/>
      </w:pPr>
      <w:r>
        <w:rPr>
          <w:spacing w:val="-2"/>
        </w:rPr>
        <w:t>金融负债。初始确认后，对于该类金融负债以公允价值进行后续计量，除与套期会计有关外，产生的利得或损失（包括利息</w:t>
      </w:r>
      <w:r>
        <w:rPr>
          <w:spacing w:val="-67"/>
        </w:rPr>
        <w:t> </w:t>
      </w:r>
      <w:r>
        <w:rPr>
          <w:spacing w:val="-67"/>
        </w:rPr>
      </w:r>
      <w:r>
        <w:rPr>
          <w:spacing w:val="-2"/>
        </w:rPr>
        <w:t>费用）计入当期损益。但本公司对指定为以公允价值计量且其变动计入当期损益的金融负债，由其自身信用风险变动引起的</w:t>
      </w:r>
      <w:r>
        <w:rPr>
          <w:spacing w:val="-66"/>
        </w:rPr>
        <w:t> </w:t>
      </w:r>
      <w:r>
        <w:rPr>
          <w:spacing w:val="-66"/>
        </w:rPr>
      </w:r>
      <w:r>
        <w:rPr>
          <w:spacing w:val="-2"/>
        </w:rPr>
        <w:t>该金融负债公允价值的变动金额计入其他综合收益，当该金融负债终止确认时，之前计入其他综合收益的累计利得和损失应</w:t>
      </w:r>
      <w:r>
        <w:rPr>
          <w:spacing w:val="-64"/>
        </w:rPr>
        <w:t> </w:t>
      </w:r>
      <w:r>
        <w:rPr>
          <w:spacing w:val="-64"/>
        </w:rPr>
      </w:r>
      <w:r>
        <w:rPr/>
        <w:t>当从其他综合收益中转出，计入留存收益。</w:t>
      </w:r>
    </w:p>
    <w:p>
      <w:pPr>
        <w:pStyle w:val="BodyText"/>
        <w:spacing w:line="432" w:lineRule="exact" w:before="4"/>
        <w:ind w:left="633" w:right="0"/>
        <w:jc w:val="left"/>
      </w:pPr>
      <w:r>
        <w:rPr/>
        <w:t>②贷款承诺及财务担保合同负债 </w:t>
      </w:r>
      <w:r>
        <w:rPr>
          <w:spacing w:val="-1"/>
        </w:rPr>
        <w:t>贷款承诺是本公司向客户提供的一项在承诺期间内以既定的合同条款向客户发放贷款的承诺。贷款承诺按照预期信用</w:t>
      </w:r>
    </w:p>
    <w:p>
      <w:pPr>
        <w:pStyle w:val="BodyText"/>
        <w:spacing w:line="240" w:lineRule="auto" w:before="15"/>
        <w:ind w:right="0"/>
        <w:jc w:val="both"/>
      </w:pPr>
      <w:r>
        <w:rPr/>
        <w:t>损失模型计提减值损失。</w:t>
      </w:r>
    </w:p>
    <w:p>
      <w:pPr>
        <w:spacing w:line="240" w:lineRule="auto" w:before="0"/>
        <w:rPr>
          <w:rFonts w:ascii="宋体" w:hAnsi="宋体" w:cs="宋体" w:eastAsia="宋体" w:hint="default"/>
          <w:sz w:val="15"/>
          <w:szCs w:val="15"/>
        </w:rPr>
      </w:pPr>
    </w:p>
    <w:p>
      <w:pPr>
        <w:pStyle w:val="BodyText"/>
        <w:spacing w:line="316" w:lineRule="auto"/>
        <w:ind w:right="1133" w:firstLine="480"/>
        <w:jc w:val="both"/>
      </w:pPr>
      <w:r>
        <w:rPr>
          <w:spacing w:val="-1"/>
        </w:rPr>
        <w:t>财务担保合同指，当特定债务人到期不能按照最初或修改后的债务工具条款偿付债务时，要求本公司向蒙受损失的合</w:t>
      </w:r>
      <w:r>
        <w:rPr/>
        <w:t> </w:t>
      </w:r>
      <w:r>
        <w:rPr>
          <w:spacing w:val="-2"/>
        </w:rPr>
        <w:t>同持有人赔付特定金额的合同。财务担保合同负债以按照依据金融工具的减值原则所确定的损失准备金额以及初始确认金额</w:t>
      </w:r>
      <w:r>
        <w:rPr>
          <w:spacing w:val="-64"/>
        </w:rPr>
        <w:t> </w:t>
      </w:r>
      <w:r>
        <w:rPr>
          <w:spacing w:val="-64"/>
        </w:rPr>
      </w:r>
      <w:r>
        <w:rPr/>
        <w:t>扣除按收入确认原则确定的累计摊销额后的余额孰高进行后续计量。</w:t>
      </w:r>
    </w:p>
    <w:p>
      <w:pPr>
        <w:pStyle w:val="BodyText"/>
        <w:spacing w:line="439" w:lineRule="auto" w:before="139"/>
        <w:ind w:left="633" w:right="5233"/>
        <w:jc w:val="left"/>
      </w:pPr>
      <w:r>
        <w:rPr/>
        <w:t>③以摊余成本计量的金融负债 初始确认后，对其他金融负债采用实际利率法以摊余成本计量。 除特殊情况外，金融负债与权益工具按照下列原则进行区分：</w:t>
      </w:r>
    </w:p>
    <w:p>
      <w:pPr>
        <w:pStyle w:val="BodyText"/>
        <w:spacing w:line="316" w:lineRule="auto" w:before="47"/>
        <w:ind w:right="1133" w:firstLine="480"/>
        <w:jc w:val="both"/>
      </w:pPr>
      <w:r>
        <w:rPr>
          <w:spacing w:val="2"/>
        </w:rPr>
        <w:t>①如果本公司不能无条件地避免以交付现金或其他金融资产来履行一项合同义务，则该合同义务符合金融负债的定</w:t>
      </w:r>
      <w:r>
        <w:rPr/>
        <w:t> </w:t>
      </w:r>
      <w:r>
        <w:rPr>
          <w:spacing w:val="-2"/>
        </w:rPr>
        <w:t>义。有些金融工具虽然没有明确地包含交付现金或其他金融资产义务的条款和条件，但有可能通过其他条款和条件间接地形</w:t>
      </w:r>
      <w:r>
        <w:rPr>
          <w:spacing w:val="-64"/>
        </w:rPr>
        <w:t> </w:t>
      </w:r>
      <w:r>
        <w:rPr>
          <w:spacing w:val="-64"/>
        </w:rPr>
      </w:r>
      <w:r>
        <w:rPr/>
        <w:t>成合同义务。</w:t>
      </w:r>
    </w:p>
    <w:p>
      <w:pPr>
        <w:pStyle w:val="BodyText"/>
        <w:spacing w:line="316" w:lineRule="auto" w:before="139"/>
        <w:ind w:right="1133" w:firstLine="480"/>
        <w:jc w:val="both"/>
      </w:pPr>
      <w:r>
        <w:rPr>
          <w:spacing w:val="-1"/>
        </w:rPr>
        <w:t>②如果一项金融工具须用或可用本公司自身权益工具进行结算，需要考虑用于结算该工具的本公司自身权益工具，是</w:t>
      </w:r>
      <w:r>
        <w:rPr/>
        <w:t> </w:t>
      </w:r>
      <w:r>
        <w:rPr>
          <w:spacing w:val="-2"/>
        </w:rPr>
        <w:t>作为现金或其他金融资产的替代品，还是为了使该工具持有方享有在发行方扣除所有负债后的资产中的剩余权益。如果是前</w:t>
      </w:r>
      <w:r>
        <w:rPr>
          <w:spacing w:val="-64"/>
        </w:rPr>
        <w:t> </w:t>
      </w:r>
      <w:r>
        <w:rPr>
          <w:spacing w:val="-64"/>
        </w:rPr>
      </w:r>
      <w:r>
        <w:rPr>
          <w:spacing w:val="-2"/>
        </w:rPr>
        <w:t>者，该工具是发行方的金融负债；如果是后者，该工具是发行方的权益工具。在某些情况下，一项金融工具合同规定本公司</w:t>
      </w:r>
      <w:r>
        <w:rPr>
          <w:spacing w:val="-66"/>
        </w:rPr>
        <w:t> </w:t>
      </w:r>
      <w:r>
        <w:rPr>
          <w:spacing w:val="-66"/>
        </w:rPr>
      </w:r>
      <w:r>
        <w:rPr>
          <w:spacing w:val="-2"/>
        </w:rPr>
        <w:t>须用或可用自身权益工具结算该金融工具，其中合同权利或合同义务的金额等于可获取或需交付的自身权益工具的数量乘以</w:t>
      </w:r>
      <w:r>
        <w:rPr>
          <w:spacing w:val="-64"/>
        </w:rPr>
        <w:t> </w:t>
      </w:r>
      <w:r>
        <w:rPr>
          <w:spacing w:val="-64"/>
        </w:rPr>
      </w:r>
      <w:r>
        <w:rPr>
          <w:spacing w:val="-2"/>
        </w:rPr>
        <w:t>其结算时的公允价值，则无论该合同权利或合同义务的金额是固定的，还是完全或部分地基于除本公司自身权益工具的市场</w:t>
      </w:r>
      <w:r>
        <w:rPr>
          <w:spacing w:val="-64"/>
        </w:rPr>
        <w:t> </w:t>
      </w:r>
      <w:r>
        <w:rPr>
          <w:spacing w:val="-64"/>
        </w:rPr>
      </w:r>
      <w:r>
        <w:rPr/>
        <w:t>价格以外变量（例如利率、某种商品的价格或某项金融工具的价格）的变动而变动，该合同分类为金融负债。</w:t>
      </w:r>
    </w:p>
    <w:p>
      <w:pPr>
        <w:spacing w:line="432" w:lineRule="exact" w:before="4"/>
        <w:ind w:left="633" w:right="113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）衍生金融工具及嵌入衍生工具</w:t>
      </w:r>
      <w:r>
        <w:rPr>
          <w:rFonts w:ascii="宋体" w:hAnsi="宋体" w:cs="宋体" w:eastAsia="宋体" w:hint="default"/>
          <w:b/>
          <w:bCs/>
          <w:w w:val="99"/>
          <w:sz w:val="18"/>
          <w:szCs w:val="18"/>
        </w:rPr>
        <w:t> </w:t>
      </w:r>
      <w:r>
        <w:rPr>
          <w:rFonts w:ascii="宋体" w:hAnsi="宋体" w:cs="宋体" w:eastAsia="宋体" w:hint="default"/>
          <w:spacing w:val="-1"/>
          <w:sz w:val="18"/>
          <w:szCs w:val="18"/>
        </w:rPr>
        <w:t>衍生金融工具以衍生交易合同签订当日的公允价值进行初始计量，并以其公允价值进行后续计量。公允价值为正数的</w:t>
      </w:r>
    </w:p>
    <w:p>
      <w:pPr>
        <w:pStyle w:val="BodyText"/>
        <w:spacing w:line="240" w:lineRule="auto" w:before="15"/>
        <w:ind w:right="0"/>
        <w:jc w:val="both"/>
      </w:pPr>
      <w:r>
        <w:rPr/>
        <w:t>衍生金融工具确认为一项资产，公允价值为负数的确认为一项负债。</w:t>
      </w:r>
    </w:p>
    <w:p>
      <w:pPr>
        <w:spacing w:line="240" w:lineRule="auto" w:before="0"/>
        <w:rPr>
          <w:rFonts w:ascii="宋体" w:hAnsi="宋体" w:cs="宋体" w:eastAsia="宋体" w:hint="default"/>
          <w:sz w:val="15"/>
          <w:szCs w:val="15"/>
        </w:rPr>
      </w:pPr>
    </w:p>
    <w:p>
      <w:pPr>
        <w:pStyle w:val="BodyText"/>
        <w:spacing w:line="316" w:lineRule="auto"/>
        <w:ind w:right="1132" w:firstLine="480"/>
        <w:jc w:val="both"/>
      </w:pPr>
      <w:r>
        <w:rPr>
          <w:spacing w:val="-1"/>
        </w:rPr>
        <w:t>除现金流量套期中属于套期有效的部分计入其他综合收益并于被套期项目影响损益时转出计入当期损益之外，衍生工</w:t>
      </w:r>
      <w:r>
        <w:rPr/>
        <w:t> 具公允价值变动而产生的利得或损失，直接计入当期损益。</w:t>
      </w:r>
    </w:p>
    <w:p>
      <w:pPr>
        <w:pStyle w:val="BodyText"/>
        <w:spacing w:line="319" w:lineRule="auto" w:before="139"/>
        <w:ind w:right="1128" w:firstLine="480"/>
        <w:jc w:val="both"/>
      </w:pPr>
      <w:r>
        <w:rPr>
          <w:spacing w:val="-1"/>
        </w:rPr>
        <w:t>对包含嵌入衍生工具的混合工具，如主合同为金融资产的，混合工具作为一个整体适用金融资产分类的相关规定。如</w:t>
      </w:r>
      <w:r>
        <w:rPr/>
        <w:t> </w:t>
      </w:r>
      <w:r>
        <w:rPr>
          <w:spacing w:val="-2"/>
        </w:rPr>
        <w:t>主合同并非金融资产，且该混合工具不是以公允价值计量且其变动计入当期损益进行会计处理，嵌入衍生工具与该主合同在</w:t>
      </w:r>
      <w:r>
        <w:rPr>
          <w:spacing w:val="-64"/>
        </w:rPr>
        <w:t> </w:t>
      </w:r>
      <w:r>
        <w:rPr>
          <w:spacing w:val="-64"/>
        </w:rPr>
      </w:r>
      <w:r>
        <w:rPr>
          <w:spacing w:val="-2"/>
        </w:rPr>
        <w:t>经济特征及风险方面不存在紧密关系，且与嵌入衍生工具条件相同、单独存在的工具符合衍生工具定义的，嵌入衍生工具从</w:t>
      </w:r>
      <w:r>
        <w:rPr>
          <w:spacing w:val="-61"/>
        </w:rPr>
        <w:t> </w:t>
      </w:r>
      <w:r>
        <w:rPr>
          <w:spacing w:val="-61"/>
        </w:rPr>
      </w:r>
      <w:r>
        <w:rPr>
          <w:spacing w:val="-2"/>
        </w:rPr>
        <w:t>混合工具中分拆，作为单独的衍生金融工具处理。如果该嵌入衍生工具在取得日或后续资产负债表日的公允价值无法单独计</w:t>
      </w:r>
      <w:r>
        <w:rPr>
          <w:spacing w:val="-64"/>
        </w:rPr>
        <w:t> </w:t>
      </w:r>
      <w:r>
        <w:rPr>
          <w:spacing w:val="-64"/>
        </w:rPr>
      </w:r>
      <w:r>
        <w:rPr/>
        <w:t>量，则将混合工具整体指定为以公允价值计量且其变动计入当期损益的金融资产或金融负债。</w:t>
      </w:r>
    </w:p>
    <w:p>
      <w:pPr>
        <w:pStyle w:val="Heading4"/>
        <w:spacing w:line="240" w:lineRule="auto" w:before="137"/>
        <w:ind w:right="1133"/>
        <w:jc w:val="left"/>
        <w:rPr>
          <w:b w:val="0"/>
          <w:bCs w:val="0"/>
        </w:rPr>
      </w:pPr>
      <w:r>
        <w:rPr/>
        <w:t>（</w:t>
      </w:r>
      <w:r>
        <w:rPr>
          <w:rFonts w:ascii="Times New Roman" w:hAnsi="Times New Roman" w:cs="Times New Roman" w:eastAsia="Times New Roman" w:hint="default"/>
        </w:rPr>
        <w:t>5</w:t>
      </w:r>
      <w:r>
        <w:rPr/>
        <w:t>）金融工具减值</w:t>
      </w:r>
      <w:r>
        <w:rPr>
          <w:b w:val="0"/>
          <w:bCs w:val="0"/>
        </w:rPr>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right="1132" w:firstLine="480"/>
        <w:jc w:val="both"/>
      </w:pPr>
      <w:r>
        <w:rPr>
          <w:spacing w:val="-1"/>
        </w:rPr>
        <w:t>本公司对于以摊余成本计量的金融资产、以公允价值计量且其变动计入其他综合收益的债权投资、合同资产、租赁应</w:t>
      </w:r>
      <w:r>
        <w:rPr/>
        <w:t> 收款、贷款承诺及财务担保合同等，以预期信用损失为基础确认损失准备。</w:t>
      </w:r>
    </w:p>
    <w:p>
      <w:pPr>
        <w:pStyle w:val="BodyText"/>
        <w:spacing w:line="432" w:lineRule="exact" w:before="3"/>
        <w:ind w:left="633" w:right="0"/>
        <w:jc w:val="left"/>
      </w:pPr>
      <w:r>
        <w:rPr/>
        <w:t>①预期信用损失的计量 </w:t>
      </w:r>
      <w:r>
        <w:rPr>
          <w:spacing w:val="-1"/>
        </w:rPr>
        <w:t>预期信用损失，是指以发生违约的风险为权重的金融工具信用损失的加权平均值。信用损失，是指本公司按照原实际</w:t>
      </w:r>
    </w:p>
    <w:p>
      <w:pPr>
        <w:pStyle w:val="BodyText"/>
        <w:spacing w:line="316" w:lineRule="auto" w:before="15"/>
        <w:ind w:right="1131"/>
        <w:jc w:val="both"/>
      </w:pPr>
      <w:r>
        <w:rPr>
          <w:spacing w:val="-2"/>
        </w:rPr>
        <w:t>利率折现的、根据合同应收的所有合同现金流量与预期收取的所有现金流量之间的差额，即全部现金短缺的现值。其中，对</w:t>
      </w:r>
      <w:r>
        <w:rPr>
          <w:spacing w:val="-64"/>
        </w:rPr>
        <w:t> </w:t>
      </w:r>
      <w:r>
        <w:rPr>
          <w:spacing w:val="-64"/>
        </w:rPr>
      </w:r>
      <w:r>
        <w:rPr/>
        <w:t>于本公司购买或源生的已发生信用减值的金融资产，应按照该金融资产经信用调整的实际利率折现。</w:t>
      </w:r>
    </w:p>
    <w:p>
      <w:pPr>
        <w:pStyle w:val="BodyText"/>
        <w:spacing w:line="432" w:lineRule="exact" w:before="3"/>
        <w:ind w:left="633" w:right="0"/>
        <w:jc w:val="left"/>
      </w:pPr>
      <w:r>
        <w:rPr/>
        <w:t>整个存续期预期信用损失，是指因金融工具整个预计存续期内所有可能发生的违约事件而导致的预期信用损失。 </w:t>
      </w:r>
      <w:r>
        <w:rPr>
          <w:spacing w:val="-1"/>
        </w:rPr>
        <w:t>未来</w:t>
      </w:r>
      <w:r>
        <w:rPr>
          <w:rFonts w:ascii="Times New Roman" w:hAnsi="Times New Roman" w:cs="Times New Roman" w:eastAsia="Times New Roman" w:hint="default"/>
          <w:spacing w:val="-1"/>
        </w:rPr>
        <w:t>12</w:t>
      </w:r>
      <w:r>
        <w:rPr>
          <w:spacing w:val="-1"/>
        </w:rPr>
        <w:t>个月内预期信用损失，是指因资产负债表日后</w:t>
      </w:r>
      <w:r>
        <w:rPr>
          <w:rFonts w:ascii="Times New Roman" w:hAnsi="Times New Roman" w:cs="Times New Roman" w:eastAsia="Times New Roman" w:hint="default"/>
          <w:spacing w:val="-1"/>
        </w:rPr>
        <w:t>12</w:t>
      </w:r>
      <w:r>
        <w:rPr>
          <w:spacing w:val="-1"/>
        </w:rPr>
        <w:t>个月内（若金融工具的预计存续期少于</w:t>
      </w:r>
      <w:r>
        <w:rPr>
          <w:rFonts w:ascii="Times New Roman" w:hAnsi="Times New Roman" w:cs="Times New Roman" w:eastAsia="Times New Roman" w:hint="default"/>
          <w:spacing w:val="-1"/>
        </w:rPr>
        <w:t>12</w:t>
      </w:r>
      <w:r>
        <w:rPr>
          <w:spacing w:val="-1"/>
        </w:rPr>
        <w:t>个月，则为预计存续</w:t>
      </w:r>
    </w:p>
    <w:p>
      <w:pPr>
        <w:pStyle w:val="BodyText"/>
        <w:spacing w:line="240" w:lineRule="auto" w:before="15"/>
        <w:ind w:right="0"/>
        <w:jc w:val="both"/>
      </w:pPr>
      <w:r>
        <w:rPr/>
        <w:t>期）可能发生的金融工具违约事件而导致的预期信用损失，是整个存续期预期信用损失的一部分。</w:t>
      </w:r>
    </w:p>
    <w:p>
      <w:pPr>
        <w:spacing w:line="240" w:lineRule="auto" w:before="1"/>
        <w:rPr>
          <w:rFonts w:ascii="宋体" w:hAnsi="宋体" w:cs="宋体" w:eastAsia="宋体" w:hint="default"/>
          <w:sz w:val="15"/>
          <w:szCs w:val="15"/>
        </w:rPr>
      </w:pPr>
    </w:p>
    <w:p>
      <w:pPr>
        <w:pStyle w:val="BodyText"/>
        <w:spacing w:line="312" w:lineRule="auto"/>
        <w:ind w:right="1129" w:firstLine="480"/>
        <w:jc w:val="both"/>
      </w:pPr>
      <w:r>
        <w:rPr>
          <w:spacing w:val="-1"/>
        </w:rPr>
        <w:t>于每个资产负债表日，本公司对于处于不同阶段的金融工具的预期信用损失分别进行计量。金融工具自初始确认后信</w:t>
      </w:r>
      <w:r>
        <w:rPr/>
        <w:t> </w:t>
      </w:r>
      <w:r>
        <w:rPr>
          <w:spacing w:val="-2"/>
        </w:rPr>
        <w:t>用风险未显著增加的，处于第一阶段，本公司按照未来</w:t>
      </w:r>
      <w:r>
        <w:rPr>
          <w:rFonts w:ascii="Times New Roman" w:hAnsi="Times New Roman" w:cs="Times New Roman" w:eastAsia="Times New Roman" w:hint="default"/>
          <w:spacing w:val="-2"/>
        </w:rPr>
        <w:t>12</w:t>
      </w:r>
      <w:r>
        <w:rPr>
          <w:spacing w:val="-2"/>
        </w:rPr>
        <w:t>个月内的预期信用损失计量损失准备；金融工具自初始确认后信用</w:t>
      </w:r>
      <w:r>
        <w:rPr>
          <w:spacing w:val="-61"/>
        </w:rPr>
        <w:t> </w:t>
      </w:r>
      <w:r>
        <w:rPr>
          <w:spacing w:val="-61"/>
        </w:rPr>
      </w:r>
      <w:r>
        <w:rPr>
          <w:spacing w:val="-2"/>
        </w:rPr>
        <w:t>风险已显著增加但尚未发生信用减值的，处于第二阶段，本公司按照该工具整个存续期的预期信用损失计量损失准备；金融</w:t>
      </w:r>
      <w:r>
        <w:rPr>
          <w:spacing w:val="-66"/>
        </w:rPr>
        <w:t> </w:t>
      </w:r>
      <w:r>
        <w:rPr>
          <w:spacing w:val="-66"/>
        </w:rPr>
      </w:r>
      <w:r>
        <w:rPr/>
        <w:t>工具自初始确认后已经发生信用减值的，处于第三阶段，本公司按照该工具整个存续期的预期信用损失计量损失准备。</w:t>
      </w:r>
    </w:p>
    <w:p>
      <w:pPr>
        <w:pStyle w:val="BodyText"/>
        <w:spacing w:line="300" w:lineRule="auto" w:before="142"/>
        <w:ind w:right="1131" w:firstLine="480"/>
        <w:jc w:val="both"/>
      </w:pPr>
      <w:r>
        <w:rPr>
          <w:spacing w:val="-1"/>
        </w:rPr>
        <w:t>对于在资产负债表日具有较低信用风险的金融工具，本公司假设其信用风险自初始确认后并未显著增加，按照未来</w:t>
      </w:r>
      <w:r>
        <w:rPr>
          <w:rFonts w:ascii="Times New Roman" w:hAnsi="Times New Roman" w:cs="Times New Roman" w:eastAsia="Times New Roman" w:hint="default"/>
          <w:spacing w:val="-1"/>
        </w:rPr>
        <w:t>12</w:t>
      </w:r>
      <w:r>
        <w:rPr>
          <w:rFonts w:ascii="Times New Roman" w:hAnsi="Times New Roman" w:cs="Times New Roman" w:eastAsia="Times New Roman" w:hint="default"/>
          <w:spacing w:val="1"/>
        </w:rPr>
        <w:t> </w:t>
      </w:r>
      <w:r>
        <w:rPr/>
        <w:t>个月内的预期信用损失计量损失准备。</w:t>
      </w:r>
    </w:p>
    <w:p>
      <w:pPr>
        <w:pStyle w:val="BodyText"/>
        <w:spacing w:line="316" w:lineRule="auto" w:before="151"/>
        <w:ind w:right="1051" w:firstLine="480"/>
        <w:jc w:val="both"/>
      </w:pPr>
      <w:r>
        <w:rPr/>
        <w:t>本公司对于处于第一阶段和第二阶段、以及较低信用风险的金融工具，按照其未扣除减值准备的账面余额和实际利率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BodyText"/>
        <w:spacing w:line="240" w:lineRule="auto" w:before="139"/>
        <w:ind w:left="633" w:right="1133"/>
        <w:jc w:val="left"/>
      </w:pPr>
      <w:r>
        <w:rPr/>
        <w:t>对于应收账款，无论是否存在重大融资成分，本公司均按照整个存续期的预期信用损失计量损失准备。</w:t>
      </w:r>
    </w:p>
    <w:p>
      <w:pPr>
        <w:pStyle w:val="BodyText"/>
        <w:spacing w:line="420" w:lineRule="atLeast" w:before="26"/>
        <w:ind w:left="63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8"/>
        </w:rPr>
        <w:t> </w:t>
      </w:r>
      <w:r>
        <w:rPr/>
        <w:t>应收款项 </w:t>
      </w:r>
      <w:r>
        <w:rPr>
          <w:spacing w:val="-1"/>
        </w:rPr>
        <w:t>对于存在客观证据表明存在减值，以及其他适用于单项评估的应收账款，其他应收款及长期应收款等单独进行减值测</w:t>
      </w:r>
    </w:p>
    <w:p>
      <w:pPr>
        <w:pStyle w:val="BodyText"/>
        <w:spacing w:line="316" w:lineRule="auto" w:before="76"/>
        <w:ind w:right="1130"/>
        <w:jc w:val="both"/>
      </w:pPr>
      <w:r>
        <w:rPr>
          <w:spacing w:val="-2"/>
        </w:rPr>
        <w:t>试，确认预期信用损失，计提单项减值准备。对于不存在减值客观证据的应收账款、其他应收款及长期应收款或当单项金融</w:t>
      </w:r>
      <w:r>
        <w:rPr>
          <w:spacing w:val="-63"/>
        </w:rPr>
        <w:t> </w:t>
      </w:r>
      <w:r>
        <w:rPr>
          <w:spacing w:val="-63"/>
        </w:rPr>
      </w:r>
      <w:r>
        <w:rPr>
          <w:spacing w:val="-2"/>
        </w:rPr>
        <w:t>资产无法以合理成本评估预期信用损失的信息时，本公司依据信用风险特征将应收账款、其他应收款及长期应收款等划分为</w:t>
      </w:r>
      <w:r>
        <w:rPr>
          <w:spacing w:val="-64"/>
        </w:rPr>
        <w:t> </w:t>
      </w:r>
      <w:r>
        <w:rPr>
          <w:spacing w:val="-64"/>
        </w:rPr>
      </w:r>
      <w:r>
        <w:rPr/>
        <w:t>若干组合，在组合基础上计算预期信用损失，确定组合的依据如下：</w:t>
      </w:r>
    </w:p>
    <w:p>
      <w:pPr>
        <w:pStyle w:val="BodyText"/>
        <w:spacing w:line="240" w:lineRule="auto" w:before="139"/>
        <w:ind w:left="633" w:right="1133"/>
        <w:jc w:val="left"/>
      </w:pPr>
      <w:r>
        <w:rPr/>
        <w:t>应收账款确定组合的依据如下：</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90"/>
        <w:gridCol w:w="5701"/>
      </w:tblGrid>
      <w:tr>
        <w:trPr>
          <w:trHeight w:val="34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应收销售货款及提供服务款</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r>
      <w:tr>
        <w:trPr>
          <w:trHeight w:val="34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应收保理款</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本组合以应收款项的风险等级作为信用风险特征</w:t>
            </w:r>
          </w:p>
        </w:tc>
      </w:tr>
      <w:tr>
        <w:trPr>
          <w:trHeight w:val="344"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r>
              <w:rPr>
                <w:rFonts w:ascii="宋体" w:hAnsi="宋体" w:cs="宋体" w:eastAsia="宋体" w:hint="default"/>
                <w:sz w:val="18"/>
                <w:szCs w:val="18"/>
              </w:rPr>
              <w:t>应收融资租赁款</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本组合以应收款项的风险等级作为信用风险特征</w:t>
            </w:r>
          </w:p>
        </w:tc>
      </w:tr>
      <w:tr>
        <w:trPr>
          <w:trHeight w:val="34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4</w:t>
            </w:r>
            <w:r>
              <w:rPr>
                <w:rFonts w:ascii="宋体" w:hAnsi="宋体" w:cs="宋体" w:eastAsia="宋体" w:hint="default"/>
                <w:sz w:val="18"/>
                <w:szCs w:val="18"/>
              </w:rPr>
              <w:t>应收合并范围内关联方款项</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本组合为风险较低的应收合并范围内关联方款项</w:t>
            </w:r>
          </w:p>
        </w:tc>
      </w:tr>
    </w:tbl>
    <w:p>
      <w:pPr>
        <w:spacing w:line="240" w:lineRule="auto" w:before="8"/>
        <w:rPr>
          <w:rFonts w:ascii="宋体" w:hAnsi="宋体" w:cs="宋体" w:eastAsia="宋体" w:hint="default"/>
          <w:sz w:val="6"/>
          <w:szCs w:val="6"/>
        </w:rPr>
      </w:pPr>
    </w:p>
    <w:p>
      <w:pPr>
        <w:pStyle w:val="BodyText"/>
        <w:spacing w:line="300" w:lineRule="auto" w:before="44"/>
        <w:ind w:right="1133" w:firstLine="480"/>
        <w:jc w:val="left"/>
      </w:pPr>
      <w:r>
        <w:rPr/>
        <w:t>对于组合</w:t>
      </w:r>
      <w:r>
        <w:rPr>
          <w:rFonts w:ascii="Times New Roman" w:hAnsi="Times New Roman" w:cs="Times New Roman" w:eastAsia="Times New Roman" w:hint="default"/>
        </w:rPr>
        <w:t>1</w:t>
      </w:r>
      <w:r>
        <w:rPr/>
        <w:t>的应收账款，本公司参考历史信用损失经验，结合当前状况以及对未来经济状况的预测，编制应收账款账 龄与整个存续期的预期信用损失率对照表，计算预期信用损失。</w:t>
      </w:r>
    </w:p>
    <w:p>
      <w:pPr>
        <w:pStyle w:val="BodyText"/>
        <w:spacing w:line="300" w:lineRule="auto" w:before="151"/>
        <w:ind w:right="0" w:firstLine="480"/>
        <w:jc w:val="left"/>
      </w:pPr>
      <w:r>
        <w:rPr>
          <w:spacing w:val="-1"/>
        </w:rPr>
        <w:t>对于划分为组合</w:t>
      </w:r>
      <w:r>
        <w:rPr>
          <w:rFonts w:ascii="Times New Roman" w:hAnsi="Times New Roman" w:cs="Times New Roman" w:eastAsia="Times New Roman" w:hint="default"/>
          <w:spacing w:val="-1"/>
        </w:rPr>
        <w:t>2</w:t>
      </w:r>
      <w:r>
        <w:rPr>
          <w:spacing w:val="-1"/>
        </w:rPr>
        <w:t>和组合</w:t>
      </w:r>
      <w:r>
        <w:rPr>
          <w:rFonts w:ascii="Times New Roman" w:hAnsi="Times New Roman" w:cs="Times New Roman" w:eastAsia="Times New Roman" w:hint="default"/>
          <w:spacing w:val="-1"/>
        </w:rPr>
        <w:t>3</w:t>
      </w:r>
      <w:r>
        <w:rPr>
          <w:spacing w:val="-1"/>
        </w:rPr>
        <w:t>的应收账款，本公司参考历史信用损失经验，结合当前状况以及对未来经济状况的预测，编</w:t>
      </w:r>
      <w:r>
        <w:rPr/>
        <w:t> 制应收账款风险等级</w:t>
      </w:r>
      <w:r>
        <w:rPr>
          <w:rFonts w:ascii="Times New Roman" w:hAnsi="Times New Roman" w:cs="Times New Roman" w:eastAsia="Times New Roman" w:hint="default"/>
        </w:rPr>
        <w:t>/</w:t>
      </w:r>
      <w:r>
        <w:rPr/>
        <w:t>逾期天数与整个存续期的预期信用损失率对照表，计算预期信用损失。</w:t>
      </w:r>
    </w:p>
    <w:p>
      <w:pPr>
        <w:pStyle w:val="BodyText"/>
        <w:spacing w:line="240" w:lineRule="auto" w:before="133"/>
        <w:ind w:left="633" w:right="1133"/>
        <w:jc w:val="left"/>
      </w:pPr>
      <w:r>
        <w:rPr/>
        <w:t>风险等级划分标准如下：</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5370"/>
        <w:gridCol w:w="3920"/>
      </w:tblGrid>
      <w:tr>
        <w:trPr>
          <w:trHeight w:val="341" w:hRule="exact"/>
        </w:trPr>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风险类型</w:t>
            </w:r>
          </w:p>
        </w:tc>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center"/>
              <w:rPr>
                <w:rFonts w:ascii="宋体" w:hAnsi="宋体" w:cs="宋体" w:eastAsia="宋体" w:hint="default"/>
                <w:sz w:val="18"/>
                <w:szCs w:val="18"/>
              </w:rPr>
            </w:pPr>
            <w:r>
              <w:rPr>
                <w:rFonts w:ascii="宋体" w:hAnsi="宋体" w:cs="宋体" w:eastAsia="宋体" w:hint="default"/>
                <w:sz w:val="18"/>
                <w:szCs w:val="18"/>
              </w:rPr>
              <w:t>分类依据</w:t>
            </w:r>
          </w:p>
        </w:tc>
      </w:tr>
      <w:tr>
        <w:trPr>
          <w:trHeight w:val="343" w:hRule="exact"/>
        </w:trPr>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未逾期</w:t>
            </w:r>
          </w:p>
        </w:tc>
      </w:tr>
      <w:tr>
        <w:trPr>
          <w:trHeight w:val="341" w:hRule="exact"/>
        </w:trPr>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1-90</w:t>
            </w:r>
            <w:r>
              <w:rPr>
                <w:rFonts w:ascii="宋体" w:hAnsi="宋体" w:cs="宋体" w:eastAsia="宋体" w:hint="default"/>
                <w:sz w:val="18"/>
                <w:szCs w:val="18"/>
              </w:rPr>
              <w:t>天</w:t>
            </w:r>
          </w:p>
        </w:tc>
      </w:tr>
      <w:tr>
        <w:trPr>
          <w:trHeight w:val="343" w:hRule="exact"/>
        </w:trPr>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91-180</w:t>
            </w:r>
            <w:r>
              <w:rPr>
                <w:rFonts w:ascii="宋体" w:hAnsi="宋体" w:cs="宋体" w:eastAsia="宋体" w:hint="default"/>
                <w:sz w:val="18"/>
                <w:szCs w:val="18"/>
              </w:rPr>
              <w:t>天</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370"/>
        <w:gridCol w:w="3920"/>
      </w:tblGrid>
      <w:tr>
        <w:trPr>
          <w:trHeight w:val="341" w:hRule="exact"/>
        </w:trPr>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可疑类</w:t>
            </w:r>
          </w:p>
        </w:tc>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181-360</w:t>
            </w:r>
            <w:r>
              <w:rPr>
                <w:rFonts w:ascii="宋体" w:hAnsi="宋体" w:cs="宋体" w:eastAsia="宋体" w:hint="default"/>
                <w:sz w:val="18"/>
                <w:szCs w:val="18"/>
              </w:rPr>
              <w:t>天</w:t>
            </w:r>
          </w:p>
        </w:tc>
      </w:tr>
      <w:tr>
        <w:trPr>
          <w:trHeight w:val="343" w:hRule="exact"/>
        </w:trPr>
        <w:tc>
          <w:tcPr>
            <w:tcW w:w="5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损失类</w:t>
            </w:r>
          </w:p>
        </w:tc>
        <w:tc>
          <w:tcPr>
            <w:tcW w:w="3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360</w:t>
            </w:r>
            <w:r>
              <w:rPr>
                <w:rFonts w:ascii="宋体" w:hAnsi="宋体" w:cs="宋体" w:eastAsia="宋体" w:hint="default"/>
                <w:sz w:val="18"/>
                <w:szCs w:val="18"/>
              </w:rPr>
              <w:t>天以上</w:t>
            </w:r>
          </w:p>
        </w:tc>
      </w:tr>
    </w:tbl>
    <w:p>
      <w:pPr>
        <w:spacing w:line="240" w:lineRule="auto" w:before="8"/>
        <w:rPr>
          <w:rFonts w:ascii="宋体" w:hAnsi="宋体" w:cs="宋体" w:eastAsia="宋体" w:hint="default"/>
          <w:sz w:val="6"/>
          <w:szCs w:val="6"/>
        </w:rPr>
      </w:pPr>
    </w:p>
    <w:p>
      <w:pPr>
        <w:pStyle w:val="BodyText"/>
        <w:spacing w:line="300" w:lineRule="auto" w:before="44"/>
        <w:ind w:right="1133" w:firstLine="480"/>
        <w:jc w:val="left"/>
      </w:pPr>
      <w:r>
        <w:rPr/>
        <w:t>对于划分为组合</w:t>
      </w:r>
      <w:r>
        <w:rPr>
          <w:rFonts w:ascii="Times New Roman" w:hAnsi="Times New Roman" w:cs="Times New Roman" w:eastAsia="Times New Roman" w:hint="default"/>
        </w:rPr>
        <w:t>4</w:t>
      </w:r>
      <w:r>
        <w:rPr/>
        <w:t>的应收账款，本公司参考历史信用损失经验，结合当前状况，认为该类组合违约风险较低，未计提 坏账准备。</w:t>
      </w:r>
    </w:p>
    <w:p>
      <w:pPr>
        <w:pStyle w:val="BodyText"/>
        <w:spacing w:line="240" w:lineRule="auto" w:before="151"/>
        <w:ind w:left="633" w:right="1133"/>
        <w:jc w:val="left"/>
      </w:pPr>
      <w:r>
        <w:rPr/>
        <w:t>其他应收款确定组合的依据如下：</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90"/>
        <w:gridCol w:w="5701"/>
      </w:tblGrid>
      <w:tr>
        <w:trPr>
          <w:trHeight w:val="34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应收保理利息</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本组合以应收款项的风险等级作为信用风险特征</w:t>
            </w:r>
          </w:p>
        </w:tc>
      </w:tr>
      <w:tr>
        <w:trPr>
          <w:trHeight w:val="34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应收合并范围内关联方款项</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本组合为风险较低的应收合并范围内关联方款项</w:t>
            </w:r>
          </w:p>
        </w:tc>
      </w:tr>
      <w:tr>
        <w:trPr>
          <w:trHeight w:val="34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r>
              <w:rPr>
                <w:rFonts w:ascii="宋体" w:hAnsi="宋体" w:cs="宋体" w:eastAsia="宋体" w:hint="default"/>
                <w:sz w:val="18"/>
                <w:szCs w:val="18"/>
              </w:rPr>
              <w:t>应收其他款项</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本组合以应收款项的账龄作为信用风险特征</w:t>
            </w:r>
          </w:p>
        </w:tc>
      </w:tr>
    </w:tbl>
    <w:p>
      <w:pPr>
        <w:spacing w:line="240" w:lineRule="auto" w:before="8"/>
        <w:rPr>
          <w:rFonts w:ascii="宋体" w:hAnsi="宋体" w:cs="宋体" w:eastAsia="宋体" w:hint="default"/>
          <w:sz w:val="6"/>
          <w:szCs w:val="6"/>
        </w:rPr>
      </w:pPr>
    </w:p>
    <w:p>
      <w:pPr>
        <w:pStyle w:val="BodyText"/>
        <w:spacing w:line="300" w:lineRule="auto" w:before="44"/>
        <w:ind w:right="1133" w:firstLine="480"/>
        <w:jc w:val="left"/>
      </w:pPr>
      <w:r>
        <w:rPr/>
        <w:t>对于划分为组合</w:t>
      </w:r>
      <w:r>
        <w:rPr>
          <w:rFonts w:ascii="Times New Roman" w:hAnsi="Times New Roman" w:cs="Times New Roman" w:eastAsia="Times New Roman" w:hint="default"/>
        </w:rPr>
        <w:t>1</w:t>
      </w:r>
      <w:r>
        <w:rPr/>
        <w:t>的其他应收款，本公司参考历史信用损失经验，结合当前状况以及对未来经济状况的预测，编制应 收账款风险等级</w:t>
      </w:r>
      <w:r>
        <w:rPr>
          <w:rFonts w:ascii="Times New Roman" w:hAnsi="Times New Roman" w:cs="Times New Roman" w:eastAsia="Times New Roman" w:hint="default"/>
        </w:rPr>
        <w:t>/</w:t>
      </w:r>
      <w:r>
        <w:rPr/>
        <w:t>逾期天数与整个存续期预期信用损失率对照表，计算预期信用损失。</w:t>
      </w:r>
    </w:p>
    <w:p>
      <w:pPr>
        <w:pStyle w:val="BodyText"/>
        <w:spacing w:line="316" w:lineRule="auto" w:before="133"/>
        <w:ind w:right="1133" w:firstLine="480"/>
        <w:jc w:val="left"/>
      </w:pPr>
      <w:r>
        <w:rPr/>
        <w:t>对于划分为组合</w:t>
      </w:r>
      <w:r>
        <w:rPr>
          <w:rFonts w:ascii="宋体" w:hAnsi="宋体" w:cs="宋体" w:eastAsia="宋体" w:hint="default"/>
        </w:rPr>
        <w:t>2</w:t>
      </w:r>
      <w:r>
        <w:rPr/>
        <w:t>的其他应收款，本公司参考历史信用损失经验，结合当前状况，认为该类组合违约风险较低，未计 提坏账准备。</w:t>
      </w:r>
    </w:p>
    <w:p>
      <w:pPr>
        <w:pStyle w:val="BodyText"/>
        <w:spacing w:line="316" w:lineRule="auto" w:before="139"/>
        <w:ind w:right="1133" w:firstLine="480"/>
        <w:jc w:val="left"/>
      </w:pPr>
      <w:r>
        <w:rPr/>
        <w:t>对于划分为组合</w:t>
      </w:r>
      <w:r>
        <w:rPr>
          <w:rFonts w:ascii="宋体" w:hAnsi="宋体" w:cs="宋体" w:eastAsia="宋体" w:hint="default"/>
        </w:rPr>
        <w:t>3</w:t>
      </w:r>
      <w:r>
        <w:rPr/>
        <w:t>的其他应收款，本公司参考历史信用损失经验，结合当前状况以及对未来经济状况的预测，通过违 约风险敞口和未来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个月内或整个存续期预期信用损失率，计算预期信用损失。</w:t>
      </w:r>
    </w:p>
    <w:p>
      <w:pPr>
        <w:pStyle w:val="BodyText"/>
        <w:spacing w:line="240" w:lineRule="auto" w:before="119"/>
        <w:ind w:left="633" w:right="1133"/>
        <w:jc w:val="left"/>
      </w:pPr>
      <w:r>
        <w:rPr/>
        <w:t>长期应收款确定组合的依据如下：</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3090"/>
        <w:gridCol w:w="5701"/>
      </w:tblGrid>
      <w:tr>
        <w:trPr>
          <w:trHeight w:val="343"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341"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分期收款销售商品及提供服务</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本组合为分期收款销售商品或提供服务应收的款项</w:t>
            </w:r>
          </w:p>
        </w:tc>
      </w:tr>
      <w:tr>
        <w:trPr>
          <w:trHeight w:val="344" w:hRule="exact"/>
        </w:trPr>
        <w:tc>
          <w:tcPr>
            <w:tcW w:w="30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融资租赁款</w:t>
            </w:r>
          </w:p>
        </w:tc>
        <w:tc>
          <w:tcPr>
            <w:tcW w:w="5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4" w:right="0"/>
              <w:jc w:val="left"/>
              <w:rPr>
                <w:rFonts w:ascii="宋体" w:hAnsi="宋体" w:cs="宋体" w:eastAsia="宋体" w:hint="default"/>
                <w:sz w:val="18"/>
                <w:szCs w:val="18"/>
              </w:rPr>
            </w:pPr>
            <w:r>
              <w:rPr>
                <w:rFonts w:ascii="宋体" w:hAnsi="宋体" w:cs="宋体" w:eastAsia="宋体" w:hint="default"/>
                <w:sz w:val="18"/>
                <w:szCs w:val="18"/>
              </w:rPr>
              <w:t>本组合以应收款项的风险等级作为信用风险特征</w:t>
            </w:r>
          </w:p>
        </w:tc>
      </w:tr>
    </w:tbl>
    <w:p>
      <w:pPr>
        <w:spacing w:line="240" w:lineRule="auto" w:before="8"/>
        <w:rPr>
          <w:rFonts w:ascii="宋体" w:hAnsi="宋体" w:cs="宋体" w:eastAsia="宋体" w:hint="default"/>
          <w:sz w:val="6"/>
          <w:szCs w:val="6"/>
        </w:rPr>
      </w:pPr>
    </w:p>
    <w:p>
      <w:pPr>
        <w:pStyle w:val="BodyText"/>
        <w:spacing w:line="316" w:lineRule="auto" w:before="44"/>
        <w:ind w:right="1133" w:firstLine="480"/>
        <w:jc w:val="left"/>
      </w:pPr>
      <w:r>
        <w:rPr>
          <w:spacing w:val="-1"/>
        </w:rPr>
        <w:t>对于划分为组合应收销售货款及提供服务款的长期应收款，本公司参考历史信用损失经验，结合当前状况以及对未来</w:t>
      </w:r>
      <w:r>
        <w:rPr/>
        <w:t> 经济状况的预测，通过违约风险敞口和整个存续期的预期信用损失率，计算预期信用损失。</w:t>
      </w:r>
    </w:p>
    <w:p>
      <w:pPr>
        <w:pStyle w:val="BodyText"/>
        <w:spacing w:line="316" w:lineRule="auto" w:before="139"/>
        <w:ind w:right="1133" w:firstLine="480"/>
        <w:jc w:val="left"/>
      </w:pPr>
      <w:r>
        <w:rPr>
          <w:spacing w:val="-1"/>
        </w:rPr>
        <w:t>对于划分为组合应收融资租赁款的长期应收款，本公司参考历史信用损失经验，结合当前状况以及对未来经济状况的</w:t>
      </w:r>
      <w:r>
        <w:rPr/>
        <w:t> 预测，编制应收账款风险等级</w:t>
      </w:r>
      <w:r>
        <w:rPr>
          <w:rFonts w:ascii="Times New Roman" w:hAnsi="Times New Roman" w:cs="Times New Roman" w:eastAsia="Times New Roman" w:hint="default"/>
        </w:rPr>
        <w:t>/</w:t>
      </w:r>
      <w:r>
        <w:rPr/>
        <w:t>逾期天数与整个存续期的预期信用损失率对照表，计算预期信用损失。</w:t>
      </w:r>
    </w:p>
    <w:p>
      <w:pPr>
        <w:pStyle w:val="BodyText"/>
        <w:spacing w:line="415" w:lineRule="auto" w:before="119"/>
        <w:ind w:left="633"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7"/>
        </w:rPr>
        <w:t> </w:t>
      </w:r>
      <w:r>
        <w:rPr/>
        <w:t>债权投资、其他债权投资 </w:t>
      </w:r>
      <w:r>
        <w:rPr>
          <w:spacing w:val="-1"/>
        </w:rPr>
        <w:t>对于债权投资和其他债权投资，本公司按照投资的性质，根据交易对手和风险敞口的各种类型，通过违约风险敞口和</w:t>
      </w:r>
    </w:p>
    <w:p>
      <w:pPr>
        <w:pStyle w:val="BodyText"/>
        <w:spacing w:line="194" w:lineRule="exact"/>
        <w:ind w:right="1133"/>
        <w:jc w:val="left"/>
      </w:pPr>
      <w:r>
        <w:rPr/>
        <w:t>未来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个月内或整个存续期预期信用损失率，计算预期信用损失。</w:t>
      </w:r>
    </w:p>
    <w:p>
      <w:pPr>
        <w:pStyle w:val="BodyText"/>
        <w:spacing w:line="432" w:lineRule="exact" w:before="48"/>
        <w:ind w:left="633" w:right="1133"/>
        <w:jc w:val="left"/>
      </w:pPr>
      <w:r>
        <w:rPr/>
        <w:t>②具有较低的信用风险 </w:t>
      </w:r>
      <w:r>
        <w:rPr>
          <w:spacing w:val="-1"/>
        </w:rPr>
        <w:t>如果金融工具的违约风险较低，借款人在短期内履行其合同现金流量义务的能力很强，并且即便较长时期内经济形势</w:t>
      </w:r>
    </w:p>
    <w:p>
      <w:pPr>
        <w:pStyle w:val="BodyText"/>
        <w:spacing w:line="240" w:lineRule="auto" w:before="15"/>
        <w:ind w:right="0"/>
        <w:jc w:val="left"/>
      </w:pPr>
      <w:r>
        <w:rPr/>
        <w:t>和经营环境存在不利变化但未必一定降低借款人履行其合同现金流量义务的能力，该金融工具被视为具有较低的信用风险。</w:t>
      </w:r>
    </w:p>
    <w:p>
      <w:pPr>
        <w:pStyle w:val="BodyText"/>
        <w:spacing w:line="430" w:lineRule="atLeast" w:before="2"/>
        <w:ind w:left="633" w:right="1133"/>
        <w:jc w:val="left"/>
      </w:pPr>
      <w:r>
        <w:rPr/>
        <w:t>③信用风险显著增加 </w:t>
      </w:r>
      <w:r>
        <w:rPr>
          <w:spacing w:val="2"/>
        </w:rPr>
        <w:t>本公司通过比较金融工具在资产负债表日所确定的预计存续期内的违约概率与在初始确认时所确定的预计存续期内</w:t>
      </w:r>
    </w:p>
    <w:p>
      <w:pPr>
        <w:pStyle w:val="BodyText"/>
        <w:spacing w:line="316" w:lineRule="auto" w:before="76"/>
        <w:ind w:right="1119"/>
        <w:jc w:val="left"/>
      </w:pPr>
      <w:r>
        <w:rPr>
          <w:spacing w:val="-2"/>
        </w:rPr>
        <w:t>的违约概率，以确定金融工具预计存续期内发生违约概率的相对变化，以评估金融工具的信用风险自初始确认后是否已显著</w:t>
      </w:r>
      <w:r>
        <w:rPr>
          <w:spacing w:val="-64"/>
        </w:rPr>
        <w:t> </w:t>
      </w:r>
      <w:r>
        <w:rPr>
          <w:spacing w:val="-64"/>
        </w:rPr>
      </w:r>
      <w:r>
        <w:rPr/>
        <w:t>增加。</w:t>
      </w:r>
    </w:p>
    <w:p>
      <w:pPr>
        <w:pStyle w:val="BodyText"/>
        <w:spacing w:line="316" w:lineRule="auto" w:before="139"/>
        <w:ind w:right="0" w:firstLine="480"/>
        <w:jc w:val="left"/>
      </w:pPr>
      <w:r>
        <w:rPr>
          <w:spacing w:val="-1"/>
        </w:rPr>
        <w:t>在确定信用风险自初始确认后是否显著增加时，本公司考虑无须付出不必要的额外成本或努力即可获得的合理且有依</w:t>
      </w:r>
      <w:r>
        <w:rPr/>
        <w:t> 据的信息，包括前瞻性信息。本公司考虑的信息包括：</w:t>
      </w:r>
    </w:p>
    <w:p>
      <w:pPr>
        <w:pStyle w:val="BodyText"/>
        <w:spacing w:line="240" w:lineRule="auto" w:before="139"/>
        <w:ind w:left="63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信用风险变化所导致的内部价格指标是否发生显著变化；</w:t>
      </w:r>
    </w:p>
    <w:p>
      <w:pPr>
        <w:spacing w:line="240" w:lineRule="auto" w:before="13"/>
        <w:rPr>
          <w:rFonts w:ascii="宋体" w:hAnsi="宋体" w:cs="宋体" w:eastAsia="宋体" w:hint="default"/>
          <w:sz w:val="13"/>
          <w:szCs w:val="13"/>
        </w:rPr>
      </w:pPr>
    </w:p>
    <w:p>
      <w:pPr>
        <w:pStyle w:val="BodyText"/>
        <w:spacing w:line="240" w:lineRule="auto"/>
        <w:ind w:left="63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预期将导致债务人履行其偿债义务的能力是否发生显著变化的业务、财务或经济状况的不利变化；</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633" w:right="1133"/>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27"/>
        </w:rPr>
        <w:t> </w:t>
      </w:r>
      <w:r>
        <w:rPr/>
        <w:t>债务人经营成果实际或预期是否发生显著变化；债务人所处的监管、经济或技术环境是否发生显著不利变化；</w:t>
      </w:r>
    </w:p>
    <w:p>
      <w:pPr>
        <w:spacing w:line="240" w:lineRule="auto" w:before="13"/>
        <w:rPr>
          <w:rFonts w:ascii="宋体" w:hAnsi="宋体" w:cs="宋体" w:eastAsia="宋体" w:hint="default"/>
          <w:sz w:val="13"/>
          <w:szCs w:val="13"/>
        </w:rPr>
      </w:pPr>
    </w:p>
    <w:p>
      <w:pPr>
        <w:pStyle w:val="BodyText"/>
        <w:spacing w:line="300" w:lineRule="auto"/>
        <w:ind w:right="1118" w:firstLine="480"/>
        <w:jc w:val="left"/>
      </w:pPr>
      <w:r>
        <w:rPr>
          <w:rFonts w:ascii="Times New Roman" w:hAnsi="Times New Roman" w:cs="Times New Roman" w:eastAsia="Times New Roman" w:hint="default"/>
          <w:w w:val="99"/>
        </w:rPr>
        <w:t>D.</w:t>
      </w:r>
      <w:r>
        <w:rPr>
          <w:rFonts w:ascii="Times New Roman" w:hAnsi="Times New Roman" w:cs="Times New Roman" w:eastAsia="Times New Roman" w:hint="default"/>
          <w:spacing w:val="36"/>
          <w:w w:val="99"/>
        </w:rPr>
        <w:t> </w:t>
      </w:r>
      <w:r>
        <w:rPr>
          <w:spacing w:val="-2"/>
        </w:rPr>
        <w:t>作为债务抵押的担保物价值或第三方提供的担保或信用增级质量是否发生显著变化。这些变化预期将降低债务人按</w:t>
      </w:r>
      <w:r>
        <w:rPr/>
        <w:t> 合同规定期限还款的经济动机或者影响违约概率；</w:t>
      </w:r>
    </w:p>
    <w:p>
      <w:pPr>
        <w:pStyle w:val="BodyText"/>
        <w:spacing w:line="240" w:lineRule="auto" w:before="151"/>
        <w:ind w:left="633" w:right="1133"/>
        <w:jc w:val="left"/>
      </w:pPr>
      <w:r>
        <w:rPr>
          <w:rFonts w:ascii="Times New Roman" w:hAnsi="Times New Roman" w:cs="Times New Roman" w:eastAsia="Times New Roman" w:hint="default"/>
        </w:rPr>
        <w:t>E.</w:t>
      </w:r>
      <w:r>
        <w:rPr>
          <w:rFonts w:ascii="Times New Roman" w:hAnsi="Times New Roman" w:cs="Times New Roman" w:eastAsia="Times New Roman" w:hint="default"/>
          <w:spacing w:val="27"/>
        </w:rPr>
        <w:t> </w:t>
      </w:r>
      <w:r>
        <w:rPr/>
        <w:t>预期将降低债务人按合同约定期限还款的经济动机是否发生显著变化；</w:t>
      </w:r>
    </w:p>
    <w:p>
      <w:pPr>
        <w:spacing w:line="240" w:lineRule="auto" w:before="13"/>
        <w:rPr>
          <w:rFonts w:ascii="宋体" w:hAnsi="宋体" w:cs="宋体" w:eastAsia="宋体" w:hint="default"/>
          <w:sz w:val="13"/>
          <w:szCs w:val="13"/>
        </w:rPr>
      </w:pPr>
    </w:p>
    <w:p>
      <w:pPr>
        <w:pStyle w:val="BodyText"/>
        <w:spacing w:line="300" w:lineRule="auto"/>
        <w:ind w:right="1057" w:firstLine="480"/>
        <w:jc w:val="left"/>
      </w:pPr>
      <w:r>
        <w:rPr>
          <w:rFonts w:ascii="Times New Roman" w:hAnsi="Times New Roman" w:cs="Times New Roman" w:eastAsia="Times New Roman" w:hint="default"/>
        </w:rPr>
        <w:t>F.</w:t>
      </w:r>
      <w:r>
        <w:rPr>
          <w:rFonts w:ascii="Times New Roman" w:hAnsi="Times New Roman" w:cs="Times New Roman" w:eastAsia="Times New Roman" w:hint="default"/>
          <w:spacing w:val="27"/>
        </w:rPr>
        <w:t> </w:t>
      </w:r>
      <w:r>
        <w:rPr/>
        <w:t>借款合同的预期变更，包括预计违反合同的行为是否可能导致的合同义务的免除或修订、给予免息期、利率跳升、 要求追加抵押品或担保或者对金融工具的合同框架做出其他变更；</w:t>
      </w:r>
    </w:p>
    <w:p>
      <w:pPr>
        <w:pStyle w:val="BodyText"/>
        <w:spacing w:line="240" w:lineRule="auto" w:before="151"/>
        <w:ind w:left="633" w:right="1133"/>
        <w:jc w:val="left"/>
      </w:pPr>
      <w:r>
        <w:rPr>
          <w:rFonts w:ascii="Times New Roman" w:hAnsi="Times New Roman" w:cs="Times New Roman" w:eastAsia="Times New Roman" w:hint="default"/>
        </w:rPr>
        <w:t>G.</w:t>
      </w:r>
      <w:r>
        <w:rPr>
          <w:rFonts w:ascii="Times New Roman" w:hAnsi="Times New Roman" w:cs="Times New Roman" w:eastAsia="Times New Roman" w:hint="default"/>
          <w:spacing w:val="26"/>
        </w:rPr>
        <w:t> </w:t>
      </w:r>
      <w:r>
        <w:rPr/>
        <w:t>债务人预期表现和还款行为是否发生显著变化；</w:t>
      </w:r>
    </w:p>
    <w:p>
      <w:pPr>
        <w:pStyle w:val="BodyText"/>
        <w:spacing w:line="420" w:lineRule="atLeast" w:before="12"/>
        <w:ind w:left="633" w:right="1133"/>
        <w:jc w:val="left"/>
      </w:pPr>
      <w:r>
        <w:rPr>
          <w:rFonts w:ascii="Times New Roman" w:hAnsi="Times New Roman" w:cs="Times New Roman" w:eastAsia="Times New Roman" w:hint="default"/>
        </w:rPr>
        <w:t>H.</w:t>
      </w:r>
      <w:r>
        <w:rPr>
          <w:rFonts w:ascii="Times New Roman" w:hAnsi="Times New Roman" w:cs="Times New Roman" w:eastAsia="Times New Roman" w:hint="default"/>
          <w:spacing w:val="27"/>
        </w:rPr>
        <w:t> </w:t>
      </w:r>
      <w:r>
        <w:rPr/>
        <w:t>合同付款是否发生逾期超过（含）</w:t>
      </w:r>
      <w:r>
        <w:rPr>
          <w:rFonts w:ascii="Times New Roman" w:hAnsi="Times New Roman" w:cs="Times New Roman" w:eastAsia="Times New Roman" w:hint="default"/>
        </w:rPr>
        <w:t>30</w:t>
      </w:r>
      <w:r>
        <w:rPr/>
        <w:t>日。 </w:t>
      </w:r>
      <w:r>
        <w:rPr>
          <w:spacing w:val="-1"/>
        </w:rPr>
        <w:t>根据金融工具的性质，本公司以单项金融工具或金融工具组合为基础评估信用风险是否显著增加。以金融工具组合为</w:t>
      </w:r>
    </w:p>
    <w:p>
      <w:pPr>
        <w:pStyle w:val="BodyText"/>
        <w:spacing w:line="240" w:lineRule="auto" w:before="76"/>
        <w:ind w:right="0"/>
        <w:jc w:val="both"/>
      </w:pPr>
      <w:r>
        <w:rPr/>
        <w:t>基础进行评估时，本公司可基于共同信用风险特征对金融工具进行分类，例如逾期信息和信用风险评级。</w:t>
      </w:r>
    </w:p>
    <w:p>
      <w:pPr>
        <w:spacing w:line="240" w:lineRule="auto" w:before="0"/>
        <w:rPr>
          <w:rFonts w:ascii="宋体" w:hAnsi="宋体" w:cs="宋体" w:eastAsia="宋体" w:hint="default"/>
          <w:sz w:val="15"/>
          <w:szCs w:val="15"/>
        </w:rPr>
      </w:pPr>
    </w:p>
    <w:p>
      <w:pPr>
        <w:pStyle w:val="BodyText"/>
        <w:spacing w:line="300" w:lineRule="auto"/>
        <w:ind w:right="0" w:firstLine="480"/>
        <w:jc w:val="left"/>
      </w:pPr>
      <w:r>
        <w:rPr>
          <w:spacing w:val="-1"/>
        </w:rPr>
        <w:t>通常情况下，如果逾期超过</w:t>
      </w:r>
      <w:r>
        <w:rPr>
          <w:rFonts w:ascii="Times New Roman" w:hAnsi="Times New Roman" w:cs="Times New Roman" w:eastAsia="Times New Roman" w:hint="default"/>
          <w:spacing w:val="-1"/>
        </w:rPr>
        <w:t>30</w:t>
      </w:r>
      <w:r>
        <w:rPr>
          <w:spacing w:val="-1"/>
        </w:rPr>
        <w:t>日，本公司确定金融工具的信用风险已经显著增加。除非本公司无需付出过多成本或努</w:t>
      </w:r>
      <w:r>
        <w:rPr/>
        <w:t> 力即可获得合理且有依据的信息，证明虽然超过合同约定的付款期限</w:t>
      </w:r>
      <w:r>
        <w:rPr>
          <w:rFonts w:ascii="Times New Roman" w:hAnsi="Times New Roman" w:cs="Times New Roman" w:eastAsia="Times New Roman" w:hint="default"/>
        </w:rPr>
        <w:t>30</w:t>
      </w:r>
      <w:r>
        <w:rPr/>
        <w:t>天，但信用风险自初始确认以来并未显著增加。</w:t>
      </w:r>
    </w:p>
    <w:p>
      <w:pPr>
        <w:pStyle w:val="BodyText"/>
        <w:spacing w:line="240" w:lineRule="auto" w:before="133"/>
        <w:ind w:left="633" w:right="1133"/>
        <w:jc w:val="left"/>
      </w:pPr>
      <w:r>
        <w:rPr/>
        <w:t>④已发生信用减值的金融资产</w:t>
      </w:r>
    </w:p>
    <w:p>
      <w:pPr>
        <w:spacing w:line="240" w:lineRule="auto" w:before="0"/>
        <w:rPr>
          <w:rFonts w:ascii="宋体" w:hAnsi="宋体" w:cs="宋体" w:eastAsia="宋体" w:hint="default"/>
          <w:sz w:val="15"/>
          <w:szCs w:val="15"/>
        </w:rPr>
      </w:pPr>
    </w:p>
    <w:p>
      <w:pPr>
        <w:pStyle w:val="BodyText"/>
        <w:spacing w:line="316" w:lineRule="auto"/>
        <w:ind w:right="1133" w:firstLine="480"/>
        <w:jc w:val="both"/>
      </w:pPr>
      <w:r>
        <w:rPr>
          <w:spacing w:val="2"/>
        </w:rPr>
        <w:t>本公司在资产负债表日评估以摊余成本计量的金融资产和以公允价值计量且其变动计入其他综合收益的债权投资是</w:t>
      </w:r>
      <w:r>
        <w:rPr/>
        <w:t> </w:t>
      </w:r>
      <w:r>
        <w:rPr>
          <w:spacing w:val="-2"/>
        </w:rPr>
        <w:t>否已发生信用减值。当对金融资产预期未来现金流量具有不利影响的一项或多项事件发生时，该金融资产成为已发生信用减</w:t>
      </w:r>
      <w:r>
        <w:rPr>
          <w:spacing w:val="-64"/>
        </w:rPr>
        <w:t> </w:t>
      </w:r>
      <w:r>
        <w:rPr>
          <w:spacing w:val="-64"/>
        </w:rPr>
      </w:r>
      <w:r>
        <w:rPr/>
        <w:t>值的金融资产。金融资产已发生信用减值的证据包括下列可观察信息：</w:t>
      </w:r>
    </w:p>
    <w:p>
      <w:pPr>
        <w:pStyle w:val="BodyText"/>
        <w:spacing w:line="319" w:lineRule="auto" w:before="139"/>
        <w:ind w:right="1130" w:firstLine="480"/>
        <w:jc w:val="both"/>
      </w:pPr>
      <w:r>
        <w:rPr>
          <w:spacing w:val="-1"/>
        </w:rPr>
        <w:t>发行方或债务人发生重大财务困难；债务人违反合同，如偿付利息或本金违约或逾期等；债权人出于与债务人财务困</w:t>
      </w:r>
      <w:r>
        <w:rPr/>
        <w:t> </w:t>
      </w:r>
      <w:r>
        <w:rPr>
          <w:spacing w:val="-2"/>
        </w:rPr>
        <w:t>难有关的经济或合同考虑，给予债务人在任何其他情况下都不会做出的让步；债务人很可能破产或进行其他财务重组；发行</w:t>
      </w:r>
      <w:r>
        <w:rPr>
          <w:spacing w:val="-63"/>
        </w:rPr>
        <w:t> </w:t>
      </w:r>
      <w:r>
        <w:rPr>
          <w:spacing w:val="-63"/>
        </w:rPr>
      </w:r>
      <w:r>
        <w:rPr>
          <w:spacing w:val="-2"/>
        </w:rPr>
        <w:t>方或债务人财务困难导致该金融资产的活跃市场消失；以大幅折扣购买或源生一项金融资产，该折扣反映了发生信用损失的</w:t>
      </w:r>
      <w:r>
        <w:rPr>
          <w:spacing w:val="-62"/>
        </w:rPr>
        <w:t> </w:t>
      </w:r>
      <w:r>
        <w:rPr>
          <w:spacing w:val="-62"/>
        </w:rPr>
      </w:r>
      <w:r>
        <w:rPr/>
        <w:t>事实。</w:t>
      </w:r>
    </w:p>
    <w:p>
      <w:pPr>
        <w:pStyle w:val="BodyText"/>
        <w:spacing w:line="432" w:lineRule="exact" w:before="1"/>
        <w:ind w:left="633" w:right="1133"/>
        <w:jc w:val="left"/>
      </w:pPr>
      <w:r>
        <w:rPr/>
        <w:t>⑤预期信用损失准备的列报 </w:t>
      </w:r>
      <w:r>
        <w:rPr>
          <w:spacing w:val="-1"/>
        </w:rPr>
        <w:t>为反映金融工具的信用风险自初始确认后的变化，本公司在每个资产负债表日重新计量预期信用损失，由此形成的损</w:t>
      </w:r>
    </w:p>
    <w:p>
      <w:pPr>
        <w:pStyle w:val="BodyText"/>
        <w:spacing w:line="316" w:lineRule="auto" w:before="15"/>
        <w:ind w:right="1130"/>
        <w:jc w:val="both"/>
      </w:pPr>
      <w:r>
        <w:rPr>
          <w:spacing w:val="-2"/>
        </w:rPr>
        <w:t>失准备的增加或转回金额，应当作为减值损失或利得计入当期损益。对于以摊余成本计量的金融资产，损失准备抵减该金融</w:t>
      </w:r>
      <w:r>
        <w:rPr>
          <w:spacing w:val="-63"/>
        </w:rPr>
        <w:t> </w:t>
      </w:r>
      <w:r>
        <w:rPr>
          <w:spacing w:val="-63"/>
        </w:rPr>
      </w:r>
      <w:r>
        <w:rPr>
          <w:spacing w:val="-2"/>
        </w:rPr>
        <w:t>资产在资产负债表中列示的账面价值；对于以公允价值计量且其变动计入其他综合收益的债权投资，本公司在其他综合收益</w:t>
      </w:r>
      <w:r>
        <w:rPr>
          <w:spacing w:val="-64"/>
        </w:rPr>
        <w:t> </w:t>
      </w:r>
      <w:r>
        <w:rPr>
          <w:spacing w:val="-64"/>
        </w:rPr>
      </w:r>
      <w:r>
        <w:rPr/>
        <w:t>中确认其损失准备，不抵减该金融资产的账面价值。</w:t>
      </w:r>
    </w:p>
    <w:p>
      <w:pPr>
        <w:pStyle w:val="BodyText"/>
        <w:spacing w:line="432" w:lineRule="exact" w:before="3"/>
        <w:ind w:left="633" w:right="1119"/>
        <w:jc w:val="left"/>
      </w:pPr>
      <w:r>
        <w:rPr/>
        <w:t>⑥核销 </w:t>
      </w:r>
      <w:r>
        <w:rPr>
          <w:spacing w:val="-1"/>
        </w:rPr>
        <w:t>如果本公司不再合理预期金融资产合同现金流量能够全部或部分收回，则直接减记该金融资产的账面余额。这种减记</w:t>
      </w:r>
    </w:p>
    <w:p>
      <w:pPr>
        <w:pStyle w:val="BodyText"/>
        <w:spacing w:line="316" w:lineRule="auto" w:before="15"/>
        <w:ind w:right="1133"/>
        <w:jc w:val="both"/>
      </w:pPr>
      <w:r>
        <w:rPr>
          <w:spacing w:val="-2"/>
        </w:rPr>
        <w:t>构成相关金融资产的终止确认。这种情况通常发生在本公司确定债务人没有资产或收入来源可产生足够的现金流量以偿还将</w:t>
      </w:r>
      <w:r>
        <w:rPr>
          <w:spacing w:val="-64"/>
        </w:rPr>
        <w:t> </w:t>
      </w:r>
      <w:r>
        <w:rPr>
          <w:spacing w:val="-64"/>
        </w:rPr>
      </w:r>
      <w:r>
        <w:rPr/>
        <w:t>被减记的金额。</w:t>
      </w:r>
    </w:p>
    <w:p>
      <w:pPr>
        <w:pStyle w:val="BodyText"/>
        <w:spacing w:line="240" w:lineRule="auto" w:before="139"/>
        <w:ind w:left="633" w:right="1133"/>
        <w:jc w:val="left"/>
      </w:pPr>
      <w:r>
        <w:rPr/>
        <w:t>已减记的金融资产以后又收回的，作为减值损失的转回计入收回当期的损益。</w:t>
      </w:r>
    </w:p>
    <w:p>
      <w:pPr>
        <w:spacing w:line="240" w:lineRule="auto" w:before="0"/>
        <w:rPr>
          <w:rFonts w:ascii="宋体" w:hAnsi="宋体" w:cs="宋体" w:eastAsia="宋体" w:hint="default"/>
          <w:sz w:val="15"/>
          <w:szCs w:val="15"/>
        </w:rPr>
      </w:pPr>
    </w:p>
    <w:p>
      <w:pPr>
        <w:spacing w:line="415" w:lineRule="auto" w:before="0"/>
        <w:ind w:left="633" w:right="757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t>金融资产转移是指下列两种情形：</w:t>
      </w:r>
    </w:p>
    <w:p>
      <w:pPr>
        <w:pStyle w:val="BodyText"/>
        <w:spacing w:line="240" w:lineRule="auto" w:before="65"/>
        <w:ind w:left="633" w:right="1133"/>
        <w:jc w:val="left"/>
      </w:pPr>
      <w:r>
        <w:rPr>
          <w:rFonts w:ascii="Times New Roman" w:hAnsi="Times New Roman" w:cs="Times New Roman" w:eastAsia="Times New Roman" w:hint="default"/>
        </w:rPr>
        <w:t>A.</w:t>
      </w:r>
      <w:r>
        <w:rPr/>
        <w:t>将收取金融资产现金流量的合同权利转移给另一方；</w:t>
      </w:r>
    </w:p>
    <w:p>
      <w:pPr>
        <w:spacing w:line="240" w:lineRule="auto" w:before="13"/>
        <w:rPr>
          <w:rFonts w:ascii="宋体" w:hAnsi="宋体" w:cs="宋体" w:eastAsia="宋体" w:hint="default"/>
          <w:sz w:val="13"/>
          <w:szCs w:val="13"/>
        </w:rPr>
      </w:pPr>
    </w:p>
    <w:p>
      <w:pPr>
        <w:pStyle w:val="BodyText"/>
        <w:spacing w:line="300" w:lineRule="auto"/>
        <w:ind w:right="1133" w:firstLine="480"/>
        <w:jc w:val="left"/>
      </w:pPr>
      <w:r>
        <w:rPr>
          <w:rFonts w:ascii="Times New Roman" w:hAnsi="Times New Roman" w:cs="Times New Roman" w:eastAsia="Times New Roman" w:hint="default"/>
          <w:spacing w:val="-1"/>
        </w:rPr>
        <w:t>B.</w:t>
      </w:r>
      <w:r>
        <w:rPr>
          <w:spacing w:val="-1"/>
        </w:rPr>
        <w:t>将金融资产整体或部分转移给另一方，但保留收取金融资产现金流量的合同权利，并承担将收取的现金流量支付给</w:t>
      </w:r>
      <w:r>
        <w:rPr/>
        <w:t> 一个或多个收款方的合同义务。</w:t>
      </w:r>
    </w:p>
    <w:p>
      <w:pPr>
        <w:pStyle w:val="BodyText"/>
        <w:spacing w:line="240" w:lineRule="auto" w:before="152"/>
        <w:ind w:left="633" w:right="1133"/>
        <w:jc w:val="left"/>
      </w:pPr>
      <w:r>
        <w:rPr/>
        <w:t>①终止确认所转移的金融资产</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2" w:firstLine="480"/>
        <w:jc w:val="both"/>
      </w:pPr>
      <w:r>
        <w:rPr>
          <w:spacing w:val="-1"/>
        </w:rPr>
        <w:t>已将金融资产所有权上几乎所有的风险和报酬转移给转入方的，或既没有转移也没有保留金融资产所有权上几乎所有</w:t>
      </w:r>
      <w:r>
        <w:rPr/>
        <w:t> 的风险和报酬的，但放弃了对该金融资产控制的，终止确认该金融资产。</w:t>
      </w:r>
    </w:p>
    <w:p>
      <w:pPr>
        <w:pStyle w:val="BodyText"/>
        <w:spacing w:line="316" w:lineRule="auto" w:before="139"/>
        <w:ind w:right="1135" w:firstLine="480"/>
        <w:jc w:val="both"/>
      </w:pPr>
      <w:r>
        <w:rPr>
          <w:spacing w:val="-1"/>
        </w:rPr>
        <w:t>在判断是否已放弃对所转移金融资产的控制时，根据转入方出售该金融资产的实际能力。转入方能够单方面将转移的</w:t>
      </w:r>
      <w:r>
        <w:rPr/>
        <w:t> 金融资产整体出售给不相关的第三方，且没有额外条件对此项出售加以限制的，则公司已放弃对该金融资产的控制。</w:t>
      </w:r>
    </w:p>
    <w:p>
      <w:pPr>
        <w:pStyle w:val="BodyText"/>
        <w:spacing w:line="439" w:lineRule="auto" w:before="139"/>
        <w:ind w:left="633" w:right="3073"/>
        <w:jc w:val="left"/>
      </w:pPr>
      <w:r>
        <w:rPr/>
        <w:t>本公司在判断金融资产转移是否满足金融资产终止确认条件时，注重金融资产转移的实质。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pStyle w:val="BodyText"/>
        <w:spacing w:line="300" w:lineRule="auto" w:before="17"/>
        <w:ind w:right="1132" w:firstLine="480"/>
        <w:jc w:val="both"/>
      </w:pPr>
      <w:r>
        <w:rPr>
          <w:rFonts w:ascii="Times New Roman" w:hAnsi="Times New Roman" w:cs="Times New Roman" w:eastAsia="Times New Roman" w:hint="default"/>
          <w:spacing w:val="-1"/>
        </w:rPr>
        <w:t>B.</w:t>
      </w:r>
      <w:r>
        <w:rPr>
          <w:spacing w:val="-1"/>
        </w:rPr>
        <w:t>因转移而收到的对价，与原直接计入其他综合收益的公允价值变动累计额中对于终止确认部分的金额（涉及转移的</w:t>
      </w:r>
      <w:r>
        <w:rPr/>
        <w:t> 金融资产为根据《企业会计准则第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金融工具确认和计量》第十八条分类为以公允价值计量且其变动计入其他综合收益</w:t>
      </w:r>
      <w:r>
        <w:rPr>
          <w:spacing w:val="-58"/>
        </w:rPr>
        <w:t> </w:t>
      </w:r>
      <w:r>
        <w:rPr>
          <w:spacing w:val="-58"/>
        </w:rPr>
      </w:r>
      <w:r>
        <w:rPr/>
        <w:t>的金融资产的情形）之和。</w:t>
      </w:r>
    </w:p>
    <w:p>
      <w:pPr>
        <w:pStyle w:val="BodyText"/>
        <w:spacing w:line="316" w:lineRule="auto" w:before="151"/>
        <w:ind w:right="1131" w:firstLine="480"/>
        <w:jc w:val="both"/>
      </w:pPr>
      <w:r>
        <w:rPr>
          <w:spacing w:val="-1"/>
        </w:rPr>
        <w:t>金融资产部分转移满足终止确认条件的，将所转移金融资产整体的账面价值，在终止确认部分和未终止确认部分（在</w:t>
      </w:r>
      <w:r>
        <w:rPr/>
        <w:t> </w:t>
      </w:r>
      <w:r>
        <w:rPr>
          <w:spacing w:val="-2"/>
        </w:rPr>
        <w:t>此种情况下，所保留的服务资产视同继续确认金融资产的一部分）之间，按照转移日各自的相对公允价值进行分摊，并将下</w:t>
      </w:r>
      <w:r>
        <w:rPr>
          <w:spacing w:val="-64"/>
        </w:rPr>
        <w:t> </w:t>
      </w:r>
      <w:r>
        <w:rPr>
          <w:spacing w:val="-64"/>
        </w:rPr>
      </w:r>
      <w:r>
        <w:rPr/>
        <w:t>列两项金额的差额计入当期损益：</w:t>
      </w:r>
    </w:p>
    <w:p>
      <w:pPr>
        <w:pStyle w:val="BodyText"/>
        <w:spacing w:line="432" w:lineRule="exact" w:before="3"/>
        <w:ind w:left="633" w:right="1133"/>
        <w:jc w:val="left"/>
      </w:pPr>
      <w:r>
        <w:rPr>
          <w:rFonts w:ascii="Times New Roman" w:hAnsi="Times New Roman" w:cs="Times New Roman" w:eastAsia="Times New Roman" w:hint="default"/>
        </w:rPr>
        <w:t>A.</w:t>
      </w:r>
      <w:r>
        <w:rPr/>
        <w:t>终止确认部分在终止确认日的账面价值； </w:t>
      </w:r>
      <w:r>
        <w:rPr>
          <w:rFonts w:ascii="Times New Roman" w:hAnsi="Times New Roman" w:cs="Times New Roman" w:eastAsia="Times New Roman" w:hint="default"/>
          <w:spacing w:val="-1"/>
        </w:rPr>
        <w:t>B.</w:t>
      </w:r>
      <w:r>
        <w:rPr>
          <w:spacing w:val="-1"/>
        </w:rPr>
        <w:t>终止确认部分的对价，与原计入其他综合收益的公允价值变动累计额中对应终止确认部分的金额（涉及转移的金融</w:t>
      </w:r>
    </w:p>
    <w:p>
      <w:pPr>
        <w:pStyle w:val="BodyText"/>
        <w:spacing w:line="300" w:lineRule="auto" w:before="15"/>
        <w:ind w:right="1133"/>
        <w:jc w:val="left"/>
      </w:pPr>
      <w:r>
        <w:rPr/>
        <w:t>资产为根据《企业会计准则第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金融工具确认和计量》第十八条分类为以公允价值计量且其变动计入其他综合收益的金</w:t>
      </w:r>
      <w:r>
        <w:rPr>
          <w:spacing w:val="-58"/>
        </w:rPr>
        <w:t> </w:t>
      </w:r>
      <w:r>
        <w:rPr>
          <w:spacing w:val="-58"/>
        </w:rPr>
      </w:r>
      <w:r>
        <w:rPr/>
        <w:t>融资产的情形）之和。</w:t>
      </w:r>
    </w:p>
    <w:p>
      <w:pPr>
        <w:pStyle w:val="BodyText"/>
        <w:spacing w:line="432" w:lineRule="exact" w:before="16"/>
        <w:ind w:left="633" w:right="1133"/>
        <w:jc w:val="left"/>
      </w:pPr>
      <w:r>
        <w:rPr/>
        <w:t>②继续涉入所转移的金融资产 </w:t>
      </w:r>
      <w:r>
        <w:rPr>
          <w:spacing w:val="-1"/>
        </w:rPr>
        <w:t>既没有转移也没有保留金融资产所有权上几乎所有的风险和报酬的，且未放弃对该金融资产控制的，应当按照其继续</w:t>
      </w:r>
    </w:p>
    <w:p>
      <w:pPr>
        <w:pStyle w:val="BodyText"/>
        <w:spacing w:line="439" w:lineRule="auto" w:before="15"/>
        <w:ind w:left="633" w:right="2713" w:hanging="481"/>
        <w:jc w:val="left"/>
      </w:pPr>
      <w:r>
        <w:rPr/>
        <w:t>涉入所转移金融资产的程度确认有关金融资产，并相应确认有关负债。 继续涉入所转移金融资产的程度，是指企业承担的被转移金融资产价值变动风险或报酬的程度。</w:t>
      </w:r>
    </w:p>
    <w:p>
      <w:pPr>
        <w:pStyle w:val="BodyText"/>
        <w:spacing w:line="240" w:lineRule="auto" w:before="47"/>
        <w:ind w:left="633" w:right="1133"/>
        <w:jc w:val="left"/>
      </w:pPr>
      <w:r>
        <w:rPr/>
        <w:t>③继续确认所转移的金融资产</w:t>
      </w:r>
    </w:p>
    <w:p>
      <w:pPr>
        <w:spacing w:line="240" w:lineRule="auto" w:before="0"/>
        <w:rPr>
          <w:rFonts w:ascii="宋体" w:hAnsi="宋体" w:cs="宋体" w:eastAsia="宋体" w:hint="default"/>
          <w:sz w:val="15"/>
          <w:szCs w:val="15"/>
        </w:rPr>
      </w:pPr>
    </w:p>
    <w:p>
      <w:pPr>
        <w:pStyle w:val="BodyText"/>
        <w:spacing w:line="316" w:lineRule="auto"/>
        <w:ind w:right="1135" w:firstLine="480"/>
        <w:jc w:val="both"/>
      </w:pPr>
      <w:r>
        <w:rPr>
          <w:spacing w:val="-1"/>
        </w:rPr>
        <w:t>仍保留与所转移金融资产所有权上几乎所有的风险和报酬的，应当继续确认所转移金融资产整体，并将收到的对价确</w:t>
      </w:r>
      <w:r>
        <w:rPr/>
        <w:t> 认为一项金融负债。</w:t>
      </w:r>
    </w:p>
    <w:p>
      <w:pPr>
        <w:pStyle w:val="BodyText"/>
        <w:spacing w:line="316" w:lineRule="auto" w:before="139"/>
        <w:ind w:right="1132" w:firstLine="480"/>
        <w:jc w:val="both"/>
      </w:pPr>
      <w:r>
        <w:rPr>
          <w:spacing w:val="-1"/>
        </w:rPr>
        <w:t>该金融资产与确认的相关金融负债不得相互抵销。在随后的会计期间，企业应当继续确认该金融资产产生的收入（或</w:t>
      </w:r>
      <w:r>
        <w:rPr/>
        <w:t> 利得）和该金融负债产生的费用（或损失）。</w:t>
      </w:r>
    </w:p>
    <w:p>
      <w:pPr>
        <w:spacing w:line="432" w:lineRule="exact" w:before="4"/>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）金融资产和金融负债的抵销</w:t>
      </w:r>
      <w:r>
        <w:rPr>
          <w:rFonts w:ascii="宋体" w:hAnsi="宋体" w:cs="宋体" w:eastAsia="宋体" w:hint="default"/>
          <w:b/>
          <w:bCs/>
          <w:w w:val="99"/>
          <w:sz w:val="18"/>
          <w:szCs w:val="18"/>
        </w:rPr>
        <w:t> </w:t>
      </w:r>
      <w:r>
        <w:rPr>
          <w:rFonts w:ascii="宋体" w:hAnsi="宋体" w:cs="宋体" w:eastAsia="宋体" w:hint="default"/>
          <w:spacing w:val="-1"/>
          <w:sz w:val="18"/>
          <w:szCs w:val="18"/>
        </w:rPr>
        <w:t>金融资产和金融负债应当在资产负债表内分别列示，不得相互抵销。但同时满足下列条件的，以相互抵销后的净额在</w:t>
      </w:r>
    </w:p>
    <w:p>
      <w:pPr>
        <w:pStyle w:val="BodyText"/>
        <w:spacing w:line="439" w:lineRule="auto" w:before="15"/>
        <w:ind w:left="633" w:right="4333" w:hanging="481"/>
        <w:jc w:val="left"/>
      </w:pPr>
      <w:r>
        <w:rPr/>
        <w:t>资产负债表内列示： 本公司具有抵销已确认金额的法定权利，且该种法定权利是当前可执行的； 本公司计划以净额结算，或同时变现该金融资产和清偿该金融负债。</w:t>
      </w:r>
    </w:p>
    <w:p>
      <w:pPr>
        <w:pStyle w:val="BodyText"/>
        <w:spacing w:line="240" w:lineRule="auto" w:before="47"/>
        <w:ind w:left="633" w:right="1133"/>
        <w:jc w:val="left"/>
      </w:pPr>
      <w:r>
        <w:rPr/>
        <w:t>不满足终止确认条件的金融资产转移，转出方不得将已转移的金融资产和相关负债进行抵销。</w:t>
      </w:r>
    </w:p>
    <w:p>
      <w:pPr>
        <w:spacing w:line="240" w:lineRule="auto" w:before="0"/>
        <w:rPr>
          <w:rFonts w:ascii="宋体" w:hAnsi="宋体" w:cs="宋体" w:eastAsia="宋体" w:hint="default"/>
          <w:sz w:val="15"/>
          <w:szCs w:val="15"/>
        </w:rPr>
      </w:pPr>
    </w:p>
    <w:p>
      <w:pPr>
        <w:spacing w:line="415" w:lineRule="auto" w:before="0"/>
        <w:ind w:left="633" w:right="577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8</w:t>
      </w:r>
      <w:r>
        <w:rPr>
          <w:rFonts w:ascii="宋体" w:hAnsi="宋体" w:cs="宋体" w:eastAsia="宋体" w:hint="default"/>
          <w:b/>
          <w:bCs/>
          <w:sz w:val="18"/>
          <w:szCs w:val="18"/>
        </w:rPr>
        <w:t>）金融工具公允价值的确定方法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金融资产和金融负债的公允价值确定方法见附注五、</w:t>
      </w:r>
      <w:r>
        <w:rPr>
          <w:rFonts w:ascii="Times New Roman" w:hAnsi="Times New Roman" w:cs="Times New Roman" w:eastAsia="Times New Roman" w:hint="default"/>
          <w:sz w:val="18"/>
          <w:szCs w:val="18"/>
        </w:rPr>
        <w:t>45</w:t>
      </w:r>
      <w:r>
        <w:rPr>
          <w:rFonts w:ascii="宋体" w:hAnsi="宋体" w:cs="宋体" w:eastAsia="宋体" w:hint="default"/>
          <w:sz w:val="18"/>
          <w:szCs w:val="18"/>
        </w:rPr>
        <w:t>。 </w:t>
      </w:r>
      <w:r>
        <w:rPr>
          <w:rFonts w:ascii="宋体" w:hAnsi="宋体" w:cs="宋体" w:eastAsia="宋体" w:hint="default"/>
          <w:b/>
          <w:bCs/>
          <w:sz w:val="18"/>
          <w:szCs w:val="18"/>
        </w:rPr>
        <w:t>以下金融工具会计政策适用于</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年度及以前</w:t>
      </w:r>
      <w:r>
        <w:rPr>
          <w:rFonts w:ascii="宋体" w:hAnsi="宋体" w:cs="宋体" w:eastAsia="宋体" w:hint="default"/>
          <w:sz w:val="18"/>
          <w:szCs w:val="18"/>
        </w:rPr>
      </w:r>
    </w:p>
    <w:p>
      <w:pPr>
        <w:pStyle w:val="Heading4"/>
        <w:spacing w:line="240" w:lineRule="auto" w:before="37"/>
        <w:ind w:right="1133"/>
        <w:jc w:val="left"/>
        <w:rPr>
          <w:b w:val="0"/>
          <w:bCs w:val="0"/>
        </w:rPr>
      </w:pPr>
      <w:r>
        <w:rPr/>
        <w:t>（</w:t>
      </w:r>
      <w:r>
        <w:rPr>
          <w:rFonts w:ascii="Times New Roman" w:hAnsi="Times New Roman" w:cs="Times New Roman" w:eastAsia="Times New Roman" w:hint="default"/>
        </w:rPr>
        <w:t>1</w:t>
      </w:r>
      <w:r>
        <w:rPr/>
        <w:t>）金融资产的分类</w:t>
      </w:r>
      <w:r>
        <w:rPr>
          <w:b w:val="0"/>
          <w:bCs w:val="0"/>
        </w:rPr>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pStyle w:val="BodyText"/>
        <w:spacing w:line="240" w:lineRule="auto" w:before="44"/>
        <w:ind w:left="633" w:right="1133"/>
        <w:jc w:val="left"/>
      </w:pPr>
      <w:r>
        <w:rPr/>
        <w:t>①以公允价值计量且其变动计入当期损益的金融资产</w:t>
      </w:r>
    </w:p>
    <w:p>
      <w:pPr>
        <w:spacing w:line="240" w:lineRule="auto" w:before="0"/>
        <w:rPr>
          <w:rFonts w:ascii="宋体" w:hAnsi="宋体" w:cs="宋体" w:eastAsia="宋体" w:hint="default"/>
          <w:sz w:val="15"/>
          <w:szCs w:val="15"/>
        </w:rPr>
      </w:pPr>
    </w:p>
    <w:p>
      <w:pPr>
        <w:pStyle w:val="BodyText"/>
        <w:spacing w:line="316" w:lineRule="auto"/>
        <w:ind w:right="1132" w:firstLine="480"/>
        <w:jc w:val="both"/>
      </w:pPr>
      <w:r>
        <w:rPr>
          <w:spacing w:val="-1"/>
        </w:rPr>
        <w:t>包括交易性金融资产和直接指定为以公允价值计量且其变动计入当期损益的金融资产，前者主要是指本公司为了近期</w:t>
      </w:r>
      <w:r>
        <w:rPr/>
        <w:t> </w:t>
      </w:r>
      <w:r>
        <w:rPr>
          <w:spacing w:val="-2"/>
        </w:rPr>
        <w:t>内出售而持有的股票、债券、基金以及不作为有效套期工具的衍生工具投资。这类资产在初始计量时按照取得时的公允价值</w:t>
      </w:r>
      <w:r>
        <w:rPr>
          <w:spacing w:val="-64"/>
        </w:rPr>
        <w:t> </w:t>
      </w:r>
      <w:r>
        <w:rPr>
          <w:spacing w:val="-64"/>
        </w:rPr>
      </w:r>
      <w:r>
        <w:rPr>
          <w:spacing w:val="-2"/>
        </w:rPr>
        <w:t>作为初始确认金额，相关的交易费用在发生时计入当期损益。支付的价款中包含已宣告但尚未发放的现金股利或已到付息但</w:t>
      </w:r>
      <w:r>
        <w:rPr>
          <w:spacing w:val="-64"/>
        </w:rPr>
        <w:t> </w:t>
      </w:r>
      <w:r>
        <w:rPr>
          <w:spacing w:val="-64"/>
        </w:rPr>
      </w:r>
      <w:r>
        <w:rPr>
          <w:spacing w:val="-2"/>
        </w:rPr>
        <w:t>尚未领取的债券利息，单独确认为应收项目。在持有期间取得利息或现金股利，确认为投资收益。资产负债表日，本公司将</w:t>
      </w:r>
      <w:r>
        <w:rPr>
          <w:spacing w:val="-67"/>
        </w:rPr>
        <w:t> </w:t>
      </w:r>
      <w:r>
        <w:rPr>
          <w:spacing w:val="-67"/>
        </w:rPr>
      </w:r>
      <w:r>
        <w:rPr>
          <w:spacing w:val="-2"/>
        </w:rPr>
        <w:t>这类金融资产以公允价值计量且其变动计入当期损益。这类金融资产在处置时，其公允价值与初始入账金额之间的差额确认</w:t>
      </w:r>
      <w:r>
        <w:rPr>
          <w:spacing w:val="-64"/>
        </w:rPr>
        <w:t> </w:t>
      </w:r>
      <w:r>
        <w:rPr>
          <w:spacing w:val="-64"/>
        </w:rPr>
      </w:r>
      <w:r>
        <w:rPr/>
        <w:t>为投资收益，同时调整公允价值变动损益。</w:t>
      </w:r>
    </w:p>
    <w:p>
      <w:pPr>
        <w:pStyle w:val="BodyText"/>
        <w:spacing w:line="432" w:lineRule="exact" w:before="3"/>
        <w:ind w:left="633" w:right="0"/>
        <w:jc w:val="left"/>
      </w:pPr>
      <w:r>
        <w:rPr/>
        <w:t>②持有至到期投资 </w:t>
      </w:r>
      <w:r>
        <w:rPr>
          <w:spacing w:val="-1"/>
        </w:rPr>
        <w:t>主要是指到期日固定、回收金额固定或可确定，且本公司具有明确意图和能力持有至到期的国债、公司债券等。这类</w:t>
      </w:r>
    </w:p>
    <w:p>
      <w:pPr>
        <w:pStyle w:val="BodyText"/>
        <w:spacing w:line="316" w:lineRule="auto" w:before="16"/>
        <w:ind w:right="1133"/>
        <w:jc w:val="both"/>
      </w:pPr>
      <w:r>
        <w:rPr>
          <w:spacing w:val="-2"/>
        </w:rPr>
        <w:t>金融资产按照取得时的公允价值和相关交易费用之和作为初始确认金额。支付价款中包含的已到付息期但尚未发放的债券利</w:t>
      </w:r>
      <w:r>
        <w:rPr>
          <w:spacing w:val="-64"/>
        </w:rPr>
        <w:t> </w:t>
      </w:r>
      <w:r>
        <w:rPr>
          <w:spacing w:val="-64"/>
        </w:rPr>
      </w:r>
      <w:r>
        <w:rPr>
          <w:spacing w:val="-2"/>
        </w:rPr>
        <w:t>息，单独确认为应收项目。持有至到期投资在持有期间按照摊余成本和实际利率计算确认利息收入，计入投资收益。处置持</w:t>
      </w:r>
      <w:r>
        <w:rPr>
          <w:spacing w:val="-66"/>
        </w:rPr>
        <w:t> </w:t>
      </w:r>
      <w:r>
        <w:rPr>
          <w:spacing w:val="-66"/>
        </w:rPr>
      </w:r>
      <w:r>
        <w:rPr/>
        <w:t>有至到期投资时，将所取得价款与该投资账面价值之间的差额计入投资收益。</w:t>
      </w:r>
    </w:p>
    <w:p>
      <w:pPr>
        <w:pStyle w:val="BodyText"/>
        <w:spacing w:line="432" w:lineRule="exact" w:before="3"/>
        <w:ind w:left="633" w:right="1133"/>
        <w:jc w:val="left"/>
      </w:pPr>
      <w:r>
        <w:rPr/>
        <w:t>③贷款和应收款项 </w:t>
      </w:r>
      <w:r>
        <w:rPr>
          <w:spacing w:val="-1"/>
        </w:rPr>
        <w:t>贷款是指金融企业按当前市场条件发放的贷款，按发放贷款的本金和相关交易费用之和作为初始确认金额。如果金融</w:t>
      </w:r>
    </w:p>
    <w:p>
      <w:pPr>
        <w:pStyle w:val="BodyText"/>
        <w:spacing w:line="316" w:lineRule="auto" w:before="15"/>
        <w:ind w:right="1129"/>
        <w:jc w:val="both"/>
      </w:pPr>
      <w:r>
        <w:rPr>
          <w:spacing w:val="-2"/>
        </w:rPr>
        <w:t>企业按照低于市场利率发放贷款，且收到了一项费用作为补偿，则应以公允价值确认该项贷款，即应以贷款的本金减去收到</w:t>
      </w:r>
      <w:r>
        <w:rPr>
          <w:spacing w:val="-62"/>
        </w:rPr>
        <w:t> </w:t>
      </w:r>
      <w:r>
        <w:rPr>
          <w:spacing w:val="-62"/>
        </w:rPr>
      </w:r>
      <w:r>
        <w:rPr/>
        <w:t>的补偿款后的金额作为初始计量金额。</w:t>
      </w:r>
    </w:p>
    <w:p>
      <w:pPr>
        <w:pStyle w:val="BodyText"/>
        <w:spacing w:line="316" w:lineRule="auto" w:before="139"/>
        <w:ind w:right="0" w:firstLine="480"/>
        <w:jc w:val="left"/>
      </w:pPr>
      <w:r>
        <w:rPr>
          <w:spacing w:val="-1"/>
        </w:rPr>
        <w:t>贷款持有期间所确认的利息收入，根据实际利率法计算。实际利率应在取得贷款时确定，在该贷款预期存续期间或适</w:t>
      </w:r>
      <w:r>
        <w:rPr/>
        <w:t> 用的更短期间内保持不变。实际利率与合同利率差别较小的，也可按合同利率计算利息收入。</w:t>
      </w:r>
    </w:p>
    <w:p>
      <w:pPr>
        <w:pStyle w:val="BodyText"/>
        <w:spacing w:line="432" w:lineRule="exact" w:before="4"/>
        <w:ind w:left="633" w:right="1133"/>
        <w:jc w:val="left"/>
      </w:pPr>
      <w:r>
        <w:rPr/>
        <w:t>收回或处置贷款时，将取得的价款与该贷款的账面价值之间的差额计入当期损益。 </w:t>
      </w:r>
      <w:r>
        <w:rPr>
          <w:spacing w:val="-1"/>
        </w:rPr>
        <w:t>应收款项主要包括应收账款和其他应收款等。应收账款是指本公司销售商品或提供劳务形成的应收款项。应收账款按</w:t>
      </w:r>
    </w:p>
    <w:p>
      <w:pPr>
        <w:pStyle w:val="BodyText"/>
        <w:spacing w:line="240" w:lineRule="auto" w:before="15"/>
        <w:ind w:right="0"/>
        <w:jc w:val="both"/>
      </w:pPr>
      <w:r>
        <w:rPr/>
        <w:t>从购货方应收的合同或协议价款作为初始确认金额。</w:t>
      </w:r>
    </w:p>
    <w:p>
      <w:pPr>
        <w:pStyle w:val="BodyText"/>
        <w:spacing w:line="430" w:lineRule="atLeast" w:before="2"/>
        <w:ind w:left="633" w:right="1133"/>
        <w:jc w:val="left"/>
      </w:pPr>
      <w:r>
        <w:rPr/>
        <w:t>④可供出售金融资产 </w:t>
      </w:r>
      <w:r>
        <w:rPr>
          <w:spacing w:val="-1"/>
        </w:rPr>
        <w:t>主要是指本公司没有划分为以公允价值计量且其变动计入当期损益的金融资产、持有至到期投资、贷款和应收款项的</w:t>
      </w:r>
    </w:p>
    <w:p>
      <w:pPr>
        <w:pStyle w:val="BodyText"/>
        <w:spacing w:line="316" w:lineRule="auto" w:before="76"/>
        <w:ind w:right="1133"/>
        <w:jc w:val="both"/>
      </w:pPr>
      <w:r>
        <w:rPr>
          <w:spacing w:val="-2"/>
        </w:rPr>
        <w:t>金融资产。可供出售金融资产按照取得该金融资产的公允价值和相关交易费用之和作为初始确认金额。支付的价款中包含的</w:t>
      </w:r>
      <w:r>
        <w:rPr>
          <w:spacing w:val="-64"/>
        </w:rPr>
        <w:t> </w:t>
      </w:r>
      <w:r>
        <w:rPr>
          <w:spacing w:val="-64"/>
        </w:rPr>
      </w:r>
      <w:r>
        <w:rPr>
          <w:spacing w:val="-2"/>
        </w:rPr>
        <w:t>已到付息期但尚未领取的债券利息或已宣告但尚未发放的现金股利，单独确认为应收项目。可供出售金融资产持有期间取得</w:t>
      </w:r>
      <w:r>
        <w:rPr>
          <w:spacing w:val="-64"/>
        </w:rPr>
        <w:t> </w:t>
      </w:r>
      <w:r>
        <w:rPr>
          <w:spacing w:val="-64"/>
        </w:rPr>
      </w:r>
      <w:r>
        <w:rPr/>
        <w:t>的利息或现金股利计入投资收益。</w:t>
      </w:r>
    </w:p>
    <w:p>
      <w:pPr>
        <w:pStyle w:val="BodyText"/>
        <w:spacing w:line="319" w:lineRule="auto" w:before="139"/>
        <w:ind w:right="1034" w:firstLine="480"/>
        <w:jc w:val="left"/>
      </w:pPr>
      <w:r>
        <w:rPr/>
        <w:t>可供出售金融资产是外币货币性金融资产的，其形成的汇兑损益应当计入当期损益。采用实际利率法计算的可供出售 </w:t>
      </w:r>
      <w:r>
        <w:rPr>
          <w:spacing w:val="-2"/>
        </w:rPr>
        <w:t>债务工具投资的利息，计入当期损益；可供出售权益工具投资的现金股利，在被投资单位宣告发放股利时计入当期损益。资</w:t>
      </w:r>
      <w:r>
        <w:rPr>
          <w:spacing w:val="-63"/>
        </w:rPr>
        <w:t> </w:t>
      </w:r>
      <w:r>
        <w:rPr>
          <w:spacing w:val="-63"/>
        </w:rPr>
      </w:r>
      <w:r>
        <w:rPr>
          <w:spacing w:val="-2"/>
        </w:rPr>
        <w:t>产负债表日，可供出售金融资产以公允价值计量，且其变动计入其他综合收益。处置可供出售金融资产时，将取得的价款与</w:t>
      </w:r>
      <w:r>
        <w:rPr>
          <w:spacing w:val="-65"/>
        </w:rPr>
        <w:t> </w:t>
      </w:r>
      <w:r>
        <w:rPr>
          <w:spacing w:val="-65"/>
        </w:rPr>
      </w:r>
      <w:r>
        <w:rPr/>
        <w:t>该金融资产账面价值之间差额计入投资收益；同时，将原计入所有者权益的公允价值变动累计额对应处置部分的金额转出， 计入投资收益。</w:t>
      </w:r>
    </w:p>
    <w:p>
      <w:pPr>
        <w:pStyle w:val="Heading4"/>
        <w:spacing w:line="240" w:lineRule="auto" w:before="137"/>
        <w:ind w:right="1133"/>
        <w:jc w:val="left"/>
        <w:rPr>
          <w:b w:val="0"/>
          <w:bCs w:val="0"/>
        </w:rPr>
      </w:pPr>
      <w:r>
        <w:rPr/>
        <w:t>（</w:t>
      </w:r>
      <w:r>
        <w:rPr>
          <w:rFonts w:ascii="Times New Roman" w:hAnsi="Times New Roman" w:cs="Times New Roman" w:eastAsia="Times New Roman" w:hint="default"/>
        </w:rPr>
        <w:t>2</w:t>
      </w:r>
      <w:r>
        <w:rPr/>
        <w:t>）金融负债的分类</w:t>
      </w:r>
      <w:r>
        <w:rPr>
          <w:b w:val="0"/>
          <w:bCs w:val="0"/>
        </w:rPr>
      </w:r>
    </w:p>
    <w:p>
      <w:pPr>
        <w:spacing w:line="240" w:lineRule="auto" w:before="13"/>
        <w:rPr>
          <w:rFonts w:ascii="宋体" w:hAnsi="宋体" w:cs="宋体" w:eastAsia="宋体" w:hint="default"/>
          <w:b/>
          <w:bCs/>
          <w:sz w:val="13"/>
          <w:szCs w:val="13"/>
        </w:rPr>
      </w:pPr>
    </w:p>
    <w:p>
      <w:pPr>
        <w:pStyle w:val="BodyText"/>
        <w:spacing w:line="316" w:lineRule="auto"/>
        <w:ind w:right="1128" w:firstLine="480"/>
        <w:jc w:val="both"/>
      </w:pPr>
      <w:r>
        <w:rPr>
          <w:spacing w:val="-1"/>
        </w:rPr>
        <w:t>①以公允价值计量且其变动计入当期损益的金融负债，包括交易性金融负债和指定为以公允价值计量且其变动计入当</w:t>
      </w:r>
      <w:r>
        <w:rPr/>
        <w:t> </w:t>
      </w:r>
      <w:r>
        <w:rPr>
          <w:spacing w:val="-2"/>
        </w:rPr>
        <w:t>期损益的金融负债；这类金融负债初始确认时以公允价值计量，相关交易费用直接计入当期损益，资产负债表日将公允价值</w:t>
      </w:r>
      <w:r>
        <w:rPr>
          <w:spacing w:val="-61"/>
        </w:rPr>
        <w:t> </w:t>
      </w:r>
      <w:r>
        <w:rPr>
          <w:spacing w:val="-61"/>
        </w:rPr>
      </w:r>
      <w:r>
        <w:rPr/>
        <w:t>变动计入当期损益。</w:t>
      </w:r>
    </w:p>
    <w:p>
      <w:pPr>
        <w:pStyle w:val="BodyText"/>
        <w:spacing w:line="240" w:lineRule="auto" w:before="139"/>
        <w:ind w:left="633" w:right="1133"/>
        <w:jc w:val="left"/>
      </w:pPr>
      <w:r>
        <w:rPr/>
        <w:t>②其他金融负债，是指以公允价值计量且其变动计入当期损益的金融负债以外的金融负债。</w:t>
      </w:r>
    </w:p>
    <w:p>
      <w:pPr>
        <w:spacing w:line="240" w:lineRule="auto" w:before="1"/>
        <w:rPr>
          <w:rFonts w:ascii="宋体" w:hAnsi="宋体" w:cs="宋体" w:eastAsia="宋体" w:hint="default"/>
          <w:sz w:val="15"/>
          <w:szCs w:val="15"/>
        </w:rPr>
      </w:pPr>
    </w:p>
    <w:p>
      <w:pPr>
        <w:pStyle w:val="BodyText"/>
        <w:spacing w:line="415" w:lineRule="auto"/>
        <w:ind w:left="633" w:right="0" w:firstLine="2"/>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）金融资产的重分类</w:t>
      </w:r>
      <w:r>
        <w:rPr>
          <w:rFonts w:ascii="宋体" w:hAnsi="宋体" w:cs="宋体" w:eastAsia="宋体" w:hint="default"/>
          <w:b/>
          <w:bCs/>
          <w:w w:val="99"/>
        </w:rPr>
        <w:t> </w:t>
      </w:r>
      <w:r>
        <w:rPr>
          <w:spacing w:val="-3"/>
        </w:rPr>
        <w:t>因持有意图或能力发生改变，使某项投资不再适合划分为持有至到期投资的，本公司将其重分类为可供出售金融资产，</w:t>
      </w:r>
    </w:p>
    <w:p>
      <w:pPr>
        <w:spacing w:after="0" w:line="415"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2" w:lineRule="auto" w:before="44"/>
        <w:ind w:right="1130"/>
        <w:jc w:val="both"/>
      </w:pPr>
      <w:r>
        <w:rPr>
          <w:spacing w:val="-2"/>
        </w:rPr>
        <w:t>并以公允价值进行后续计量。持有至到期投资部分出售或重分类的金额较大，且不属于《企业会计准则第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w:t>
      </w:r>
      <w:r>
        <w:rPr>
          <w:spacing w:val="-63"/>
        </w:rPr>
        <w:t> </w:t>
      </w:r>
      <w:r>
        <w:rPr>
          <w:spacing w:val="-63"/>
        </w:rPr>
      </w:r>
      <w:r>
        <w:rPr>
          <w:spacing w:val="-2"/>
        </w:rPr>
        <w:t>确认和计量》第十六条所指的例外情况，使该投资的剩余部分不再适合划分为持有至到期投资的，本公司应当将该投资的剩</w:t>
      </w:r>
      <w:r>
        <w:rPr>
          <w:spacing w:val="-63"/>
        </w:rPr>
        <w:t> </w:t>
      </w:r>
      <w:r>
        <w:rPr>
          <w:spacing w:val="-63"/>
        </w:rPr>
      </w:r>
      <w:r>
        <w:rPr>
          <w:spacing w:val="-2"/>
        </w:rPr>
        <w:t>余部分重分类为可供出售金融资产，并以公允价值进行后续计量，但在本会计年度及以后两个完整的会计年度内不再将该金</w:t>
      </w:r>
      <w:r>
        <w:rPr>
          <w:spacing w:val="-63"/>
        </w:rPr>
        <w:t> </w:t>
      </w:r>
      <w:r>
        <w:rPr>
          <w:spacing w:val="-63"/>
        </w:rPr>
      </w:r>
      <w:r>
        <w:rPr/>
        <w:t>融资产划分为持有至到期投资。</w:t>
      </w:r>
    </w:p>
    <w:p>
      <w:pPr>
        <w:pStyle w:val="BodyText"/>
        <w:spacing w:line="316" w:lineRule="auto" w:before="142"/>
        <w:ind w:right="1135" w:firstLine="480"/>
        <w:jc w:val="both"/>
      </w:pPr>
      <w:r>
        <w:rPr>
          <w:spacing w:val="-1"/>
        </w:rPr>
        <w:t>重分类日，该投资的账面价值与公允价值之间的差额计入其他综合收益，在该可供出售金融资产发生减值或终止确认</w:t>
      </w:r>
      <w:r>
        <w:rPr/>
        <w:t> 时转出，计入当期损益。</w:t>
      </w:r>
    </w:p>
    <w:p>
      <w:pPr>
        <w:pStyle w:val="BodyText"/>
        <w:spacing w:line="316" w:lineRule="auto" w:before="139"/>
        <w:ind w:right="1133" w:firstLine="480"/>
        <w:jc w:val="both"/>
      </w:pPr>
      <w:r>
        <w:rPr>
          <w:spacing w:val="-1"/>
        </w:rPr>
        <w:t>因持有意图或能力发生改变，或公允价值不再能够可靠计量，或持有至到期投资重分类为可供出售金融资产后持有期</w:t>
      </w:r>
      <w:r>
        <w:rPr/>
        <w:t> </w:t>
      </w:r>
      <w:r>
        <w:rPr>
          <w:spacing w:val="-2"/>
        </w:rPr>
        <w:t>限已超过两个完整的会计年度，使金融资产不再适合按照公允价值计量时，本公司将可供出售金融资产改按成本或摊余成本</w:t>
      </w:r>
      <w:r>
        <w:rPr>
          <w:spacing w:val="-64"/>
        </w:rPr>
        <w:t> </w:t>
      </w:r>
      <w:r>
        <w:rPr>
          <w:spacing w:val="-64"/>
        </w:rPr>
      </w:r>
      <w:r>
        <w:rPr/>
        <w:t>计量。成本或摊余成本为重分类日该金融资产的公允价值或账面价值。</w:t>
      </w:r>
    </w:p>
    <w:p>
      <w:pPr>
        <w:pStyle w:val="BodyText"/>
        <w:spacing w:line="316" w:lineRule="auto" w:before="139"/>
        <w:ind w:right="1034" w:firstLine="480"/>
        <w:jc w:val="left"/>
      </w:pPr>
      <w:r>
        <w:rPr/>
        <w:t>该金融资产有固定到期日的，与该金融资产相关、原直接计入其他综合收益的利得或损失，在该金融资产的剩余期限 内，采用实际利率法摊销，计入当期损益；该金融资产的摊余成本与到期日金额之间的差额，在该金融资产的剩余期限内， </w:t>
      </w:r>
      <w:r>
        <w:rPr>
          <w:spacing w:val="-2"/>
        </w:rPr>
        <w:t>采用实际利率法摊销，计入当期损益。该金融资产没有固定到期日的，与该金融资产相关、原直接计入其他综合收益的利得</w:t>
      </w:r>
      <w:r>
        <w:rPr>
          <w:spacing w:val="-65"/>
        </w:rPr>
        <w:t> </w:t>
      </w:r>
      <w:r>
        <w:rPr>
          <w:spacing w:val="-65"/>
        </w:rPr>
      </w:r>
      <w:r>
        <w:rPr/>
        <w:t>或损失仍保留在所有者权益中，在该金融资产被处置时转出，计入当期损益。</w:t>
      </w:r>
    </w:p>
    <w:p>
      <w:pPr>
        <w:spacing w:line="415" w:lineRule="auto" w:before="139"/>
        <w:ind w:left="633" w:right="541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）金融负债与权益工具的区分</w:t>
      </w:r>
      <w:r>
        <w:rPr>
          <w:rFonts w:ascii="宋体" w:hAnsi="宋体" w:cs="宋体" w:eastAsia="宋体" w:hint="default"/>
          <w:b/>
          <w:bCs/>
          <w:w w:val="99"/>
          <w:sz w:val="18"/>
          <w:szCs w:val="18"/>
        </w:rPr>
        <w:t> </w:t>
      </w:r>
      <w:r>
        <w:rPr>
          <w:rFonts w:ascii="宋体" w:hAnsi="宋体" w:cs="宋体" w:eastAsia="宋体" w:hint="default"/>
          <w:sz w:val="18"/>
          <w:szCs w:val="18"/>
        </w:rPr>
        <w:t>除特殊情况外，金融负债与权益工具按照下列原则进行区分：</w:t>
      </w:r>
    </w:p>
    <w:p>
      <w:pPr>
        <w:pStyle w:val="BodyText"/>
        <w:spacing w:line="316" w:lineRule="auto" w:before="65"/>
        <w:ind w:right="1133" w:firstLine="480"/>
        <w:jc w:val="both"/>
      </w:pPr>
      <w:r>
        <w:rPr>
          <w:spacing w:val="2"/>
        </w:rPr>
        <w:t>①如果本公司不能无条件地避免以交付现金或其他金融资产来履行一项合同义务，则该合同义务符合金融负债的定</w:t>
      </w:r>
      <w:r>
        <w:rPr/>
        <w:t> </w:t>
      </w:r>
      <w:r>
        <w:rPr>
          <w:spacing w:val="-2"/>
        </w:rPr>
        <w:t>义。有些金融工具虽然没有明确地包含交付现金或其他金融资产义务的条款和条件，但有可能通过其他条款和条件间接地形</w:t>
      </w:r>
      <w:r>
        <w:rPr>
          <w:spacing w:val="-64"/>
        </w:rPr>
        <w:t> </w:t>
      </w:r>
      <w:r>
        <w:rPr>
          <w:spacing w:val="-64"/>
        </w:rPr>
      </w:r>
      <w:r>
        <w:rPr/>
        <w:t>成合同义务。</w:t>
      </w:r>
    </w:p>
    <w:p>
      <w:pPr>
        <w:pStyle w:val="BodyText"/>
        <w:spacing w:line="316" w:lineRule="auto" w:before="139"/>
        <w:ind w:right="1132" w:firstLine="480"/>
        <w:jc w:val="both"/>
      </w:pPr>
      <w:r>
        <w:rPr>
          <w:spacing w:val="-1"/>
        </w:rPr>
        <w:t>②如果一项金融工具须用或可用本公司自身权益工具进行结算，需要考虑用于结算该工具的本公司自身权益工具，是</w:t>
      </w:r>
      <w:r>
        <w:rPr/>
        <w:t> </w:t>
      </w:r>
      <w:r>
        <w:rPr>
          <w:spacing w:val="-2"/>
        </w:rPr>
        <w:t>作为现金或其他金融资产的替代品，还是为了使该工具持有方享有在发行方扣除所有负债后的资产中的剩余权益。如果是前</w:t>
      </w:r>
      <w:r>
        <w:rPr>
          <w:spacing w:val="-64"/>
        </w:rPr>
        <w:t> </w:t>
      </w:r>
      <w:r>
        <w:rPr>
          <w:spacing w:val="-64"/>
        </w:rPr>
      </w:r>
      <w:r>
        <w:rPr>
          <w:spacing w:val="-2"/>
        </w:rPr>
        <w:t>者，该工具是发行方的金融负债；如果是后者，该工具是发行方的权益工具。在某些情况下，一项金融工具合同规定本公司</w:t>
      </w:r>
      <w:r>
        <w:rPr>
          <w:spacing w:val="-67"/>
        </w:rPr>
        <w:t> </w:t>
      </w:r>
      <w:r>
        <w:rPr>
          <w:spacing w:val="-67"/>
        </w:rPr>
      </w:r>
      <w:r>
        <w:rPr>
          <w:spacing w:val="-2"/>
        </w:rPr>
        <w:t>须用或可用自身权益工具结算该金融工具，其中合同权利或合同义务的金额等于可获取或需交付的自身权益工具的数量乘以</w:t>
      </w:r>
      <w:r>
        <w:rPr>
          <w:spacing w:val="-63"/>
        </w:rPr>
        <w:t> </w:t>
      </w:r>
      <w:r>
        <w:rPr>
          <w:spacing w:val="-63"/>
        </w:rPr>
      </w:r>
      <w:r>
        <w:rPr>
          <w:spacing w:val="-2"/>
        </w:rPr>
        <w:t>其结算时的公允价值，则无论该合同权利或合同义务的金额是固定的，还是完全或部分地基于除本公司自身权益工具的市场</w:t>
      </w:r>
      <w:r>
        <w:rPr>
          <w:spacing w:val="-64"/>
        </w:rPr>
        <w:t> </w:t>
      </w:r>
      <w:r>
        <w:rPr>
          <w:spacing w:val="-64"/>
        </w:rPr>
      </w:r>
      <w:r>
        <w:rPr/>
        <w:t>价格以外变量（例如利率、某种商品的价格或某项金融工具的价格）的变动而变动，该合同分类为金融负债。</w:t>
      </w:r>
    </w:p>
    <w:p>
      <w:pPr>
        <w:spacing w:line="415" w:lineRule="auto" w:before="139"/>
        <w:ind w:left="633" w:right="757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）金融资产转移</w:t>
      </w:r>
      <w:r>
        <w:rPr>
          <w:rFonts w:ascii="宋体" w:hAnsi="宋体" w:cs="宋体" w:eastAsia="宋体" w:hint="default"/>
          <w:b/>
          <w:bCs/>
          <w:w w:val="99"/>
          <w:sz w:val="18"/>
          <w:szCs w:val="18"/>
        </w:rPr>
        <w:t> </w:t>
      </w:r>
      <w:r>
        <w:rPr>
          <w:rFonts w:ascii="宋体" w:hAnsi="宋体" w:cs="宋体" w:eastAsia="宋体" w:hint="default"/>
          <w:sz w:val="18"/>
          <w:szCs w:val="18"/>
        </w:rPr>
        <w:t>金融资产转移是指下列两种情形：</w:t>
      </w:r>
    </w:p>
    <w:p>
      <w:pPr>
        <w:pStyle w:val="BodyText"/>
        <w:spacing w:line="240" w:lineRule="auto" w:before="65"/>
        <w:ind w:left="633" w:right="1133"/>
        <w:jc w:val="left"/>
      </w:pPr>
      <w:r>
        <w:rPr>
          <w:rFonts w:ascii="Times New Roman" w:hAnsi="Times New Roman" w:cs="Times New Roman" w:eastAsia="Times New Roman" w:hint="default"/>
        </w:rPr>
        <w:t>A.</w:t>
      </w:r>
      <w:r>
        <w:rPr/>
        <w:t>将收取金融资产现金流量的合同权利转移给另一方；</w:t>
      </w:r>
    </w:p>
    <w:p>
      <w:pPr>
        <w:spacing w:line="240" w:lineRule="auto" w:before="0"/>
        <w:rPr>
          <w:rFonts w:ascii="宋体" w:hAnsi="宋体" w:cs="宋体" w:eastAsia="宋体" w:hint="default"/>
          <w:sz w:val="14"/>
          <w:szCs w:val="14"/>
        </w:rPr>
      </w:pPr>
    </w:p>
    <w:p>
      <w:pPr>
        <w:pStyle w:val="BodyText"/>
        <w:spacing w:line="300" w:lineRule="auto"/>
        <w:ind w:right="1130" w:firstLine="480"/>
        <w:jc w:val="both"/>
      </w:pPr>
      <w:r>
        <w:rPr>
          <w:rFonts w:ascii="Times New Roman" w:hAnsi="Times New Roman" w:cs="Times New Roman" w:eastAsia="Times New Roman" w:hint="default"/>
          <w:spacing w:val="-1"/>
        </w:rPr>
        <w:t>B.</w:t>
      </w:r>
      <w:r>
        <w:rPr>
          <w:spacing w:val="-1"/>
        </w:rPr>
        <w:t>将金融资产整体或部分转移给另一方，但保留收取金融资产现金流量的合同权利，并承担将收取的现金流量支付给</w:t>
      </w:r>
      <w:r>
        <w:rPr/>
        <w:t> 一个或多个收款方的合同义务。</w:t>
      </w:r>
    </w:p>
    <w:p>
      <w:pPr>
        <w:pStyle w:val="BodyText"/>
        <w:spacing w:line="432" w:lineRule="exact" w:before="16"/>
        <w:ind w:left="633" w:right="0"/>
        <w:jc w:val="left"/>
      </w:pPr>
      <w:r>
        <w:rPr/>
        <w:t>①终止确认所转移的金融资产 </w:t>
      </w:r>
      <w:r>
        <w:rPr>
          <w:spacing w:val="-1"/>
        </w:rPr>
        <w:t>已将金融资产所有权上几乎所有的风险和报酬转移给转入方的，或既没有转移也没有保留金融资产所有权上几乎所有</w:t>
      </w:r>
    </w:p>
    <w:p>
      <w:pPr>
        <w:pStyle w:val="BodyText"/>
        <w:spacing w:line="240" w:lineRule="auto" w:before="15"/>
        <w:ind w:right="0"/>
        <w:jc w:val="both"/>
      </w:pPr>
      <w:r>
        <w:rPr/>
        <w:t>的风险和报酬的，但放弃了对该金融资产控制的，终止确认该金融资产。</w:t>
      </w:r>
    </w:p>
    <w:p>
      <w:pPr>
        <w:spacing w:line="240" w:lineRule="auto" w:before="0"/>
        <w:rPr>
          <w:rFonts w:ascii="宋体" w:hAnsi="宋体" w:cs="宋体" w:eastAsia="宋体" w:hint="default"/>
          <w:sz w:val="15"/>
          <w:szCs w:val="15"/>
        </w:rPr>
      </w:pPr>
    </w:p>
    <w:p>
      <w:pPr>
        <w:pStyle w:val="BodyText"/>
        <w:spacing w:line="316" w:lineRule="auto"/>
        <w:ind w:right="1133" w:firstLine="480"/>
        <w:jc w:val="both"/>
      </w:pPr>
      <w:r>
        <w:rPr>
          <w:spacing w:val="-1"/>
        </w:rPr>
        <w:t>在判断是否已放弃对所转移金融资产的控制时，注重转入方出售该金融资产的实际能力。转入方能够单独将转入的金</w:t>
      </w:r>
      <w:r>
        <w:rPr/>
        <w:t> </w:t>
      </w:r>
      <w:r>
        <w:rPr>
          <w:spacing w:val="-2"/>
        </w:rPr>
        <w:t>融资产整体出售给与其不存在关联方关系的第三方，且没有额外条件对此项出售加以限制的，表明企业已放弃对该金融资产</w:t>
      </w:r>
      <w:r>
        <w:rPr>
          <w:spacing w:val="-64"/>
        </w:rPr>
        <w:t> </w:t>
      </w:r>
      <w:r>
        <w:rPr>
          <w:spacing w:val="-64"/>
        </w:rPr>
      </w:r>
      <w:r>
        <w:rPr/>
        <w:t>的控制。</w:t>
      </w:r>
    </w:p>
    <w:p>
      <w:pPr>
        <w:pStyle w:val="BodyText"/>
        <w:spacing w:line="439" w:lineRule="auto" w:before="139"/>
        <w:ind w:left="633" w:right="3073"/>
        <w:jc w:val="left"/>
      </w:pPr>
      <w:r>
        <w:rPr/>
        <w:t>本公司在判断金融资产转移是否满足金融资产终止确认条件时，注重金融资产转移的实质。 金融资产整体转移满足终止确认条件的，将下列两项金额的差额计入当期损益： </w:t>
      </w:r>
      <w:r>
        <w:rPr>
          <w:rFonts w:ascii="Times New Roman" w:hAnsi="Times New Roman" w:cs="Times New Roman" w:eastAsia="Times New Roman" w:hint="default"/>
        </w:rPr>
        <w:t>A.</w:t>
      </w:r>
      <w:r>
        <w:rPr/>
        <w:t>所转移金融资产的账面价值；</w:t>
      </w:r>
    </w:p>
    <w:p>
      <w:pPr>
        <w:spacing w:after="0" w:line="439"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1132" w:firstLine="480"/>
        <w:jc w:val="both"/>
      </w:pPr>
      <w:r>
        <w:rPr>
          <w:rFonts w:ascii="Times New Roman" w:hAnsi="Times New Roman" w:cs="Times New Roman" w:eastAsia="Times New Roman" w:hint="default"/>
          <w:spacing w:val="-1"/>
        </w:rPr>
        <w:t>B.</w:t>
      </w:r>
      <w:r>
        <w:rPr>
          <w:spacing w:val="-1"/>
        </w:rPr>
        <w:t>因转移而收到的对价，与原直接计入所有者权益的公允价值变动累计额（涉及转移的金融资产为可供出售金融资产</w:t>
      </w:r>
      <w:r>
        <w:rPr/>
        <w:t> 的情形）之和。</w:t>
      </w:r>
    </w:p>
    <w:p>
      <w:pPr>
        <w:pStyle w:val="BodyText"/>
        <w:spacing w:line="316" w:lineRule="auto" w:before="151"/>
        <w:ind w:right="1131" w:firstLine="480"/>
        <w:jc w:val="both"/>
      </w:pPr>
      <w:r>
        <w:rPr>
          <w:spacing w:val="-1"/>
        </w:rPr>
        <w:t>金融资产部分转移满足终止确认条件的，将所转移金融资产整体的账面价值，在终止确认部分和未终止确认部分（在</w:t>
      </w:r>
      <w:r>
        <w:rPr/>
        <w:t> </w:t>
      </w:r>
      <w:r>
        <w:rPr>
          <w:spacing w:val="-2"/>
        </w:rPr>
        <w:t>此种情况下，所保留的服务资产视同未终止确认金融资产的一部分）之间，按照各自的相对公允价值进行分摊，并将下列两</w:t>
      </w:r>
      <w:r>
        <w:rPr>
          <w:spacing w:val="-64"/>
        </w:rPr>
        <w:t> </w:t>
      </w:r>
      <w:r>
        <w:rPr>
          <w:spacing w:val="-64"/>
        </w:rPr>
      </w:r>
      <w:r>
        <w:rPr/>
        <w:t>项金额的差额计入当期损益：</w:t>
      </w:r>
    </w:p>
    <w:p>
      <w:pPr>
        <w:pStyle w:val="BodyText"/>
        <w:spacing w:line="432" w:lineRule="exact" w:before="3"/>
        <w:ind w:left="633" w:right="1133"/>
        <w:jc w:val="left"/>
      </w:pPr>
      <w:r>
        <w:rPr>
          <w:rFonts w:ascii="Times New Roman" w:hAnsi="Times New Roman" w:cs="Times New Roman" w:eastAsia="Times New Roman" w:hint="default"/>
        </w:rPr>
        <w:t>A.</w:t>
      </w:r>
      <w:r>
        <w:rPr/>
        <w:t>终止确认部分的账面价值； </w:t>
      </w:r>
      <w:r>
        <w:rPr>
          <w:rFonts w:ascii="Times New Roman" w:hAnsi="Times New Roman" w:cs="Times New Roman" w:eastAsia="Times New Roman" w:hint="default"/>
          <w:spacing w:val="-1"/>
        </w:rPr>
        <w:t>B.</w:t>
      </w:r>
      <w:r>
        <w:rPr>
          <w:spacing w:val="-1"/>
        </w:rPr>
        <w:t>终止确认部分的对价，与原直接计入所有者权益的公允价值变动累计额中对应终止确认部分的金额（涉及转移的金</w:t>
      </w:r>
    </w:p>
    <w:p>
      <w:pPr>
        <w:pStyle w:val="BodyText"/>
        <w:spacing w:line="240" w:lineRule="auto" w:before="15"/>
        <w:ind w:right="1133"/>
        <w:jc w:val="left"/>
      </w:pPr>
      <w:r>
        <w:rPr/>
        <w:t>融资产为可供出售金融资产的情形）之和。</w:t>
      </w:r>
    </w:p>
    <w:p>
      <w:pPr>
        <w:pStyle w:val="BodyText"/>
        <w:spacing w:line="432" w:lineRule="exact" w:before="61"/>
        <w:ind w:left="633" w:right="1133"/>
        <w:jc w:val="left"/>
      </w:pPr>
      <w:r>
        <w:rPr/>
        <w:t>②继续涉入所转移的金融资产 </w:t>
      </w:r>
      <w:r>
        <w:rPr>
          <w:spacing w:val="-1"/>
        </w:rPr>
        <w:t>既没有转移也没有保留金融资产所有权上几乎所有的风险和报酬的，且未放弃对该金融资产控制的，应当按照其继续</w:t>
      </w:r>
    </w:p>
    <w:p>
      <w:pPr>
        <w:pStyle w:val="BodyText"/>
        <w:spacing w:line="439" w:lineRule="auto" w:before="15"/>
        <w:ind w:left="633" w:right="3613" w:hanging="481"/>
        <w:jc w:val="left"/>
      </w:pPr>
      <w:r>
        <w:rPr/>
        <w:t>涉入所转移金融资产的程度确认有关金融资产，并相应确认有关负债。 继续涉入所转移金融资产的程度，是指该金融资产价值变动使企业面临的风险水平。</w:t>
      </w:r>
    </w:p>
    <w:p>
      <w:pPr>
        <w:pStyle w:val="BodyText"/>
        <w:spacing w:line="240" w:lineRule="auto" w:before="47"/>
        <w:ind w:left="633" w:right="1133"/>
        <w:jc w:val="left"/>
      </w:pPr>
      <w:r>
        <w:rPr/>
        <w:t>③继续确认所转移的金融资产</w:t>
      </w:r>
    </w:p>
    <w:p>
      <w:pPr>
        <w:spacing w:line="240" w:lineRule="auto" w:before="0"/>
        <w:rPr>
          <w:rFonts w:ascii="宋体" w:hAnsi="宋体" w:cs="宋体" w:eastAsia="宋体" w:hint="default"/>
          <w:sz w:val="15"/>
          <w:szCs w:val="15"/>
        </w:rPr>
      </w:pPr>
    </w:p>
    <w:p>
      <w:pPr>
        <w:pStyle w:val="BodyText"/>
        <w:spacing w:line="316" w:lineRule="auto"/>
        <w:ind w:right="1133" w:firstLine="480"/>
        <w:jc w:val="both"/>
      </w:pPr>
      <w:r>
        <w:rPr>
          <w:spacing w:val="-1"/>
        </w:rPr>
        <w:t>仍保留与所转移金融资产所有权上几乎所有的风险和报酬的，应当继续确认所转移金融资产整体，并将收到的对价确</w:t>
      </w:r>
      <w:r>
        <w:rPr/>
        <w:t> 认为一项金融负债。</w:t>
      </w:r>
    </w:p>
    <w:p>
      <w:pPr>
        <w:pStyle w:val="BodyText"/>
        <w:spacing w:line="316" w:lineRule="auto" w:before="139"/>
        <w:ind w:right="1133" w:firstLine="480"/>
        <w:jc w:val="both"/>
      </w:pPr>
      <w:r>
        <w:rPr>
          <w:spacing w:val="-1"/>
        </w:rPr>
        <w:t>该金融资产与确认的相关金融负债不得相互抵销。在随后的会计期间，企业应当继续确认该金融资产产生的收入和该</w:t>
      </w:r>
      <w:r>
        <w:rPr/>
        <w:t> </w:t>
      </w:r>
      <w:r>
        <w:rPr>
          <w:spacing w:val="-2"/>
        </w:rPr>
        <w:t>金融负债产生的费用。所转移的金融资产以摊余成本计量的，确认的相关负债不得指定为以公允价值计量且其变动计入当期</w:t>
      </w:r>
      <w:r>
        <w:rPr>
          <w:spacing w:val="-64"/>
        </w:rPr>
        <w:t> </w:t>
      </w:r>
      <w:r>
        <w:rPr>
          <w:spacing w:val="-64"/>
        </w:rPr>
      </w:r>
      <w:r>
        <w:rPr/>
        <w:t>损益的金融负债。</w:t>
      </w:r>
    </w:p>
    <w:p>
      <w:pPr>
        <w:spacing w:line="415" w:lineRule="auto" w:before="139"/>
        <w:ind w:left="633" w:right="397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6</w:t>
      </w:r>
      <w:r>
        <w:rPr>
          <w:rFonts w:ascii="宋体" w:hAnsi="宋体" w:cs="宋体" w:eastAsia="宋体" w:hint="default"/>
          <w:b/>
          <w:bCs/>
          <w:sz w:val="18"/>
          <w:szCs w:val="18"/>
        </w:rPr>
        <w:t>）金融负债终止确认</w:t>
      </w:r>
      <w:r>
        <w:rPr>
          <w:rFonts w:ascii="宋体" w:hAnsi="宋体" w:cs="宋体" w:eastAsia="宋体" w:hint="default"/>
          <w:b/>
          <w:bCs/>
          <w:w w:val="99"/>
          <w:sz w:val="18"/>
          <w:szCs w:val="18"/>
        </w:rPr>
        <w:t> </w:t>
      </w:r>
      <w:r>
        <w:rPr>
          <w:rFonts w:ascii="宋体" w:hAnsi="宋体" w:cs="宋体" w:eastAsia="宋体" w:hint="default"/>
          <w:sz w:val="18"/>
          <w:szCs w:val="18"/>
        </w:rPr>
        <w:t>金融负债的现时义务全部或部分已经解除的，终止确认该金融负债或其一部分。</w:t>
      </w:r>
    </w:p>
    <w:p>
      <w:pPr>
        <w:pStyle w:val="BodyText"/>
        <w:spacing w:line="316" w:lineRule="auto" w:before="65"/>
        <w:ind w:right="1132" w:firstLine="480"/>
        <w:jc w:val="both"/>
      </w:pPr>
      <w:r>
        <w:rPr>
          <w:spacing w:val="-1"/>
        </w:rPr>
        <w:t>将用于偿付金融负债的资产转入某个机构或设立信托，偿付债务的现时义务仍存在的，不终止确认该金融负债，也不</w:t>
      </w:r>
      <w:r>
        <w:rPr/>
        <w:t> 终止确认转出的资产。</w:t>
      </w:r>
    </w:p>
    <w:p>
      <w:pPr>
        <w:pStyle w:val="BodyText"/>
        <w:spacing w:line="316" w:lineRule="auto" w:before="139"/>
        <w:ind w:right="1134" w:firstLine="480"/>
        <w:jc w:val="both"/>
      </w:pPr>
      <w:r>
        <w:rPr>
          <w:spacing w:val="-1"/>
        </w:rPr>
        <w:t>与债权人之间签订协议，以承担新金融负债方式替换现存金融负债，且新金融负债与现存金融负债的合同条款实质上</w:t>
      </w:r>
      <w:r>
        <w:rPr/>
        <w:t> 不同的，终止确认现存金融负债，并同时确认新金融负债。</w:t>
      </w:r>
    </w:p>
    <w:p>
      <w:pPr>
        <w:pStyle w:val="BodyText"/>
        <w:spacing w:line="316" w:lineRule="auto" w:before="139"/>
        <w:ind w:right="1135" w:firstLine="480"/>
        <w:jc w:val="both"/>
      </w:pPr>
      <w:r>
        <w:rPr>
          <w:spacing w:val="-1"/>
        </w:rPr>
        <w:t>对现存金融负债全部或部分的合同条款作出实质性修改的，终止确认现存金融负债或其一部分，同时将修改条款后的</w:t>
      </w:r>
      <w:r>
        <w:rPr/>
        <w:t> 金融负债确认为一项新金融负债。</w:t>
      </w:r>
    </w:p>
    <w:p>
      <w:pPr>
        <w:pStyle w:val="BodyText"/>
        <w:spacing w:line="316" w:lineRule="auto" w:before="139"/>
        <w:ind w:right="1135" w:firstLine="480"/>
        <w:jc w:val="both"/>
      </w:pPr>
      <w:r>
        <w:rPr>
          <w:spacing w:val="-1"/>
        </w:rPr>
        <w:t>金融负债全部或部分终止确认的，将终止确认部分的账面价值与支付的对价（包括转出的非现金资产或承担的新金融</w:t>
      </w:r>
      <w:r>
        <w:rPr/>
        <w:t> 负债）之间的差额，计入当期损益。</w:t>
      </w:r>
    </w:p>
    <w:p>
      <w:pPr>
        <w:spacing w:line="432" w:lineRule="exact" w:before="3"/>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7</w:t>
      </w:r>
      <w:r>
        <w:rPr>
          <w:rFonts w:ascii="宋体" w:hAnsi="宋体" w:cs="宋体" w:eastAsia="宋体" w:hint="default"/>
          <w:b/>
          <w:bCs/>
          <w:sz w:val="18"/>
          <w:szCs w:val="18"/>
        </w:rPr>
        <w:t>）金融资产和金融负债的抵销</w:t>
      </w:r>
      <w:r>
        <w:rPr>
          <w:rFonts w:ascii="宋体" w:hAnsi="宋体" w:cs="宋体" w:eastAsia="宋体" w:hint="default"/>
          <w:b/>
          <w:bCs/>
          <w:w w:val="99"/>
          <w:sz w:val="18"/>
          <w:szCs w:val="18"/>
        </w:rPr>
        <w:t> </w:t>
      </w:r>
      <w:r>
        <w:rPr>
          <w:rFonts w:ascii="宋体" w:hAnsi="宋体" w:cs="宋体" w:eastAsia="宋体" w:hint="default"/>
          <w:spacing w:val="-1"/>
          <w:sz w:val="18"/>
          <w:szCs w:val="18"/>
        </w:rPr>
        <w:t>金融资产和金融负债应当在资产负债表内分别列示，不得相互抵销。但同时满足下列条件的，以相互抵销后的净额在</w:t>
      </w:r>
    </w:p>
    <w:p>
      <w:pPr>
        <w:pStyle w:val="BodyText"/>
        <w:spacing w:line="439" w:lineRule="auto" w:before="15"/>
        <w:ind w:left="633" w:right="4333" w:hanging="481"/>
        <w:jc w:val="left"/>
      </w:pPr>
      <w:r>
        <w:rPr/>
        <w:t>资产负债表内列示： 本公司具有抵销已确认金额的法定权利，且该种法定权利是当前可执行的； 本公司计划以净额结算，或同时变现该金融资产和清偿该金融负债。</w:t>
      </w:r>
    </w:p>
    <w:p>
      <w:pPr>
        <w:pStyle w:val="BodyText"/>
        <w:spacing w:line="240" w:lineRule="auto" w:before="47"/>
        <w:ind w:left="633" w:right="1133"/>
        <w:jc w:val="left"/>
      </w:pPr>
      <w:r>
        <w:rPr/>
        <w:t>不满足终止确认条件的金融资产转移，转出方不得将已转移的金融资产和相关负债进行抵销。</w:t>
      </w:r>
    </w:p>
    <w:p>
      <w:pPr>
        <w:spacing w:line="240" w:lineRule="auto" w:before="1"/>
        <w:rPr>
          <w:rFonts w:ascii="宋体" w:hAnsi="宋体" w:cs="宋体" w:eastAsia="宋体" w:hint="default"/>
          <w:sz w:val="15"/>
          <w:szCs w:val="15"/>
        </w:rPr>
      </w:pPr>
    </w:p>
    <w:p>
      <w:pPr>
        <w:pStyle w:val="Heading4"/>
        <w:spacing w:line="240" w:lineRule="auto"/>
        <w:ind w:right="1133"/>
        <w:jc w:val="left"/>
        <w:rPr>
          <w:b w:val="0"/>
          <w:bCs w:val="0"/>
        </w:rPr>
      </w:pPr>
      <w:r>
        <w:rPr/>
        <w:t>（</w:t>
      </w:r>
      <w:r>
        <w:rPr>
          <w:rFonts w:ascii="Times New Roman" w:hAnsi="Times New Roman" w:cs="Times New Roman" w:eastAsia="Times New Roman" w:hint="default"/>
        </w:rPr>
        <w:t>8</w:t>
      </w:r>
      <w:r>
        <w:rPr/>
        <w:t>）金融资产减值测试方法及减值准备计提方法</w:t>
      </w:r>
      <w:r>
        <w:rPr>
          <w:b w:val="0"/>
          <w:bCs w:val="0"/>
        </w:rPr>
      </w:r>
    </w:p>
    <w:p>
      <w:pPr>
        <w:spacing w:line="240" w:lineRule="auto" w:before="13"/>
        <w:rPr>
          <w:rFonts w:ascii="宋体" w:hAnsi="宋体" w:cs="宋体" w:eastAsia="宋体" w:hint="default"/>
          <w:b/>
          <w:bCs/>
          <w:sz w:val="13"/>
          <w:szCs w:val="13"/>
        </w:rPr>
      </w:pPr>
    </w:p>
    <w:p>
      <w:pPr>
        <w:pStyle w:val="BodyText"/>
        <w:spacing w:line="240" w:lineRule="auto"/>
        <w:ind w:left="633" w:right="1133"/>
        <w:jc w:val="left"/>
      </w:pPr>
      <w:r>
        <w:rPr/>
        <w:t>①金融资产发生减值的客观证据：</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415" w:lineRule="auto" w:before="44"/>
        <w:ind w:left="633" w:right="4168"/>
        <w:jc w:val="left"/>
      </w:pPr>
      <w:r>
        <w:rPr>
          <w:rFonts w:ascii="Times New Roman" w:hAnsi="Times New Roman" w:cs="Times New Roman" w:eastAsia="Times New Roman" w:hint="default"/>
        </w:rPr>
        <w:t>A.</w:t>
      </w:r>
      <w:r>
        <w:rPr/>
        <w:t>发行方或债务人发生严重财务困难； </w:t>
      </w:r>
      <w:r>
        <w:rPr>
          <w:rFonts w:ascii="Times New Roman" w:hAnsi="Times New Roman" w:cs="Times New Roman" w:eastAsia="Times New Roman" w:hint="default"/>
        </w:rPr>
        <w:t>B.</w:t>
      </w:r>
      <w:r>
        <w:rPr/>
        <w:t>债务人违反了合同条款，如偿付利息或本金发生违约或逾期等； </w:t>
      </w:r>
      <w:r>
        <w:rPr>
          <w:rFonts w:ascii="Times New Roman" w:hAnsi="Times New Roman" w:cs="Times New Roman" w:eastAsia="Times New Roman" w:hint="default"/>
        </w:rPr>
        <w:t>C.</w:t>
      </w:r>
      <w:r>
        <w:rPr/>
        <w:t>债权人出于经济或法律等方面的考虑，对发生财务困难的债务人作出让步； </w:t>
      </w:r>
      <w:r>
        <w:rPr>
          <w:rFonts w:ascii="Times New Roman" w:hAnsi="Times New Roman" w:cs="Times New Roman" w:eastAsia="Times New Roman" w:hint="default"/>
        </w:rPr>
        <w:t>D.</w:t>
      </w:r>
      <w:r>
        <w:rPr/>
        <w:t>债务人可能倒闭或进行其他财务重组； </w:t>
      </w:r>
      <w:r>
        <w:rPr>
          <w:rFonts w:ascii="Times New Roman" w:hAnsi="Times New Roman" w:cs="Times New Roman" w:eastAsia="Times New Roman" w:hint="default"/>
        </w:rPr>
        <w:t>E.</w:t>
      </w:r>
      <w:r>
        <w:rPr/>
        <w:t>因发行方发生重大财务困难，该金融资产无法在活跃市场继续交易；</w:t>
      </w:r>
    </w:p>
    <w:p>
      <w:pPr>
        <w:pStyle w:val="BodyText"/>
        <w:spacing w:line="300" w:lineRule="auto" w:before="37"/>
        <w:ind w:right="1138" w:firstLine="480"/>
        <w:jc w:val="both"/>
      </w:pPr>
      <w:r>
        <w:rPr>
          <w:rFonts w:ascii="Times New Roman" w:hAnsi="Times New Roman" w:cs="Times New Roman" w:eastAsia="Times New Roman" w:hint="default"/>
        </w:rPr>
        <w:t>F.</w:t>
      </w:r>
      <w:r>
        <w:rPr/>
        <w:t>无法辨认一组金融资产中的某项资产的现金流量是否已经减少，但根据公开的数据对其进行总体评价后发现，该组 金融资产自初始确认以来的预计未来现金流量确已减少且可计量；</w:t>
      </w:r>
    </w:p>
    <w:p>
      <w:pPr>
        <w:pStyle w:val="BodyText"/>
        <w:spacing w:line="432" w:lineRule="exact" w:before="16"/>
        <w:ind w:left="633" w:right="1098"/>
        <w:jc w:val="left"/>
      </w:pPr>
      <w:r>
        <w:rPr>
          <w:rFonts w:ascii="Times New Roman" w:hAnsi="Times New Roman" w:cs="Times New Roman" w:eastAsia="Times New Roman" w:hint="default"/>
        </w:rPr>
        <w:t>G.</w:t>
      </w:r>
      <w:r>
        <w:rPr/>
        <w:t>债务人经营所处的技术、市场、经济或法律环境等发生重大不利变化，使权益工具投资人可能无法收回投资成本； </w:t>
      </w:r>
      <w:r>
        <w:rPr>
          <w:rFonts w:ascii="Times New Roman" w:hAnsi="Times New Roman" w:cs="Times New Roman" w:eastAsia="Times New Roman" w:hint="default"/>
          <w:spacing w:val="-1"/>
        </w:rPr>
        <w:t>H.</w:t>
      </w:r>
      <w:r>
        <w:rPr>
          <w:spacing w:val="-1"/>
        </w:rPr>
        <w:t>权益工具投资的公允价值发生严重或非暂时性下跌，例如权益工具投资于资产负债表日的公允价值低于其初始投资</w:t>
      </w:r>
    </w:p>
    <w:p>
      <w:pPr>
        <w:pStyle w:val="BodyText"/>
        <w:spacing w:line="240" w:lineRule="auto" w:before="15"/>
        <w:ind w:right="1133"/>
        <w:jc w:val="left"/>
      </w:pPr>
      <w:r>
        <w:rPr/>
        <w:t>成本超过</w:t>
      </w:r>
      <w:r>
        <w:rPr>
          <w:rFonts w:ascii="Times New Roman" w:hAnsi="Times New Roman" w:cs="Times New Roman" w:eastAsia="Times New Roman" w:hint="default"/>
        </w:rPr>
        <w:t>50%</w:t>
      </w:r>
      <w:r>
        <w:rPr/>
        <w:t>（含</w:t>
      </w:r>
      <w:r>
        <w:rPr>
          <w:rFonts w:ascii="Times New Roman" w:hAnsi="Times New Roman" w:cs="Times New Roman" w:eastAsia="Times New Roman" w:hint="default"/>
        </w:rPr>
        <w:t>50%</w:t>
      </w:r>
      <w:r>
        <w:rPr/>
        <w:t>）或低于其初始投资成本持续时间超过</w:t>
      </w:r>
      <w:r>
        <w:rPr>
          <w:rFonts w:ascii="Times New Roman" w:hAnsi="Times New Roman" w:cs="Times New Roman" w:eastAsia="Times New Roman" w:hint="default"/>
        </w:rPr>
        <w:t>12</w:t>
      </w:r>
      <w:r>
        <w:rPr/>
        <w:t>个月（含</w:t>
      </w:r>
      <w:r>
        <w:rPr>
          <w:rFonts w:ascii="Times New Roman" w:hAnsi="Times New Roman" w:cs="Times New Roman" w:eastAsia="Times New Roman" w:hint="default"/>
        </w:rPr>
        <w:t>12</w:t>
      </w:r>
      <w:r>
        <w:rPr/>
        <w:t>个月）。</w:t>
      </w:r>
    </w:p>
    <w:p>
      <w:pPr>
        <w:spacing w:line="240" w:lineRule="auto" w:before="13"/>
        <w:rPr>
          <w:rFonts w:ascii="宋体" w:hAnsi="宋体" w:cs="宋体" w:eastAsia="宋体" w:hint="default"/>
          <w:sz w:val="13"/>
          <w:szCs w:val="13"/>
        </w:rPr>
      </w:pPr>
    </w:p>
    <w:p>
      <w:pPr>
        <w:pStyle w:val="BodyText"/>
        <w:spacing w:line="300" w:lineRule="auto"/>
        <w:ind w:right="1128" w:firstLine="480"/>
        <w:jc w:val="both"/>
      </w:pPr>
      <w:r>
        <w:rPr>
          <w:spacing w:val="-1"/>
        </w:rPr>
        <w:t>低于其初始投资成本持续时间超过</w:t>
      </w:r>
      <w:r>
        <w:rPr>
          <w:rFonts w:ascii="Times New Roman" w:hAnsi="Times New Roman" w:cs="Times New Roman" w:eastAsia="Times New Roman" w:hint="default"/>
          <w:spacing w:val="-1"/>
        </w:rPr>
        <w:t>12</w:t>
      </w:r>
      <w:r>
        <w:rPr>
          <w:spacing w:val="-1"/>
        </w:rPr>
        <w:t>个月（含</w:t>
      </w:r>
      <w:r>
        <w:rPr>
          <w:rFonts w:ascii="Times New Roman" w:hAnsi="Times New Roman" w:cs="Times New Roman" w:eastAsia="Times New Roman" w:hint="default"/>
          <w:spacing w:val="-1"/>
        </w:rPr>
        <w:t>12</w:t>
      </w:r>
      <w:r>
        <w:rPr>
          <w:spacing w:val="-1"/>
        </w:rPr>
        <w:t>个月）是指，权益工具投资公允价值月度均值连续</w:t>
      </w:r>
      <w:r>
        <w:rPr>
          <w:rFonts w:ascii="Times New Roman" w:hAnsi="Times New Roman" w:cs="Times New Roman" w:eastAsia="Times New Roman" w:hint="default"/>
          <w:spacing w:val="-1"/>
        </w:rPr>
        <w:t>12</w:t>
      </w:r>
      <w:r>
        <w:rPr>
          <w:spacing w:val="-1"/>
        </w:rPr>
        <w:t>个月均低于其初</w:t>
      </w:r>
      <w:r>
        <w:rPr/>
        <w:t> 始投资成本；</w:t>
      </w:r>
    </w:p>
    <w:p>
      <w:pPr>
        <w:pStyle w:val="BodyText"/>
        <w:spacing w:line="240" w:lineRule="auto" w:before="151"/>
        <w:ind w:left="633" w:right="1133"/>
        <w:jc w:val="left"/>
      </w:pPr>
      <w:r>
        <w:rPr>
          <w:rFonts w:ascii="Times New Roman" w:hAnsi="Times New Roman" w:cs="Times New Roman" w:eastAsia="Times New Roman" w:hint="default"/>
        </w:rPr>
        <w:t>I.</w:t>
      </w:r>
      <w:r>
        <w:rPr/>
        <w:t>其他表明金融资产发生减值的客观证据。</w:t>
      </w:r>
    </w:p>
    <w:p>
      <w:pPr>
        <w:spacing w:line="240" w:lineRule="auto" w:before="13"/>
        <w:rPr>
          <w:rFonts w:ascii="宋体" w:hAnsi="宋体" w:cs="宋体" w:eastAsia="宋体" w:hint="default"/>
          <w:sz w:val="13"/>
          <w:szCs w:val="13"/>
        </w:rPr>
      </w:pPr>
    </w:p>
    <w:p>
      <w:pPr>
        <w:pStyle w:val="BodyText"/>
        <w:spacing w:line="240" w:lineRule="auto"/>
        <w:ind w:left="633" w:right="1133"/>
        <w:jc w:val="left"/>
      </w:pPr>
      <w:r>
        <w:rPr/>
        <w:t>②金融资产的减值测试（不包括应收款项）</w:t>
      </w:r>
    </w:p>
    <w:p>
      <w:pPr>
        <w:pStyle w:val="BodyText"/>
        <w:spacing w:line="420" w:lineRule="atLeast" w:before="25"/>
        <w:ind w:left="633" w:right="1133"/>
        <w:jc w:val="left"/>
      </w:pPr>
      <w:r>
        <w:rPr>
          <w:rFonts w:ascii="Times New Roman" w:hAnsi="Times New Roman" w:cs="Times New Roman" w:eastAsia="Times New Roman" w:hint="default"/>
        </w:rPr>
        <w:t>A</w:t>
      </w:r>
      <w:r>
        <w:rPr/>
        <w:t>．以摊余成本计量的金融资产 </w:t>
      </w:r>
      <w:r>
        <w:rPr>
          <w:spacing w:val="-1"/>
        </w:rPr>
        <w:t>如果有客观证据表明该金融资产发生减值，则将该金融资产的账面价值减记至预计未来现金流量（不包括尚未发生的</w:t>
      </w:r>
    </w:p>
    <w:p>
      <w:pPr>
        <w:pStyle w:val="BodyText"/>
        <w:spacing w:line="240" w:lineRule="auto" w:before="77"/>
        <w:ind w:right="1133"/>
        <w:jc w:val="left"/>
      </w:pPr>
      <w:r>
        <w:rPr/>
        <w:t>未来信用损失）现值，减记金额计入当期损益。</w:t>
      </w:r>
    </w:p>
    <w:p>
      <w:pPr>
        <w:spacing w:line="240" w:lineRule="auto" w:before="0"/>
        <w:rPr>
          <w:rFonts w:ascii="宋体" w:hAnsi="宋体" w:cs="宋体" w:eastAsia="宋体" w:hint="default"/>
          <w:sz w:val="15"/>
          <w:szCs w:val="15"/>
        </w:rPr>
      </w:pPr>
    </w:p>
    <w:p>
      <w:pPr>
        <w:pStyle w:val="BodyText"/>
        <w:spacing w:line="316" w:lineRule="auto"/>
        <w:ind w:right="1131" w:firstLine="480"/>
        <w:jc w:val="both"/>
      </w:pPr>
      <w:r>
        <w:rPr>
          <w:spacing w:val="-1"/>
        </w:rPr>
        <w:t>预计未来现金流量现值，按照该持有至到期投资的原实际利率折现确定，并考虑相关担保物的价值（取得和出售该担</w:t>
      </w:r>
      <w:r>
        <w:rPr/>
        <w:t> </w:t>
      </w:r>
      <w:r>
        <w:rPr>
          <w:spacing w:val="-2"/>
        </w:rPr>
        <w:t>保物发生的费用予以扣除）。原实际利率是初始确认该持有至到期投资时计算确定的实际利率。对于浮动利率的持有至到期</w:t>
      </w:r>
      <w:r>
        <w:rPr>
          <w:spacing w:val="-65"/>
        </w:rPr>
        <w:t> </w:t>
      </w:r>
      <w:r>
        <w:rPr>
          <w:spacing w:val="-65"/>
        </w:rPr>
      </w:r>
      <w:r>
        <w:rPr/>
        <w:t>投资，在计算未来现金流量现值时可采用合同规定的现行实际利率作为折现率。</w:t>
      </w:r>
    </w:p>
    <w:p>
      <w:pPr>
        <w:pStyle w:val="BodyText"/>
        <w:spacing w:line="316" w:lineRule="auto" w:before="139"/>
        <w:ind w:right="1130" w:firstLine="480"/>
        <w:jc w:val="both"/>
      </w:pPr>
      <w:r>
        <w:rPr>
          <w:spacing w:val="-1"/>
        </w:rPr>
        <w:t>对单项金额重大的金融资产单独进行减值测试，如有客观证据表明其已发生减值，确认减值损失，计入当期损益；对</w:t>
      </w:r>
      <w:r>
        <w:rPr/>
        <w:t> 单项金额不重大的金融资产，单独进行减值测试或包括在具有类似信用风险特征的金融资产组合中进行减值测试。</w:t>
      </w:r>
    </w:p>
    <w:p>
      <w:pPr>
        <w:pStyle w:val="BodyText"/>
        <w:spacing w:line="316" w:lineRule="auto" w:before="139"/>
        <w:ind w:right="1132" w:firstLine="480"/>
        <w:jc w:val="both"/>
      </w:pPr>
      <w:r>
        <w:rPr>
          <w:spacing w:val="-1"/>
        </w:rPr>
        <w:t>单独测试未发生减值的金融资产（包括单项金额重大和不重大的金融资产），包括在具有类似信用风险特征的金融资</w:t>
      </w:r>
      <w:r>
        <w:rPr/>
        <w:t> </w:t>
      </w:r>
      <w:r>
        <w:rPr>
          <w:spacing w:val="-2"/>
        </w:rPr>
        <w:t>产组合中再进行减值测试；已单项确认减值损失的金融资产，不包括在具有类似信用风险特征的金融资产组合中进行减值测</w:t>
      </w:r>
      <w:r>
        <w:rPr>
          <w:spacing w:val="-64"/>
        </w:rPr>
        <w:t> </w:t>
      </w:r>
      <w:r>
        <w:rPr>
          <w:spacing w:val="-64"/>
        </w:rPr>
      </w:r>
      <w:r>
        <w:rPr/>
        <w:t>试。</w:t>
      </w:r>
    </w:p>
    <w:p>
      <w:pPr>
        <w:pStyle w:val="BodyText"/>
        <w:spacing w:line="316" w:lineRule="auto" w:before="139"/>
        <w:ind w:right="1131" w:firstLine="480"/>
        <w:jc w:val="both"/>
      </w:pPr>
      <w:r>
        <w:rPr>
          <w:spacing w:val="-1"/>
        </w:rPr>
        <w:t>本公司对以摊余成本计量的金融资产确认减值损失后，如有客观证据表明该金融资产价值已恢复，且客观上与确认该</w:t>
      </w:r>
      <w:r>
        <w:rPr/>
        <w:t> </w:t>
      </w:r>
      <w:r>
        <w:rPr>
          <w:spacing w:val="-2"/>
        </w:rPr>
        <w:t>损失后发生的事项有关，原确认的减值损失予以转回，计入当期损益。但是，该转回后的账面价值不超过假定不计提减值准</w:t>
      </w:r>
      <w:r>
        <w:rPr>
          <w:spacing w:val="-64"/>
        </w:rPr>
        <w:t> </w:t>
      </w:r>
      <w:r>
        <w:rPr>
          <w:spacing w:val="-64"/>
        </w:rPr>
      </w:r>
      <w:r>
        <w:rPr/>
        <w:t>备情况下该金融资产在转回日的摊余成本。</w:t>
      </w:r>
    </w:p>
    <w:p>
      <w:pPr>
        <w:pStyle w:val="BodyText"/>
        <w:spacing w:line="432" w:lineRule="exact" w:before="3"/>
        <w:ind w:left="633" w:right="0"/>
        <w:jc w:val="left"/>
      </w:pPr>
      <w:r>
        <w:rPr>
          <w:rFonts w:ascii="Times New Roman" w:hAnsi="Times New Roman" w:cs="Times New Roman" w:eastAsia="Times New Roman" w:hint="default"/>
        </w:rPr>
        <w:t>B.</w:t>
      </w:r>
      <w:r>
        <w:rPr/>
        <w:t>可供出售金融资产减值测试 </w:t>
      </w:r>
      <w:r>
        <w:rPr>
          <w:spacing w:val="-1"/>
        </w:rPr>
        <w:t>可供出售金融资产发生减值的，在确认减值损失时，将原直接计入所有者权益的公允价值下降形成的累计损失一并转</w:t>
      </w:r>
    </w:p>
    <w:p>
      <w:pPr>
        <w:pStyle w:val="BodyText"/>
        <w:spacing w:line="316" w:lineRule="auto" w:before="15"/>
        <w:ind w:right="0"/>
        <w:jc w:val="left"/>
      </w:pPr>
      <w:r>
        <w:rPr>
          <w:spacing w:val="-2"/>
        </w:rPr>
        <w:t>出，计入资产减值损失。可供出售债务工具金融资产发生减值后，利息收入按照确定减值损失时对未来现金流量进行折现采</w:t>
      </w:r>
      <w:r>
        <w:rPr>
          <w:spacing w:val="-65"/>
        </w:rPr>
        <w:t> </w:t>
      </w:r>
      <w:r>
        <w:rPr>
          <w:spacing w:val="-65"/>
        </w:rPr>
      </w:r>
      <w:r>
        <w:rPr/>
        <w:t>用的折现率作为利率计算确认。</w:t>
      </w:r>
    </w:p>
    <w:p>
      <w:pPr>
        <w:pStyle w:val="BodyText"/>
        <w:spacing w:line="316" w:lineRule="auto" w:before="139"/>
        <w:ind w:right="1051" w:firstLine="480"/>
        <w:jc w:val="both"/>
      </w:pPr>
      <w:r>
        <w:rPr/>
        <w:t>对于已确认减值损失的可供出售债务工具，在随后的会计期间公允价值已上升且客观上与确认原减值损失确认后发生 的事项有关的，原确认的减值损失予以转回，计入当期损益。可供出售权益工具投资发生的减值损失，不得通过损益转回。</w:t>
      </w:r>
    </w:p>
    <w:p>
      <w:pPr>
        <w:spacing w:line="415" w:lineRule="auto" w:before="139"/>
        <w:ind w:left="633" w:right="577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9</w:t>
      </w:r>
      <w:r>
        <w:rPr>
          <w:rFonts w:ascii="宋体" w:hAnsi="宋体" w:cs="宋体" w:eastAsia="宋体" w:hint="default"/>
          <w:b/>
          <w:bCs/>
          <w:sz w:val="18"/>
          <w:szCs w:val="18"/>
        </w:rPr>
        <w:t>）金融资产和金融负债公允价值的确定方法</w:t>
      </w:r>
      <w:r>
        <w:rPr>
          <w:rFonts w:ascii="宋体" w:hAnsi="宋体" w:cs="宋体" w:eastAsia="宋体" w:hint="default"/>
          <w:b/>
          <w:bCs/>
          <w:w w:val="99"/>
          <w:sz w:val="18"/>
          <w:szCs w:val="18"/>
        </w:rPr>
        <w:t> </w:t>
      </w:r>
      <w:r>
        <w:rPr>
          <w:rFonts w:ascii="宋体" w:hAnsi="宋体" w:cs="宋体" w:eastAsia="宋体" w:hint="default"/>
          <w:sz w:val="18"/>
          <w:szCs w:val="18"/>
        </w:rPr>
        <w:t>金融资产和金融负债的公允价值确定方法见附注五、</w:t>
      </w:r>
      <w:r>
        <w:rPr>
          <w:rFonts w:ascii="Times New Roman" w:hAnsi="Times New Roman" w:cs="Times New Roman" w:eastAsia="Times New Roman" w:hint="default"/>
          <w:sz w:val="18"/>
          <w:szCs w:val="18"/>
        </w:rPr>
        <w:t>45</w:t>
      </w:r>
      <w:r>
        <w:rPr>
          <w:rFonts w:ascii="宋体" w:hAnsi="宋体" w:cs="宋体" w:eastAsia="宋体" w:hint="default"/>
          <w:sz w:val="18"/>
          <w:szCs w:val="18"/>
        </w:rPr>
        <w:t>。</w:t>
      </w:r>
    </w:p>
    <w:p>
      <w:pPr>
        <w:spacing w:after="0" w:line="415"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11</w:t>
      </w:r>
      <w:r>
        <w:rPr/>
        <w:t>、应收票据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12</w:t>
      </w:r>
      <w:r>
        <w:rPr/>
        <w:t>、应收账款</w:t>
      </w:r>
      <w:r>
        <w:rPr>
          <w:b w:val="0"/>
          <w:bCs w:val="0"/>
        </w:rPr>
      </w:r>
    </w:p>
    <w:p>
      <w:pPr>
        <w:spacing w:line="240" w:lineRule="auto" w:before="7"/>
        <w:rPr>
          <w:rFonts w:ascii="宋体" w:hAnsi="宋体" w:cs="宋体" w:eastAsia="宋体" w:hint="default"/>
          <w:b/>
          <w:bCs/>
          <w:sz w:val="26"/>
          <w:szCs w:val="26"/>
        </w:rPr>
      </w:pPr>
    </w:p>
    <w:p>
      <w:pPr>
        <w:spacing w:line="415" w:lineRule="auto" w:before="0"/>
        <w:ind w:left="633" w:right="6133" w:firstLine="2"/>
        <w:jc w:val="left"/>
        <w:rPr>
          <w:rFonts w:ascii="宋体" w:hAnsi="宋体" w:cs="宋体" w:eastAsia="宋体" w:hint="default"/>
          <w:sz w:val="18"/>
          <w:szCs w:val="18"/>
        </w:rPr>
      </w:pPr>
      <w:r>
        <w:rPr>
          <w:rFonts w:ascii="宋体" w:hAnsi="宋体" w:cs="宋体" w:eastAsia="宋体" w:hint="default"/>
          <w:b/>
          <w:bCs/>
          <w:sz w:val="18"/>
          <w:szCs w:val="18"/>
        </w:rPr>
        <w:t>以下应收款项会计政策适用</w:t>
      </w:r>
      <w:r>
        <w:rPr>
          <w:rFonts w:ascii="Times New Roman" w:hAnsi="Times New Roman" w:cs="Times New Roman" w:eastAsia="Times New Roman" w:hint="default"/>
          <w:b/>
          <w:bCs/>
          <w:sz w:val="18"/>
          <w:szCs w:val="18"/>
        </w:rPr>
        <w:t>2018</w:t>
      </w:r>
      <w:r>
        <w:rPr>
          <w:rFonts w:ascii="宋体" w:hAnsi="宋体" w:cs="宋体" w:eastAsia="宋体" w:hint="default"/>
          <w:b/>
          <w:bCs/>
          <w:sz w:val="18"/>
          <w:szCs w:val="18"/>
        </w:rPr>
        <w:t>年度及以前</w:t>
      </w:r>
      <w:r>
        <w:rPr>
          <w:rFonts w:ascii="宋体" w:hAnsi="宋体" w:cs="宋体" w:eastAsia="宋体" w:hint="default"/>
          <w:b/>
          <w:bCs/>
          <w:w w:val="99"/>
          <w:sz w:val="18"/>
          <w:szCs w:val="18"/>
        </w:rPr>
        <w:t> </w:t>
      </w:r>
      <w:r>
        <w:rPr>
          <w:rFonts w:ascii="宋体" w:hAnsi="宋体" w:cs="宋体" w:eastAsia="宋体" w:hint="default"/>
          <w:sz w:val="18"/>
          <w:szCs w:val="18"/>
        </w:rPr>
        <w:t>应收款项包括应收票据、应收账款、其他应收款等。</w:t>
      </w:r>
    </w:p>
    <w:p>
      <w:pPr>
        <w:pStyle w:val="Heading4"/>
        <w:spacing w:line="240" w:lineRule="auto" w:before="65"/>
        <w:ind w:right="1133"/>
        <w:jc w:val="left"/>
        <w:rPr>
          <w:b w:val="0"/>
          <w:bCs w:val="0"/>
        </w:rPr>
      </w:pPr>
      <w:r>
        <w:rPr/>
        <w:t>（</w:t>
      </w:r>
      <w:r>
        <w:rPr>
          <w:rFonts w:ascii="Times New Roman" w:hAnsi="Times New Roman" w:cs="Times New Roman" w:eastAsia="Times New Roman" w:hint="default"/>
        </w:rPr>
        <w:t>1</w:t>
      </w:r>
      <w:r>
        <w:rPr/>
        <w:t>）单项金额重大并单项计提坏账准备的应收款项</w:t>
      </w:r>
      <w:r>
        <w:rPr>
          <w:b w:val="0"/>
          <w:bCs w:val="0"/>
        </w:rPr>
      </w:r>
    </w:p>
    <w:p>
      <w:pPr>
        <w:spacing w:line="240" w:lineRule="auto" w:before="8"/>
        <w:rPr>
          <w:rFonts w:ascii="宋体" w:hAnsi="宋体" w:cs="宋体" w:eastAsia="宋体" w:hint="default"/>
          <w:b/>
          <w:bCs/>
          <w:sz w:val="10"/>
          <w:szCs w:val="10"/>
        </w:rPr>
      </w:pPr>
    </w:p>
    <w:p>
      <w:pPr>
        <w:pStyle w:val="BodyText"/>
        <w:spacing w:line="240" w:lineRule="auto" w:before="44"/>
        <w:ind w:left="633" w:right="0"/>
        <w:jc w:val="left"/>
      </w:pPr>
      <w:r>
        <w:rPr/>
        <w:t>单项金额重大的判断依据或金额标准：年末余额达到</w:t>
      </w:r>
      <w:r>
        <w:rPr>
          <w:rFonts w:ascii="Times New Roman" w:hAnsi="Times New Roman" w:cs="Times New Roman" w:eastAsia="Times New Roman" w:hint="default"/>
        </w:rPr>
        <w:t>100</w:t>
      </w:r>
      <w:r>
        <w:rPr/>
        <w:t>万元（含</w:t>
      </w:r>
      <w:r>
        <w:rPr>
          <w:rFonts w:ascii="Times New Roman" w:hAnsi="Times New Roman" w:cs="Times New Roman" w:eastAsia="Times New Roman" w:hint="default"/>
        </w:rPr>
        <w:t>100</w:t>
      </w:r>
      <w:r>
        <w:rPr/>
        <w:t>万元）以上的应收款项为单项金额重大的应收款</w:t>
      </w:r>
    </w:p>
    <w:p>
      <w:pPr>
        <w:pStyle w:val="BodyText"/>
        <w:spacing w:line="240" w:lineRule="auto" w:before="63"/>
        <w:ind w:right="1133"/>
        <w:jc w:val="left"/>
      </w:pPr>
      <w:r>
        <w:rPr/>
        <w:t>项。</w:t>
      </w:r>
    </w:p>
    <w:p>
      <w:pPr>
        <w:spacing w:line="240" w:lineRule="auto" w:before="8"/>
        <w:rPr>
          <w:rFonts w:ascii="宋体" w:hAnsi="宋体" w:cs="宋体" w:eastAsia="宋体" w:hint="default"/>
          <w:sz w:val="11"/>
          <w:szCs w:val="11"/>
        </w:rPr>
      </w:pPr>
    </w:p>
    <w:p>
      <w:pPr>
        <w:pStyle w:val="BodyText"/>
        <w:spacing w:line="316" w:lineRule="auto" w:before="44"/>
        <w:ind w:right="1133" w:firstLine="480"/>
        <w:jc w:val="left"/>
      </w:pPr>
      <w:r>
        <w:rPr>
          <w:spacing w:val="-1"/>
        </w:rPr>
        <w:t>单项金额重大并单项计提坏账准备的计提方法：对于单项金额重大的应收款项单独进行减值测试，有客观证据表明发</w:t>
      </w:r>
      <w:r>
        <w:rPr/>
        <w:t> 生了减值，根据其未来现金流量现值低于其账面价值的差额计提坏账准备。</w:t>
      </w:r>
    </w:p>
    <w:p>
      <w:pPr>
        <w:pStyle w:val="BodyText"/>
        <w:spacing w:line="240" w:lineRule="auto" w:before="139"/>
        <w:ind w:left="633" w:right="1133"/>
        <w:jc w:val="left"/>
      </w:pPr>
      <w:r>
        <w:rPr/>
        <w:t>单项金额重大经单独测试未发生减值的应收款项，再按组合计提坏账准备。</w:t>
      </w:r>
    </w:p>
    <w:p>
      <w:pPr>
        <w:spacing w:line="240" w:lineRule="auto" w:before="0"/>
        <w:rPr>
          <w:rFonts w:ascii="宋体" w:hAnsi="宋体" w:cs="宋体" w:eastAsia="宋体" w:hint="default"/>
          <w:sz w:val="15"/>
          <w:szCs w:val="15"/>
        </w:rPr>
      </w:pPr>
    </w:p>
    <w:p>
      <w:pPr>
        <w:pStyle w:val="BodyText"/>
        <w:spacing w:line="240" w:lineRule="auto"/>
        <w:ind w:left="633" w:right="1133"/>
        <w:jc w:val="left"/>
      </w:pPr>
      <w:r>
        <w:rPr/>
        <w:t>（</w:t>
      </w:r>
      <w:r>
        <w:rPr>
          <w:rFonts w:ascii="Times New Roman" w:hAnsi="Times New Roman" w:cs="Times New Roman" w:eastAsia="Times New Roman" w:hint="default"/>
        </w:rPr>
        <w:t>2</w:t>
      </w:r>
      <w:r>
        <w:rPr/>
        <w:t>）单项金额虽不重大但单项计提坏账准备的应收款项</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939"/>
        <w:gridCol w:w="6133"/>
      </w:tblGrid>
      <w:tr>
        <w:trPr>
          <w:trHeight w:val="343"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涉诉款项、客户信用状况恶化的应收款项</w:t>
            </w:r>
          </w:p>
        </w:tc>
      </w:tr>
      <w:tr>
        <w:trPr>
          <w:trHeight w:val="461" w:hRule="exact"/>
        </w:trPr>
        <w:tc>
          <w:tcPr>
            <w:tcW w:w="2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7"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3"/>
              <w:jc w:val="right"/>
              <w:rPr>
                <w:rFonts w:ascii="宋体" w:hAnsi="宋体" w:cs="宋体" w:eastAsia="宋体" w:hint="default"/>
                <w:sz w:val="18"/>
                <w:szCs w:val="18"/>
              </w:rPr>
            </w:pPr>
            <w:r>
              <w:rPr>
                <w:rFonts w:ascii="宋体" w:hAnsi="宋体" w:cs="宋体" w:eastAsia="宋体" w:hint="default"/>
                <w:sz w:val="18"/>
                <w:szCs w:val="18"/>
              </w:rPr>
              <w:t>根据其未来现金流量现值低于其账面价值的差额计提坏账准备</w:t>
            </w:r>
          </w:p>
        </w:tc>
      </w:tr>
    </w:tbl>
    <w:p>
      <w:pPr>
        <w:spacing w:line="240" w:lineRule="auto" w:before="8"/>
        <w:rPr>
          <w:rFonts w:ascii="宋体" w:hAnsi="宋体" w:cs="宋体" w:eastAsia="宋体" w:hint="default"/>
          <w:sz w:val="6"/>
          <w:szCs w:val="6"/>
        </w:rPr>
      </w:pPr>
    </w:p>
    <w:p>
      <w:pPr>
        <w:pStyle w:val="BodyText"/>
        <w:spacing w:line="240" w:lineRule="auto" w:before="44"/>
        <w:ind w:left="633" w:right="1133"/>
        <w:jc w:val="left"/>
      </w:pPr>
      <w:r>
        <w:rPr/>
        <w:t>（</w:t>
      </w:r>
      <w:r>
        <w:rPr>
          <w:rFonts w:ascii="Times New Roman" w:hAnsi="Times New Roman" w:cs="Times New Roman" w:eastAsia="Times New Roman" w:hint="default"/>
        </w:rPr>
        <w:t>3</w:t>
      </w:r>
      <w:r>
        <w:rPr/>
        <w:t>）按组合计提坏账准备的应收款项</w:t>
      </w:r>
    </w:p>
    <w:p>
      <w:pPr>
        <w:spacing w:line="240" w:lineRule="auto" w:before="0"/>
        <w:rPr>
          <w:rFonts w:ascii="宋体" w:hAnsi="宋体" w:cs="宋体" w:eastAsia="宋体" w:hint="default"/>
          <w:sz w:val="14"/>
          <w:szCs w:val="14"/>
        </w:rPr>
      </w:pPr>
    </w:p>
    <w:p>
      <w:pPr>
        <w:pStyle w:val="BodyText"/>
        <w:spacing w:line="316" w:lineRule="auto"/>
        <w:ind w:right="1133" w:firstLine="480"/>
        <w:jc w:val="left"/>
      </w:pPr>
      <w:r>
        <w:rPr>
          <w:spacing w:val="-1"/>
        </w:rPr>
        <w:t>经单独测试后未减值的应收款项（包括单项金额重大和不重大的应收款项）以及未单独测试的单项金额不重大的应收</w:t>
      </w:r>
      <w:r>
        <w:rPr/>
        <w:t> 款项，按以下信用风险特征组合计提坏账准备：</w:t>
      </w:r>
    </w:p>
    <w:tbl>
      <w:tblPr>
        <w:tblW w:w="0" w:type="auto"/>
        <w:jc w:val="left"/>
        <w:tblInd w:w="148" w:type="dxa"/>
        <w:tblLayout w:type="fixed"/>
        <w:tblCellMar>
          <w:top w:w="0" w:type="dxa"/>
          <w:left w:w="0" w:type="dxa"/>
          <w:bottom w:w="0" w:type="dxa"/>
          <w:right w:w="0" w:type="dxa"/>
        </w:tblCellMar>
        <w:tblLook w:val="01E0"/>
      </w:tblPr>
      <w:tblGrid>
        <w:gridCol w:w="2795"/>
        <w:gridCol w:w="2323"/>
        <w:gridCol w:w="3954"/>
      </w:tblGrid>
      <w:tr>
        <w:trPr>
          <w:trHeight w:val="34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组合类型</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25" w:right="0"/>
              <w:jc w:val="left"/>
              <w:rPr>
                <w:rFonts w:ascii="宋体" w:hAnsi="宋体" w:cs="宋体" w:eastAsia="宋体" w:hint="default"/>
                <w:sz w:val="18"/>
                <w:szCs w:val="18"/>
              </w:rPr>
            </w:pPr>
            <w:r>
              <w:rPr>
                <w:rFonts w:ascii="宋体" w:hAnsi="宋体" w:cs="宋体" w:eastAsia="宋体" w:hint="default"/>
                <w:sz w:val="18"/>
                <w:szCs w:val="18"/>
              </w:rPr>
              <w:t>确定组合的依据</w:t>
            </w:r>
          </w:p>
        </w:tc>
        <w:tc>
          <w:tcPr>
            <w:tcW w:w="3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13" w:right="0"/>
              <w:jc w:val="left"/>
              <w:rPr>
                <w:rFonts w:ascii="宋体" w:hAnsi="宋体" w:cs="宋体" w:eastAsia="宋体" w:hint="default"/>
                <w:sz w:val="18"/>
                <w:szCs w:val="18"/>
              </w:rPr>
            </w:pPr>
            <w:r>
              <w:rPr>
                <w:rFonts w:ascii="宋体" w:hAnsi="宋体" w:cs="宋体" w:eastAsia="宋体" w:hint="default"/>
                <w:sz w:val="18"/>
                <w:szCs w:val="18"/>
              </w:rPr>
              <w:t>按组合计提坏账准备的计提方法</w:t>
            </w:r>
          </w:p>
        </w:tc>
      </w:tr>
      <w:tr>
        <w:trPr>
          <w:trHeight w:val="34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1</w:t>
            </w:r>
            <w:r>
              <w:rPr>
                <w:rFonts w:ascii="宋体" w:hAnsi="宋体" w:cs="宋体" w:eastAsia="宋体" w:hint="default"/>
                <w:sz w:val="18"/>
                <w:szCs w:val="18"/>
              </w:rPr>
              <w:t>销售货款及提供服务</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账龄状态</w:t>
            </w:r>
          </w:p>
        </w:tc>
        <w:tc>
          <w:tcPr>
            <w:tcW w:w="3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34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2</w:t>
            </w:r>
            <w:r>
              <w:rPr>
                <w:rFonts w:ascii="宋体" w:hAnsi="宋体" w:cs="宋体" w:eastAsia="宋体" w:hint="default"/>
                <w:sz w:val="18"/>
                <w:szCs w:val="18"/>
              </w:rPr>
              <w:t>应收保理款</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风险类型</w:t>
            </w:r>
          </w:p>
        </w:tc>
        <w:tc>
          <w:tcPr>
            <w:tcW w:w="3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按风险等级计提</w:t>
            </w:r>
          </w:p>
        </w:tc>
      </w:tr>
      <w:tr>
        <w:trPr>
          <w:trHeight w:val="34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3</w:t>
            </w:r>
            <w:r>
              <w:rPr>
                <w:rFonts w:ascii="宋体" w:hAnsi="宋体" w:cs="宋体" w:eastAsia="宋体" w:hint="default"/>
                <w:sz w:val="18"/>
                <w:szCs w:val="18"/>
              </w:rPr>
              <w:t>应收融资租赁款</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风险类型</w:t>
            </w:r>
          </w:p>
        </w:tc>
        <w:tc>
          <w:tcPr>
            <w:tcW w:w="3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按风险等级计提</w:t>
            </w:r>
          </w:p>
        </w:tc>
      </w:tr>
      <w:tr>
        <w:trPr>
          <w:trHeight w:val="343"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Times New Roman" w:hAnsi="Times New Roman" w:cs="Times New Roman" w:eastAsia="Times New Roman" w:hint="default"/>
                <w:sz w:val="18"/>
                <w:szCs w:val="18"/>
              </w:rPr>
              <w:t>4</w:t>
            </w:r>
            <w:r>
              <w:rPr>
                <w:rFonts w:ascii="宋体" w:hAnsi="宋体" w:cs="宋体" w:eastAsia="宋体" w:hint="default"/>
                <w:sz w:val="18"/>
                <w:szCs w:val="18"/>
              </w:rPr>
              <w:t>合并范围内关联方组合</w:t>
            </w:r>
          </w:p>
        </w:tc>
        <w:tc>
          <w:tcPr>
            <w:tcW w:w="2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关联方关系</w:t>
            </w:r>
          </w:p>
        </w:tc>
        <w:tc>
          <w:tcPr>
            <w:tcW w:w="3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不计提坏账准备</w:t>
            </w:r>
          </w:p>
        </w:tc>
      </w:tr>
    </w:tbl>
    <w:p>
      <w:pPr>
        <w:spacing w:line="240" w:lineRule="auto" w:before="3"/>
        <w:rPr>
          <w:rFonts w:ascii="宋体" w:hAnsi="宋体" w:cs="宋体" w:eastAsia="宋体" w:hint="default"/>
          <w:sz w:val="7"/>
          <w:szCs w:val="7"/>
        </w:rPr>
      </w:pPr>
    </w:p>
    <w:p>
      <w:pPr>
        <w:pStyle w:val="BodyText"/>
        <w:spacing w:line="240" w:lineRule="auto" w:before="44"/>
        <w:ind w:left="633" w:right="1133"/>
        <w:jc w:val="left"/>
      </w:pPr>
      <w:r>
        <w:rPr>
          <w:rFonts w:ascii="Times New Roman" w:hAnsi="Times New Roman" w:cs="Times New Roman" w:eastAsia="Times New Roman" w:hint="default"/>
        </w:rPr>
        <w:t>A</w:t>
      </w:r>
      <w:r>
        <w:rPr/>
        <w:t>、对销售货款及提供服务组合，采用账龄分析法计提坏账准备的比例如下：</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3776"/>
        <w:gridCol w:w="2758"/>
        <w:gridCol w:w="2756"/>
      </w:tblGrid>
      <w:tr>
        <w:trPr>
          <w:trHeight w:val="34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账</w:t>
            </w:r>
            <w:r>
              <w:rPr>
                <w:rFonts w:ascii="宋体" w:hAnsi="宋体" w:cs="宋体" w:eastAsia="宋体" w:hint="default"/>
                <w:spacing w:val="54"/>
                <w:sz w:val="18"/>
                <w:szCs w:val="18"/>
              </w:rPr>
              <w:t> </w:t>
            </w:r>
            <w:r>
              <w:rPr>
                <w:rFonts w:ascii="宋体" w:hAnsi="宋体" w:cs="宋体" w:eastAsia="宋体" w:hint="default"/>
                <w:sz w:val="18"/>
                <w:szCs w:val="18"/>
              </w:rPr>
              <w:t>龄</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8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r>
        <w:trPr>
          <w:trHeight w:val="34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5.00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5.00</w:t>
            </w:r>
          </w:p>
        </w:tc>
      </w:tr>
      <w:tr>
        <w:trPr>
          <w:trHeight w:val="34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年（含）</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10.00</w:t>
            </w:r>
          </w:p>
        </w:tc>
      </w:tr>
      <w:tr>
        <w:trPr>
          <w:trHeight w:val="34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年（含）</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20.00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20.00</w:t>
            </w:r>
          </w:p>
        </w:tc>
      </w:tr>
      <w:tr>
        <w:trPr>
          <w:trHeight w:val="34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宋体" w:hAnsi="宋体" w:cs="宋体" w:eastAsia="宋体" w:hint="default"/>
                <w:sz w:val="18"/>
                <w:szCs w:val="18"/>
              </w:rPr>
              <w:t>年（含）</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50.00</w:t>
            </w:r>
          </w:p>
        </w:tc>
      </w:tr>
      <w:tr>
        <w:trPr>
          <w:trHeight w:val="34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年以上</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8"/>
        <w:rPr>
          <w:rFonts w:ascii="宋体" w:hAnsi="宋体" w:cs="宋体" w:eastAsia="宋体" w:hint="default"/>
          <w:sz w:val="6"/>
          <w:szCs w:val="6"/>
        </w:rPr>
      </w:pPr>
    </w:p>
    <w:p>
      <w:pPr>
        <w:pStyle w:val="BodyText"/>
        <w:spacing w:line="300" w:lineRule="auto" w:before="44"/>
        <w:ind w:right="1133" w:firstLine="480"/>
        <w:jc w:val="left"/>
      </w:pPr>
      <w:r>
        <w:rPr>
          <w:rFonts w:ascii="Times New Roman" w:hAnsi="Times New Roman" w:cs="Times New Roman" w:eastAsia="Times New Roman" w:hint="default"/>
        </w:rPr>
        <w:t>B</w:t>
      </w:r>
      <w:r>
        <w:rPr/>
        <w:t>、对应收保理款、应收融资租赁款及相关应收利息，本公司按照风险等级将其分为正常、关注、次级、可疑和损失 五类，资产负债表日按照风险类型对应的比例计提坏账准备：</w:t>
      </w:r>
    </w:p>
    <w:tbl>
      <w:tblPr>
        <w:tblW w:w="0" w:type="auto"/>
        <w:jc w:val="left"/>
        <w:tblInd w:w="148" w:type="dxa"/>
        <w:tblLayout w:type="fixed"/>
        <w:tblCellMar>
          <w:top w:w="0" w:type="dxa"/>
          <w:left w:w="0" w:type="dxa"/>
          <w:bottom w:w="0" w:type="dxa"/>
          <w:right w:w="0" w:type="dxa"/>
        </w:tblCellMar>
        <w:tblLook w:val="01E0"/>
      </w:tblPr>
      <w:tblGrid>
        <w:gridCol w:w="3776"/>
        <w:gridCol w:w="2758"/>
        <w:gridCol w:w="2756"/>
      </w:tblGrid>
      <w:tr>
        <w:trPr>
          <w:trHeight w:val="34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风险类型</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分类依据</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坏账准备计提比例</w:t>
            </w:r>
            <w:r>
              <w:rPr>
                <w:rFonts w:ascii="Times New Roman" w:hAnsi="Times New Roman" w:cs="Times New Roman" w:eastAsia="Times New Roman" w:hint="default"/>
                <w:sz w:val="18"/>
                <w:szCs w:val="18"/>
              </w:rPr>
              <w:t>%</w:t>
            </w:r>
          </w:p>
        </w:tc>
      </w:tr>
      <w:tr>
        <w:trPr>
          <w:trHeight w:val="34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未逾期</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0.00</w:t>
            </w:r>
          </w:p>
        </w:tc>
      </w:tr>
      <w:tr>
        <w:trPr>
          <w:trHeight w:val="344"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1-90</w:t>
            </w:r>
            <w:r>
              <w:rPr>
                <w:rFonts w:ascii="宋体" w:hAnsi="宋体" w:cs="宋体" w:eastAsia="宋体" w:hint="default"/>
                <w:sz w:val="18"/>
                <w:szCs w:val="18"/>
              </w:rPr>
              <w:t>天</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w:t>
            </w:r>
          </w:p>
        </w:tc>
      </w:tr>
      <w:tr>
        <w:trPr>
          <w:trHeight w:val="34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91-180</w:t>
            </w:r>
            <w:r>
              <w:rPr>
                <w:rFonts w:ascii="宋体" w:hAnsi="宋体" w:cs="宋体" w:eastAsia="宋体" w:hint="default"/>
                <w:sz w:val="18"/>
                <w:szCs w:val="18"/>
              </w:rPr>
              <w:t>天</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76"/>
        <w:gridCol w:w="2758"/>
        <w:gridCol w:w="2756"/>
      </w:tblGrid>
      <w:tr>
        <w:trPr>
          <w:trHeight w:val="341"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可疑类</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w w:val="95"/>
                <w:sz w:val="18"/>
                <w:szCs w:val="18"/>
              </w:rPr>
              <w:t>逾期</w:t>
            </w:r>
            <w:r>
              <w:rPr>
                <w:rFonts w:ascii="Times New Roman" w:hAnsi="Times New Roman" w:cs="Times New Roman" w:eastAsia="Times New Roman" w:hint="default"/>
                <w:w w:val="95"/>
                <w:sz w:val="18"/>
                <w:szCs w:val="18"/>
              </w:rPr>
              <w:t>181-360</w:t>
            </w:r>
            <w:r>
              <w:rPr>
                <w:rFonts w:ascii="宋体" w:hAnsi="宋体" w:cs="宋体" w:eastAsia="宋体" w:hint="default"/>
                <w:w w:val="95"/>
                <w:sz w:val="18"/>
                <w:szCs w:val="18"/>
              </w:rPr>
              <w:t>天</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20.00</w:t>
            </w:r>
          </w:p>
        </w:tc>
      </w:tr>
      <w:tr>
        <w:trPr>
          <w:trHeight w:val="343" w:hRule="exact"/>
        </w:trPr>
        <w:tc>
          <w:tcPr>
            <w:tcW w:w="3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损失类</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逾期</w:t>
            </w:r>
            <w:r>
              <w:rPr>
                <w:rFonts w:ascii="Times New Roman" w:hAnsi="Times New Roman" w:cs="Times New Roman" w:eastAsia="Times New Roman" w:hint="default"/>
                <w:sz w:val="18"/>
                <w:szCs w:val="18"/>
              </w:rPr>
              <w:t>360</w:t>
            </w:r>
            <w:r>
              <w:rPr>
                <w:rFonts w:ascii="宋体" w:hAnsi="宋体" w:cs="宋体" w:eastAsia="宋体" w:hint="default"/>
                <w:sz w:val="18"/>
                <w:szCs w:val="18"/>
              </w:rPr>
              <w:t>天以上</w:t>
            </w:r>
          </w:p>
        </w:tc>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13</w:t>
      </w:r>
      <w:r>
        <w:rPr/>
        <w:t>、应收款项融资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14</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其他应收款的预期信用损失的确定方法及会计处理方法</w:t>
      </w:r>
    </w:p>
    <w:p>
      <w:pPr>
        <w:pStyle w:val="BodyText"/>
        <w:spacing w:line="240" w:lineRule="auto" w:before="118"/>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15</w:t>
      </w:r>
      <w:r>
        <w:rPr/>
        <w:t>、存货</w:t>
      </w:r>
      <w:r>
        <w:rPr>
          <w:b w:val="0"/>
          <w:bCs w:val="0"/>
        </w:rPr>
      </w:r>
    </w:p>
    <w:p>
      <w:pPr>
        <w:pStyle w:val="BodyText"/>
        <w:spacing w:line="420" w:lineRule="atLeast" w:before="173"/>
        <w:ind w:left="633" w:right="0" w:firstLine="2"/>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）存货的分类</w:t>
      </w:r>
      <w:r>
        <w:rPr>
          <w:rFonts w:ascii="宋体" w:hAnsi="宋体" w:cs="宋体" w:eastAsia="宋体" w:hint="default"/>
          <w:b/>
          <w:bCs/>
          <w:w w:val="99"/>
        </w:rPr>
        <w:t> </w:t>
      </w:r>
      <w:r>
        <w:rPr>
          <w:spacing w:val="-1"/>
        </w:rPr>
        <w:t>存货是指本公司在日常活动中持有以备出售的产成品或商品、处在生产过程中的在产品、在生产过程或提供劳务过程</w:t>
      </w:r>
    </w:p>
    <w:p>
      <w:pPr>
        <w:pStyle w:val="BodyText"/>
        <w:spacing w:line="240" w:lineRule="auto" w:before="76"/>
        <w:ind w:right="1133"/>
        <w:jc w:val="left"/>
      </w:pPr>
      <w:r>
        <w:rPr/>
        <w:t>中耗用的材料和物料等，包括原材料、在产品、库存商品和发出商品等。</w:t>
      </w:r>
    </w:p>
    <w:p>
      <w:pPr>
        <w:spacing w:line="240" w:lineRule="auto" w:before="0"/>
        <w:rPr>
          <w:rFonts w:ascii="宋体" w:hAnsi="宋体" w:cs="宋体" w:eastAsia="宋体" w:hint="default"/>
          <w:sz w:val="15"/>
          <w:szCs w:val="15"/>
        </w:rPr>
      </w:pPr>
    </w:p>
    <w:p>
      <w:pPr>
        <w:spacing w:line="415" w:lineRule="auto" w:before="0"/>
        <w:ind w:left="633" w:right="703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）发出存货的计价方法</w:t>
      </w:r>
      <w:r>
        <w:rPr>
          <w:rFonts w:ascii="宋体" w:hAnsi="宋体" w:cs="宋体" w:eastAsia="宋体" w:hint="default"/>
          <w:b/>
          <w:bCs/>
          <w:w w:val="99"/>
          <w:sz w:val="18"/>
          <w:szCs w:val="18"/>
        </w:rPr>
        <w:t> </w:t>
      </w:r>
      <w:r>
        <w:rPr>
          <w:rFonts w:ascii="宋体" w:hAnsi="宋体" w:cs="宋体" w:eastAsia="宋体" w:hint="default"/>
          <w:sz w:val="18"/>
          <w:szCs w:val="18"/>
        </w:rPr>
        <w:t>本公司存货发出时采用加权平均法计价。</w:t>
      </w:r>
    </w:p>
    <w:p>
      <w:pPr>
        <w:spacing w:line="415" w:lineRule="auto" w:before="65"/>
        <w:ind w:left="633" w:right="361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）存货的盘存制度</w:t>
      </w:r>
      <w:r>
        <w:rPr>
          <w:rFonts w:ascii="宋体" w:hAnsi="宋体" w:cs="宋体" w:eastAsia="宋体" w:hint="default"/>
          <w:b/>
          <w:bCs/>
          <w:w w:val="99"/>
          <w:sz w:val="18"/>
          <w:szCs w:val="18"/>
        </w:rPr>
        <w:t> </w:t>
      </w:r>
      <w:r>
        <w:rPr>
          <w:rFonts w:ascii="宋体" w:hAnsi="宋体" w:cs="宋体" w:eastAsia="宋体" w:hint="default"/>
          <w:sz w:val="18"/>
          <w:szCs w:val="18"/>
        </w:rPr>
        <w:t>本公司存货采用永续盘存制，每年至少盘点一次，盘盈及盘亏金额计入当年度损益。</w:t>
      </w:r>
    </w:p>
    <w:p>
      <w:pPr>
        <w:spacing w:line="415" w:lineRule="auto" w:before="65"/>
        <w:ind w:left="633" w:right="127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）存货跌价准备的计提方法</w:t>
      </w:r>
      <w:r>
        <w:rPr>
          <w:rFonts w:ascii="宋体" w:hAnsi="宋体" w:cs="宋体" w:eastAsia="宋体" w:hint="default"/>
          <w:b/>
          <w:bCs/>
          <w:w w:val="99"/>
          <w:sz w:val="18"/>
          <w:szCs w:val="18"/>
        </w:rPr>
        <w:t> </w:t>
      </w:r>
      <w:r>
        <w:rPr>
          <w:rFonts w:ascii="宋体" w:hAnsi="宋体" w:cs="宋体" w:eastAsia="宋体" w:hint="default"/>
          <w:sz w:val="18"/>
          <w:szCs w:val="18"/>
        </w:rPr>
        <w:t>资产负债表日按成本与可变现净值孰低计量，存货成本高于其可变现净值的，计提存货跌价准备，计入当期损益。</w:t>
      </w:r>
    </w:p>
    <w:p>
      <w:pPr>
        <w:pStyle w:val="BodyText"/>
        <w:spacing w:line="240" w:lineRule="auto" w:before="65"/>
        <w:ind w:left="633" w:right="0"/>
        <w:jc w:val="left"/>
      </w:pPr>
      <w:r>
        <w:rPr/>
        <w:t>在确定存货的可变现净值时，以取得的可靠证据为基础，并且考虑持有存货的目的、资产负债表日后事项的影响等因</w:t>
      </w:r>
    </w:p>
    <w:p>
      <w:pPr>
        <w:pStyle w:val="BodyText"/>
        <w:spacing w:line="240" w:lineRule="auto" w:before="76"/>
        <w:ind w:right="1133"/>
        <w:jc w:val="left"/>
      </w:pPr>
      <w:r>
        <w:rPr/>
        <w:t>素。</w:t>
      </w:r>
    </w:p>
    <w:p>
      <w:pPr>
        <w:spacing w:line="240" w:lineRule="auto" w:before="8"/>
        <w:rPr>
          <w:rFonts w:ascii="宋体" w:hAnsi="宋体" w:cs="宋体" w:eastAsia="宋体" w:hint="default"/>
          <w:sz w:val="11"/>
          <w:szCs w:val="11"/>
        </w:rPr>
      </w:pPr>
    </w:p>
    <w:p>
      <w:pPr>
        <w:pStyle w:val="BodyText"/>
        <w:spacing w:line="319" w:lineRule="auto" w:before="44"/>
        <w:ind w:right="1130" w:firstLine="480"/>
        <w:jc w:val="both"/>
      </w:pPr>
      <w:r>
        <w:rPr>
          <w:spacing w:val="-1"/>
        </w:rPr>
        <w:t>①产成品、商品和用于出售的材料等直接用于出售的存货，在正常生产经营过程中，以该存货的估计售价减去估计的</w:t>
      </w:r>
      <w:r>
        <w:rPr/>
        <w:t> </w:t>
      </w:r>
      <w:r>
        <w:rPr>
          <w:spacing w:val="-2"/>
        </w:rPr>
        <w:t>销售费用和相关税费后的金额确定其可变现净值。为执行销售合同或者劳务合同而持有的存货，以合同价格作为其可变现净</w:t>
      </w:r>
      <w:r>
        <w:rPr>
          <w:spacing w:val="-64"/>
        </w:rPr>
        <w:t> </w:t>
      </w:r>
      <w:r>
        <w:rPr>
          <w:spacing w:val="-64"/>
        </w:rPr>
      </w:r>
      <w:r>
        <w:rPr>
          <w:spacing w:val="-2"/>
        </w:rPr>
        <w:t>值的计量基础；如果持有存货的数量多于销售合同订购数量，超出部分的存货可变现净值以一般销售价格为计量基础。用于</w:t>
      </w:r>
      <w:r>
        <w:rPr>
          <w:spacing w:val="-63"/>
        </w:rPr>
        <w:t> </w:t>
      </w:r>
      <w:r>
        <w:rPr>
          <w:spacing w:val="-63"/>
        </w:rPr>
      </w:r>
      <w:r>
        <w:rPr/>
        <w:t>出售的材料等，以市场价格作为其可变现净值的计量基础。</w:t>
      </w:r>
    </w:p>
    <w:p>
      <w:pPr>
        <w:pStyle w:val="BodyText"/>
        <w:spacing w:line="316" w:lineRule="auto" w:before="137"/>
        <w:ind w:right="1044" w:firstLine="480"/>
        <w:jc w:val="both"/>
      </w:pPr>
      <w:r>
        <w:rPr/>
        <w:t>②需要经过加工的材料存货，在正常生产经营过程中，以所生产的产成品的估计售价减去至完工时估计将要发生的成 </w:t>
      </w:r>
      <w:r>
        <w:rPr>
          <w:spacing w:val="-2"/>
        </w:rPr>
        <w:t>本、估计的销售费用和相关税费后的金额确定其可变现净值。如果用其生产的产成品的可变现净值高于成本，则该材料按成</w:t>
      </w:r>
      <w:r>
        <w:rPr>
          <w:spacing w:val="-63"/>
        </w:rPr>
        <w:t> </w:t>
      </w:r>
      <w:r>
        <w:rPr>
          <w:spacing w:val="-63"/>
        </w:rPr>
      </w:r>
      <w:r>
        <w:rPr>
          <w:spacing w:val="-4"/>
        </w:rPr>
        <w:t>本计量；如果材料价格的下降表明产成品的可变现净值低于成本，则该材料按可变现净值计量，按其差额计提存货跌价准备。</w:t>
      </w:r>
    </w:p>
    <w:p>
      <w:pPr>
        <w:pStyle w:val="BodyText"/>
        <w:spacing w:line="240" w:lineRule="auto" w:before="139"/>
        <w:ind w:left="633" w:right="1133"/>
        <w:jc w:val="left"/>
      </w:pPr>
      <w:r>
        <w:rPr/>
        <w:t>③存货跌价准备一般按单个存货项目计提；对于数量繁多、单价较低的存货，按存货类别计提。</w:t>
      </w:r>
    </w:p>
    <w:p>
      <w:pPr>
        <w:spacing w:line="240" w:lineRule="auto" w:before="0"/>
        <w:rPr>
          <w:rFonts w:ascii="宋体" w:hAnsi="宋体" w:cs="宋体" w:eastAsia="宋体" w:hint="default"/>
          <w:sz w:val="15"/>
          <w:szCs w:val="15"/>
        </w:rPr>
      </w:pPr>
    </w:p>
    <w:p>
      <w:pPr>
        <w:pStyle w:val="BodyText"/>
        <w:spacing w:line="316" w:lineRule="auto"/>
        <w:ind w:right="1133" w:firstLine="480"/>
        <w:jc w:val="both"/>
      </w:pPr>
      <w:r>
        <w:rPr>
          <w:spacing w:val="-1"/>
        </w:rPr>
        <w:t>④资产负债表日如果以前减记存货价值的影响因素已经消失，则减记的金额予以恢复，并在原已计提的存货跌价准备</w:t>
      </w:r>
      <w:r>
        <w:rPr/>
        <w:t> 的金额内转回，转回的金额计入当期损益。</w:t>
      </w:r>
    </w:p>
    <w:p>
      <w:pPr>
        <w:spacing w:line="417" w:lineRule="auto" w:before="139"/>
        <w:ind w:left="633" w:right="649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5</w:t>
      </w:r>
      <w:r>
        <w:rPr>
          <w:rFonts w:ascii="宋体" w:hAnsi="宋体" w:cs="宋体" w:eastAsia="宋体" w:hint="default"/>
          <w:b/>
          <w:bCs/>
          <w:sz w:val="18"/>
          <w:szCs w:val="18"/>
        </w:rPr>
        <w:t>）周转材料的摊销方法</w:t>
      </w:r>
      <w:r>
        <w:rPr>
          <w:rFonts w:ascii="宋体" w:hAnsi="宋体" w:cs="宋体" w:eastAsia="宋体" w:hint="default"/>
          <w:b/>
          <w:bCs/>
          <w:w w:val="99"/>
          <w:sz w:val="18"/>
          <w:szCs w:val="18"/>
        </w:rPr>
        <w:t> </w:t>
      </w:r>
      <w:r>
        <w:rPr>
          <w:rFonts w:ascii="宋体" w:hAnsi="宋体" w:cs="宋体" w:eastAsia="宋体" w:hint="default"/>
          <w:sz w:val="18"/>
          <w:szCs w:val="18"/>
        </w:rPr>
        <w:t>周转材料摊销方法：在领用时采用一次转销法。</w:t>
      </w:r>
    </w:p>
    <w:p>
      <w:pPr>
        <w:spacing w:after="0" w:line="417"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0"/>
        <w:jc w:val="both"/>
        <w:rPr>
          <w:b w:val="0"/>
          <w:bCs w:val="0"/>
        </w:rPr>
      </w:pPr>
      <w:r>
        <w:rPr>
          <w:rFonts w:ascii="Times New Roman" w:hAnsi="Times New Roman" w:cs="Times New Roman" w:eastAsia="Times New Roman" w:hint="default"/>
        </w:rPr>
        <w:t>16</w:t>
      </w:r>
      <w:r>
        <w:rPr/>
        <w:t>、合同资产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18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19</w:t>
      </w:r>
      <w:r>
        <w:rPr/>
        <w:t>、债权投资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20</w:t>
      </w:r>
      <w:r>
        <w:rPr/>
        <w:t>、其他债权投资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0"/>
        <w:jc w:val="both"/>
        <w:rPr>
          <w:b w:val="0"/>
          <w:bCs w:val="0"/>
        </w:rPr>
      </w:pPr>
      <w:r>
        <w:rPr>
          <w:rFonts w:ascii="Times New Roman" w:hAnsi="Times New Roman" w:cs="Times New Roman" w:eastAsia="Times New Roman" w:hint="default"/>
        </w:rPr>
        <w:t>21</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rFonts w:ascii="Times New Roman" w:hAnsi="Times New Roman" w:cs="Times New Roman" w:eastAsia="Times New Roman" w:hint="default"/>
        </w:rPr>
        <w:t>22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51" w:firstLine="360"/>
        <w:jc w:val="both"/>
      </w:pPr>
      <w:r>
        <w:rPr/>
        <w:t>本公司长期股权投资包括对被投资单位实施控制、重大影响的权益性投资。本公司能够对被投资单位施加重大影响的， 为本公司的联营企业。</w:t>
      </w:r>
    </w:p>
    <w:p>
      <w:pPr>
        <w:spacing w:line="300" w:lineRule="auto" w:before="19"/>
        <w:ind w:left="513" w:right="0"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）确定对被投资单位具有重大影响的依据</w:t>
      </w:r>
      <w:r>
        <w:rPr>
          <w:rFonts w:ascii="宋体" w:hAnsi="宋体" w:cs="宋体" w:eastAsia="宋体" w:hint="default"/>
          <w:b/>
          <w:bCs/>
          <w:w w:val="99"/>
          <w:sz w:val="18"/>
          <w:szCs w:val="18"/>
        </w:rPr>
        <w:t> </w:t>
      </w:r>
      <w:r>
        <w:rPr>
          <w:rFonts w:ascii="宋体" w:hAnsi="宋体" w:cs="宋体" w:eastAsia="宋体" w:hint="default"/>
          <w:spacing w:val="-2"/>
          <w:sz w:val="18"/>
          <w:szCs w:val="18"/>
        </w:rPr>
        <w:t>重大影响，是指投资方对被投资单位的财务和经营政策有参与决策的权力，但并不能够控制或者与其他方一起共同控制</w:t>
      </w:r>
    </w:p>
    <w:p>
      <w:pPr>
        <w:pStyle w:val="BodyText"/>
        <w:spacing w:line="319" w:lineRule="auto" w:before="31"/>
        <w:ind w:right="1131"/>
        <w:jc w:val="both"/>
      </w:pPr>
      <w:r>
        <w:rPr>
          <w:spacing w:val="-2"/>
        </w:rPr>
        <w:t>这些政策的制定。在确定能否对被投资单位施加重大影响时，考虑投资方直接或间接持有被投资单位的表决权股份以及投资</w:t>
      </w:r>
      <w:r>
        <w:rPr>
          <w:spacing w:val="-63"/>
        </w:rPr>
        <w:t> </w:t>
      </w:r>
      <w:r>
        <w:rPr>
          <w:spacing w:val="-63"/>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0" w:lineRule="auto" w:before="17"/>
        <w:ind w:right="1134" w:firstLine="360"/>
        <w:jc w:val="both"/>
      </w:pPr>
      <w:r>
        <w:rPr/>
        <w:t>当本公司直接或通过子公司间接拥有被投资单位</w:t>
      </w:r>
      <w:r>
        <w:rPr>
          <w:rFonts w:ascii="Times New Roman" w:hAnsi="Times New Roman" w:cs="Times New Roman" w:eastAsia="Times New Roman" w:hint="default"/>
        </w:rPr>
        <w:t>20%</w:t>
      </w:r>
      <w:r>
        <w:rPr/>
        <w:t>（含</w:t>
      </w:r>
      <w:r>
        <w:rPr>
          <w:rFonts w:ascii="Times New Roman" w:hAnsi="Times New Roman" w:cs="Times New Roman" w:eastAsia="Times New Roman" w:hint="default"/>
        </w:rPr>
        <w:t>20%</w:t>
      </w:r>
      <w:r>
        <w:rPr/>
        <w:t>）以上但低于</w:t>
      </w:r>
      <w:r>
        <w:rPr>
          <w:rFonts w:ascii="Times New Roman" w:hAnsi="Times New Roman" w:cs="Times New Roman" w:eastAsia="Times New Roman" w:hint="default"/>
        </w:rPr>
        <w:t>50%</w:t>
      </w:r>
      <w:r>
        <w:rPr/>
        <w:t>的表决权股份时，一般认为对被投资单 位具有重大影响，除非有明确证据表明该种情况下不能参与被投资单位的生产经营决策，不形成重大影响。</w:t>
      </w:r>
    </w:p>
    <w:p>
      <w:pPr>
        <w:pStyle w:val="Heading4"/>
        <w:spacing w:line="240" w:lineRule="auto" w:before="31"/>
        <w:ind w:left="513" w:right="1133"/>
        <w:jc w:val="left"/>
        <w:rPr>
          <w:b w:val="0"/>
          <w:bCs w:val="0"/>
        </w:rPr>
      </w:pPr>
      <w:r>
        <w:rPr/>
        <w:t>（</w:t>
      </w:r>
      <w:r>
        <w:rPr>
          <w:rFonts w:ascii="Times New Roman" w:hAnsi="Times New Roman" w:cs="Times New Roman" w:eastAsia="Times New Roman" w:hint="default"/>
        </w:rPr>
        <w:t>2</w:t>
      </w:r>
      <w:r>
        <w:rPr/>
        <w:t>）初始投资成本确定</w:t>
      </w:r>
      <w:r>
        <w:rPr>
          <w:b w:val="0"/>
          <w:bCs w:val="0"/>
        </w:rPr>
      </w:r>
    </w:p>
    <w:p>
      <w:pPr>
        <w:pStyle w:val="BodyText"/>
        <w:spacing w:line="240" w:lineRule="auto" w:before="63"/>
        <w:ind w:left="513" w:right="1133"/>
        <w:jc w:val="left"/>
      </w:pPr>
      <w:r>
        <w:rPr/>
        <w:t>①企业合并形成的长期股权投资，按照下列规定确定其投资成本：</w:t>
      </w:r>
    </w:p>
    <w:p>
      <w:pPr>
        <w:pStyle w:val="BodyText"/>
        <w:spacing w:line="312" w:lineRule="auto" w:before="76"/>
        <w:ind w:right="1131" w:firstLine="360"/>
        <w:jc w:val="both"/>
      </w:pPr>
      <w:r>
        <w:rPr>
          <w:rFonts w:ascii="Times New Roman" w:hAnsi="Times New Roman" w:cs="Times New Roman" w:eastAsia="Times New Roman" w:hint="default"/>
        </w:rPr>
        <w:t>A. </w:t>
      </w:r>
      <w:r>
        <w:rPr/>
        <w:t>同一控制下的企业合并，合并方以支付现金、转让非现金资产或承担债务方式作为合并对价的，在合并日按照被合 </w:t>
      </w:r>
      <w:r>
        <w:rPr>
          <w:spacing w:val="-2"/>
        </w:rPr>
        <w:t>并方所有者权益在最终控制方合并财务报表中的账面价值的份额作为长期股权投资的初始投资成本。长期股权投资初始投资</w:t>
      </w:r>
      <w:r>
        <w:rPr>
          <w:spacing w:val="-64"/>
        </w:rPr>
        <w:t> </w:t>
      </w:r>
      <w:r>
        <w:rPr>
          <w:spacing w:val="-64"/>
        </w:rPr>
      </w:r>
      <w:r>
        <w:rPr>
          <w:spacing w:val="-2"/>
        </w:rPr>
        <w:t>成本与支付的现金、转让的非现金资产以及所承担债务账面价值之间的差额，调整资本公积；资本公积不足冲减的，调整留</w:t>
      </w:r>
      <w:r>
        <w:rPr>
          <w:spacing w:val="-64"/>
        </w:rPr>
        <w:t> </w:t>
      </w:r>
      <w:r>
        <w:rPr>
          <w:spacing w:val="-64"/>
        </w:rPr>
      </w:r>
      <w:r>
        <w:rPr/>
        <w:t>存收益；</w:t>
      </w:r>
    </w:p>
    <w:p>
      <w:pPr>
        <w:pStyle w:val="BodyText"/>
        <w:spacing w:line="309" w:lineRule="auto" w:before="22"/>
        <w:ind w:right="1133" w:firstLine="360"/>
        <w:jc w:val="both"/>
      </w:pPr>
      <w:r>
        <w:rPr>
          <w:rFonts w:ascii="Times New Roman" w:hAnsi="Times New Roman" w:cs="Times New Roman" w:eastAsia="Times New Roman" w:hint="default"/>
        </w:rPr>
        <w:t>B.</w:t>
      </w:r>
      <w:r>
        <w:rPr>
          <w:rFonts w:ascii="Times New Roman" w:hAnsi="Times New Roman" w:cs="Times New Roman" w:eastAsia="Times New Roman" w:hint="default"/>
          <w:spacing w:val="6"/>
        </w:rPr>
        <w:t> </w:t>
      </w:r>
      <w:r>
        <w:rPr/>
        <w:t>同一控制下的企业合并，合并方以发行权益性证券作为合并对价的，在合并日按照被合并方所有者权益在最终控制 </w:t>
      </w:r>
      <w:r>
        <w:rPr>
          <w:spacing w:val="-2"/>
        </w:rPr>
        <w:t>方合并财务报表中的账面价值的份额作为长期股权投资的初始投资成本。按照发行股份的面值总额作为股本，长期股权投资</w:t>
      </w:r>
      <w:r>
        <w:rPr>
          <w:spacing w:val="-64"/>
        </w:rPr>
        <w:t> </w:t>
      </w:r>
      <w:r>
        <w:rPr>
          <w:spacing w:val="-64"/>
        </w:rPr>
      </w:r>
      <w:r>
        <w:rPr/>
        <w:t>初始投资成本与所发行股份面值总额之间的差额，调整资本公积；资本公积不足冲减的，调整留存收益；</w:t>
      </w:r>
    </w:p>
    <w:p>
      <w:pPr>
        <w:pStyle w:val="BodyText"/>
        <w:spacing w:line="240" w:lineRule="auto" w:before="24"/>
        <w:ind w:left="513" w:right="0"/>
        <w:jc w:val="left"/>
      </w:pPr>
      <w:r>
        <w:rPr>
          <w:rFonts w:ascii="Times New Roman" w:hAnsi="Times New Roman" w:cs="Times New Roman" w:eastAsia="Times New Roman" w:hint="default"/>
        </w:rPr>
        <w:t>C. </w:t>
      </w:r>
      <w:r>
        <w:rPr>
          <w:rFonts w:ascii="Times New Roman" w:hAnsi="Times New Roman" w:cs="Times New Roman" w:eastAsia="Times New Roman" w:hint="default"/>
          <w:spacing w:val="11"/>
        </w:rPr>
        <w:t> </w:t>
      </w:r>
      <w:r>
        <w:rPr/>
        <w:t>非同一控制下的企业合并，以购买日为取得对被购买方的控制权而付出的资产、发生或承担的负债以及发行的权益</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jc w:val="left"/>
      </w:pPr>
      <w:r>
        <w:rPr>
          <w:spacing w:val="-2"/>
        </w:rPr>
        <w:t>性证券的公允价值确定为合并成本作为长期股权投资的初始投资成本。合并方为企业合并发生的审计、法律服务、评估咨询</w:t>
      </w:r>
      <w:r>
        <w:rPr>
          <w:spacing w:val="-66"/>
        </w:rPr>
        <w:t> </w:t>
      </w:r>
      <w:r>
        <w:rPr>
          <w:spacing w:val="-66"/>
        </w:rPr>
      </w:r>
      <w:r>
        <w:rPr/>
        <w:t>等中介费用以及其他相关管理费用，于发生时计入当期损益。</w:t>
      </w:r>
    </w:p>
    <w:p>
      <w:pPr>
        <w:pStyle w:val="BodyText"/>
        <w:spacing w:line="240" w:lineRule="auto" w:before="19"/>
        <w:ind w:left="513" w:right="1133"/>
        <w:jc w:val="left"/>
      </w:pPr>
      <w:r>
        <w:rPr/>
        <w:t>②除企业合并形成的长期股权投资以外，其他方式取得的长期股权投资，按照下列规定确定其投资成本：</w:t>
      </w:r>
    </w:p>
    <w:p>
      <w:pPr>
        <w:pStyle w:val="BodyText"/>
        <w:spacing w:line="300" w:lineRule="auto" w:before="76"/>
        <w:ind w:right="1137" w:firstLine="360"/>
        <w:jc w:val="both"/>
      </w:pPr>
      <w:r>
        <w:rPr>
          <w:rFonts w:ascii="Times New Roman" w:hAnsi="Times New Roman" w:cs="Times New Roman" w:eastAsia="Times New Roman" w:hint="default"/>
        </w:rPr>
        <w:t>A.</w:t>
      </w:r>
      <w:r>
        <w:rPr>
          <w:rFonts w:ascii="Times New Roman" w:hAnsi="Times New Roman" w:cs="Times New Roman" w:eastAsia="Times New Roman" w:hint="default"/>
          <w:spacing w:val="3"/>
        </w:rPr>
        <w:t> </w:t>
      </w:r>
      <w:r>
        <w:rPr/>
        <w:t>以支付现金取得的长期股权投资，按照实际支付的购买价款作为投资成本。初始投资成本包括与取得长期股权投资 直接相关的费用、税金及其他必要支出；</w:t>
      </w:r>
    </w:p>
    <w:p>
      <w:pPr>
        <w:pStyle w:val="BodyText"/>
        <w:spacing w:line="240" w:lineRule="auto" w:before="31"/>
        <w:ind w:left="51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以发行权益性证券取得的长期股权投资，按照发行权益性证券的公允价值作为初始投资成本；</w:t>
      </w:r>
    </w:p>
    <w:p>
      <w:pPr>
        <w:pStyle w:val="BodyText"/>
        <w:spacing w:line="309" w:lineRule="auto" w:before="63"/>
        <w:ind w:right="1034" w:firstLine="360"/>
        <w:jc w:val="left"/>
      </w:pPr>
      <w:r>
        <w:rPr>
          <w:rFonts w:ascii="Times New Roman" w:hAnsi="Times New Roman" w:cs="Times New Roman" w:eastAsia="Times New Roman" w:hint="default"/>
        </w:rPr>
        <w:t>C.</w:t>
      </w:r>
      <w:r>
        <w:rPr>
          <w:rFonts w:ascii="Times New Roman" w:hAnsi="Times New Roman" w:cs="Times New Roman" w:eastAsia="Times New Roman" w:hint="default"/>
          <w:spacing w:val="40"/>
        </w:rPr>
        <w:t> </w:t>
      </w:r>
      <w:r>
        <w:rPr/>
        <w:t>通过非货币性资产交换取得的长期股权投资，如果该项交换具有商业实质且换入资产或换出资产的公允价值能可靠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BodyText"/>
        <w:spacing w:line="300" w:lineRule="auto" w:before="24"/>
        <w:ind w:right="1138" w:firstLine="360"/>
        <w:jc w:val="both"/>
      </w:pPr>
      <w:r>
        <w:rPr>
          <w:rFonts w:ascii="Times New Roman" w:hAnsi="Times New Roman" w:cs="Times New Roman" w:eastAsia="Times New Roman" w:hint="default"/>
        </w:rPr>
        <w:t>D.</w:t>
      </w:r>
      <w:r>
        <w:rPr>
          <w:rFonts w:ascii="Times New Roman" w:hAnsi="Times New Roman" w:cs="Times New Roman" w:eastAsia="Times New Roman" w:hint="default"/>
          <w:spacing w:val="2"/>
        </w:rPr>
        <w:t> </w:t>
      </w:r>
      <w:r>
        <w:rPr/>
        <w:t>通过债务重组取得的长期股权投资，以所放弃债权的公允价值和可直接归属于该资产的税金等其他成本确定其入账 价值，并将所放弃债权的公允价值与账面价值之间的差额，计入当期损益。</w:t>
      </w:r>
    </w:p>
    <w:p>
      <w:pPr>
        <w:spacing w:line="300" w:lineRule="auto" w:before="32"/>
        <w:ind w:left="513" w:right="139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3</w:t>
      </w:r>
      <w:r>
        <w:rPr>
          <w:rFonts w:ascii="宋体" w:hAnsi="宋体" w:cs="宋体" w:eastAsia="宋体" w:hint="default"/>
          <w:b/>
          <w:bCs/>
          <w:sz w:val="18"/>
          <w:szCs w:val="18"/>
        </w:rPr>
        <w:t>）后续计量及损益确认方法</w:t>
      </w:r>
      <w:r>
        <w:rPr>
          <w:rFonts w:ascii="宋体" w:hAnsi="宋体" w:cs="宋体" w:eastAsia="宋体" w:hint="default"/>
          <w:b/>
          <w:bCs/>
          <w:w w:val="99"/>
          <w:sz w:val="18"/>
          <w:szCs w:val="18"/>
        </w:rPr>
        <w:t> </w:t>
      </w:r>
      <w:r>
        <w:rPr>
          <w:rFonts w:ascii="宋体" w:hAnsi="宋体" w:cs="宋体" w:eastAsia="宋体" w:hint="default"/>
          <w:sz w:val="18"/>
          <w:szCs w:val="18"/>
        </w:rPr>
        <w:t>本公司能够对被投资单位实施控制的长期股权投资采用成本法核算；对联营企业的长期股权投资采用权益法核算。</w:t>
      </w:r>
    </w:p>
    <w:p>
      <w:pPr>
        <w:pStyle w:val="BodyText"/>
        <w:spacing w:line="316" w:lineRule="auto" w:before="31"/>
        <w:ind w:left="513" w:right="1031"/>
        <w:jc w:val="left"/>
      </w:pPr>
      <w:r>
        <w:rPr/>
        <w:t>①成本法 </w:t>
      </w:r>
      <w:r>
        <w:rPr>
          <w:spacing w:val="-4"/>
        </w:rPr>
        <w:t>采用成本法核算的长期股权投资，追加或收回投资时调整长期股权投资的成本；被投资单位宣告分派的现金股利或利润，</w:t>
      </w:r>
    </w:p>
    <w:p>
      <w:pPr>
        <w:pStyle w:val="BodyText"/>
        <w:spacing w:line="240" w:lineRule="auto" w:before="19"/>
        <w:ind w:right="1133"/>
        <w:jc w:val="left"/>
      </w:pPr>
      <w:r>
        <w:rPr/>
        <w:t>确认为当期投资收益。</w:t>
      </w:r>
    </w:p>
    <w:p>
      <w:pPr>
        <w:pStyle w:val="BodyText"/>
        <w:spacing w:line="316" w:lineRule="auto" w:before="76"/>
        <w:ind w:left="513" w:right="6253"/>
        <w:jc w:val="left"/>
      </w:pPr>
      <w:r>
        <w:rPr/>
        <w:t>②权益法 按照权益法核算的长期股权投资，一般会计处理为：</w:t>
      </w:r>
    </w:p>
    <w:p>
      <w:pPr>
        <w:pStyle w:val="BodyText"/>
        <w:spacing w:line="316" w:lineRule="auto" w:before="19"/>
        <w:ind w:right="1132" w:firstLine="360"/>
        <w:jc w:val="both"/>
      </w:pPr>
      <w:r>
        <w:rPr>
          <w:spacing w:val="-2"/>
        </w:rPr>
        <w:t>本公司长期股权投资的投资成本大于投资时应享有被投资单位可辨认净资产公允价值份额的，不调整长期股权投资的初</w:t>
      </w:r>
      <w:r>
        <w:rPr/>
        <w:t> </w:t>
      </w:r>
      <w:r>
        <w:rPr>
          <w:spacing w:val="-2"/>
        </w:rPr>
        <w:t>始投资成本；长期股权投资的初始投资成本小于投资时应享有被投资单位可辨认净资产公允价值份额的，其差额计入当期损</w:t>
      </w:r>
      <w:r>
        <w:rPr>
          <w:spacing w:val="-64"/>
        </w:rPr>
        <w:t> </w:t>
      </w:r>
      <w:r>
        <w:rPr>
          <w:spacing w:val="-64"/>
        </w:rPr>
      </w:r>
      <w:r>
        <w:rPr/>
        <w:t>益，同时调整长期股权投资的成本。</w:t>
      </w:r>
    </w:p>
    <w:p>
      <w:pPr>
        <w:pStyle w:val="BodyText"/>
        <w:spacing w:line="316" w:lineRule="auto" w:before="19"/>
        <w:ind w:right="0" w:firstLine="360"/>
        <w:jc w:val="left"/>
      </w:pPr>
      <w:r>
        <w:rPr>
          <w:spacing w:val="-2"/>
        </w:rPr>
        <w:t>本公司按照应享有或应分担的被投资单位实现的净损益和其他综合收益的份额，分别确认投资收益和其他综合收益，同</w:t>
      </w:r>
      <w:r>
        <w:rPr/>
        <w:t> </w:t>
      </w:r>
      <w:r>
        <w:rPr>
          <w:spacing w:val="-2"/>
        </w:rPr>
        <w:t>时调整长期股权投资的账面价值；本公司按照被投资单位宣告分派的利润或现金股利计算应享有的部分，相应减少长期股权</w:t>
      </w:r>
      <w:r>
        <w:rPr>
          <w:spacing w:val="-64"/>
        </w:rPr>
        <w:t> </w:t>
      </w:r>
      <w:r>
        <w:rPr>
          <w:spacing w:val="-64"/>
        </w:rPr>
      </w:r>
      <w:r>
        <w:rPr>
          <w:spacing w:val="-2"/>
        </w:rPr>
        <w:t>投资的账面价值；被投资单位除净损益、其他综合收益和利润分配以外所有者权益的其他变动，调整长期股权投资的账面价</w:t>
      </w:r>
      <w:r>
        <w:rPr>
          <w:spacing w:val="-61"/>
        </w:rPr>
        <w:t> </w:t>
      </w:r>
      <w:r>
        <w:rPr>
          <w:spacing w:val="-61"/>
        </w:rPr>
      </w:r>
      <w:r>
        <w:rPr>
          <w:spacing w:val="-4"/>
        </w:rPr>
        <w:t>值并计入所有者权益。在确认应享有被投资单位净损益的份额时，以取得投资时被投资单位可辨认净资产的公允价值为基础，</w:t>
      </w:r>
      <w:r>
        <w:rPr>
          <w:spacing w:val="-44"/>
        </w:rPr>
        <w:t> </w:t>
      </w:r>
      <w:r>
        <w:rPr>
          <w:spacing w:val="-44"/>
        </w:rPr>
      </w:r>
      <w:r>
        <w:rPr>
          <w:spacing w:val="-2"/>
        </w:rPr>
        <w:t>对被投资单位的净利润进行调整后确认。被投资单位采用的会计政策及会计期间与本公司不一致的，应按照本公司的会计政</w:t>
      </w:r>
      <w:r>
        <w:rPr>
          <w:spacing w:val="-64"/>
        </w:rPr>
        <w:t> </w:t>
      </w:r>
      <w:r>
        <w:rPr>
          <w:spacing w:val="-64"/>
        </w:rPr>
      </w:r>
      <w:r>
        <w:rPr>
          <w:spacing w:val="-2"/>
        </w:rPr>
        <w:t>策及会计期间对被投资单位的财务报表进行调整，并据以确认投资收益和其他综合收益等。本公司与联营企业之间发生的未</w:t>
      </w:r>
      <w:r>
        <w:rPr>
          <w:spacing w:val="-64"/>
        </w:rPr>
        <w:t> </w:t>
      </w:r>
      <w:r>
        <w:rPr>
          <w:spacing w:val="-64"/>
        </w:rPr>
      </w:r>
      <w:r>
        <w:rPr>
          <w:spacing w:val="-2"/>
        </w:rPr>
        <w:t>实现内部交易损益按照享有的比例计算归属于本公司的部分予以抵销，在此基础上确认投资损益。本公司与被投资单位发生</w:t>
      </w:r>
      <w:r>
        <w:rPr>
          <w:spacing w:val="-64"/>
        </w:rPr>
        <w:t> </w:t>
      </w:r>
      <w:r>
        <w:rPr>
          <w:spacing w:val="-64"/>
        </w:rPr>
      </w:r>
      <w:r>
        <w:rPr/>
        <w:t>的未实现内部交易损失属于资产减值损失的，应全额确认。</w:t>
      </w:r>
    </w:p>
    <w:p>
      <w:pPr>
        <w:pStyle w:val="BodyText"/>
        <w:spacing w:line="316" w:lineRule="auto" w:before="19"/>
        <w:ind w:right="1130" w:firstLine="360"/>
        <w:jc w:val="both"/>
      </w:pPr>
      <w:r>
        <w:rPr>
          <w:spacing w:val="-2"/>
        </w:rPr>
        <w:t>因追加投资等原因能够对被投资单位施加重大影响或实施共同控制但不构成控制的，按照原持有的股权投资的公允价值</w:t>
      </w:r>
      <w:r>
        <w:rPr/>
        <w:t> </w:t>
      </w:r>
      <w:r>
        <w:rPr>
          <w:spacing w:val="-2"/>
        </w:rPr>
        <w:t>加上新增投资成本之和，作为改按权益法核算的初始投资成本。原持有的股权投资分类为可供出售金融资产的，其公允价值</w:t>
      </w:r>
      <w:r>
        <w:rPr>
          <w:spacing w:val="-63"/>
        </w:rPr>
        <w:t> </w:t>
      </w:r>
      <w:r>
        <w:rPr>
          <w:spacing w:val="-63"/>
        </w:rPr>
      </w:r>
      <w:r>
        <w:rPr/>
        <w:t>与账面价值之间的差额，以及原计入其他综合收益的累计公允价值变动应当转入改按权益法核算的当期损益。</w:t>
      </w:r>
    </w:p>
    <w:p>
      <w:pPr>
        <w:pStyle w:val="BodyText"/>
        <w:spacing w:line="316" w:lineRule="auto" w:before="19"/>
        <w:ind w:right="1132" w:firstLine="360"/>
        <w:jc w:val="both"/>
      </w:pPr>
      <w:r>
        <w:rPr>
          <w:spacing w:val="-2"/>
        </w:rPr>
        <w:t>因处置部分股权投资等原因丧失了对被投资单位的共同控制或重大影响的，处置后的剩余股权改按公允价值计量，其在</w:t>
      </w:r>
      <w:r>
        <w:rPr/>
        <w:t> </w:t>
      </w:r>
      <w:r>
        <w:rPr>
          <w:spacing w:val="-2"/>
        </w:rPr>
        <w:t>丧失共同控制或重大影响之日的公允价值与账面价值之间的差额计入当期损益。原股权投资因采用权益法核算而确认的其他</w:t>
      </w:r>
      <w:r>
        <w:rPr>
          <w:spacing w:val="-64"/>
        </w:rPr>
        <w:t> </w:t>
      </w:r>
      <w:r>
        <w:rPr>
          <w:spacing w:val="-64"/>
        </w:rPr>
      </w:r>
      <w:r>
        <w:rPr/>
        <w:t>综合收益，在终止采用权益法核算时采用与被投资单位直接处置相关资产或负债相同的基础进行会计处理。</w:t>
      </w:r>
    </w:p>
    <w:p>
      <w:pPr>
        <w:spacing w:line="300" w:lineRule="auto" w:before="19"/>
        <w:ind w:left="513" w:right="5173" w:firstLine="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4</w:t>
      </w:r>
      <w:r>
        <w:rPr>
          <w:rFonts w:ascii="宋体" w:hAnsi="宋体" w:cs="宋体" w:eastAsia="宋体" w:hint="default"/>
          <w:b/>
          <w:bCs/>
          <w:sz w:val="18"/>
          <w:szCs w:val="18"/>
        </w:rPr>
        <w:t>）减值测试方法及减值准备计提方法</w:t>
      </w:r>
      <w:r>
        <w:rPr>
          <w:rFonts w:ascii="宋体" w:hAnsi="宋体" w:cs="宋体" w:eastAsia="宋体" w:hint="default"/>
          <w:b/>
          <w:bCs/>
          <w:w w:val="99"/>
          <w:sz w:val="18"/>
          <w:szCs w:val="18"/>
        </w:rPr>
        <w:t> </w:t>
      </w:r>
      <w:r>
        <w:rPr>
          <w:rFonts w:ascii="宋体" w:hAnsi="宋体" w:cs="宋体" w:eastAsia="宋体" w:hint="default"/>
          <w:sz w:val="18"/>
          <w:szCs w:val="18"/>
        </w:rPr>
        <w:t>对子公司及联营企业的投资，计提资产减值的方法见附注五、</w:t>
      </w:r>
      <w:r>
        <w:rPr>
          <w:rFonts w:ascii="Times New Roman" w:hAnsi="Times New Roman" w:cs="Times New Roman" w:eastAsia="Times New Roman" w:hint="default"/>
          <w:sz w:val="18"/>
          <w:szCs w:val="18"/>
        </w:rPr>
        <w:t>31</w:t>
      </w:r>
      <w:r>
        <w:rPr>
          <w:rFonts w:ascii="宋体" w:hAnsi="宋体" w:cs="宋体" w:eastAsia="宋体" w:hint="default"/>
          <w:sz w:val="18"/>
          <w:szCs w:val="18"/>
        </w:rPr>
        <w:t>。</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8954"/>
        <w:jc w:val="left"/>
      </w:pPr>
      <w:r>
        <w:rPr/>
        <w:t>投资性房地产计量模式 不适用</w:t>
      </w:r>
    </w:p>
    <w:p>
      <w:pPr>
        <w:spacing w:after="0" w:line="36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）确认条件</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1573"/>
        <w:jc w:val="left"/>
      </w:pPr>
      <w:r>
        <w:rPr/>
        <w:t>固定资产是指为生产商品、提供劳务、出租或经营管理而持有的使用寿命超过一年的单位价值较高的有形资产。 固定资产在同时满足下列条件时，按取得时的实际成本予以确认：</w:t>
      </w:r>
    </w:p>
    <w:p>
      <w:pPr>
        <w:pStyle w:val="BodyText"/>
        <w:tabs>
          <w:tab w:pos="933" w:val="left" w:leader="none"/>
        </w:tabs>
        <w:spacing w:line="240" w:lineRule="auto" w:before="25"/>
        <w:ind w:left="513" w:right="1133"/>
        <w:jc w:val="left"/>
      </w:pPr>
      <w:r>
        <w:rPr/>
        <w:t>①</w:t>
        <w:tab/>
        <w:t>与该固定资产有关的经济利益很可能流入企业。</w:t>
      </w:r>
    </w:p>
    <w:p>
      <w:pPr>
        <w:pStyle w:val="BodyText"/>
        <w:tabs>
          <w:tab w:pos="933" w:val="left" w:leader="none"/>
        </w:tabs>
        <w:spacing w:line="360" w:lineRule="auto" w:before="117"/>
        <w:ind w:left="513" w:right="1132"/>
        <w:jc w:val="left"/>
      </w:pPr>
      <w:r>
        <w:rPr/>
        <w:t>②</w:t>
        <w:tab/>
        <w:t>该固定资产的成本能够可靠地计量。 </w:t>
      </w:r>
      <w:r>
        <w:rPr>
          <w:spacing w:val="-2"/>
        </w:rPr>
        <w:t>固定资产发生的后续支出，符合固定资产确认条件的计入固定资产成本；不符合固定资产确认条件的在发生时计入当期</w:t>
      </w:r>
    </w:p>
    <w:p>
      <w:pPr>
        <w:pStyle w:val="BodyText"/>
        <w:spacing w:line="222" w:lineRule="exact"/>
        <w:ind w:right="1133"/>
        <w:jc w:val="left"/>
      </w:pPr>
      <w:r>
        <w:rPr/>
        <w:t>损益。</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年</w:t>
            </w:r>
            <w:r>
              <w:rPr>
                <w:rFonts w:ascii="Times New Roman" w:hAnsi="Times New Roman" w:cs="Times New Roman" w:eastAsia="Times New Roman" w:hint="default"/>
                <w:sz w:val="18"/>
                <w:szCs w:val="18"/>
              </w:rPr>
              <w:t>-40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9.5%-2.375%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11.875%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15.83%</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电子、办公及其他设备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19%</w:t>
            </w:r>
          </w:p>
        </w:tc>
      </w:tr>
    </w:tbl>
    <w:p>
      <w:pPr>
        <w:pStyle w:val="BodyText"/>
        <w:spacing w:line="319" w:lineRule="auto" w:before="10"/>
        <w:ind w:right="0" w:firstLine="482"/>
        <w:jc w:val="left"/>
      </w:pPr>
      <w:r>
        <w:rPr>
          <w:spacing w:val="-1"/>
        </w:rPr>
        <w:t>本公司从固定资产达到预定可使用状态的次月起按年限平均法计提折旧，按固定资产的类别、估计的经济使用年限和</w:t>
      </w:r>
      <w:r>
        <w:rPr/>
        <w:t> 预计的净残值率分别确定折旧年限和年折旧率。</w:t>
      </w:r>
    </w:p>
    <w:p>
      <w:pPr>
        <w:pStyle w:val="BodyText"/>
        <w:spacing w:line="316" w:lineRule="auto" w:before="17"/>
        <w:ind w:left="635" w:right="0"/>
        <w:jc w:val="left"/>
      </w:pPr>
      <w:r>
        <w:rPr/>
        <w:t>对于已经计提减值准备的固定资产，在计提折旧时扣除已计提的固定资产减值准备。 </w:t>
      </w:r>
      <w:r>
        <w:rPr>
          <w:spacing w:val="-1"/>
        </w:rPr>
        <w:t>每年年度终了，公司对固定资产的使用寿命、预计净残值和折旧方法进行复核。使用寿命预计数与原先估计数有差异</w:t>
      </w:r>
    </w:p>
    <w:p>
      <w:pPr>
        <w:pStyle w:val="BodyText"/>
        <w:spacing w:line="240" w:lineRule="auto" w:before="19"/>
        <w:ind w:right="0"/>
        <w:jc w:val="both"/>
      </w:pPr>
      <w:r>
        <w:rPr/>
        <w:t>的，调整固定资产使用寿命。</w:t>
      </w:r>
    </w:p>
    <w:p>
      <w:pPr>
        <w:spacing w:line="240" w:lineRule="auto" w:before="0"/>
        <w:rPr>
          <w:rFonts w:ascii="宋体" w:hAnsi="宋体" w:cs="宋体" w:eastAsia="宋体" w:hint="default"/>
          <w:sz w:val="18"/>
          <w:szCs w:val="18"/>
        </w:rPr>
      </w:pPr>
    </w:p>
    <w:p>
      <w:pPr>
        <w:pStyle w:val="Heading3"/>
        <w:spacing w:line="240" w:lineRule="auto" w:before="118"/>
        <w:ind w:right="0"/>
        <w:jc w:val="both"/>
        <w:rPr>
          <w:b w:val="0"/>
          <w:bCs w:val="0"/>
        </w:rPr>
      </w:pP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31"/>
        <w:jc w:val="both"/>
      </w:pPr>
      <w:r>
        <w:rPr>
          <w:rFonts w:ascii="宋体" w:hAnsi="宋体" w:cs="宋体" w:eastAsia="宋体" w:hint="default"/>
          <w:spacing w:val="90"/>
        </w:rPr>
        <w:t> </w:t>
      </w:r>
      <w:r>
        <w:rPr>
          <w:rFonts w:ascii="宋体" w:hAnsi="宋体" w:cs="宋体" w:eastAsia="宋体" w:hint="default"/>
        </w:rPr>
        <w:t>  </w:t>
      </w:r>
      <w:r>
        <w:rPr>
          <w:spacing w:val="-2"/>
        </w:rPr>
        <w:t>本公司在租入的固定资产实质上转移了与资产有关的全部风险和报酬时确认该项固定资产的租赁为融资租赁。融资租赁</w:t>
      </w:r>
      <w:r>
        <w:rPr/>
        <w:t> </w:t>
      </w:r>
      <w:r>
        <w:rPr>
          <w:spacing w:val="-2"/>
        </w:rPr>
        <w:t>取得的固定资产的成本，按租赁开始日租赁资产公允价值与最低租赁付款额现值两者中较低者确定。融资租入的固定资产采</w:t>
      </w:r>
      <w:r>
        <w:rPr>
          <w:spacing w:val="-62"/>
        </w:rPr>
        <w:t> </w:t>
      </w:r>
      <w:r>
        <w:rPr>
          <w:spacing w:val="-62"/>
        </w:rPr>
      </w:r>
      <w:r>
        <w:rPr>
          <w:spacing w:val="-2"/>
        </w:rPr>
        <w:t>用与自有固定资产相一致的折旧政策计提租赁资产折旧。能够合理确定租赁期届满时将会取得租赁资产所有权的，在租赁资</w:t>
      </w:r>
      <w:r>
        <w:rPr>
          <w:spacing w:val="-64"/>
        </w:rPr>
        <w:t> </w:t>
      </w:r>
      <w:r>
        <w:rPr>
          <w:spacing w:val="-64"/>
        </w:rPr>
      </w:r>
      <w:r>
        <w:rPr>
          <w:spacing w:val="-2"/>
        </w:rPr>
        <w:t>产使用年限内计提折旧；无法合理确定租赁期届满时能够取得租赁资产所有权的，在租赁期与租赁资产使用寿命两者中较短</w:t>
      </w:r>
      <w:r>
        <w:rPr>
          <w:spacing w:val="-64"/>
        </w:rPr>
        <w:t> </w:t>
      </w:r>
      <w:r>
        <w:rPr>
          <w:spacing w:val="-64"/>
        </w:rPr>
      </w:r>
      <w:r>
        <w:rPr/>
        <w:t>的期间内计提折旧。</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25</w:t>
      </w:r>
      <w:r>
        <w:rPr/>
        <w:t>、在建工程</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3" w:right="1133"/>
        <w:jc w:val="left"/>
        <w:rPr>
          <w:rFonts w:ascii="宋体" w:hAnsi="宋体" w:cs="宋体" w:eastAsia="宋体" w:hint="default"/>
        </w:rPr>
      </w:pPr>
      <w:r>
        <w:rPr/>
        <w:t>（</w:t>
      </w:r>
      <w:r>
        <w:rPr>
          <w:rFonts w:ascii="宋体" w:hAnsi="宋体" w:cs="宋体" w:eastAsia="宋体" w:hint="default"/>
        </w:rPr>
        <w:t>1</w:t>
      </w:r>
      <w:r>
        <w:rPr/>
        <w:t>）在建工程以立项项目分类核算。</w:t>
      </w:r>
      <w:r>
        <w:rPr>
          <w:rFonts w:ascii="宋体" w:hAnsi="宋体" w:cs="宋体" w:eastAsia="宋体" w:hint="default"/>
        </w:rPr>
        <w:t> </w:t>
      </w:r>
    </w:p>
    <w:p>
      <w:pPr>
        <w:pStyle w:val="BodyText"/>
        <w:spacing w:line="430" w:lineRule="atLeast" w:before="2"/>
        <w:ind w:left="633" w:right="1093"/>
        <w:jc w:val="left"/>
      </w:pPr>
      <w:r>
        <w:rPr/>
        <w:t>（</w:t>
      </w:r>
      <w:r>
        <w:rPr>
          <w:rFonts w:ascii="宋体" w:hAnsi="宋体" w:cs="宋体" w:eastAsia="宋体" w:hint="default"/>
        </w:rPr>
        <w:t>2</w:t>
      </w:r>
      <w:r>
        <w:rPr/>
        <w:t>）在建工程结转为固定资产的标准和时点</w:t>
      </w:r>
      <w:r>
        <w:rPr>
          <w:rFonts w:ascii="宋体" w:hAnsi="宋体" w:cs="宋体" w:eastAsia="宋体" w:hint="default"/>
        </w:rPr>
        <w:t> </w:t>
      </w:r>
      <w:r>
        <w:rPr/>
        <w:t>在建工程项目按建造该项资产达到预定可使用状态前所发生的全部支出，作为固定资产的入账价值。包括建筑费用、</w:t>
      </w:r>
    </w:p>
    <w:p>
      <w:pPr>
        <w:pStyle w:val="BodyText"/>
        <w:spacing w:line="319" w:lineRule="auto" w:before="76"/>
        <w:ind w:right="1131"/>
        <w:jc w:val="both"/>
        <w:rPr>
          <w:rFonts w:ascii="宋体" w:hAnsi="宋体" w:cs="宋体" w:eastAsia="宋体" w:hint="default"/>
        </w:rPr>
      </w:pPr>
      <w:r>
        <w:rPr>
          <w:spacing w:val="-2"/>
        </w:rPr>
        <w:t>机器设备原价、其他为使在建工程达到预定可使用状态所发生的必要支出以及在资产达到预定可使用状态之前为该项目专门</w:t>
      </w:r>
      <w:r>
        <w:rPr>
          <w:spacing w:val="-63"/>
        </w:rPr>
        <w:t> </w:t>
      </w:r>
      <w:r>
        <w:rPr>
          <w:spacing w:val="-63"/>
        </w:rPr>
      </w:r>
      <w:r>
        <w:rPr>
          <w:spacing w:val="-2"/>
        </w:rPr>
        <w:t>借款所发生的借款费用及占用的一般借款发生的借款费用。本公司在工程安装或建设完成达到预定可使用状态时将在建工程</w:t>
      </w:r>
      <w:r>
        <w:rPr>
          <w:spacing w:val="-64"/>
        </w:rPr>
        <w:t> </w:t>
      </w:r>
      <w:r>
        <w:rPr>
          <w:spacing w:val="-64"/>
        </w:rPr>
      </w:r>
      <w:r>
        <w:rPr>
          <w:spacing w:val="-2"/>
        </w:rPr>
        <w:t>转入固定资产。所建造的已达到预定可使用状态、但尚未办理竣工决算的固定资产，自达到预定可使用状态之日起，根据工</w:t>
      </w:r>
      <w:r>
        <w:rPr>
          <w:spacing w:val="-65"/>
        </w:rPr>
        <w:t> </w:t>
      </w:r>
      <w:r>
        <w:rPr>
          <w:spacing w:val="-65"/>
        </w:rPr>
      </w:r>
      <w:r>
        <w:rPr>
          <w:spacing w:val="-2"/>
        </w:rPr>
        <w:t>程预算、造价或者工程实际成本等，按估计的价值转入固定资产，并按本公司固定资产折旧政策计提固定资产的折旧，待办</w:t>
      </w:r>
      <w:r>
        <w:rPr>
          <w:spacing w:val="-65"/>
        </w:rPr>
        <w:t> </w:t>
      </w:r>
      <w:r>
        <w:rPr>
          <w:spacing w:val="-65"/>
        </w:rPr>
      </w:r>
      <w:r>
        <w:rPr/>
        <w:t>理竣工决算后，再按实际成本调整原来的暂估价值，但不调整原已计提的折旧额。</w:t>
      </w:r>
      <w:r>
        <w:rPr>
          <w:rFonts w:ascii="宋体" w:hAnsi="宋体" w:cs="宋体" w:eastAsia="宋体" w:hint="default"/>
        </w:rPr>
        <w:t> </w:t>
      </w:r>
    </w:p>
    <w:p>
      <w:pPr>
        <w:spacing w:after="0" w:line="319" w:lineRule="auto"/>
        <w:jc w:val="both"/>
        <w:rPr>
          <w:rFonts w:ascii="宋体" w:hAnsi="宋体" w:cs="宋体" w:eastAsia="宋体" w:hint="default"/>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26</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27</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28</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、使用权资产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right="1133"/>
        <w:jc w:val="left"/>
        <w:rPr>
          <w:rFonts w:ascii="宋体" w:hAnsi="宋体" w:cs="宋体" w:eastAsia="宋体" w:hint="default"/>
          <w:b w:val="0"/>
          <w:bCs w:val="0"/>
        </w:rPr>
      </w:pPr>
      <w:r>
        <w:rPr>
          <w:rFonts w:ascii="宋体" w:hAnsi="宋体" w:cs="宋体" w:eastAsia="宋体" w:hint="default"/>
        </w:rPr>
        <w:t>1</w:t>
      </w:r>
      <w:r>
        <w:rPr/>
        <w:t>）无形资产的计价方法</w:t>
      </w:r>
      <w:r>
        <w:rPr>
          <w:rFonts w:ascii="宋体" w:hAnsi="宋体" w:cs="宋体" w:eastAsia="宋体" w:hint="default"/>
          <w:w w:val="99"/>
        </w:rPr>
        <w:t> </w:t>
      </w:r>
      <w:r>
        <w:rPr>
          <w:rFonts w:ascii="宋体" w:hAnsi="宋体" w:cs="宋体" w:eastAsia="宋体" w:hint="default"/>
          <w:b w:val="0"/>
          <w:bCs w:val="0"/>
        </w:rPr>
      </w:r>
    </w:p>
    <w:p>
      <w:pPr>
        <w:spacing w:line="439" w:lineRule="auto" w:before="77"/>
        <w:ind w:left="635" w:right="6794" w:hanging="483"/>
        <w:jc w:val="left"/>
        <w:rPr>
          <w:rFonts w:ascii="宋体" w:hAnsi="宋体" w:cs="宋体" w:eastAsia="宋体" w:hint="default"/>
          <w:sz w:val="18"/>
          <w:szCs w:val="18"/>
        </w:rPr>
      </w:pPr>
      <w:r>
        <w:rPr>
          <w:rFonts w:ascii="宋体" w:hAnsi="宋体" w:cs="宋体" w:eastAsia="宋体" w:hint="default"/>
          <w:sz w:val="18"/>
          <w:szCs w:val="18"/>
        </w:rPr>
        <w:t>按取得时的实际成本入账。</w:t>
      </w:r>
      <w:r>
        <w:rPr>
          <w:rFonts w:ascii="宋体" w:hAnsi="宋体" w:cs="宋体" w:eastAsia="宋体" w:hint="default"/>
          <w:sz w:val="18"/>
          <w:szCs w:val="18"/>
        </w:rPr>
        <w:t> </w:t>
      </w:r>
      <w:r>
        <w:rPr>
          <w:rFonts w:ascii="宋体" w:hAnsi="宋体" w:cs="宋体" w:eastAsia="宋体" w:hint="default"/>
          <w:b/>
          <w:bCs/>
          <w:sz w:val="18"/>
          <w:szCs w:val="18"/>
        </w:rPr>
        <w:t>2</w:t>
      </w:r>
      <w:r>
        <w:rPr>
          <w:rFonts w:ascii="宋体" w:hAnsi="宋体" w:cs="宋体" w:eastAsia="宋体" w:hint="default"/>
          <w:b/>
          <w:bCs/>
          <w:sz w:val="18"/>
          <w:szCs w:val="18"/>
        </w:rPr>
        <w:t>）无形资产使用寿命及摊销</w:t>
      </w:r>
      <w:r>
        <w:rPr>
          <w:rFonts w:ascii="宋体" w:hAnsi="宋体" w:cs="宋体" w:eastAsia="宋体" w:hint="default"/>
          <w:b/>
          <w:bCs/>
          <w:w w:val="99"/>
          <w:sz w:val="18"/>
          <w:szCs w:val="18"/>
        </w:rPr>
        <w:t> </w:t>
      </w:r>
      <w:r>
        <w:rPr>
          <w:rFonts w:ascii="宋体" w:hAnsi="宋体" w:cs="宋体" w:eastAsia="宋体" w:hint="default"/>
          <w:sz w:val="18"/>
          <w:szCs w:val="18"/>
        </w:rPr>
      </w:r>
    </w:p>
    <w:p>
      <w:pPr>
        <w:pStyle w:val="BodyText"/>
        <w:spacing w:line="240" w:lineRule="auto" w:before="47"/>
        <w:ind w:left="633" w:right="1133"/>
        <w:jc w:val="left"/>
        <w:rPr>
          <w:rFonts w:ascii="宋体" w:hAnsi="宋体" w:cs="宋体" w:eastAsia="宋体" w:hint="default"/>
        </w:rPr>
      </w:pPr>
      <w:r>
        <w:rPr/>
        <w:t>①使用寿命有限的无形资产的使用寿命估计情况：</w:t>
      </w:r>
      <w:r>
        <w:rPr>
          <w:rFonts w:ascii="宋体" w:hAnsi="宋体" w:cs="宋体" w:eastAsia="宋体" w:hint="default"/>
        </w:rPr>
        <w:t> </w:t>
      </w:r>
    </w:p>
    <w:p>
      <w:pPr>
        <w:spacing w:line="240" w:lineRule="auto" w:before="0"/>
        <w:rPr>
          <w:rFonts w:ascii="宋体" w:hAnsi="宋体" w:cs="宋体" w:eastAsia="宋体" w:hint="default"/>
          <w:sz w:val="5"/>
          <w:szCs w:val="5"/>
        </w:rPr>
      </w:pPr>
    </w:p>
    <w:tbl>
      <w:tblPr>
        <w:tblW w:w="0" w:type="auto"/>
        <w:jc w:val="left"/>
        <w:tblInd w:w="261" w:type="dxa"/>
        <w:tblLayout w:type="fixed"/>
        <w:tblCellMar>
          <w:top w:w="0" w:type="dxa"/>
          <w:left w:w="0" w:type="dxa"/>
          <w:bottom w:w="0" w:type="dxa"/>
          <w:right w:w="0" w:type="dxa"/>
        </w:tblCellMar>
        <w:tblLook w:val="01E0"/>
      </w:tblPr>
      <w:tblGrid>
        <w:gridCol w:w="2371"/>
        <w:gridCol w:w="1844"/>
        <w:gridCol w:w="4631"/>
      </w:tblGrid>
      <w:tr>
        <w:trPr>
          <w:trHeight w:val="343" w:hRule="exact"/>
        </w:trPr>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2" w:right="0"/>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pacing w:val="2"/>
                <w:sz w:val="18"/>
                <w:szCs w:val="18"/>
              </w:rPr>
            </w:r>
            <w:r>
              <w:rPr>
                <w:rFonts w:ascii="宋体" w:hAnsi="宋体" w:cs="宋体" w:eastAsia="宋体" w:hint="default"/>
                <w:spacing w:val="-3"/>
                <w:sz w:val="18"/>
                <w:szCs w:val="18"/>
              </w:rPr>
              <w:t>目</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90" w:right="0"/>
              <w:jc w:val="center"/>
              <w:rPr>
                <w:rFonts w:ascii="宋体" w:hAnsi="宋体" w:cs="宋体" w:eastAsia="宋体" w:hint="default"/>
                <w:sz w:val="18"/>
                <w:szCs w:val="18"/>
              </w:rPr>
            </w:pPr>
            <w:r>
              <w:rPr>
                <w:rFonts w:ascii="宋体" w:hAnsi="宋体" w:cs="宋体" w:eastAsia="宋体" w:hint="default"/>
                <w:sz w:val="18"/>
                <w:szCs w:val="18"/>
              </w:rPr>
              <w:t>预计使用寿命</w:t>
            </w:r>
            <w:r>
              <w:rPr>
                <w:rFonts w:ascii="宋体" w:hAnsi="宋体" w:cs="宋体" w:eastAsia="宋体" w:hint="default"/>
                <w:sz w:val="18"/>
                <w:szCs w:val="18"/>
              </w:rPr>
              <w:t> </w:t>
            </w:r>
          </w:p>
        </w:tc>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7" w:right="0"/>
              <w:jc w:val="center"/>
              <w:rPr>
                <w:rFonts w:ascii="宋体" w:hAnsi="宋体" w:cs="宋体" w:eastAsia="宋体" w:hint="default"/>
                <w:sz w:val="18"/>
                <w:szCs w:val="18"/>
              </w:rPr>
            </w:pPr>
            <w:r>
              <w:rPr>
                <w:rFonts w:ascii="宋体" w:hAnsi="宋体" w:cs="宋体" w:eastAsia="宋体" w:hint="default"/>
                <w:sz w:val="18"/>
                <w:szCs w:val="18"/>
              </w:rPr>
              <w:t>依据</w:t>
            </w:r>
            <w:r>
              <w:rPr>
                <w:rFonts w:ascii="宋体" w:hAnsi="宋体" w:cs="宋体" w:eastAsia="宋体" w:hint="default"/>
                <w:sz w:val="18"/>
                <w:szCs w:val="18"/>
              </w:rPr>
              <w:t> </w:t>
            </w:r>
          </w:p>
        </w:tc>
      </w:tr>
      <w:tr>
        <w:trPr>
          <w:trHeight w:val="341" w:hRule="exact"/>
        </w:trPr>
        <w:tc>
          <w:tcPr>
            <w:tcW w:w="2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计算机软件</w:t>
            </w:r>
            <w:r>
              <w:rPr>
                <w:rFonts w:ascii="宋体" w:hAnsi="宋体" w:cs="宋体" w:eastAsia="宋体" w:hint="default"/>
                <w:sz w:val="18"/>
                <w:szCs w:val="18"/>
              </w:rPr>
              <w:t> </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3" w:right="0"/>
              <w:jc w:val="center"/>
              <w:rPr>
                <w:rFonts w:ascii="宋体" w:hAnsi="宋体" w:cs="宋体" w:eastAsia="宋体" w:hint="default"/>
                <w:sz w:val="18"/>
                <w:szCs w:val="18"/>
              </w:rPr>
            </w:pPr>
            <w:r>
              <w:rPr>
                <w:rFonts w:ascii="宋体" w:hAnsi="宋体" w:cs="宋体" w:eastAsia="宋体" w:hint="default"/>
                <w:sz w:val="18"/>
                <w:szCs w:val="18"/>
              </w:rPr>
              <w:t>5-10</w:t>
            </w:r>
            <w:r>
              <w:rPr>
                <w:rFonts w:ascii="宋体" w:hAnsi="宋体" w:cs="宋体" w:eastAsia="宋体" w:hint="default"/>
                <w:sz w:val="18"/>
                <w:szCs w:val="18"/>
              </w:rPr>
              <w:t>年</w:t>
            </w:r>
            <w:r>
              <w:rPr>
                <w:rFonts w:ascii="宋体" w:hAnsi="宋体" w:cs="宋体" w:eastAsia="宋体" w:hint="default"/>
                <w:sz w:val="18"/>
                <w:szCs w:val="18"/>
              </w:rPr>
              <w:t> </w:t>
            </w:r>
          </w:p>
        </w:tc>
        <w:tc>
          <w:tcPr>
            <w:tcW w:w="4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参考能为公司带来经济利益的期限确定使用寿命</w:t>
            </w:r>
            <w:r>
              <w:rPr>
                <w:rFonts w:ascii="宋体" w:hAnsi="宋体" w:cs="宋体" w:eastAsia="宋体" w:hint="default"/>
                <w:sz w:val="18"/>
                <w:szCs w:val="18"/>
              </w:rPr>
              <w:t> </w:t>
            </w:r>
          </w:p>
        </w:tc>
      </w:tr>
    </w:tbl>
    <w:p>
      <w:pPr>
        <w:spacing w:line="240" w:lineRule="auto" w:before="8"/>
        <w:rPr>
          <w:rFonts w:ascii="宋体" w:hAnsi="宋体" w:cs="宋体" w:eastAsia="宋体" w:hint="default"/>
          <w:sz w:val="6"/>
          <w:szCs w:val="6"/>
        </w:rPr>
      </w:pPr>
    </w:p>
    <w:p>
      <w:pPr>
        <w:pStyle w:val="BodyText"/>
        <w:spacing w:line="316" w:lineRule="auto" w:before="44"/>
        <w:ind w:right="0" w:firstLine="480"/>
        <w:jc w:val="left"/>
        <w:rPr>
          <w:rFonts w:ascii="宋体" w:hAnsi="宋体" w:cs="宋体" w:eastAsia="宋体" w:hint="default"/>
        </w:rPr>
      </w:pPr>
      <w:r>
        <w:rPr>
          <w:spacing w:val="-1"/>
        </w:rPr>
        <w:t>每年年度终了，公司对使用寿命有限的无形资产的使用寿命及摊销方法进行复核。经复核，本期末无形资产的使用寿</w:t>
      </w:r>
      <w:r>
        <w:rPr/>
        <w:t> 命及摊销方法与以前估计未有不同。</w:t>
      </w:r>
      <w:r>
        <w:rPr>
          <w:rFonts w:ascii="宋体" w:hAnsi="宋体" w:cs="宋体" w:eastAsia="宋体" w:hint="default"/>
        </w:rPr>
        <w:t> </w:t>
      </w:r>
    </w:p>
    <w:p>
      <w:pPr>
        <w:pStyle w:val="BodyText"/>
        <w:spacing w:line="319" w:lineRule="auto" w:before="139"/>
        <w:ind w:right="1031" w:firstLine="480"/>
        <w:jc w:val="left"/>
        <w:rPr>
          <w:rFonts w:ascii="宋体" w:hAnsi="宋体" w:cs="宋体" w:eastAsia="宋体" w:hint="default"/>
        </w:rPr>
      </w:pPr>
      <w:r>
        <w:rPr>
          <w:spacing w:val="-3"/>
        </w:rPr>
        <w:t>②无法预见无形资产为企业带来经济利益期限的，视为使用寿命不确定的无形资产。对于使用寿命不确定的无形资产，</w:t>
      </w:r>
      <w:r>
        <w:rPr/>
        <w:t> </w:t>
      </w:r>
      <w:r>
        <w:rPr>
          <w:spacing w:val="-2"/>
        </w:rPr>
        <w:t>公司在每年年度终了对使用寿命不确定的无形资产的使用寿命进行复核，如果重新复核后仍为不确定的，于资产负债表日进</w:t>
      </w:r>
      <w:r>
        <w:rPr>
          <w:spacing w:val="-64"/>
        </w:rPr>
        <w:t> </w:t>
      </w:r>
      <w:r>
        <w:rPr>
          <w:spacing w:val="-64"/>
        </w:rPr>
      </w:r>
      <w:r>
        <w:rPr/>
        <w:t>行减值测试。</w:t>
      </w:r>
      <w:r>
        <w:rPr>
          <w:rFonts w:ascii="宋体" w:hAnsi="宋体" w:cs="宋体" w:eastAsia="宋体" w:hint="default"/>
        </w:rPr>
        <w:t> </w:t>
      </w:r>
    </w:p>
    <w:p>
      <w:pPr>
        <w:pStyle w:val="BodyText"/>
        <w:spacing w:line="432" w:lineRule="exact" w:before="1"/>
        <w:ind w:left="633" w:right="0"/>
        <w:jc w:val="left"/>
      </w:pPr>
      <w:r>
        <w:rPr/>
        <w:t>③无形资产的摊销</w:t>
      </w:r>
      <w:r>
        <w:rPr>
          <w:rFonts w:ascii="宋体" w:hAnsi="宋体" w:cs="宋体" w:eastAsia="宋体" w:hint="default"/>
        </w:rPr>
        <w:t> </w:t>
      </w:r>
      <w:r>
        <w:rPr>
          <w:spacing w:val="-1"/>
        </w:rPr>
        <w:t>对于使用寿命有限的无形资产，本公司在取得时确定其使用寿命，在使用寿命内采用直线法系统合理摊销，摊销金额</w:t>
      </w:r>
    </w:p>
    <w:p>
      <w:pPr>
        <w:pStyle w:val="BodyText"/>
        <w:spacing w:line="316" w:lineRule="auto" w:before="15"/>
        <w:ind w:left="0" w:right="1130"/>
        <w:jc w:val="right"/>
        <w:rPr>
          <w:rFonts w:ascii="宋体" w:hAnsi="宋体" w:cs="宋体" w:eastAsia="宋体" w:hint="default"/>
        </w:rPr>
      </w:pPr>
      <w:r>
        <w:rPr>
          <w:spacing w:val="-2"/>
        </w:rPr>
        <w:t>按受益项目计入当期损益。具体应摊销金额为其成本扣除预计残值后的金额。已计提减值准备的无形资产，还应扣除已计提</w:t>
      </w:r>
      <w:r>
        <w:rPr>
          <w:spacing w:val="-72"/>
        </w:rPr>
        <w:t> </w:t>
      </w:r>
      <w:r>
        <w:rPr>
          <w:spacing w:val="-72"/>
        </w:rPr>
      </w:r>
      <w:r>
        <w:rPr>
          <w:spacing w:val="-2"/>
        </w:rPr>
        <w:t>的无形资产减值准备累计金额。使用寿命有限的无形资产，其残值视为零，但下列情况除外：有第三方承诺在无形资产使用</w:t>
      </w:r>
      <w:r>
        <w:rPr>
          <w:spacing w:val="-74"/>
        </w:rPr>
        <w:t> </w:t>
      </w:r>
      <w:r>
        <w:rPr>
          <w:spacing w:val="-74"/>
        </w:rPr>
      </w:r>
      <w:r>
        <w:rPr/>
        <w:t>寿命结束时购买该无形资产或可以根据活跃市场得到预计残值信息，并且该市场在无形资产使用寿命结束时很可能存在。</w:t>
      </w:r>
      <w:r>
        <w:rPr>
          <w:rFonts w:ascii="宋体" w:hAnsi="宋体" w:cs="宋体" w:eastAsia="宋体" w:hint="default"/>
        </w:rPr>
        <w:t> </w:t>
      </w:r>
    </w:p>
    <w:p>
      <w:pPr>
        <w:pStyle w:val="BodyText"/>
        <w:spacing w:line="316" w:lineRule="auto" w:before="139"/>
        <w:ind w:right="0" w:firstLine="480"/>
        <w:jc w:val="left"/>
        <w:rPr>
          <w:rFonts w:ascii="宋体" w:hAnsi="宋体" w:cs="宋体" w:eastAsia="宋体" w:hint="default"/>
        </w:rPr>
      </w:pPr>
      <w:r>
        <w:rPr>
          <w:spacing w:val="-1"/>
        </w:rPr>
        <w:t>对使用寿命不确定的无形资产，不予摊销。每年年度终了对使用寿命不确定的无形资产的使用寿命进行复核，如果有</w:t>
      </w:r>
      <w:r>
        <w:rPr/>
        <w:t> 证据表明无形资产的使用寿命是有限的，估计其使用寿命并在预计使用年限内系统合理摊销。</w:t>
      </w:r>
      <w:r>
        <w:rPr>
          <w:rFonts w:ascii="宋体" w:hAnsi="宋体" w:cs="宋体" w:eastAsia="宋体" w:hint="default"/>
        </w:rPr>
        <w:t> </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26"/>
          <w:szCs w:val="26"/>
        </w:rPr>
      </w:pPr>
    </w:p>
    <w:p>
      <w:pPr>
        <w:pStyle w:val="Heading4"/>
        <w:spacing w:line="240" w:lineRule="auto"/>
        <w:ind w:right="1133"/>
        <w:jc w:val="left"/>
        <w:rPr>
          <w:b w:val="0"/>
          <w:bCs w:val="0"/>
        </w:rPr>
      </w:pPr>
      <w:r>
        <w:rPr>
          <w:rFonts w:ascii="Times New Roman" w:hAnsi="Times New Roman" w:cs="Times New Roman" w:eastAsia="Times New Roman" w:hint="default"/>
        </w:rPr>
        <w:t>1</w:t>
      </w:r>
      <w:r>
        <w:rPr/>
        <w:t>）划分内部研究开发项目的研究阶段和开发阶段具体标准</w:t>
      </w:r>
      <w:r>
        <w:rPr>
          <w:b w:val="0"/>
          <w:bCs w:val="0"/>
        </w:rPr>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right="1132" w:firstLine="480"/>
        <w:jc w:val="both"/>
      </w:pPr>
      <w:r>
        <w:rPr>
          <w:spacing w:val="-1"/>
        </w:rPr>
        <w:t>①本公司将为进一步开发活动进行的资料及相关方面的准备活动作为研究阶段，无形资产研究阶段的支出在发生时计</w:t>
      </w:r>
      <w:r>
        <w:rPr/>
        <w:t> 入当期损益。</w:t>
      </w:r>
    </w:p>
    <w:p>
      <w:pPr>
        <w:pStyle w:val="BodyText"/>
        <w:spacing w:line="314" w:lineRule="auto" w:before="19"/>
        <w:ind w:left="633" w:right="4693"/>
        <w:jc w:val="left"/>
      </w:pPr>
      <w:r>
        <w:rPr/>
        <w:t>②在本公司已完成研究阶段的工作后再进行的开发活动作为开发阶段。 </w:t>
      </w:r>
      <w:r>
        <w:rPr>
          <w:rFonts w:ascii="宋体" w:hAnsi="宋体" w:cs="宋体" w:eastAsia="宋体" w:hint="default"/>
          <w:b/>
          <w:bCs/>
        </w:rPr>
        <w:t>2</w:t>
      </w:r>
      <w:r>
        <w:rPr>
          <w:rFonts w:ascii="宋体" w:hAnsi="宋体" w:cs="宋体" w:eastAsia="宋体" w:hint="default"/>
          <w:b/>
          <w:bCs/>
        </w:rPr>
        <w:t>）开发阶段支出资本化的具体条件</w:t>
      </w:r>
      <w:r>
        <w:rPr>
          <w:rFonts w:ascii="宋体" w:hAnsi="宋体" w:cs="宋体" w:eastAsia="宋体" w:hint="default"/>
          <w:b/>
          <w:bCs/>
          <w:w w:val="99"/>
        </w:rPr>
        <w:t> </w:t>
      </w:r>
      <w:r>
        <w:rPr/>
        <w:t>开发阶段的支出同时满足下列条件时，才能确认为无形资产： </w:t>
      </w:r>
      <w:r>
        <w:rPr>
          <w:rFonts w:ascii="Times New Roman" w:hAnsi="Times New Roman" w:cs="Times New Roman" w:eastAsia="Times New Roman" w:hint="default"/>
        </w:rPr>
        <w:t>A.</w:t>
      </w:r>
      <w:r>
        <w:rPr/>
        <w:t>完成该无形资产以使其能够使用或出售在技术上具有可行性； </w:t>
      </w:r>
      <w:r>
        <w:rPr>
          <w:rFonts w:ascii="Times New Roman" w:hAnsi="Times New Roman" w:cs="Times New Roman" w:eastAsia="Times New Roman" w:hint="default"/>
        </w:rPr>
        <w:t>B.</w:t>
      </w:r>
      <w:r>
        <w:rPr/>
        <w:t>具有完成该无形资产并使用或出售的意图；</w:t>
      </w:r>
    </w:p>
    <w:p>
      <w:pPr>
        <w:pStyle w:val="BodyText"/>
        <w:spacing w:line="300" w:lineRule="auto" w:before="1"/>
        <w:ind w:right="1130" w:firstLine="480"/>
        <w:jc w:val="both"/>
      </w:pPr>
      <w:r>
        <w:rPr>
          <w:rFonts w:ascii="Times New Roman" w:hAnsi="Times New Roman" w:cs="Times New Roman" w:eastAsia="Times New Roman" w:hint="default"/>
          <w:spacing w:val="-1"/>
        </w:rPr>
        <w:t>C.</w:t>
      </w:r>
      <w:r>
        <w:rPr>
          <w:spacing w:val="-1"/>
        </w:rPr>
        <w:t>无形资产产生经济利益的方式，包括能够证明运用该无形资产生产的产品存在市场或无形资产自身存在市场，无形</w:t>
      </w:r>
      <w:r>
        <w:rPr/>
        <w:t> 资产将在内部使用的，能够证明其有用性；</w:t>
      </w:r>
    </w:p>
    <w:p>
      <w:pPr>
        <w:pStyle w:val="BodyText"/>
        <w:spacing w:line="300" w:lineRule="auto" w:before="31"/>
        <w:ind w:left="633" w:right="1818"/>
        <w:jc w:val="left"/>
      </w:pPr>
      <w:r>
        <w:rPr>
          <w:rFonts w:ascii="Times New Roman" w:hAnsi="Times New Roman" w:cs="Times New Roman" w:eastAsia="Times New Roman" w:hint="default"/>
        </w:rPr>
        <w:t>D.</w:t>
      </w:r>
      <w:r>
        <w:rPr/>
        <w:t>有足够的技术、财务资源和其他资源支持，以完成该无形资产的开发，并有能力使用或出售该无形资产； </w:t>
      </w:r>
      <w:r>
        <w:rPr>
          <w:rFonts w:ascii="Times New Roman" w:hAnsi="Times New Roman" w:cs="Times New Roman" w:eastAsia="Times New Roman" w:hint="default"/>
        </w:rPr>
        <w:t>E.</w:t>
      </w:r>
      <w:r>
        <w:rPr/>
        <w:t>归属于该无形资产开发阶段的支出能够可靠地计量。</w:t>
      </w:r>
    </w:p>
    <w:p>
      <w:pPr>
        <w:spacing w:line="240" w:lineRule="auto" w:before="3"/>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2" w:firstLine="482"/>
        <w:jc w:val="both"/>
      </w:pPr>
      <w:r>
        <w:rPr>
          <w:spacing w:val="-1"/>
        </w:rPr>
        <w:t>对子公司和联营企业的长期股权投资、固定资产、在建工程、无形资产、商誉等（存货、递延所得税资产、金融资产</w:t>
      </w:r>
      <w:r>
        <w:rPr/>
        <w:t> 除外）的资产减值，按以下方法确定：</w:t>
      </w:r>
    </w:p>
    <w:p>
      <w:pPr>
        <w:pStyle w:val="BodyText"/>
        <w:spacing w:line="316" w:lineRule="auto" w:before="19"/>
        <w:ind w:right="1130" w:firstLine="482"/>
        <w:jc w:val="both"/>
      </w:pPr>
      <w:r>
        <w:rPr>
          <w:spacing w:val="-1"/>
        </w:rPr>
        <w:t>于资产负债表日判断资产是否存在可能发生减值的迹象，存在减值迹象的，本公司将估计其可收回金额，进行减值测</w:t>
      </w:r>
      <w:r>
        <w:rPr/>
        <w:t> </w:t>
      </w:r>
      <w:r>
        <w:rPr>
          <w:spacing w:val="-2"/>
        </w:rPr>
        <w:t>试。对因企业合并所形成的商誉、使用寿命不确定的无形资产和尚未达到可使用状态的无形资产无论是否存在减值迹象，每</w:t>
      </w:r>
      <w:r>
        <w:rPr>
          <w:spacing w:val="-63"/>
        </w:rPr>
        <w:t> </w:t>
      </w:r>
      <w:r>
        <w:rPr>
          <w:spacing w:val="-63"/>
        </w:rPr>
      </w:r>
      <w:r>
        <w:rPr/>
        <w:t>年都进行减值测试。</w:t>
      </w:r>
    </w:p>
    <w:p>
      <w:pPr>
        <w:pStyle w:val="BodyText"/>
        <w:spacing w:line="319" w:lineRule="auto" w:before="19"/>
        <w:ind w:right="1132" w:firstLine="482"/>
        <w:jc w:val="both"/>
      </w:pPr>
      <w:r>
        <w:rPr>
          <w:spacing w:val="-1"/>
        </w:rPr>
        <w:t>可收回金额根据资产的公允价值减去处置费用后的净额与资产预计未来现金流量的现值两者之间较高者确定。本公司</w:t>
      </w:r>
      <w:r>
        <w:rPr/>
        <w:t> </w:t>
      </w:r>
      <w:r>
        <w:rPr>
          <w:spacing w:val="-2"/>
        </w:rPr>
        <w:t>以单项资产为基础估计其可收回金额；难以对单项资产的可收回金额进行估计的，以该资产所属的资产组为基础确定资产组</w:t>
      </w:r>
      <w:r>
        <w:rPr>
          <w:spacing w:val="-64"/>
        </w:rPr>
        <w:t> </w:t>
      </w:r>
      <w:r>
        <w:rPr>
          <w:spacing w:val="-64"/>
        </w:rPr>
      </w:r>
      <w:r>
        <w:rPr/>
        <w:t>的可收回金额。资产组的认定，以资产组产生的主要现金流入是否独立于其他资产或者资产组的现金流入为依据。</w:t>
      </w:r>
    </w:p>
    <w:p>
      <w:pPr>
        <w:pStyle w:val="BodyText"/>
        <w:spacing w:line="316" w:lineRule="auto" w:before="17"/>
        <w:ind w:right="1043" w:firstLine="482"/>
        <w:jc w:val="both"/>
      </w:pPr>
      <w:r>
        <w:rPr>
          <w:spacing w:val="-3"/>
        </w:rPr>
        <w:t>当资产或资产组的可收回金额低于其账面价值时，本公司将其账面价值减记至可收回金额，减记的金额计入当期损益，</w:t>
      </w:r>
      <w:r>
        <w:rPr/>
        <w:t> 同时计提相应的资产减值准备。</w:t>
      </w:r>
    </w:p>
    <w:p>
      <w:pPr>
        <w:pStyle w:val="BodyText"/>
        <w:spacing w:line="316" w:lineRule="auto" w:before="19"/>
        <w:ind w:right="1108" w:firstLine="482"/>
        <w:jc w:val="both"/>
      </w:pPr>
      <w:r>
        <w:rPr/>
        <w:t>就商誉的减值测试而言，对于因企业合并形成的商誉的账面价值，自购买日起按照合理的方法分摊至相关的资产组； </w:t>
      </w:r>
      <w:r>
        <w:rPr>
          <w:spacing w:val="-2"/>
        </w:rPr>
        <w:t>难以分摊至相关的资产组的，将其分摊至相关的资产组组合。相关的资产组或资产组组合，是能够从企业合并的协同效应中</w:t>
      </w:r>
      <w:r>
        <w:rPr>
          <w:spacing w:val="-62"/>
        </w:rPr>
        <w:t> </w:t>
      </w:r>
      <w:r>
        <w:rPr>
          <w:spacing w:val="-62"/>
        </w:rPr>
      </w:r>
      <w:r>
        <w:rPr/>
        <w:t>受益的资产组或者资产组组合，且不大于本公司确定的报告分部。</w:t>
      </w:r>
    </w:p>
    <w:p>
      <w:pPr>
        <w:pStyle w:val="BodyText"/>
        <w:spacing w:line="316" w:lineRule="auto" w:before="19"/>
        <w:ind w:right="1131" w:firstLine="482"/>
        <w:jc w:val="both"/>
      </w:pPr>
      <w:r>
        <w:rPr>
          <w:spacing w:val="-1"/>
        </w:rPr>
        <w:t>减值测试时，如与商誉相关的资产组或者资产组组合存在减值迹象的，首先对不包含商誉的资产组或者资产组组合进</w:t>
      </w:r>
      <w:r>
        <w:rPr/>
        <w:t> </w:t>
      </w:r>
      <w:r>
        <w:rPr>
          <w:spacing w:val="-2"/>
        </w:rPr>
        <w:t>行减值测试，计算可收回金额，确认相应的减值损失。然后对包含商誉的资产组或者资产组组合进行减值测试，比较其账面</w:t>
      </w:r>
      <w:r>
        <w:rPr>
          <w:spacing w:val="-64"/>
        </w:rPr>
        <w:t> </w:t>
      </w:r>
      <w:r>
        <w:rPr>
          <w:spacing w:val="-64"/>
        </w:rPr>
      </w:r>
      <w:r>
        <w:rPr/>
        <w:t>价值与可收回金额，如可收回金额低于账面价值的，确认商誉的减值损失。</w:t>
      </w:r>
    </w:p>
    <w:p>
      <w:pPr>
        <w:pStyle w:val="BodyText"/>
        <w:spacing w:line="240" w:lineRule="auto" w:before="19"/>
        <w:ind w:left="635" w:right="1133"/>
        <w:jc w:val="left"/>
      </w:pPr>
      <w:r>
        <w:rPr/>
        <w:t>资产减值损失一经确认，在以后会计期间不再转回。</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635" w:right="0"/>
        <w:jc w:val="left"/>
      </w:pPr>
      <w:r>
        <w:rPr/>
        <w:t>长期待摊费用核算本公司已经发生但应由本期和以后各期负担的分摊期限在一年以上的各项费用。 </w:t>
      </w:r>
      <w:r>
        <w:rPr>
          <w:spacing w:val="-1"/>
        </w:rPr>
        <w:t>本公司发生的长期待摊费用按实际成本计价，并按预计受益期限平均摊销。对不能使以后会计期间受益的长期待摊费</w:t>
      </w:r>
    </w:p>
    <w:p>
      <w:pPr>
        <w:pStyle w:val="BodyText"/>
        <w:spacing w:line="240" w:lineRule="auto" w:before="19"/>
        <w:ind w:right="1133"/>
        <w:jc w:val="left"/>
      </w:pPr>
      <w:r>
        <w:rPr/>
        <w:t>用项目，其摊余价值全部计入当期损益。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firstLine="482"/>
        <w:jc w:val="both"/>
        <w:rPr>
          <w:rFonts w:ascii="宋体" w:hAnsi="宋体" w:cs="宋体" w:eastAsia="宋体" w:hint="default"/>
        </w:rPr>
      </w:pPr>
      <w:r>
        <w:rPr>
          <w:spacing w:val="-1"/>
        </w:rPr>
        <w:t>职工薪酬，是指本公司为获得职工提供的服务或解除劳动关系而给予的各种形式的报酬或补偿。职工薪酬包括短期薪</w:t>
      </w:r>
      <w:r>
        <w:rPr/>
        <w:t> </w:t>
      </w:r>
      <w:r>
        <w:rPr>
          <w:spacing w:val="-2"/>
        </w:rPr>
        <w:t>酬、离职后福利、辞退福利和其他长期职工福利。本公司提供给职工配偶、子女、受赡养人、已故员工遗属及其他受益人等</w:t>
      </w:r>
      <w:r>
        <w:rPr>
          <w:spacing w:val="-68"/>
        </w:rPr>
        <w:t> </w:t>
      </w:r>
      <w:r>
        <w:rPr>
          <w:spacing w:val="-68"/>
        </w:rPr>
      </w:r>
      <w:r>
        <w:rPr/>
        <w:t>的福利，也属于职工薪酬。</w:t>
      </w:r>
      <w:r>
        <w:rPr>
          <w:rFonts w:ascii="宋体" w:hAnsi="宋体" w:cs="宋体" w:eastAsia="宋体" w:hint="default"/>
        </w:rPr>
        <w:t> </w:t>
      </w:r>
    </w:p>
    <w:p>
      <w:pPr>
        <w:pStyle w:val="BodyText"/>
        <w:spacing w:line="240" w:lineRule="auto" w:before="19"/>
        <w:ind w:left="635" w:right="1133"/>
        <w:jc w:val="left"/>
        <w:rPr>
          <w:rFonts w:ascii="宋体" w:hAnsi="宋体" w:cs="宋体" w:eastAsia="宋体" w:hint="default"/>
        </w:rPr>
      </w:pPr>
      <w:r>
        <w:rPr/>
        <w:t>根据流动性，职工薪酬分别列示于资产负债表的“应付职工薪酬”项目和“长期应付职工薪酬”项目。</w:t>
      </w:r>
      <w:r>
        <w:rPr>
          <w:rFonts w:ascii="宋体" w:hAnsi="宋体" w:cs="宋体" w:eastAsia="宋体" w:hint="default"/>
        </w:rPr>
        <w:t> </w:t>
      </w:r>
    </w:p>
    <w:p>
      <w:pPr>
        <w:pStyle w:val="BodyText"/>
        <w:spacing w:line="316" w:lineRule="auto" w:before="76"/>
        <w:ind w:left="635" w:right="0"/>
        <w:jc w:val="left"/>
      </w:pPr>
      <w:r>
        <w:rPr/>
        <w:t>①职工基本薪酬（工资、奖金、津贴、补贴） </w:t>
      </w:r>
      <w:r>
        <w:rPr>
          <w:spacing w:val="-1"/>
        </w:rPr>
        <w:t>本公司在职工为其提供服务的会计期间，将实际发生的短期薪酬确认为负债，并计入当期损益，其他会计准则要求或</w:t>
      </w:r>
    </w:p>
    <w:p>
      <w:pPr>
        <w:pStyle w:val="BodyText"/>
        <w:spacing w:line="240" w:lineRule="auto" w:before="19"/>
        <w:ind w:right="1133"/>
        <w:jc w:val="left"/>
      </w:pPr>
      <w:r>
        <w:rPr/>
        <w:t>允许计入资产成本的除外。</w:t>
      </w:r>
    </w:p>
    <w:p>
      <w:pPr>
        <w:pStyle w:val="BodyText"/>
        <w:spacing w:line="316" w:lineRule="auto" w:before="77"/>
        <w:ind w:left="635" w:right="1119"/>
        <w:jc w:val="left"/>
      </w:pPr>
      <w:r>
        <w:rPr/>
        <w:t>②职工福利费 </w:t>
      </w:r>
      <w:r>
        <w:rPr>
          <w:spacing w:val="-1"/>
        </w:rPr>
        <w:t>本公司发生的职工福利费，在实际发生时根据实际发生额计入当期损益或相关资产成本。职工福利费为非货币性福利</w:t>
      </w:r>
    </w:p>
    <w:p>
      <w:pPr>
        <w:pStyle w:val="BodyText"/>
        <w:spacing w:line="240" w:lineRule="auto" w:before="19"/>
        <w:ind w:right="1133"/>
        <w:jc w:val="left"/>
      </w:pPr>
      <w:r>
        <w:rPr/>
        <w:t>的，按照公允价值计量。</w:t>
      </w:r>
    </w:p>
    <w:p>
      <w:pPr>
        <w:pStyle w:val="BodyText"/>
        <w:spacing w:line="316" w:lineRule="auto" w:before="76"/>
        <w:ind w:left="635" w:right="0"/>
        <w:jc w:val="left"/>
      </w:pPr>
      <w:r>
        <w:rPr/>
        <w:t>③医疗保险费、工伤保险费、生育保险费等社会保险费和住房公积金，以及工会经费和职工教育经费 </w:t>
      </w:r>
      <w:r>
        <w:rPr>
          <w:spacing w:val="-1"/>
        </w:rPr>
        <w:t>本公司为职工缴纳的医疗保险费、工伤保险费、生育保险费等社会保险费和住房公积金，以及按规定提取的工会经费</w:t>
      </w:r>
    </w:p>
    <w:p>
      <w:pPr>
        <w:pStyle w:val="BodyText"/>
        <w:spacing w:line="316" w:lineRule="auto" w:before="19"/>
        <w:ind w:right="0"/>
        <w:jc w:val="left"/>
      </w:pPr>
      <w:r>
        <w:rPr>
          <w:spacing w:val="-2"/>
        </w:rPr>
        <w:t>和职工教育经费，在职工为其提供服务的会计期间，根据规定的计提基础和计提比例计算确定相应的职工薪酬金额，并确认</w:t>
      </w:r>
      <w:r>
        <w:rPr>
          <w:spacing w:val="-63"/>
        </w:rPr>
        <w:t> </w:t>
      </w:r>
      <w:r>
        <w:rPr>
          <w:spacing w:val="-63"/>
        </w:rPr>
      </w:r>
      <w:r>
        <w:rPr/>
        <w:t>相应负债，计入当期损益或相关资产成本。</w:t>
      </w:r>
    </w:p>
    <w:p>
      <w:pPr>
        <w:pStyle w:val="BodyText"/>
        <w:spacing w:line="316" w:lineRule="auto" w:before="19"/>
        <w:ind w:left="635" w:right="0"/>
        <w:jc w:val="left"/>
      </w:pPr>
      <w:r>
        <w:rPr/>
        <w:t>④短期带薪缺勤 </w:t>
      </w:r>
      <w:r>
        <w:rPr>
          <w:spacing w:val="-1"/>
        </w:rPr>
        <w:t>本公司在职工提供服务从而增加了其未来享有的带薪缺勤权利时，确认与累积带薪缺勤相关的职工薪酬，并以累积未</w:t>
      </w:r>
    </w:p>
    <w:p>
      <w:pPr>
        <w:pStyle w:val="BodyText"/>
        <w:spacing w:line="240" w:lineRule="auto" w:before="19"/>
        <w:ind w:right="1133"/>
        <w:jc w:val="left"/>
      </w:pPr>
      <w:r>
        <w:rPr/>
        <w:t>行使权利而增加的预期支付金额计量。本公司在职工实际发生缺勤的会计期间确认与非累积带薪缺勤相关的职工薪酬。</w:t>
      </w:r>
    </w:p>
    <w:p>
      <w:pPr>
        <w:pStyle w:val="BodyText"/>
        <w:spacing w:line="312" w:lineRule="auto" w:before="77"/>
        <w:ind w:left="635" w:right="4691"/>
        <w:jc w:val="left"/>
      </w:pPr>
      <w:r>
        <w:rPr/>
        <w:t>⑤短期利润分享计划 利润分享计划同时满足下列条件的，本公司确认相关的应付职工薪酬： </w:t>
      </w:r>
      <w:r>
        <w:rPr>
          <w:rFonts w:ascii="Times New Roman" w:hAnsi="Times New Roman" w:cs="Times New Roman" w:eastAsia="Times New Roman" w:hint="default"/>
        </w:rPr>
        <w:t>A.</w:t>
      </w:r>
      <w:r>
        <w:rPr/>
        <w:t>企业因过去事项导致现在具有支付职工薪酬的法定义务或推定义务； </w:t>
      </w:r>
      <w:r>
        <w:rPr>
          <w:rFonts w:ascii="Times New Roman" w:hAnsi="Times New Roman" w:cs="Times New Roman" w:eastAsia="Times New Roman" w:hint="default"/>
        </w:rPr>
        <w:t>B.</w:t>
      </w:r>
      <w:r>
        <w:rPr/>
        <w:t>因利润分享计划所产生的应付职工薪酬义务金额能够可靠估计。</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635" w:right="0"/>
        <w:jc w:val="left"/>
      </w:pPr>
      <w:r>
        <w:rPr/>
        <w:t>①设定提存计划 </w:t>
      </w:r>
      <w:r>
        <w:rPr>
          <w:spacing w:val="-1"/>
        </w:rPr>
        <w:t>本公司在职工为其提供服务的会计期间，将根据设定提存计划计算的应缴存金额确认为负债，并计入当期损益或相关</w:t>
      </w:r>
    </w:p>
    <w:p>
      <w:pPr>
        <w:pStyle w:val="BodyText"/>
        <w:spacing w:line="240" w:lineRule="auto" w:before="19"/>
        <w:ind w:right="1133"/>
        <w:jc w:val="left"/>
      </w:pPr>
      <w:r>
        <w:rPr/>
        <w:t>资产成本。</w:t>
      </w:r>
    </w:p>
    <w:p>
      <w:pPr>
        <w:pStyle w:val="BodyText"/>
        <w:spacing w:line="319" w:lineRule="auto" w:before="76"/>
        <w:ind w:right="1132" w:firstLine="482"/>
        <w:jc w:val="both"/>
      </w:pPr>
      <w:r>
        <w:rPr>
          <w:spacing w:val="-1"/>
        </w:rPr>
        <w:t>根据设定提存计划，预期不会在职工提供相关服务的年度报告期结束后十二个月内支付全部应缴存金额的，本公司参</w:t>
      </w:r>
      <w:r>
        <w:rPr/>
        <w:t> </w:t>
      </w:r>
      <w:r>
        <w:rPr>
          <w:spacing w:val="-2"/>
        </w:rPr>
        <w:t>照相应的折现率（根据资产负债表日与设定提存计划义务期限和币种相匹配的国债或活跃市场上的高质量公司债券的市场收</w:t>
      </w:r>
      <w:r>
        <w:rPr>
          <w:spacing w:val="-64"/>
        </w:rPr>
        <w:t> </w:t>
      </w:r>
      <w:r>
        <w:rPr>
          <w:spacing w:val="-64"/>
        </w:rPr>
      </w:r>
      <w:r>
        <w:rPr/>
        <w:t>益率确定），将全部应缴存金额以折现后的金额计量应付职工薪酬。</w:t>
      </w:r>
    </w:p>
    <w:p>
      <w:pPr>
        <w:pStyle w:val="BodyText"/>
        <w:spacing w:line="240" w:lineRule="auto" w:before="17"/>
        <w:ind w:left="635" w:right="1133"/>
        <w:jc w:val="left"/>
      </w:pPr>
      <w:r>
        <w:rPr/>
        <w:t>②设定受益计划</w:t>
      </w:r>
    </w:p>
    <w:p>
      <w:pPr>
        <w:pStyle w:val="BodyText"/>
        <w:spacing w:line="300" w:lineRule="auto" w:before="76"/>
        <w:ind w:left="635" w:right="0"/>
        <w:jc w:val="left"/>
      </w:pPr>
      <w:r>
        <w:rPr>
          <w:rFonts w:ascii="Times New Roman" w:hAnsi="Times New Roman" w:cs="Times New Roman" w:eastAsia="Times New Roman" w:hint="default"/>
        </w:rPr>
        <w:t>A</w:t>
      </w:r>
      <w:r>
        <w:rPr/>
        <w:t>．确定设定受益计划义务的现值和当期服务成本 </w:t>
      </w:r>
      <w:r>
        <w:rPr>
          <w:spacing w:val="-1"/>
        </w:rPr>
        <w:t>根据预期累计福利单位法，采用无偏且相互一致的精算假设对有关人口统计变量和财务变量等做出估计，计量设定受</w:t>
      </w:r>
    </w:p>
    <w:p>
      <w:pPr>
        <w:pStyle w:val="BodyText"/>
        <w:spacing w:line="316" w:lineRule="auto" w:before="31"/>
        <w:ind w:right="1130"/>
        <w:jc w:val="both"/>
      </w:pPr>
      <w:r>
        <w:rPr>
          <w:spacing w:val="-2"/>
        </w:rPr>
        <w:t>益计划所产生的义务，并确定相关义务的归属期间。本公司按照相应的折现率（根据资产负债表日与设定受益计划义务期限</w:t>
      </w:r>
      <w:r>
        <w:rPr>
          <w:spacing w:val="-63"/>
        </w:rPr>
        <w:t> </w:t>
      </w:r>
      <w:r>
        <w:rPr>
          <w:spacing w:val="-63"/>
        </w:rPr>
      </w:r>
      <w:r>
        <w:rPr>
          <w:spacing w:val="-2"/>
        </w:rPr>
        <w:t>和币种相匹配的国债或活跃市场上的高质量公司债券的市场收益率确定）将设定受益计划所产生的义务予以折现，以确定设</w:t>
      </w:r>
      <w:r>
        <w:rPr>
          <w:spacing w:val="-64"/>
        </w:rPr>
        <w:t> </w:t>
      </w:r>
      <w:r>
        <w:rPr>
          <w:spacing w:val="-64"/>
        </w:rPr>
      </w:r>
      <w:r>
        <w:rPr/>
        <w:t>定受益计划义务的现值和当期服务成本。</w:t>
      </w:r>
    </w:p>
    <w:p>
      <w:pPr>
        <w:pStyle w:val="BodyText"/>
        <w:spacing w:line="300" w:lineRule="auto" w:before="19"/>
        <w:ind w:left="635" w:right="0"/>
        <w:jc w:val="left"/>
      </w:pPr>
      <w:r>
        <w:rPr>
          <w:rFonts w:ascii="Times New Roman" w:hAnsi="Times New Roman" w:cs="Times New Roman" w:eastAsia="Times New Roman" w:hint="default"/>
        </w:rPr>
        <w:t>B.</w:t>
      </w:r>
      <w:r>
        <w:rPr/>
        <w:t>确认设定受益计划净负债或净资产 </w:t>
      </w:r>
      <w:r>
        <w:rPr>
          <w:spacing w:val="-1"/>
        </w:rPr>
        <w:t>设定受益计划存在资产的，本公司将设定受益计划义务现值减去设定受益计划资产公允价值所形成的赤字或盈余确认</w:t>
      </w:r>
    </w:p>
    <w:p>
      <w:pPr>
        <w:pStyle w:val="BodyText"/>
        <w:spacing w:line="316" w:lineRule="auto" w:before="32"/>
        <w:ind w:left="635" w:right="1631" w:hanging="483"/>
        <w:jc w:val="left"/>
      </w:pPr>
      <w:r>
        <w:rPr/>
        <w:t>为一项设定受益计划净负债或净资产。 设定受益计划存在盈余的，本公司以设定受益计划的盈余和资产上限两项的孰低者计量设定受益计划净资产。 </w:t>
      </w:r>
      <w:r>
        <w:rPr>
          <w:rFonts w:ascii="Times New Roman" w:hAnsi="Times New Roman" w:cs="Times New Roman" w:eastAsia="Times New Roman" w:hint="default"/>
        </w:rPr>
        <w:t>C.</w:t>
      </w:r>
      <w:r>
        <w:rPr/>
        <w:t>确定应计入资产成本或当期损益的金额</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0" w:firstLine="482"/>
        <w:jc w:val="left"/>
      </w:pPr>
      <w:r>
        <w:rPr>
          <w:spacing w:val="-1"/>
        </w:rPr>
        <w:t>服务成本，包括当期服务成本、过去服务成本和结算利得或损失。其中，除了其他会计准则要求或允许计入资产成本</w:t>
      </w:r>
      <w:r>
        <w:rPr/>
        <w:t> 的当期服务成本之外，其他服务成本均计入当期损益。</w:t>
      </w:r>
    </w:p>
    <w:p>
      <w:pPr>
        <w:pStyle w:val="BodyText"/>
        <w:spacing w:line="316" w:lineRule="auto" w:before="19"/>
        <w:ind w:right="0" w:firstLine="482"/>
        <w:jc w:val="left"/>
      </w:pPr>
      <w:r>
        <w:rPr>
          <w:spacing w:val="-1"/>
        </w:rPr>
        <w:t>设定受益计划净负债或净资产的利息净额，包括计划资产的利息收益、设定受益计划义务的利息费用以及资产上限影</w:t>
      </w:r>
      <w:r>
        <w:rPr/>
        <w:t> 响的利息，均计入当期损益。</w:t>
      </w:r>
    </w:p>
    <w:p>
      <w:pPr>
        <w:pStyle w:val="BodyText"/>
        <w:spacing w:line="300" w:lineRule="auto" w:before="19"/>
        <w:ind w:left="635" w:right="5411"/>
        <w:jc w:val="left"/>
      </w:pPr>
      <w:r>
        <w:rPr>
          <w:rFonts w:ascii="Times New Roman" w:hAnsi="Times New Roman" w:cs="Times New Roman" w:eastAsia="Times New Roman" w:hint="default"/>
        </w:rPr>
        <w:t>D.</w:t>
      </w:r>
      <w:r>
        <w:rPr/>
        <w:t>确定应计入其他综合收益的金额 重新计量设定受益计划净负债或净资产所产生的变动，包括：</w:t>
      </w:r>
    </w:p>
    <w:p>
      <w:pPr>
        <w:pStyle w:val="BodyText"/>
        <w:spacing w:line="240" w:lineRule="auto" w:before="31"/>
        <w:ind w:left="635" w:right="1133"/>
        <w:jc w:val="left"/>
      </w:pPr>
      <w:r>
        <w:rPr/>
        <w:t>（</w:t>
      </w:r>
      <w:r>
        <w:rPr>
          <w:rFonts w:ascii="Times New Roman" w:hAnsi="Times New Roman" w:cs="Times New Roman" w:eastAsia="Times New Roman" w:hint="default"/>
        </w:rPr>
        <w:t>a</w:t>
      </w:r>
      <w:r>
        <w:rPr/>
        <w:t>）精算利得或损失，即由于精算假设和经验调整导致之前所计量的设定受益计划义务现值的增加或减少；</w:t>
      </w:r>
    </w:p>
    <w:p>
      <w:pPr>
        <w:pStyle w:val="BodyText"/>
        <w:spacing w:line="240" w:lineRule="auto" w:before="63"/>
        <w:ind w:left="635" w:right="1133"/>
        <w:jc w:val="left"/>
        <w:rPr>
          <w:rFonts w:ascii="Times New Roman" w:hAnsi="Times New Roman" w:cs="Times New Roman" w:eastAsia="Times New Roman" w:hint="default"/>
        </w:rPr>
      </w:pPr>
      <w:r>
        <w:rPr/>
        <w:t>（</w:t>
      </w:r>
      <w:r>
        <w:rPr>
          <w:rFonts w:ascii="Times New Roman" w:hAnsi="Times New Roman" w:cs="Times New Roman" w:eastAsia="Times New Roman" w:hint="default"/>
        </w:rPr>
        <w:t>b</w:t>
      </w:r>
      <w:r>
        <w:rPr/>
        <w:t>）计划资产回报，扣除包括在设定受益计划净负债或净资产的利息净额中的金额</w:t>
      </w:r>
      <w:r>
        <w:rPr>
          <w:rFonts w:ascii="Times New Roman" w:hAnsi="Times New Roman" w:cs="Times New Roman" w:eastAsia="Times New Roman" w:hint="default"/>
        </w:rPr>
        <w:t>;</w:t>
      </w:r>
    </w:p>
    <w:p>
      <w:pPr>
        <w:pStyle w:val="BodyText"/>
        <w:spacing w:line="300" w:lineRule="auto" w:before="63"/>
        <w:ind w:left="635" w:right="1121"/>
        <w:jc w:val="left"/>
      </w:pPr>
      <w:r>
        <w:rPr/>
        <w:t>（</w:t>
      </w:r>
      <w:r>
        <w:rPr>
          <w:rFonts w:ascii="Times New Roman" w:hAnsi="Times New Roman" w:cs="Times New Roman" w:eastAsia="Times New Roman" w:hint="default"/>
        </w:rPr>
        <w:t>c</w:t>
      </w:r>
      <w:r>
        <w:rPr/>
        <w:t>）资产上限影响的变动，扣除包括在设定受益计划净负债或净资产的利息净额中的金额。 上述重新计量设定受益计划净负债或净资产所产生的变动直接计入其他综合收益</w:t>
      </w:r>
      <w:r>
        <w:rPr>
          <w:rFonts w:ascii="Times New Roman" w:hAnsi="Times New Roman" w:cs="Times New Roman" w:eastAsia="Times New Roman" w:hint="default"/>
        </w:rPr>
        <w:t>, </w:t>
      </w:r>
      <w:r>
        <w:rPr>
          <w:rFonts w:ascii="Times New Roman" w:hAnsi="Times New Roman" w:cs="Times New Roman" w:eastAsia="Times New Roman" w:hint="default"/>
          <w:spacing w:val="15"/>
        </w:rPr>
        <w:t> </w:t>
      </w:r>
      <w:r>
        <w:rPr/>
        <w:t>并且在后续会计期间不允许转回至</w:t>
      </w:r>
    </w:p>
    <w:p>
      <w:pPr>
        <w:pStyle w:val="BodyText"/>
        <w:spacing w:line="240" w:lineRule="auto" w:before="13"/>
        <w:ind w:right="1133"/>
        <w:jc w:val="left"/>
      </w:pPr>
      <w:r>
        <w:rPr/>
        <w:t>损益，但本公司可以在权益范围内转移这些在其他综合收益中确认的金额。</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633" w:right="1133"/>
        <w:jc w:val="left"/>
      </w:pPr>
      <w:r>
        <w:rPr/>
        <w:t>本公司向职工提供辞退福利的，在下列两者孰早日确认辞退福利产生的职工薪酬负债，并计入当期损益：</w:t>
      </w:r>
    </w:p>
    <w:p>
      <w:pPr>
        <w:pStyle w:val="BodyText"/>
        <w:spacing w:line="240" w:lineRule="auto" w:before="76"/>
        <w:ind w:left="633" w:right="1133"/>
        <w:jc w:val="left"/>
      </w:pPr>
      <w:r>
        <w:rPr/>
        <w:t>①企业不能单方面撤回因解除劳动关系计划或裁减建议所提供的辞退福利时；</w:t>
      </w:r>
    </w:p>
    <w:p>
      <w:pPr>
        <w:pStyle w:val="BodyText"/>
        <w:spacing w:line="316" w:lineRule="auto" w:before="76"/>
        <w:ind w:left="633" w:right="0"/>
        <w:jc w:val="left"/>
      </w:pPr>
      <w:r>
        <w:rPr/>
        <w:t>②企业确认与涉及支付辞退福利的重组相关的成本或费用时。 </w:t>
      </w:r>
      <w:r>
        <w:rPr>
          <w:spacing w:val="-1"/>
        </w:rPr>
        <w:t>辞退福利预期在年度报告期结束后十二个月内不能完全支付的，参照相应的折现率（根据资产负债表日与设定受益计</w:t>
      </w:r>
    </w:p>
    <w:p>
      <w:pPr>
        <w:pStyle w:val="BodyText"/>
        <w:spacing w:line="316" w:lineRule="auto" w:before="19"/>
        <w:ind w:right="0"/>
        <w:jc w:val="left"/>
      </w:pPr>
      <w:r>
        <w:rPr>
          <w:spacing w:val="-2"/>
        </w:rPr>
        <w:t>划义务期限和币种相匹配的国债或活跃市场上的高质量公司债券的市场收益率确定）将辞退福利金额予以折现，以折现后的</w:t>
      </w:r>
      <w:r>
        <w:rPr>
          <w:spacing w:val="-63"/>
        </w:rPr>
        <w:t> </w:t>
      </w:r>
      <w:r>
        <w:rPr>
          <w:spacing w:val="-63"/>
        </w:rPr>
      </w:r>
      <w:r>
        <w:rPr/>
        <w:t>金额计量应付职工薪酬。</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left="635" w:right="0"/>
        <w:jc w:val="left"/>
      </w:pPr>
      <w:r>
        <w:rPr/>
        <w:t>①符合设定提存计划条件的 </w:t>
      </w:r>
      <w:r>
        <w:rPr>
          <w:spacing w:val="-1"/>
        </w:rPr>
        <w:t>本公司向职工提供的其他长期职工福利，符合设定提存计划条件的，将全部应缴存金额以折现后的金额计量应付职工</w:t>
      </w:r>
    </w:p>
    <w:p>
      <w:pPr>
        <w:pStyle w:val="BodyText"/>
        <w:spacing w:line="240" w:lineRule="auto" w:before="19"/>
        <w:ind w:right="1133"/>
        <w:jc w:val="left"/>
      </w:pPr>
      <w:r>
        <w:rPr/>
        <w:t>薪酬。</w:t>
      </w:r>
    </w:p>
    <w:p>
      <w:pPr>
        <w:pStyle w:val="BodyText"/>
        <w:spacing w:line="316" w:lineRule="auto" w:before="76"/>
        <w:ind w:left="635" w:right="3611"/>
        <w:jc w:val="left"/>
      </w:pPr>
      <w:r>
        <w:rPr/>
        <w:t>②符合设定受益计划条件的 在报告期末，本公司将其他长期职工福利产生的职工薪酬成本确认为下列组成部分： </w:t>
      </w:r>
      <w:r>
        <w:rPr>
          <w:rFonts w:ascii="Times New Roman" w:hAnsi="Times New Roman" w:cs="Times New Roman" w:eastAsia="Times New Roman" w:hint="default"/>
        </w:rPr>
        <w:t>A.</w:t>
      </w:r>
      <w:r>
        <w:rPr/>
        <w:t>服务成本；</w:t>
      </w:r>
    </w:p>
    <w:p>
      <w:pPr>
        <w:pStyle w:val="BodyText"/>
        <w:spacing w:line="300" w:lineRule="auto"/>
        <w:ind w:left="635" w:right="4511"/>
        <w:jc w:val="left"/>
      </w:pPr>
      <w:r>
        <w:rPr>
          <w:rFonts w:ascii="Times New Roman" w:hAnsi="Times New Roman" w:cs="Times New Roman" w:eastAsia="Times New Roman" w:hint="default"/>
        </w:rPr>
        <w:t>B.</w:t>
      </w:r>
      <w:r>
        <w:rPr/>
        <w:t>其他长期职工福利净负债或净资产的利息净额； </w:t>
      </w:r>
      <w:r>
        <w:rPr>
          <w:rFonts w:ascii="Times New Roman" w:hAnsi="Times New Roman" w:cs="Times New Roman" w:eastAsia="Times New Roman" w:hint="default"/>
        </w:rPr>
        <w:t>C.</w:t>
      </w:r>
      <w:r>
        <w:rPr/>
        <w:t>重新计量其他长期职工福利净负债或净资产所产生的变动。 为简化相关会计处理，上述项目的总净额计入当期损益或相关资产成本。</w:t>
      </w:r>
    </w:p>
    <w:p>
      <w:pPr>
        <w:spacing w:line="240" w:lineRule="auto" w:before="8"/>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35</w:t>
      </w:r>
      <w:r>
        <w:rPr/>
        <w:t>、租赁负债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36</w:t>
      </w:r>
      <w:r>
        <w:rPr/>
        <w:t>、预计负债</w:t>
      </w:r>
      <w:r>
        <w:rPr>
          <w:b w:val="0"/>
          <w:bCs w:val="0"/>
        </w:rPr>
      </w:r>
    </w:p>
    <w:p>
      <w:pPr>
        <w:spacing w:line="240" w:lineRule="auto" w:before="7"/>
        <w:rPr>
          <w:rFonts w:ascii="宋体" w:hAnsi="宋体" w:cs="宋体" w:eastAsia="宋体" w:hint="default"/>
          <w:b/>
          <w:bCs/>
          <w:sz w:val="26"/>
          <w:szCs w:val="26"/>
        </w:rPr>
      </w:pPr>
    </w:p>
    <w:p>
      <w:pPr>
        <w:spacing w:line="300" w:lineRule="auto" w:before="0"/>
        <w:ind w:left="633" w:right="415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）预计负债的确认标准</w:t>
      </w:r>
      <w:r>
        <w:rPr>
          <w:rFonts w:ascii="宋体" w:hAnsi="宋体" w:cs="宋体" w:eastAsia="宋体" w:hint="default"/>
          <w:b/>
          <w:bCs/>
          <w:w w:val="99"/>
          <w:sz w:val="18"/>
          <w:szCs w:val="18"/>
        </w:rPr>
        <w:t> </w:t>
      </w:r>
      <w:r>
        <w:rPr>
          <w:rFonts w:ascii="宋体" w:hAnsi="宋体" w:cs="宋体" w:eastAsia="宋体" w:hint="default"/>
          <w:sz w:val="18"/>
          <w:szCs w:val="18"/>
        </w:rPr>
        <w:t>如果与或有事项相关的义务同时符合以下条件，本公司将其确认为预计负债：</w:t>
      </w:r>
    </w:p>
    <w:p>
      <w:pPr>
        <w:pStyle w:val="BodyText"/>
        <w:spacing w:line="240" w:lineRule="auto" w:before="31"/>
        <w:ind w:left="633" w:right="1133"/>
        <w:jc w:val="left"/>
      </w:pPr>
      <w:r>
        <w:rPr/>
        <w:t>①该义务是本公司承担的现时义务；</w:t>
      </w:r>
    </w:p>
    <w:p>
      <w:pPr>
        <w:pStyle w:val="BodyText"/>
        <w:spacing w:line="240" w:lineRule="auto" w:before="77"/>
        <w:ind w:left="633" w:right="1133"/>
        <w:jc w:val="left"/>
      </w:pPr>
      <w:r>
        <w:rPr/>
        <w:t>②该义务的履行很可能导致经济利益流出本公司；</w:t>
      </w:r>
    </w:p>
    <w:p>
      <w:pPr>
        <w:pStyle w:val="BodyText"/>
        <w:spacing w:line="240" w:lineRule="auto" w:before="76"/>
        <w:ind w:left="633" w:right="1133"/>
        <w:jc w:val="left"/>
      </w:pPr>
      <w:r>
        <w:rPr/>
        <w:t>③该义务的金额能够可靠地计量。</w:t>
      </w:r>
    </w:p>
    <w:p>
      <w:pPr>
        <w:pStyle w:val="Heading4"/>
        <w:spacing w:line="240" w:lineRule="auto" w:before="76"/>
        <w:ind w:right="1133"/>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b/>
          <w:bCs/>
          <w:sz w:val="25"/>
          <w:szCs w:val="25"/>
        </w:rPr>
      </w:pPr>
    </w:p>
    <w:p>
      <w:pPr>
        <w:pStyle w:val="BodyText"/>
        <w:spacing w:line="316" w:lineRule="auto" w:before="44"/>
        <w:ind w:right="1131" w:firstLine="480"/>
        <w:jc w:val="both"/>
      </w:pPr>
      <w:r>
        <w:rPr>
          <w:spacing w:val="-1"/>
        </w:rPr>
        <w:t>预计负债按照履行相关现时义务所需支出的最佳估计数进行初始计量，并综合考虑与或有事项有关的风险、不确定性</w:t>
      </w:r>
      <w:r>
        <w:rPr/>
        <w:t> </w:t>
      </w:r>
      <w:r>
        <w:rPr>
          <w:spacing w:val="-2"/>
        </w:rPr>
        <w:t>和货币时间价值等因素。每个资产负债表日对预计负债的账面价值进行复核。有确凿证据表明该账面价值不能反映当前最佳</w:t>
      </w:r>
      <w:r>
        <w:rPr>
          <w:spacing w:val="-62"/>
        </w:rPr>
        <w:t> </w:t>
      </w:r>
      <w:r>
        <w:rPr>
          <w:spacing w:val="-62"/>
        </w:rPr>
      </w:r>
      <w:r>
        <w:rPr/>
        <w:t>估计数的，按照当前最佳估计数对该账面价值进行调整。</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37</w:t>
      </w:r>
      <w:r>
        <w:rPr/>
        <w:t>、股份支付</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39</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633" w:right="1093" w:hanging="481"/>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 本公司收入包括：客户定制软件设计开发收入、</w:t>
      </w:r>
      <w:r>
        <w:rPr>
          <w:rFonts w:ascii="Times New Roman" w:hAnsi="Times New Roman" w:cs="Times New Roman" w:eastAsia="Times New Roman" w:hint="default"/>
        </w:rPr>
        <w:t>IC</w:t>
      </w:r>
      <w:r>
        <w:rPr/>
        <w:t>卡销售收入、系统维护服务收入、系统集成及外购硬件销售收入、</w:t>
      </w:r>
    </w:p>
    <w:p>
      <w:pPr>
        <w:pStyle w:val="BodyText"/>
        <w:spacing w:line="217" w:lineRule="exact"/>
        <w:ind w:right="1133"/>
        <w:jc w:val="left"/>
      </w:pPr>
      <w:r>
        <w:rPr/>
        <w:t>自制硬件销售收入、让渡资产使用权收入和咨询服务收入。</w:t>
      </w:r>
    </w:p>
    <w:p>
      <w:pPr>
        <w:pStyle w:val="BodyText"/>
        <w:spacing w:line="300" w:lineRule="auto" w:before="76"/>
        <w:ind w:left="633" w:right="1133"/>
        <w:jc w:val="left"/>
      </w:pPr>
      <w:r>
        <w:rPr/>
        <w:t>（</w:t>
      </w:r>
      <w:r>
        <w:rPr>
          <w:rFonts w:ascii="Times New Roman" w:hAnsi="Times New Roman" w:cs="Times New Roman" w:eastAsia="Times New Roman" w:hint="default"/>
        </w:rPr>
        <w:t>1</w:t>
      </w:r>
      <w:r>
        <w:rPr/>
        <w:t>）客户定制软件设计开发收入 </w:t>
      </w:r>
      <w:r>
        <w:rPr>
          <w:spacing w:val="2"/>
        </w:rPr>
        <w:t>本公司客户定制软件设计开发项目指本公司依据客户特定要求在本公司原有软件平台基础上进行开发实施或根据客</w:t>
      </w:r>
    </w:p>
    <w:p>
      <w:pPr>
        <w:pStyle w:val="BodyText"/>
        <w:spacing w:line="316" w:lineRule="auto" w:before="31"/>
        <w:ind w:left="633" w:right="0" w:hanging="481"/>
        <w:jc w:val="left"/>
      </w:pPr>
      <w:r>
        <w:rPr/>
        <w:t>户要求定制的软件设计和开发项目。 </w:t>
      </w:r>
      <w:r>
        <w:rPr>
          <w:spacing w:val="-3"/>
        </w:rPr>
        <w:t>本公司客户定制软件设计开发项目实质为提供劳务，本公司在资产负债表日，对于提供劳务交易结果能够可靠估计的，</w:t>
      </w:r>
    </w:p>
    <w:p>
      <w:pPr>
        <w:pStyle w:val="BodyText"/>
        <w:spacing w:line="316" w:lineRule="auto" w:before="19"/>
        <w:ind w:left="633" w:right="5413" w:hanging="481"/>
        <w:jc w:val="left"/>
      </w:pPr>
      <w:r>
        <w:rPr/>
        <w:t>采用完工百分比法确认提供的劳务收入。 提供劳务交易的结果能够可靠估计，是指同时满足下列条件：</w:t>
      </w:r>
    </w:p>
    <w:p>
      <w:pPr>
        <w:pStyle w:val="BodyText"/>
        <w:spacing w:line="240" w:lineRule="auto" w:before="19"/>
        <w:ind w:left="633" w:right="1133"/>
        <w:jc w:val="left"/>
      </w:pPr>
      <w:r>
        <w:rPr/>
        <w:t>①收入的金额能够可靠地计量；</w:t>
      </w:r>
    </w:p>
    <w:p>
      <w:pPr>
        <w:pStyle w:val="BodyText"/>
        <w:spacing w:line="240" w:lineRule="auto" w:before="76"/>
        <w:ind w:left="633" w:right="1133"/>
        <w:jc w:val="left"/>
      </w:pPr>
      <w:r>
        <w:rPr/>
        <w:t>②相关的经济利益很可能流入企业；</w:t>
      </w:r>
    </w:p>
    <w:p>
      <w:pPr>
        <w:pStyle w:val="BodyText"/>
        <w:spacing w:line="240" w:lineRule="auto" w:before="76"/>
        <w:ind w:left="633" w:right="1133"/>
        <w:jc w:val="left"/>
      </w:pPr>
      <w:r>
        <w:rPr/>
        <w:t>③交易的完工进度能够可靠地确定；</w:t>
      </w:r>
    </w:p>
    <w:p>
      <w:pPr>
        <w:pStyle w:val="BodyText"/>
        <w:spacing w:line="316" w:lineRule="auto" w:before="76"/>
        <w:ind w:left="633" w:right="4333"/>
        <w:jc w:val="left"/>
      </w:pPr>
      <w:r>
        <w:rPr/>
        <w:t>④交易中已发生和将发生的成本能够可靠地计量。 在资产负债表日提供劳务交易结果不能够可靠估计的，分别下列情况处理：</w:t>
      </w:r>
    </w:p>
    <w:p>
      <w:pPr>
        <w:pStyle w:val="BodyText"/>
        <w:spacing w:line="316" w:lineRule="auto" w:before="19"/>
        <w:ind w:right="1134" w:firstLine="480"/>
        <w:jc w:val="both"/>
      </w:pPr>
      <w:r>
        <w:rPr>
          <w:spacing w:val="-1"/>
        </w:rPr>
        <w:t>①已经发生的劳务成本预计能够得到补偿的，按照已经发生的劳务成本金额确认提供劳务收入，并按相同金额结转劳</w:t>
      </w:r>
      <w:r>
        <w:rPr/>
        <w:t> 务成本。</w:t>
      </w:r>
    </w:p>
    <w:p>
      <w:pPr>
        <w:pStyle w:val="BodyText"/>
        <w:spacing w:line="316" w:lineRule="auto" w:before="19"/>
        <w:ind w:left="633" w:right="1633"/>
        <w:jc w:val="left"/>
      </w:pPr>
      <w:r>
        <w:rPr/>
        <w:t>②已经发生的劳务成本预计不能够得到补偿的，将已经发生的劳务成本计入当期损益，不确认提供劳务收入。 本公司采用已经完成的合同工作量占合同预计总工作量的比例确定合同完工进度。</w:t>
      </w:r>
    </w:p>
    <w:p>
      <w:pPr>
        <w:pStyle w:val="BodyText"/>
        <w:spacing w:line="300" w:lineRule="auto" w:before="19"/>
        <w:ind w:left="633" w:right="1133"/>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IC</w:t>
      </w:r>
      <w:r>
        <w:rPr>
          <w:rFonts w:ascii="Times New Roman" w:hAnsi="Times New Roman" w:cs="Times New Roman" w:eastAsia="Times New Roman" w:hint="default"/>
          <w:spacing w:val="26"/>
        </w:rPr>
        <w:t> </w:t>
      </w:r>
      <w:r>
        <w:rPr/>
        <w:t>卡销售收入 </w:t>
      </w:r>
      <w:r>
        <w:rPr>
          <w:spacing w:val="2"/>
        </w:rPr>
        <w:t>本公司</w:t>
      </w:r>
      <w:r>
        <w:rPr>
          <w:rFonts w:ascii="Times New Roman" w:hAnsi="Times New Roman" w:cs="Times New Roman" w:eastAsia="Times New Roman" w:hint="default"/>
          <w:spacing w:val="2"/>
        </w:rPr>
        <w:t>IC</w:t>
      </w:r>
      <w:r>
        <w:rPr>
          <w:spacing w:val="2"/>
        </w:rPr>
        <w:t>卡销售业务包括</w:t>
      </w:r>
      <w:r>
        <w:rPr>
          <w:rFonts w:ascii="Times New Roman" w:hAnsi="Times New Roman" w:cs="Times New Roman" w:eastAsia="Times New Roman" w:hint="default"/>
          <w:spacing w:val="2"/>
        </w:rPr>
        <w:t>IC</w:t>
      </w:r>
      <w:r>
        <w:rPr>
          <w:spacing w:val="2"/>
        </w:rPr>
        <w:t>卡介质的销售及</w:t>
      </w:r>
      <w:r>
        <w:rPr>
          <w:rFonts w:ascii="Times New Roman" w:hAnsi="Times New Roman" w:cs="Times New Roman" w:eastAsia="Times New Roman" w:hint="default"/>
          <w:spacing w:val="2"/>
        </w:rPr>
        <w:t>IC</w:t>
      </w:r>
      <w:r>
        <w:rPr>
          <w:spacing w:val="2"/>
        </w:rPr>
        <w:t>卡嵌入式软件销售收入，由于</w:t>
      </w:r>
      <w:r>
        <w:rPr>
          <w:rFonts w:ascii="Times New Roman" w:hAnsi="Times New Roman" w:cs="Times New Roman" w:eastAsia="Times New Roman" w:hint="default"/>
          <w:spacing w:val="2"/>
        </w:rPr>
        <w:t>IC</w:t>
      </w:r>
      <w:r>
        <w:rPr>
          <w:spacing w:val="2"/>
        </w:rPr>
        <w:t>卡嵌入式软件是随同</w:t>
      </w:r>
      <w:r>
        <w:rPr>
          <w:rFonts w:ascii="Times New Roman" w:hAnsi="Times New Roman" w:cs="Times New Roman" w:eastAsia="Times New Roman" w:hint="default"/>
          <w:spacing w:val="2"/>
        </w:rPr>
        <w:t>IC</w:t>
      </w:r>
      <w:r>
        <w:rPr>
          <w:spacing w:val="2"/>
        </w:rPr>
        <w:t>卡介质一并交</w:t>
      </w:r>
    </w:p>
    <w:p>
      <w:pPr>
        <w:pStyle w:val="BodyText"/>
        <w:spacing w:line="240" w:lineRule="auto" w:before="13"/>
        <w:ind w:right="1133"/>
        <w:jc w:val="left"/>
      </w:pPr>
      <w:r>
        <w:rPr/>
        <w:t>付，故该嵌入式软件收入确认原则与</w:t>
      </w:r>
      <w:r>
        <w:rPr>
          <w:rFonts w:ascii="Times New Roman" w:hAnsi="Times New Roman" w:cs="Times New Roman" w:eastAsia="Times New Roman" w:hint="default"/>
        </w:rPr>
        <w:t>IC</w:t>
      </w:r>
      <w:r>
        <w:rPr/>
        <w:t>卡介质收入确认原则相同。</w:t>
      </w:r>
    </w:p>
    <w:p>
      <w:pPr>
        <w:pStyle w:val="BodyText"/>
        <w:spacing w:line="300" w:lineRule="auto" w:before="63"/>
        <w:ind w:right="1131" w:firstLine="480"/>
        <w:jc w:val="both"/>
      </w:pPr>
      <w:r>
        <w:rPr>
          <w:spacing w:val="-2"/>
        </w:rPr>
        <w:t>本公司</w:t>
      </w:r>
      <w:r>
        <w:rPr>
          <w:rFonts w:ascii="Times New Roman" w:hAnsi="Times New Roman" w:cs="Times New Roman" w:eastAsia="Times New Roman" w:hint="default"/>
          <w:spacing w:val="-2"/>
        </w:rPr>
        <w:t>IC</w:t>
      </w:r>
      <w:r>
        <w:rPr>
          <w:spacing w:val="-2"/>
        </w:rPr>
        <w:t>卡根据《企业会计准则第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收入》中销售商品确认原则，在</w:t>
      </w:r>
      <w:r>
        <w:rPr>
          <w:rFonts w:ascii="Times New Roman" w:hAnsi="Times New Roman" w:cs="Times New Roman" w:eastAsia="Times New Roman" w:hint="default"/>
          <w:spacing w:val="-2"/>
        </w:rPr>
        <w:t>IC</w:t>
      </w:r>
      <w:r>
        <w:rPr>
          <w:spacing w:val="-2"/>
        </w:rPr>
        <w:t>卡交付并取得客户验收确认后，相关的收入</w:t>
      </w:r>
      <w:r>
        <w:rPr/>
        <w:t> 已经实现或取得收款的证据，本公司确认</w:t>
      </w:r>
      <w:r>
        <w:rPr>
          <w:rFonts w:ascii="Times New Roman" w:hAnsi="Times New Roman" w:cs="Times New Roman" w:eastAsia="Times New Roman" w:hint="default"/>
        </w:rPr>
        <w:t>IC</w:t>
      </w:r>
      <w:r>
        <w:rPr/>
        <w:t>卡销售收入实现。</w:t>
      </w:r>
    </w:p>
    <w:p>
      <w:pPr>
        <w:pStyle w:val="BodyText"/>
        <w:spacing w:line="300" w:lineRule="auto" w:before="13"/>
        <w:ind w:left="633" w:right="3433"/>
        <w:jc w:val="left"/>
      </w:pPr>
      <w:r>
        <w:rPr/>
        <w:t>（</w:t>
      </w:r>
      <w:r>
        <w:rPr>
          <w:rFonts w:ascii="Times New Roman" w:hAnsi="Times New Roman" w:cs="Times New Roman" w:eastAsia="Times New Roman" w:hint="default"/>
        </w:rPr>
        <w:t>3</w:t>
      </w:r>
      <w:r>
        <w:rPr/>
        <w:t>）技术服务收入 本公司在提供技术服务期间内，在劳务提供后，根据合同约定服务期间分期确认收入。</w:t>
      </w:r>
    </w:p>
    <w:p>
      <w:pPr>
        <w:pStyle w:val="BodyText"/>
        <w:spacing w:line="300" w:lineRule="auto" w:before="31"/>
        <w:ind w:left="633" w:right="4153"/>
        <w:jc w:val="left"/>
      </w:pPr>
      <w:r>
        <w:rPr/>
        <w:t>（</w:t>
      </w:r>
      <w:r>
        <w:rPr>
          <w:rFonts w:ascii="Times New Roman" w:hAnsi="Times New Roman" w:cs="Times New Roman" w:eastAsia="Times New Roman" w:hint="default"/>
        </w:rPr>
        <w:t>4</w:t>
      </w:r>
      <w:r>
        <w:rPr/>
        <w:t>）系统集成及外购硬件销售收入 本公司系统集成及外购硬件销售收入包括系统集成收入及外购硬件销售收入。</w:t>
      </w:r>
    </w:p>
    <w:p>
      <w:pPr>
        <w:pStyle w:val="BodyText"/>
        <w:spacing w:line="319" w:lineRule="auto" w:before="31"/>
        <w:ind w:left="633" w:right="1133"/>
        <w:jc w:val="left"/>
      </w:pPr>
      <w:r>
        <w:rPr/>
        <w:t>①本公司系统集成项目指本公司依客户要求提供采购硬件、软件并进行集成安装及调试的项目。 </w:t>
      </w:r>
      <w:r>
        <w:rPr>
          <w:spacing w:val="-1"/>
        </w:rPr>
        <w:t>本公司系统集成项目在系统安装调试完毕且项目经过客户初步验收后，相关的收入已经实现或取得收款的证据，本公</w:t>
      </w:r>
    </w:p>
    <w:p>
      <w:pPr>
        <w:pStyle w:val="BodyText"/>
        <w:spacing w:line="240" w:lineRule="auto" w:before="17"/>
        <w:ind w:right="1133"/>
        <w:jc w:val="left"/>
      </w:pPr>
      <w:r>
        <w:rPr/>
        <w:t>司确认系统集成收入实现。</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9" w:lineRule="auto" w:before="44"/>
        <w:ind w:right="1111" w:firstLine="480"/>
        <w:jc w:val="both"/>
      </w:pPr>
      <w:r>
        <w:rPr/>
        <w:t>②本公司外购硬件销售业务指本公司为客户提供系统集成所需硬件及配套办公设备，该等硬件均为本公司外购硬件。 本公司外购硬件业务根据《企业会计准则第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收入》中销售商品收入确认原则，在商品交付并经客户验收后，相关的收</w:t>
      </w:r>
      <w:r>
        <w:rPr>
          <w:spacing w:val="-57"/>
        </w:rPr>
        <w:t> </w:t>
      </w:r>
      <w:r>
        <w:rPr>
          <w:spacing w:val="-57"/>
        </w:rPr>
      </w:r>
      <w:r>
        <w:rPr/>
        <w:t>入已经实现或取得收款的证据，本公司确认外购硬件销售收入实现。</w:t>
      </w:r>
    </w:p>
    <w:p>
      <w:pPr>
        <w:pStyle w:val="BodyText"/>
        <w:spacing w:line="300" w:lineRule="auto" w:before="24"/>
        <w:ind w:left="633" w:right="1053"/>
        <w:jc w:val="left"/>
      </w:pPr>
      <w:r>
        <w:rPr/>
        <w:t>（</w:t>
      </w:r>
      <w:r>
        <w:rPr>
          <w:rFonts w:ascii="Times New Roman" w:hAnsi="Times New Roman" w:cs="Times New Roman" w:eastAsia="Times New Roman" w:hint="default"/>
        </w:rPr>
        <w:t>5</w:t>
      </w:r>
      <w:r>
        <w:rPr/>
        <w:t>）自制硬件销售收入 本公司自制硬件指本公司自主研发的硬件设备，采用</w:t>
      </w:r>
      <w:r>
        <w:rPr>
          <w:rFonts w:ascii="Times New Roman" w:hAnsi="Times New Roman" w:cs="Times New Roman" w:eastAsia="Times New Roman" w:hint="default"/>
        </w:rPr>
        <w:t>OEM</w:t>
      </w:r>
      <w:r>
        <w:rPr/>
        <w:t>方式生产，主要包括</w:t>
      </w:r>
      <w:r>
        <w:rPr>
          <w:rFonts w:ascii="Times New Roman" w:hAnsi="Times New Roman" w:cs="Times New Roman" w:eastAsia="Times New Roman" w:hint="default"/>
        </w:rPr>
        <w:t>IC</w:t>
      </w:r>
      <w:r>
        <w:rPr/>
        <w:t>卡读写设备、民生自助服务终端等。</w:t>
      </w:r>
    </w:p>
    <w:p>
      <w:pPr>
        <w:pStyle w:val="BodyText"/>
        <w:spacing w:line="300" w:lineRule="auto" w:before="13"/>
        <w:ind w:right="1133"/>
        <w:jc w:val="left"/>
      </w:pPr>
      <w:r>
        <w:rPr/>
        <w:t>本公司自制硬件销售业务收入根据《企业会计准则第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收入》中销售商品收入确认原则，在商品交付并经客户验收后，</w:t>
      </w:r>
      <w:r>
        <w:rPr>
          <w:spacing w:val="-55"/>
        </w:rPr>
        <w:t> </w:t>
      </w:r>
      <w:r>
        <w:rPr>
          <w:spacing w:val="-55"/>
        </w:rPr>
      </w:r>
      <w:r>
        <w:rPr/>
        <w:t>相关的收入已经实现或取得收款的证据，本公司确认自制硬件销售收入实现。</w:t>
      </w:r>
    </w:p>
    <w:p>
      <w:pPr>
        <w:pStyle w:val="BodyText"/>
        <w:spacing w:line="309" w:lineRule="auto" w:before="31"/>
        <w:ind w:left="633" w:right="1133"/>
        <w:jc w:val="left"/>
      </w:pPr>
      <w:r>
        <w:rPr/>
        <w:t>（</w:t>
      </w:r>
      <w:r>
        <w:rPr>
          <w:rFonts w:ascii="Times New Roman" w:hAnsi="Times New Roman" w:cs="Times New Roman" w:eastAsia="Times New Roman" w:hint="default"/>
        </w:rPr>
        <w:t>6</w:t>
      </w:r>
      <w:r>
        <w:rPr/>
        <w:t>）让渡资产使用权收入 本公司在与让渡资产使用权相关的经济利益能够流入和收入的金额能够可靠的计量时确认让渡资产使用权收入。 </w:t>
      </w:r>
      <w:r>
        <w:rPr>
          <w:spacing w:val="-1"/>
        </w:rPr>
        <w:t>利息收入按使用货币资金的使用时间和适用利率计算确定。使用费收入金额，按照有关合同或协议约定的收费时间和</w:t>
      </w:r>
    </w:p>
    <w:p>
      <w:pPr>
        <w:pStyle w:val="BodyText"/>
        <w:spacing w:line="240" w:lineRule="auto" w:before="24"/>
        <w:ind w:right="1133"/>
        <w:jc w:val="left"/>
      </w:pPr>
      <w:r>
        <w:rPr/>
        <w:t>方法计算确定。</w:t>
      </w:r>
    </w:p>
    <w:p>
      <w:pPr>
        <w:pStyle w:val="BodyText"/>
        <w:spacing w:line="316" w:lineRule="auto" w:before="77"/>
        <w:ind w:left="633" w:right="0"/>
        <w:jc w:val="left"/>
      </w:pPr>
      <w:r>
        <w:rPr/>
        <w:t>本公司商业保理利息收入按照其他方使用本公司货币资金的时间，采用合同利率计算确定。 </w:t>
      </w:r>
      <w:r>
        <w:rPr>
          <w:spacing w:val="-1"/>
        </w:rPr>
        <w:t>本公司融资租赁收入确认方法：在租赁期间内，采用实际利率法对未实现融资收益进行分配，将其确认为融资租赁收</w:t>
      </w:r>
    </w:p>
    <w:p>
      <w:pPr>
        <w:pStyle w:val="BodyText"/>
        <w:spacing w:line="240" w:lineRule="auto" w:before="19"/>
        <w:ind w:right="1133"/>
        <w:jc w:val="left"/>
      </w:pPr>
      <w:r>
        <w:rPr/>
        <w:t>入。</w:t>
      </w:r>
    </w:p>
    <w:p>
      <w:pPr>
        <w:pStyle w:val="BodyText"/>
        <w:spacing w:line="240" w:lineRule="auto" w:before="76"/>
        <w:ind w:left="633" w:right="0"/>
        <w:jc w:val="left"/>
      </w:pPr>
      <w:r>
        <w:rPr/>
        <w:t>保险经纪收入指为客户拟订投保或分保方案、办理投保手续、代办检验、索赔等业务的收入，本公司在合同约定的劳</w:t>
      </w:r>
    </w:p>
    <w:p>
      <w:pPr>
        <w:pStyle w:val="BodyText"/>
        <w:spacing w:line="240" w:lineRule="auto" w:before="76"/>
        <w:ind w:right="0"/>
        <w:jc w:val="both"/>
      </w:pPr>
      <w:r>
        <w:rPr/>
        <w:t>务全部完成时确认经纪佣金收入。</w:t>
      </w:r>
    </w:p>
    <w:p>
      <w:pPr>
        <w:pStyle w:val="BodyText"/>
        <w:spacing w:line="300" w:lineRule="auto" w:before="76"/>
        <w:ind w:left="633" w:right="4693"/>
        <w:jc w:val="left"/>
      </w:pPr>
      <w:r>
        <w:rPr/>
        <w:t>（</w:t>
      </w:r>
      <w:r>
        <w:rPr>
          <w:rFonts w:ascii="Times New Roman" w:hAnsi="Times New Roman" w:cs="Times New Roman" w:eastAsia="Times New Roman" w:hint="default"/>
        </w:rPr>
        <w:t>7</w:t>
      </w:r>
      <w:r>
        <w:rPr/>
        <w:t>）咨询服务收入 本公司在咨询服务提供后，相关的收入已经实现时确认咨询服务收入。</w:t>
      </w:r>
    </w:p>
    <w:p>
      <w:pPr>
        <w:spacing w:line="240" w:lineRule="auto" w:before="7"/>
        <w:rPr>
          <w:rFonts w:ascii="宋体" w:hAnsi="宋体" w:cs="宋体" w:eastAsia="宋体" w:hint="default"/>
          <w:sz w:val="23"/>
          <w:szCs w:val="23"/>
        </w:rPr>
      </w:pPr>
    </w:p>
    <w:p>
      <w:pPr>
        <w:pStyle w:val="Heading3"/>
        <w:spacing w:line="240" w:lineRule="auto"/>
        <w:ind w:right="0"/>
        <w:jc w:val="both"/>
        <w:rPr>
          <w:b w:val="0"/>
          <w:bCs w:val="0"/>
        </w:rPr>
      </w:pPr>
      <w:r>
        <w:rPr>
          <w:rFonts w:ascii="Times New Roman" w:hAnsi="Times New Roman" w:cs="Times New Roman" w:eastAsia="Times New Roman" w:hint="default"/>
        </w:rPr>
        <w:t>40</w:t>
      </w:r>
      <w:r>
        <w:rPr/>
        <w:t>、政府补助</w:t>
      </w:r>
      <w:r>
        <w:rPr>
          <w:b w:val="0"/>
          <w:bCs w:val="0"/>
        </w:rPr>
      </w:r>
    </w:p>
    <w:p>
      <w:pPr>
        <w:spacing w:line="240" w:lineRule="auto" w:before="7"/>
        <w:rPr>
          <w:rFonts w:ascii="宋体" w:hAnsi="宋体" w:cs="宋体" w:eastAsia="宋体" w:hint="default"/>
          <w:b/>
          <w:bCs/>
          <w:sz w:val="26"/>
          <w:szCs w:val="26"/>
        </w:rPr>
      </w:pPr>
    </w:p>
    <w:p>
      <w:pPr>
        <w:spacing w:line="300" w:lineRule="auto" w:before="0"/>
        <w:ind w:left="633" w:right="649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）政府补助的确认</w:t>
      </w:r>
      <w:r>
        <w:rPr>
          <w:rFonts w:ascii="宋体" w:hAnsi="宋体" w:cs="宋体" w:eastAsia="宋体" w:hint="default"/>
          <w:b/>
          <w:bCs/>
          <w:w w:val="99"/>
          <w:sz w:val="18"/>
          <w:szCs w:val="18"/>
        </w:rPr>
        <w:t> </w:t>
      </w:r>
      <w:r>
        <w:rPr>
          <w:rFonts w:ascii="宋体" w:hAnsi="宋体" w:cs="宋体" w:eastAsia="宋体" w:hint="default"/>
          <w:sz w:val="18"/>
          <w:szCs w:val="18"/>
        </w:rPr>
        <w:t>政府补助同时满足下列条件的，才能予以确认：</w:t>
      </w:r>
    </w:p>
    <w:p>
      <w:pPr>
        <w:pStyle w:val="BodyText"/>
        <w:spacing w:line="240" w:lineRule="auto" w:before="31"/>
        <w:ind w:left="633" w:right="1133"/>
        <w:jc w:val="left"/>
      </w:pPr>
      <w:r>
        <w:rPr/>
        <w:t>①本公司能够满足政府补助所附条件；</w:t>
      </w:r>
    </w:p>
    <w:p>
      <w:pPr>
        <w:pStyle w:val="BodyText"/>
        <w:spacing w:line="240" w:lineRule="auto" w:before="76"/>
        <w:ind w:left="633" w:right="1133"/>
        <w:jc w:val="left"/>
      </w:pPr>
      <w:r>
        <w:rPr/>
        <w:t>②本公司能够收到政府补助。</w:t>
      </w:r>
    </w:p>
    <w:p>
      <w:pPr>
        <w:pStyle w:val="BodyText"/>
        <w:spacing w:line="300" w:lineRule="auto" w:before="76"/>
        <w:ind w:left="633" w:right="0" w:firstLine="2"/>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）政府补助的计量</w:t>
      </w:r>
      <w:r>
        <w:rPr>
          <w:rFonts w:ascii="宋体" w:hAnsi="宋体" w:cs="宋体" w:eastAsia="宋体" w:hint="default"/>
          <w:b/>
          <w:bCs/>
          <w:w w:val="99"/>
        </w:rPr>
        <w:t> </w:t>
      </w:r>
      <w:r>
        <w:rPr>
          <w:spacing w:val="-1"/>
        </w:rPr>
        <w:t>政府补助为货币性资产的，按照收到或应收的金额计量。政府补助为非货币性资产的，按照公允价值计量；公允价值</w:t>
      </w:r>
    </w:p>
    <w:p>
      <w:pPr>
        <w:pStyle w:val="BodyText"/>
        <w:spacing w:line="240" w:lineRule="auto" w:before="31"/>
        <w:ind w:right="0"/>
        <w:jc w:val="both"/>
      </w:pPr>
      <w:r>
        <w:rPr/>
        <w:t>不能可靠取得的，按照名义金额</w:t>
      </w:r>
      <w:r>
        <w:rPr>
          <w:rFonts w:ascii="Times New Roman" w:hAnsi="Times New Roman" w:cs="Times New Roman" w:eastAsia="Times New Roman" w:hint="default"/>
        </w:rPr>
        <w:t>1</w:t>
      </w:r>
      <w:r>
        <w:rPr/>
        <w:t>元计量。</w:t>
      </w:r>
    </w:p>
    <w:p>
      <w:pPr>
        <w:pStyle w:val="Heading4"/>
        <w:spacing w:line="240" w:lineRule="auto" w:before="63"/>
        <w:ind w:right="1133"/>
        <w:jc w:val="left"/>
        <w:rPr>
          <w:b w:val="0"/>
          <w:bCs w:val="0"/>
        </w:rPr>
      </w:pPr>
      <w:r>
        <w:rPr/>
        <w:t>（</w:t>
      </w:r>
      <w:r>
        <w:rPr>
          <w:rFonts w:ascii="Times New Roman" w:hAnsi="Times New Roman" w:cs="Times New Roman" w:eastAsia="Times New Roman" w:hint="default"/>
        </w:rPr>
        <w:t>3</w:t>
      </w:r>
      <w:r>
        <w:rPr/>
        <w:t>）政府补助的会计处理</w:t>
      </w:r>
      <w:r>
        <w:rPr>
          <w:b w:val="0"/>
          <w:bCs w:val="0"/>
        </w:rPr>
      </w:r>
    </w:p>
    <w:p>
      <w:pPr>
        <w:pStyle w:val="BodyText"/>
        <w:spacing w:line="316" w:lineRule="auto" w:before="63"/>
        <w:ind w:left="633" w:right="1133"/>
        <w:jc w:val="left"/>
      </w:pPr>
      <w:r>
        <w:rPr/>
        <w:t>①与资产相关的政府补助 </w:t>
      </w:r>
      <w:r>
        <w:rPr>
          <w:spacing w:val="-1"/>
        </w:rPr>
        <w:t>公司取得的、用于购建或以其他方式形成长期资产的政府补助划分为与资产相关的政府补助。与资产相关的政府补助</w:t>
      </w:r>
    </w:p>
    <w:p>
      <w:pPr>
        <w:pStyle w:val="BodyText"/>
        <w:spacing w:line="319" w:lineRule="auto" w:before="19"/>
        <w:ind w:right="1131"/>
        <w:jc w:val="both"/>
      </w:pPr>
      <w:r>
        <w:rPr>
          <w:spacing w:val="-2"/>
        </w:rPr>
        <w:t>确认为递延收益，在相关资产使用期限内按照合理、系统的方法分期计入损益。按照名义金额计量的政府补助，直接计入当</w:t>
      </w:r>
      <w:r>
        <w:rPr>
          <w:spacing w:val="-65"/>
        </w:rPr>
        <w:t> </w:t>
      </w:r>
      <w:r>
        <w:rPr>
          <w:spacing w:val="-65"/>
        </w:rPr>
      </w:r>
      <w:r>
        <w:rPr>
          <w:spacing w:val="-2"/>
        </w:rPr>
        <w:t>期损益。相关资产在使用寿命结束前被出售、转让、报废或发生毁损的，将尚未分配的相关递延收益余额转入资产处置当期</w:t>
      </w:r>
      <w:r>
        <w:rPr>
          <w:spacing w:val="-64"/>
        </w:rPr>
        <w:t> </w:t>
      </w:r>
      <w:r>
        <w:rPr>
          <w:spacing w:val="-64"/>
        </w:rPr>
      </w:r>
      <w:r>
        <w:rPr/>
        <w:t>的损益。</w:t>
      </w:r>
    </w:p>
    <w:p>
      <w:pPr>
        <w:pStyle w:val="BodyText"/>
        <w:spacing w:line="316" w:lineRule="auto" w:before="17"/>
        <w:ind w:left="633" w:right="0"/>
        <w:jc w:val="left"/>
      </w:pPr>
      <w:r>
        <w:rPr/>
        <w:t>②与收益相关的政府补助 </w:t>
      </w:r>
      <w:r>
        <w:rPr>
          <w:spacing w:val="-1"/>
        </w:rPr>
        <w:t>除与资产相关的政府补助之外的政府补助划分为与收益相关的政府补助。与收益相关的政府补助，分情况按照以下规</w:t>
      </w:r>
    </w:p>
    <w:p>
      <w:pPr>
        <w:pStyle w:val="BodyText"/>
        <w:spacing w:line="240" w:lineRule="auto" w:before="16"/>
        <w:ind w:right="0"/>
        <w:jc w:val="both"/>
      </w:pPr>
      <w:r>
        <w:rPr/>
        <w:t>定进行会计处理：</w:t>
      </w:r>
    </w:p>
    <w:p>
      <w:pPr>
        <w:pStyle w:val="BodyText"/>
        <w:spacing w:line="316" w:lineRule="auto" w:before="76"/>
        <w:ind w:right="1119" w:firstLine="480"/>
        <w:jc w:val="left"/>
      </w:pPr>
      <w:r>
        <w:rPr>
          <w:spacing w:val="-1"/>
        </w:rPr>
        <w:t>用于补偿本公司以后期间的相关成本费用或损失的，确认为递延收益，并在确认相关成本费用或损失的期间，计入当</w:t>
      </w:r>
      <w:r>
        <w:rPr/>
        <w:t> 期损益；</w:t>
      </w:r>
    </w:p>
    <w:p>
      <w:pPr>
        <w:pStyle w:val="BodyText"/>
        <w:spacing w:line="316" w:lineRule="auto" w:before="19"/>
        <w:ind w:left="633" w:right="0"/>
        <w:jc w:val="left"/>
      </w:pPr>
      <w:r>
        <w:rPr/>
        <w:t>用于补偿本公司已发生的相关成本费用或损失的，直接计入当期损益。 </w:t>
      </w:r>
      <w:r>
        <w:rPr>
          <w:spacing w:val="-1"/>
        </w:rPr>
        <w:t>对于同时包含与资产相关部分和与收益相关部分的政府补助，区分不同部分分别进行会计处理；难以区分的，整体归</w:t>
      </w:r>
    </w:p>
    <w:p>
      <w:pPr>
        <w:pStyle w:val="BodyText"/>
        <w:spacing w:line="319" w:lineRule="auto" w:before="19"/>
        <w:ind w:left="633" w:right="0" w:hanging="481"/>
        <w:jc w:val="left"/>
      </w:pPr>
      <w:r>
        <w:rPr/>
        <w:t>类为与收益相关的政府补助。 </w:t>
      </w:r>
      <w:r>
        <w:rPr>
          <w:spacing w:val="-1"/>
        </w:rPr>
        <w:t>与本公司日常活动相关的政府补助，按照经济业务实质，计入其他收益。与本公司日常活动无关的政府补助，计入营</w:t>
      </w:r>
    </w:p>
    <w:p>
      <w:pPr>
        <w:pStyle w:val="BodyText"/>
        <w:spacing w:line="240" w:lineRule="auto" w:before="17"/>
        <w:ind w:right="0"/>
        <w:jc w:val="both"/>
      </w:pPr>
      <w:r>
        <w:rPr/>
        <w:t>业外收支。</w:t>
      </w:r>
    </w:p>
    <w:p>
      <w:pPr>
        <w:spacing w:after="0" w:line="240" w:lineRule="auto"/>
        <w:jc w:val="both"/>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left="633" w:right="1133"/>
        <w:jc w:val="left"/>
      </w:pPr>
      <w:r>
        <w:rPr/>
        <w:t>③政策性优惠贷款贴息 </w:t>
      </w:r>
      <w:r>
        <w:rPr>
          <w:spacing w:val="-1"/>
        </w:rPr>
        <w:t>财政将贴息资金拨付给贷款银行，由贷款银行以政策性优惠利率向本公司提供贷款的，以实际收到的借款金额作为借</w:t>
      </w:r>
    </w:p>
    <w:p>
      <w:pPr>
        <w:pStyle w:val="BodyText"/>
        <w:spacing w:line="316" w:lineRule="auto" w:before="19"/>
        <w:ind w:left="633" w:right="4153" w:hanging="481"/>
        <w:jc w:val="left"/>
      </w:pPr>
      <w:r>
        <w:rPr/>
        <w:t>款的入账价值，按照借款本金和该政策性优惠利率计算相关借款费用。 财政将贴息资金直接拨付给本公司，本公司将对应的贴息冲减相关借款费用。</w:t>
      </w:r>
    </w:p>
    <w:p>
      <w:pPr>
        <w:pStyle w:val="BodyText"/>
        <w:spacing w:line="316" w:lineRule="auto" w:before="19"/>
        <w:ind w:left="633" w:right="0"/>
        <w:jc w:val="left"/>
      </w:pPr>
      <w:r>
        <w:rPr/>
        <w:t>④政府补助退回 </w:t>
      </w:r>
      <w:r>
        <w:rPr>
          <w:spacing w:val="-3"/>
        </w:rPr>
        <w:t>已确认的政府补助需要返还时，初始确认时冲减相关资产账面价值的，调整资产账面价值；存在相关递延收益余额的，</w:t>
      </w:r>
    </w:p>
    <w:p>
      <w:pPr>
        <w:pStyle w:val="BodyText"/>
        <w:spacing w:line="240" w:lineRule="auto" w:before="19"/>
        <w:ind w:right="1133"/>
        <w:jc w:val="left"/>
      </w:pPr>
      <w:r>
        <w:rPr/>
        <w:t>冲减相关递延收益账面余额，超出部分计入当期损益；属于其他情况的，直接计入当期损益。</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480"/>
        <w:jc w:val="both"/>
      </w:pPr>
      <w:r>
        <w:rPr>
          <w:spacing w:val="-1"/>
        </w:rPr>
        <w:t>本公司通常根据资产与负债在资产负债表日的账面价值与计税基础之间的暂时性差异，采用资产负债表债务法将应纳</w:t>
      </w:r>
      <w:r>
        <w:rPr/>
        <w:t> </w:t>
      </w:r>
      <w:r>
        <w:rPr>
          <w:spacing w:val="-2"/>
        </w:rPr>
        <w:t>税暂时性差异或可抵扣暂时性差异对所得税的影响额确认和计量为递延所得税负债或递延所得税资产。本公司不对递延所得</w:t>
      </w:r>
      <w:r>
        <w:rPr>
          <w:spacing w:val="-64"/>
        </w:rPr>
        <w:t> </w:t>
      </w:r>
      <w:r>
        <w:rPr>
          <w:spacing w:val="-64"/>
        </w:rPr>
      </w:r>
      <w:r>
        <w:rPr/>
        <w:t>税资产和递延所得税负债进行折现。</w:t>
      </w:r>
    </w:p>
    <w:p>
      <w:pPr>
        <w:spacing w:line="300" w:lineRule="auto" w:before="17"/>
        <w:ind w:left="633" w:right="1133"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）递延所得税资产的确认</w:t>
      </w:r>
      <w:r>
        <w:rPr>
          <w:rFonts w:ascii="宋体" w:hAnsi="宋体" w:cs="宋体" w:eastAsia="宋体" w:hint="default"/>
          <w:b/>
          <w:bCs/>
          <w:w w:val="99"/>
          <w:sz w:val="18"/>
          <w:szCs w:val="18"/>
        </w:rPr>
        <w:t> </w:t>
      </w:r>
      <w:r>
        <w:rPr>
          <w:rFonts w:ascii="宋体" w:hAnsi="宋体" w:cs="宋体" w:eastAsia="宋体" w:hint="default"/>
          <w:spacing w:val="-1"/>
          <w:sz w:val="18"/>
          <w:szCs w:val="18"/>
        </w:rPr>
        <w:t>对于可抵扣暂时性差异、能够结转以后年度的可抵扣亏损和税款抵减，其对所得税的影响额按预计转回期间的所得税</w:t>
      </w:r>
    </w:p>
    <w:p>
      <w:pPr>
        <w:pStyle w:val="BodyText"/>
        <w:spacing w:line="316" w:lineRule="auto" w:before="31"/>
        <w:ind w:right="0"/>
        <w:jc w:val="left"/>
      </w:pPr>
      <w:r>
        <w:rPr>
          <w:spacing w:val="-2"/>
        </w:rPr>
        <w:t>税率计算，并将该影响额确认为递延所得税资产，但是以本公司很可能取得用来抵扣可抵扣暂时性差异、可抵扣亏损和税款</w:t>
      </w:r>
      <w:r>
        <w:rPr>
          <w:spacing w:val="-63"/>
        </w:rPr>
        <w:t> </w:t>
      </w:r>
      <w:r>
        <w:rPr>
          <w:spacing w:val="-63"/>
        </w:rPr>
      </w:r>
      <w:r>
        <w:rPr/>
        <w:t>抵减的未来应纳税所得额为限。</w:t>
      </w:r>
    </w:p>
    <w:p>
      <w:pPr>
        <w:pStyle w:val="BodyText"/>
        <w:spacing w:line="316" w:lineRule="auto" w:before="19"/>
        <w:ind w:right="1133" w:firstLine="480"/>
        <w:jc w:val="left"/>
      </w:pPr>
      <w:r>
        <w:rPr>
          <w:spacing w:val="2"/>
        </w:rPr>
        <w:t>同时具有下列特征的交易或事项中因资产或负债的初始确认所产生的可抵扣暂时性差异对所得税的影响额不确认为</w:t>
      </w:r>
      <w:r>
        <w:rPr/>
        <w:t> 递延所得税资产：</w:t>
      </w:r>
    </w:p>
    <w:p>
      <w:pPr>
        <w:pStyle w:val="BodyText"/>
        <w:spacing w:line="240" w:lineRule="auto" w:before="19"/>
        <w:ind w:left="63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该项交易不是企业合并；</w:t>
      </w:r>
    </w:p>
    <w:p>
      <w:pPr>
        <w:pStyle w:val="BodyText"/>
        <w:spacing w:line="300" w:lineRule="auto" w:before="63"/>
        <w:ind w:left="633" w:right="0"/>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交易发生时既不影响会计利润也不影响应纳税所得额（或可抵扣亏损）。 </w:t>
      </w:r>
      <w:r>
        <w:rPr>
          <w:spacing w:val="-3"/>
        </w:rPr>
        <w:t>本公司对与子公司及联营公司投资相关的可抵扣暂时性差异，同时满足下列两项条件的，其对所得税的影响额（才能）</w:t>
      </w:r>
    </w:p>
    <w:p>
      <w:pPr>
        <w:pStyle w:val="BodyText"/>
        <w:spacing w:line="240" w:lineRule="auto" w:before="31"/>
        <w:ind w:right="1133"/>
        <w:jc w:val="left"/>
      </w:pPr>
      <w:r>
        <w:rPr/>
        <w:t>确认为递延所得税资产：</w:t>
      </w:r>
    </w:p>
    <w:p>
      <w:pPr>
        <w:pStyle w:val="BodyText"/>
        <w:spacing w:line="240" w:lineRule="auto" w:before="76"/>
        <w:ind w:left="633" w:right="1133"/>
        <w:jc w:val="left"/>
      </w:pPr>
      <w:r>
        <w:rPr>
          <w:rFonts w:ascii="Times New Roman" w:hAnsi="Times New Roman" w:cs="Times New Roman" w:eastAsia="Times New Roman" w:hint="default"/>
        </w:rPr>
        <w:t>A.</w:t>
      </w:r>
      <w:r>
        <w:rPr>
          <w:rFonts w:ascii="Times New Roman" w:hAnsi="Times New Roman" w:cs="Times New Roman" w:eastAsia="Times New Roman" w:hint="default"/>
          <w:spacing w:val="27"/>
        </w:rPr>
        <w:t> </w:t>
      </w:r>
      <w:r>
        <w:rPr/>
        <w:t>暂时性差异在可预见的未来很可能转回；</w:t>
      </w:r>
    </w:p>
    <w:p>
      <w:pPr>
        <w:pStyle w:val="BodyText"/>
        <w:spacing w:line="300" w:lineRule="auto" w:before="63"/>
        <w:ind w:left="633" w:right="1133"/>
        <w:jc w:val="left"/>
      </w:pPr>
      <w:r>
        <w:rPr>
          <w:rFonts w:ascii="Times New Roman" w:hAnsi="Times New Roman" w:cs="Times New Roman" w:eastAsia="Times New Roman" w:hint="default"/>
        </w:rPr>
        <w:t>B.</w:t>
      </w:r>
      <w:r>
        <w:rPr>
          <w:rFonts w:ascii="Times New Roman" w:hAnsi="Times New Roman" w:cs="Times New Roman" w:eastAsia="Times New Roman" w:hint="default"/>
          <w:spacing w:val="27"/>
        </w:rPr>
        <w:t> </w:t>
      </w:r>
      <w:r>
        <w:rPr/>
        <w:t>未来很可能获得用来抵扣可抵扣暂时性差异的应纳税所得额； </w:t>
      </w:r>
      <w:r>
        <w:rPr>
          <w:spacing w:val="-1"/>
        </w:rPr>
        <w:t>资产负债表日，有确凿证据表明未来期间很可能获得足够的应纳税所得额用来抵扣可抵扣暂时性差异的，确认以前期</w:t>
      </w:r>
    </w:p>
    <w:p>
      <w:pPr>
        <w:pStyle w:val="BodyText"/>
        <w:spacing w:line="316" w:lineRule="auto" w:before="31"/>
        <w:ind w:left="633" w:right="1133" w:hanging="481"/>
        <w:jc w:val="left"/>
      </w:pPr>
      <w:r>
        <w:rPr/>
        <w:t>间未确认的递延所得税资产。 </w:t>
      </w:r>
      <w:r>
        <w:rPr>
          <w:spacing w:val="-1"/>
        </w:rPr>
        <w:t>在资产负债表日，本公司对递延所得税资产的账面价值进行复核。如果未来期间很可能无法获得足够的应纳税所得额</w:t>
      </w:r>
    </w:p>
    <w:p>
      <w:pPr>
        <w:pStyle w:val="BodyText"/>
        <w:spacing w:line="316" w:lineRule="auto" w:before="19"/>
        <w:ind w:right="1119"/>
        <w:jc w:val="left"/>
      </w:pPr>
      <w:r>
        <w:rPr>
          <w:spacing w:val="-2"/>
        </w:rPr>
        <w:t>用以抵扣递延所得税资产的利益，减记递延所得税资产的账面价值。在很可能获得足够的应纳税所得额时，减记的金额予以</w:t>
      </w:r>
      <w:r>
        <w:rPr>
          <w:spacing w:val="-63"/>
        </w:rPr>
        <w:t> </w:t>
      </w:r>
      <w:r>
        <w:rPr>
          <w:spacing w:val="-63"/>
        </w:rPr>
      </w:r>
      <w:r>
        <w:rPr/>
        <w:t>转回。</w:t>
      </w:r>
    </w:p>
    <w:p>
      <w:pPr>
        <w:spacing w:line="300" w:lineRule="auto" w:before="19"/>
        <w:ind w:left="633" w:right="0" w:firstLine="2"/>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）递延所得税负债的确认</w:t>
      </w:r>
      <w:r>
        <w:rPr>
          <w:rFonts w:ascii="宋体" w:hAnsi="宋体" w:cs="宋体" w:eastAsia="宋体" w:hint="default"/>
          <w:b/>
          <w:bCs/>
          <w:w w:val="99"/>
          <w:sz w:val="18"/>
          <w:szCs w:val="18"/>
        </w:rPr>
        <w:t> </w:t>
      </w:r>
      <w:r>
        <w:rPr>
          <w:rFonts w:ascii="宋体" w:hAnsi="宋体" w:cs="宋体" w:eastAsia="宋体" w:hint="default"/>
          <w:spacing w:val="-1"/>
          <w:sz w:val="18"/>
          <w:szCs w:val="18"/>
        </w:rPr>
        <w:t>本公司所有应纳税暂时性差异均按预计转回期间的所得税税率计量对所得税的影响，并将该影响额确认为递延所得税</w:t>
      </w:r>
    </w:p>
    <w:p>
      <w:pPr>
        <w:pStyle w:val="BodyText"/>
        <w:spacing w:line="240" w:lineRule="auto" w:before="32"/>
        <w:ind w:right="1133"/>
        <w:jc w:val="left"/>
      </w:pPr>
      <w:r>
        <w:rPr/>
        <w:t>负债，但下列情况的除外：</w:t>
      </w:r>
    </w:p>
    <w:p>
      <w:pPr>
        <w:pStyle w:val="BodyText"/>
        <w:spacing w:line="240" w:lineRule="auto" w:before="76"/>
        <w:ind w:left="633" w:right="1133"/>
        <w:jc w:val="left"/>
      </w:pPr>
      <w:r>
        <w:rPr/>
        <w:t>①因下列交易或事项中产生的应纳税暂时性差异对所得税的影响不确认为递延所得税负债：</w:t>
      </w:r>
    </w:p>
    <w:p>
      <w:pPr>
        <w:pStyle w:val="BodyText"/>
        <w:spacing w:line="300" w:lineRule="auto" w:before="76"/>
        <w:ind w:left="633" w:right="1133"/>
        <w:jc w:val="left"/>
      </w:pPr>
      <w:r>
        <w:rPr>
          <w:rFonts w:ascii="Times New Roman" w:hAnsi="Times New Roman" w:cs="Times New Roman" w:eastAsia="Times New Roman" w:hint="default"/>
        </w:rPr>
        <w:t>A.</w:t>
      </w:r>
      <w:r>
        <w:rPr/>
        <w:t>商誉的初始确认； </w:t>
      </w:r>
      <w:r>
        <w:rPr>
          <w:rFonts w:ascii="Times New Roman" w:hAnsi="Times New Roman" w:cs="Times New Roman" w:eastAsia="Times New Roman" w:hint="default"/>
          <w:spacing w:val="-1"/>
        </w:rPr>
        <w:t>B.</w:t>
      </w:r>
      <w:r>
        <w:rPr>
          <w:spacing w:val="-1"/>
        </w:rPr>
        <w:t>具有以下特征的交易中产生的资产或负债的初始确认：该交易不是企业合并，并且交易发生时既不影响会计利润也</w:t>
      </w:r>
    </w:p>
    <w:p>
      <w:pPr>
        <w:pStyle w:val="BodyText"/>
        <w:spacing w:line="240" w:lineRule="auto" w:before="10"/>
        <w:ind w:right="1133"/>
        <w:jc w:val="left"/>
      </w:pPr>
      <w:r>
        <w:rPr/>
        <w:t>不影响应纳税所得额或可抵扣亏损。</w:t>
      </w:r>
    </w:p>
    <w:p>
      <w:pPr>
        <w:pStyle w:val="BodyText"/>
        <w:spacing w:line="316" w:lineRule="auto" w:before="76"/>
        <w:ind w:right="1133" w:firstLine="480"/>
        <w:jc w:val="left"/>
      </w:pPr>
      <w:r>
        <w:rPr>
          <w:spacing w:val="-1"/>
        </w:rPr>
        <w:t>②本公司对与子公司及联营企业投资相关的应纳税暂时性差异，其对所得税的影响额一般确认为递延所得税负债，但</w:t>
      </w:r>
      <w:r>
        <w:rPr/>
        <w:t> 同时满足以下两项条件的除外：</w:t>
      </w:r>
    </w:p>
    <w:p>
      <w:pPr>
        <w:pStyle w:val="BodyText"/>
        <w:spacing w:line="300" w:lineRule="auto" w:before="19"/>
        <w:ind w:left="633" w:right="6328"/>
        <w:jc w:val="left"/>
      </w:pPr>
      <w:r>
        <w:rPr>
          <w:rFonts w:ascii="Times New Roman" w:hAnsi="Times New Roman" w:cs="Times New Roman" w:eastAsia="Times New Roman" w:hint="default"/>
        </w:rPr>
        <w:t>A.</w:t>
      </w:r>
      <w:r>
        <w:rPr/>
        <w:t>本公司能够控制暂时性差异转回的时间； </w:t>
      </w:r>
      <w:r>
        <w:rPr>
          <w:rFonts w:ascii="Times New Roman" w:hAnsi="Times New Roman" w:cs="Times New Roman" w:eastAsia="Times New Roman" w:hint="default"/>
        </w:rPr>
        <w:t>B.</w:t>
      </w:r>
      <w:r>
        <w:rPr/>
        <w:t>该暂时性差异在可预见的未来很可能不会转回。</w:t>
      </w:r>
    </w:p>
    <w:p>
      <w:pPr>
        <w:pStyle w:val="Heading4"/>
        <w:spacing w:line="240" w:lineRule="auto" w:before="13"/>
        <w:ind w:right="1133"/>
        <w:jc w:val="left"/>
        <w:rPr>
          <w:b w:val="0"/>
          <w:bCs w:val="0"/>
        </w:rPr>
      </w:pPr>
      <w:r>
        <w:rPr/>
        <w:t>（</w:t>
      </w:r>
      <w:r>
        <w:rPr>
          <w:rFonts w:ascii="Times New Roman" w:hAnsi="Times New Roman" w:cs="Times New Roman" w:eastAsia="Times New Roman" w:hint="default"/>
        </w:rPr>
        <w:t>3</w:t>
      </w:r>
      <w:r>
        <w:rPr/>
        <w:t>）特定交易或事项所涉及的递延所得税负债或资产的确认</w:t>
      </w:r>
      <w:r>
        <w:rPr>
          <w:b w:val="0"/>
          <w:bCs w:val="0"/>
        </w:rPr>
      </w:r>
    </w:p>
    <w:p>
      <w:pPr>
        <w:pStyle w:val="BodyText"/>
        <w:spacing w:line="316" w:lineRule="auto" w:before="63"/>
        <w:ind w:left="633" w:right="0"/>
        <w:jc w:val="left"/>
      </w:pPr>
      <w:r>
        <w:rPr/>
        <w:t>①与企业合并相关的递延所得税负债或资产 </w:t>
      </w:r>
      <w:r>
        <w:rPr>
          <w:spacing w:val="-1"/>
        </w:rPr>
        <w:t>非同一控制下企业合并产生的应纳税暂时性差异或可抵扣暂时性差异，在确认递延所得税负债或递延所得税资产的同</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0"/>
        <w:jc w:val="both"/>
      </w:pPr>
      <w:r>
        <w:rPr/>
        <w:t>时，相关的递延所得税费用（或收益），通常调整企业合并中所确认的商誉。</w:t>
      </w:r>
    </w:p>
    <w:p>
      <w:pPr>
        <w:pStyle w:val="BodyText"/>
        <w:spacing w:line="316" w:lineRule="auto" w:before="76"/>
        <w:ind w:left="633" w:right="1133"/>
        <w:jc w:val="left"/>
      </w:pPr>
      <w:r>
        <w:rPr/>
        <w:t>②直接计入所有者权益的项目 </w:t>
      </w:r>
      <w:r>
        <w:rPr>
          <w:spacing w:val="-1"/>
        </w:rPr>
        <w:t>与直接计入所有者权益的交易或者事项相关的当期所得税和递延所得税，计入所有者权益。暂时性差异对所得税的影</w:t>
      </w:r>
    </w:p>
    <w:p>
      <w:pPr>
        <w:pStyle w:val="BodyText"/>
        <w:spacing w:line="316" w:lineRule="auto" w:before="19"/>
        <w:ind w:right="1133"/>
        <w:jc w:val="both"/>
      </w:pPr>
      <w:r>
        <w:rPr>
          <w:spacing w:val="-2"/>
        </w:rPr>
        <w:t>响计入所有者权益的交易或事项包括：可供出售金融资产公允价值变动等形成的其他综合收益、会计政策变更采用追溯调整</w:t>
      </w:r>
      <w:r>
        <w:rPr>
          <w:spacing w:val="-64"/>
        </w:rPr>
        <w:t> </w:t>
      </w:r>
      <w:r>
        <w:rPr>
          <w:spacing w:val="-64"/>
        </w:rPr>
      </w:r>
      <w:r>
        <w:rPr>
          <w:spacing w:val="-2"/>
        </w:rPr>
        <w:t>法或对前期（重要）会计差错更正差异追溯重述法调整期初留存收益、同时包含负债成份及权益成份的混合金融工具在初始</w:t>
      </w:r>
      <w:r>
        <w:rPr>
          <w:spacing w:val="-66"/>
        </w:rPr>
        <w:t> </w:t>
      </w:r>
      <w:r>
        <w:rPr>
          <w:spacing w:val="-66"/>
        </w:rPr>
      </w:r>
      <w:r>
        <w:rPr/>
        <w:t>确认时计入所有者权益等。</w:t>
      </w:r>
    </w:p>
    <w:p>
      <w:pPr>
        <w:pStyle w:val="BodyText"/>
        <w:spacing w:line="240" w:lineRule="auto" w:before="19"/>
        <w:ind w:left="633" w:right="1133"/>
        <w:jc w:val="left"/>
      </w:pPr>
      <w:r>
        <w:rPr/>
        <w:t>③可弥补亏损和税款抵减</w:t>
      </w:r>
    </w:p>
    <w:p>
      <w:pPr>
        <w:pStyle w:val="BodyText"/>
        <w:spacing w:line="300" w:lineRule="auto" w:before="76"/>
        <w:ind w:left="633" w:right="0"/>
        <w:jc w:val="left"/>
      </w:pPr>
      <w:r>
        <w:rPr>
          <w:rFonts w:ascii="Times New Roman" w:hAnsi="Times New Roman" w:cs="Times New Roman" w:eastAsia="Times New Roman" w:hint="default"/>
        </w:rPr>
        <w:t>A.</w:t>
      </w:r>
      <w:r>
        <w:rPr/>
        <w:t>本公司自身经营产生的可弥补亏损以及税款抵减 </w:t>
      </w:r>
      <w:r>
        <w:rPr>
          <w:spacing w:val="-1"/>
        </w:rPr>
        <w:t>可抵扣亏损是指按照税法规定计算确定的准予用以后年度的应纳税所得额弥补的亏损。对于按照税法规定可以结转以</w:t>
      </w:r>
    </w:p>
    <w:p>
      <w:pPr>
        <w:pStyle w:val="BodyText"/>
        <w:spacing w:line="319" w:lineRule="auto" w:before="31"/>
        <w:ind w:right="1130"/>
        <w:jc w:val="both"/>
      </w:pPr>
      <w:r>
        <w:rPr>
          <w:spacing w:val="-2"/>
        </w:rPr>
        <w:t>后年度的未弥补亏损（可抵扣亏损）和税款抵减，视同可抵扣暂时性差异处理。在预计可利用可弥补亏损或税款抵减的未来</w:t>
      </w:r>
      <w:r>
        <w:rPr>
          <w:spacing w:val="-64"/>
        </w:rPr>
        <w:t> </w:t>
      </w:r>
      <w:r>
        <w:rPr>
          <w:spacing w:val="-64"/>
        </w:rPr>
      </w:r>
      <w:r>
        <w:rPr>
          <w:spacing w:val="-2"/>
        </w:rPr>
        <w:t>期间内很可能取得足够的应纳税所得额时，以很可能取得的应纳税所得额为限，确认相应的递延所得税资产，同时减少当期</w:t>
      </w:r>
      <w:r>
        <w:rPr>
          <w:spacing w:val="-63"/>
        </w:rPr>
        <w:t> </w:t>
      </w:r>
      <w:r>
        <w:rPr>
          <w:spacing w:val="-63"/>
        </w:rPr>
      </w:r>
      <w:r>
        <w:rPr/>
        <w:t>利润表中的所得税费用。</w:t>
      </w:r>
    </w:p>
    <w:p>
      <w:pPr>
        <w:pStyle w:val="BodyText"/>
        <w:spacing w:line="300" w:lineRule="auto" w:before="17"/>
        <w:ind w:left="633" w:right="0"/>
        <w:jc w:val="left"/>
      </w:pPr>
      <w:r>
        <w:rPr>
          <w:rFonts w:ascii="Times New Roman" w:hAnsi="Times New Roman" w:cs="Times New Roman" w:eastAsia="Times New Roman" w:hint="default"/>
        </w:rPr>
        <w:t>B.</w:t>
      </w:r>
      <w:r>
        <w:rPr/>
        <w:t>因企业合并而形成的可弥补的被合并企业的未弥补亏损 </w:t>
      </w:r>
      <w:r>
        <w:rPr>
          <w:spacing w:val="-3"/>
        </w:rPr>
        <w:t>在企业合并中，本公司取得被购买方的可抵扣暂时性差异，在购买日不符合递延所得税资产确认条件的，不予以确认。</w:t>
      </w:r>
    </w:p>
    <w:p>
      <w:pPr>
        <w:pStyle w:val="BodyText"/>
        <w:spacing w:line="309" w:lineRule="auto" w:before="31"/>
        <w:ind w:right="1132"/>
        <w:jc w:val="both"/>
      </w:pPr>
      <w:r>
        <w:rPr>
          <w:spacing w:val="-2"/>
        </w:rPr>
        <w:t>购买日后</w:t>
      </w:r>
      <w:r>
        <w:rPr>
          <w:rFonts w:ascii="Times New Roman" w:hAnsi="Times New Roman" w:cs="Times New Roman" w:eastAsia="Times New Roman" w:hint="default"/>
          <w:spacing w:val="-2"/>
        </w:rPr>
        <w:t>12</w:t>
      </w:r>
      <w:r>
        <w:rPr>
          <w:spacing w:val="-2"/>
        </w:rPr>
        <w:t>个月内，如取得新的或进一步的信息表明购买日的相关情况已经存在，预期被购买方在购买日可抵扣暂时性差异</w:t>
      </w:r>
      <w:r>
        <w:rPr>
          <w:spacing w:val="-63"/>
        </w:rPr>
        <w:t> </w:t>
      </w:r>
      <w:r>
        <w:rPr>
          <w:spacing w:val="-63"/>
        </w:rPr>
      </w:r>
      <w:r>
        <w:rPr>
          <w:spacing w:val="-2"/>
        </w:rPr>
        <w:t>带来的经济利益能够实现的，确认相关的递延所得税资产，同时减少商誉，商誉不足冲减的，差额部分确认为当期损益；除</w:t>
      </w:r>
      <w:r>
        <w:rPr>
          <w:spacing w:val="-67"/>
        </w:rPr>
        <w:t> </w:t>
      </w:r>
      <w:r>
        <w:rPr>
          <w:spacing w:val="-67"/>
        </w:rPr>
      </w:r>
      <w:r>
        <w:rPr/>
        <w:t>上述情况以外，确认与企业合并相关的递延所得税资产，计入当期损益。</w:t>
      </w:r>
    </w:p>
    <w:p>
      <w:pPr>
        <w:pStyle w:val="BodyText"/>
        <w:spacing w:line="316" w:lineRule="auto" w:before="24"/>
        <w:ind w:left="633" w:right="1133"/>
        <w:jc w:val="left"/>
      </w:pPr>
      <w:r>
        <w:rPr/>
        <w:t>④合并抵销形成的暂时性差异 </w:t>
      </w:r>
      <w:r>
        <w:rPr>
          <w:spacing w:val="-1"/>
        </w:rPr>
        <w:t>本公司在编制合并财务报表时，因抵销未实现内部销售损益导致合并资产负债表中资产、负债的账面价值与其在所属</w:t>
      </w:r>
    </w:p>
    <w:p>
      <w:pPr>
        <w:pStyle w:val="BodyText"/>
        <w:spacing w:line="316" w:lineRule="auto" w:before="19"/>
        <w:ind w:right="1131"/>
        <w:jc w:val="both"/>
      </w:pPr>
      <w:r>
        <w:rPr>
          <w:spacing w:val="-2"/>
        </w:rPr>
        <w:t>纳税主体的计税基础之间产生暂时性差异的，在合并资产负债表中确认递延所得税资产或递延所得税负债，同时调整合并利</w:t>
      </w:r>
      <w:r>
        <w:rPr>
          <w:spacing w:val="-62"/>
        </w:rPr>
        <w:t> </w:t>
      </w:r>
      <w:r>
        <w:rPr>
          <w:spacing w:val="-62"/>
        </w:rPr>
      </w:r>
      <w:r>
        <w:rPr/>
        <w:t>润表中的所得税费用，但与直接计入所有者权益的交易或事项及企业合并相关的递延所得税除外。</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635" w:right="1133"/>
        <w:jc w:val="left"/>
        <w:rPr>
          <w:rFonts w:ascii="宋体" w:hAnsi="宋体" w:cs="宋体" w:eastAsia="宋体" w:hint="default"/>
        </w:rPr>
      </w:pPr>
      <w:r>
        <w:rPr/>
        <w:t>本公司将实质上转移了与资产所有权有关的全部风险和报酬的租赁为融资租赁，除此之外的均为经营租赁。</w:t>
      </w:r>
      <w:r>
        <w:rPr>
          <w:rFonts w:ascii="宋体" w:hAnsi="宋体" w:cs="宋体" w:eastAsia="宋体" w:hint="default"/>
        </w:rPr>
        <w:t> </w:t>
      </w:r>
    </w:p>
    <w:p>
      <w:pPr>
        <w:pStyle w:val="BodyText"/>
        <w:spacing w:line="316" w:lineRule="auto" w:before="76"/>
        <w:ind w:right="1129" w:firstLine="482"/>
        <w:jc w:val="both"/>
      </w:pPr>
      <w:r>
        <w:rPr>
          <w:spacing w:val="-1"/>
        </w:rPr>
        <w:t>①本公司作为经营租赁承租人时，将经营租赁的租金支出，在租赁期内各个期间按照直线法或根据租赁资产的使用量</w:t>
      </w:r>
      <w:r>
        <w:rPr/>
        <w:t> </w:t>
      </w:r>
      <w:r>
        <w:rPr>
          <w:spacing w:val="-2"/>
        </w:rPr>
        <w:t>计入当期损益。出租人提供免租期的，本公司将租金总额在不扣除免租期的整个租赁期内，按直线法或其他合理的方法进行</w:t>
      </w:r>
      <w:r>
        <w:rPr>
          <w:spacing w:val="-63"/>
        </w:rPr>
        <w:t> </w:t>
      </w:r>
      <w:r>
        <w:rPr>
          <w:spacing w:val="-63"/>
        </w:rPr>
      </w:r>
      <w:r>
        <w:rPr>
          <w:spacing w:val="-2"/>
        </w:rPr>
        <w:t>分摊，免租期内确认租金费用及相应的负债。出租人承担了承租人某些费用的，本公司按该费用从租金费用总额中扣除后的</w:t>
      </w:r>
      <w:r>
        <w:rPr>
          <w:spacing w:val="-62"/>
        </w:rPr>
        <w:t> </w:t>
      </w:r>
      <w:r>
        <w:rPr>
          <w:spacing w:val="-62"/>
        </w:rPr>
      </w:r>
      <w:r>
        <w:rPr/>
        <w:t>租金费用余额在租赁期内进行分摊。</w:t>
      </w:r>
    </w:p>
    <w:p>
      <w:pPr>
        <w:pStyle w:val="BodyText"/>
        <w:spacing w:line="240" w:lineRule="auto" w:before="19"/>
        <w:ind w:left="635" w:right="1133"/>
        <w:jc w:val="left"/>
      </w:pPr>
      <w:r>
        <w:rPr/>
        <w:t>初始直接费用，计入当期损益。如协议约定或有租金的在实际发生时计入当期损益。</w:t>
      </w:r>
    </w:p>
    <w:p>
      <w:pPr>
        <w:pStyle w:val="BodyText"/>
        <w:spacing w:line="316" w:lineRule="auto" w:before="77"/>
        <w:ind w:right="1130" w:firstLine="482"/>
        <w:jc w:val="both"/>
      </w:pPr>
      <w:r>
        <w:rPr>
          <w:spacing w:val="-1"/>
        </w:rPr>
        <w:t>②本公司作为经营租赁出租人时，采用直线法将收到的租金在租赁期内确认为收益。出租人提供免租期的，出租人将</w:t>
      </w:r>
      <w:r>
        <w:rPr/>
        <w:t> </w:t>
      </w:r>
      <w:r>
        <w:rPr>
          <w:spacing w:val="-2"/>
        </w:rPr>
        <w:t>租金总额在不扣除免租期的整个租赁期内，按直线法或其他合理的方法进行分配，免租期内出租人也确认租金收入。承担了</w:t>
      </w:r>
      <w:r>
        <w:rPr>
          <w:spacing w:val="-63"/>
        </w:rPr>
        <w:t> </w:t>
      </w:r>
      <w:r>
        <w:rPr>
          <w:spacing w:val="-63"/>
        </w:rPr>
      </w:r>
      <w:r>
        <w:rPr/>
        <w:t>承租人某些费用的，本公司按该费用自租金收入总额中扣除后的租金收入余额在租赁期内进行分配。</w:t>
      </w:r>
    </w:p>
    <w:p>
      <w:pPr>
        <w:pStyle w:val="BodyText"/>
        <w:spacing w:line="316" w:lineRule="auto" w:before="19"/>
        <w:ind w:right="1132" w:firstLine="482"/>
        <w:jc w:val="both"/>
      </w:pPr>
      <w:r>
        <w:rPr>
          <w:spacing w:val="-1"/>
        </w:rPr>
        <w:t>初始直接费用，计入当期损益。金额较大的予以资本化，在整个经营租赁期内按照与确认租金收入相同的基础分期计</w:t>
      </w:r>
      <w:r>
        <w:rPr/>
        <w:t> 入当期损益。如协议约定或有租金的在实际发生时计入当期收益。</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0" w:firstLine="482"/>
        <w:jc w:val="both"/>
      </w:pPr>
      <w:r>
        <w:rPr>
          <w:spacing w:val="-1"/>
        </w:rPr>
        <w:t>①本公司作为融资租赁承租人时，在租赁期开始日，将租赁开始日租赁资产公允价值与最低租赁付款额现值两者中较</w:t>
      </w:r>
      <w:r>
        <w:rPr/>
        <w:t> </w:t>
      </w:r>
      <w:r>
        <w:rPr>
          <w:spacing w:val="-2"/>
        </w:rPr>
        <w:t>低者作为租入资产的入账价值，将最低租赁付款额作为长期应付款的入账价值，其差额作为未确认融资费用。在租赁期内各</w:t>
      </w:r>
      <w:r>
        <w:rPr>
          <w:spacing w:val="-63"/>
        </w:rPr>
        <w:t> </w:t>
      </w:r>
      <w:r>
        <w:rPr>
          <w:spacing w:val="-63"/>
        </w:rPr>
      </w:r>
      <w:r>
        <w:rPr/>
        <w:t>个期间采用实际利率法进行分摊，确认为当期融资费用，计入财务费用。</w:t>
      </w:r>
    </w:p>
    <w:p>
      <w:pPr>
        <w:pStyle w:val="BodyText"/>
        <w:spacing w:line="316" w:lineRule="auto" w:before="17"/>
        <w:ind w:left="635" w:right="0"/>
        <w:jc w:val="left"/>
      </w:pPr>
      <w:r>
        <w:rPr/>
        <w:t>发生的初始直接费用，计入租入资产价值。 </w:t>
      </w:r>
      <w:r>
        <w:rPr>
          <w:spacing w:val="-1"/>
        </w:rPr>
        <w:t>在计提融资租赁资产折旧时，本公司采用与自有应折旧资产相一致的折旧政策，折旧期间以租赁合同而定。如果能够</w:t>
      </w:r>
    </w:p>
    <w:p>
      <w:pPr>
        <w:spacing w:after="0" w:line="316"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16" w:lineRule="auto" w:before="44"/>
        <w:ind w:right="1133"/>
        <w:jc w:val="both"/>
      </w:pPr>
      <w:r>
        <w:rPr>
          <w:spacing w:val="-2"/>
        </w:rPr>
        <w:t>合理确定租赁期届满时本公司将会取得租赁资产所有权，以租赁期开始日租赁资产的寿命作为折旧期间；如果无法合理确定</w:t>
      </w:r>
      <w:r>
        <w:rPr>
          <w:spacing w:val="-64"/>
        </w:rPr>
        <w:t> </w:t>
      </w:r>
      <w:r>
        <w:rPr>
          <w:spacing w:val="-64"/>
        </w:rPr>
      </w:r>
      <w:r>
        <w:rPr/>
        <w:t>租赁期届满后本公司是否能够取得租赁资产的所有权，以租赁期与租赁资产寿命两者中较短者作为折旧期间。</w:t>
      </w:r>
    </w:p>
    <w:p>
      <w:pPr>
        <w:pStyle w:val="BodyText"/>
        <w:spacing w:line="316" w:lineRule="auto" w:before="19"/>
        <w:ind w:right="1131" w:firstLine="482"/>
        <w:jc w:val="both"/>
      </w:pPr>
      <w:r>
        <w:rPr>
          <w:spacing w:val="-1"/>
        </w:rPr>
        <w:t>②本公司作为融资租赁出租人时，于租赁期开始日将租赁开始日最低租赁应收款额与初始直接费用之和作为应收融资</w:t>
      </w:r>
      <w:r>
        <w:rPr/>
        <w:t> </w:t>
      </w:r>
      <w:r>
        <w:rPr>
          <w:spacing w:val="-2"/>
        </w:rPr>
        <w:t>租赁款的入账价值，计入资产负债表的长期应收款，同时记录未担保余值；将最低租赁应收款额、初始直接费用及未担保余</w:t>
      </w:r>
      <w:r>
        <w:rPr>
          <w:spacing w:val="-65"/>
        </w:rPr>
        <w:t> </w:t>
      </w:r>
      <w:r>
        <w:rPr>
          <w:spacing w:val="-65"/>
        </w:rPr>
      </w:r>
      <w:r>
        <w:rPr/>
        <w:t>值之和与其现值之和的差额作为未实现融资收益，在租赁期内各个期间采用实际利率法确认为租赁收入。</w:t>
      </w:r>
    </w:p>
    <w:p>
      <w:pPr>
        <w:spacing w:line="240" w:lineRule="auto" w:before="8"/>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43</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3" w:firstLine="482"/>
        <w:jc w:val="both"/>
      </w:pPr>
      <w:r>
        <w:rPr>
          <w:spacing w:val="-3"/>
        </w:rPr>
        <w:t>本公司根据历史经验和其它因素，包括对未来事项的合理预期，对所采用的重要会计估计和关键假设进行持续的评价。</w:t>
      </w:r>
      <w:r>
        <w:rPr/>
        <w:t> 很可能导致下一会计年度资产和负债的账面价值出现重大调整风险的重要会计估计和关键假设列示如下：</w:t>
      </w:r>
    </w:p>
    <w:p>
      <w:pPr>
        <w:pStyle w:val="BodyText"/>
        <w:spacing w:line="300" w:lineRule="auto" w:before="19"/>
        <w:ind w:left="635" w:right="2891"/>
        <w:jc w:val="left"/>
      </w:pPr>
      <w:r>
        <w:rPr/>
        <w:t>（</w:t>
      </w:r>
      <w:r>
        <w:rPr>
          <w:rFonts w:ascii="Times New Roman" w:hAnsi="Times New Roman" w:cs="Times New Roman" w:eastAsia="Times New Roman" w:hint="default"/>
        </w:rPr>
        <w:t>1</w:t>
      </w:r>
      <w:r>
        <w:rPr/>
        <w:t>）金融资产的分类 本公司在确定金融资产的分类时涉及的重大判断包括业务模式及合同现金流量特征的分析等。</w:t>
      </w:r>
    </w:p>
    <w:p>
      <w:pPr>
        <w:pStyle w:val="BodyText"/>
        <w:spacing w:line="316" w:lineRule="auto" w:before="31"/>
        <w:ind w:right="1132" w:firstLine="482"/>
        <w:jc w:val="both"/>
      </w:pPr>
      <w:r>
        <w:rPr>
          <w:spacing w:val="-1"/>
        </w:rPr>
        <w:t>本公司在金融资产组合的层次上确定管理金融资产的业务模式，考虑的因素包括评价和向关键管理人员报告金融资产</w:t>
      </w:r>
      <w:r>
        <w:rPr/>
        <w:t> 业绩的方式、影响金融资产业绩的风险及其管理方式、以及相关业务管理人员获得报酬的方式等。</w:t>
      </w:r>
    </w:p>
    <w:p>
      <w:pPr>
        <w:pStyle w:val="BodyText"/>
        <w:spacing w:line="316" w:lineRule="auto" w:before="19"/>
        <w:ind w:right="1130" w:firstLine="482"/>
        <w:jc w:val="both"/>
      </w:pPr>
      <w:r>
        <w:rPr>
          <w:spacing w:val="-1"/>
        </w:rPr>
        <w:t>本公司在评估金融资产的合同现金流量是否与基本借贷安排相一致时，存在以下主要判断：本金是否可能因提前还款</w:t>
      </w:r>
      <w:r>
        <w:rPr/>
        <w:t> </w:t>
      </w:r>
      <w:r>
        <w:rPr>
          <w:spacing w:val="-2"/>
        </w:rPr>
        <w:t>等原因导致在存续期内的时间分布或者金额发生变动；利息是否仅包括货币时间价值、信用风险、其他基本借贷风险以及与</w:t>
      </w:r>
      <w:r>
        <w:rPr>
          <w:spacing w:val="-63"/>
        </w:rPr>
        <w:t> </w:t>
      </w:r>
      <w:r>
        <w:rPr>
          <w:spacing w:val="-63"/>
        </w:rPr>
      </w:r>
      <w:r>
        <w:rPr>
          <w:spacing w:val="-2"/>
        </w:rPr>
        <w:t>成本和利润的对价。例如，提前偿付的金额是否仅反映了尚未支付的本金及以未偿付本金为基础的利息，以及因提前终止合</w:t>
      </w:r>
      <w:r>
        <w:rPr>
          <w:spacing w:val="-66"/>
        </w:rPr>
        <w:t> </w:t>
      </w:r>
      <w:r>
        <w:rPr>
          <w:spacing w:val="-66"/>
        </w:rPr>
      </w:r>
      <w:r>
        <w:rPr/>
        <w:t>同而支付的合理补偿。</w:t>
      </w:r>
    </w:p>
    <w:p>
      <w:pPr>
        <w:pStyle w:val="BodyText"/>
        <w:spacing w:line="300" w:lineRule="auto" w:before="19"/>
        <w:ind w:left="635" w:right="0"/>
        <w:jc w:val="left"/>
      </w:pPr>
      <w:r>
        <w:rPr/>
        <w:t>（</w:t>
      </w:r>
      <w:r>
        <w:rPr>
          <w:rFonts w:ascii="Times New Roman" w:hAnsi="Times New Roman" w:cs="Times New Roman" w:eastAsia="Times New Roman" w:hint="default"/>
        </w:rPr>
        <w:t>2</w:t>
      </w:r>
      <w:r>
        <w:rPr/>
        <w:t>）应收账款预期信用损失的计量 </w:t>
      </w:r>
      <w:r>
        <w:rPr>
          <w:spacing w:val="-1"/>
        </w:rPr>
        <w:t>本公司通过应收账款违约风险敞口和预期信用损失率计算应收账款预期信用损失，并基于违约概率和违约损失率确定</w:t>
      </w:r>
    </w:p>
    <w:p>
      <w:pPr>
        <w:pStyle w:val="BodyText"/>
        <w:spacing w:line="319" w:lineRule="auto" w:before="31"/>
        <w:ind w:right="1130"/>
        <w:jc w:val="both"/>
      </w:pPr>
      <w:r>
        <w:rPr>
          <w:spacing w:val="-2"/>
        </w:rPr>
        <w:t>预期信用损失率。在确定预期信用损失率时，本公司使用内部历史信用损失经验等数据，并结合当前状况和前瞻性信息对历</w:t>
      </w:r>
      <w:r>
        <w:rPr>
          <w:spacing w:val="-63"/>
        </w:rPr>
        <w:t> </w:t>
      </w:r>
      <w:r>
        <w:rPr>
          <w:spacing w:val="-63"/>
        </w:rPr>
      </w:r>
      <w:r>
        <w:rPr>
          <w:spacing w:val="-2"/>
        </w:rPr>
        <w:t>史数据进行调整。在考虑前瞻性信息时，本公司使用的指标包括经济下滑的风险、外部市场环境、技术环境和客户情况的变</w:t>
      </w:r>
      <w:r>
        <w:rPr>
          <w:spacing w:val="-65"/>
        </w:rPr>
        <w:t> </w:t>
      </w:r>
      <w:r>
        <w:rPr>
          <w:spacing w:val="-65"/>
        </w:rPr>
      </w:r>
      <w:r>
        <w:rPr/>
        <w:t>化等。本公司定期监控并复核与预期信用损失计算相关的假设。</w:t>
      </w:r>
    </w:p>
    <w:p>
      <w:pPr>
        <w:pStyle w:val="BodyText"/>
        <w:spacing w:line="300" w:lineRule="auto" w:before="17"/>
        <w:ind w:left="635" w:right="1119"/>
        <w:jc w:val="left"/>
      </w:pPr>
      <w:r>
        <w:rPr/>
        <w:t>（</w:t>
      </w:r>
      <w:r>
        <w:rPr>
          <w:rFonts w:ascii="Times New Roman" w:hAnsi="Times New Roman" w:cs="Times New Roman" w:eastAsia="Times New Roman" w:hint="default"/>
        </w:rPr>
        <w:t>3</w:t>
      </w:r>
      <w:r>
        <w:rPr/>
        <w:t>）商誉减值 </w:t>
      </w:r>
      <w:r>
        <w:rPr>
          <w:spacing w:val="-1"/>
        </w:rPr>
        <w:t>本公司至少每年评估商誉是否发生减值。这要求对分配了商誉的资产组的使用价值进行估计。估计使用价值时，本公</w:t>
      </w:r>
    </w:p>
    <w:p>
      <w:pPr>
        <w:pStyle w:val="BodyText"/>
        <w:spacing w:line="240" w:lineRule="auto" w:before="31"/>
        <w:ind w:right="0"/>
        <w:jc w:val="both"/>
      </w:pPr>
      <w:r>
        <w:rPr/>
        <w:t>司需要估计未来来自资产组的现金流量，同时选择恰当的折现率计算未来现金流量的现值。</w:t>
      </w:r>
    </w:p>
    <w:p>
      <w:pPr>
        <w:pStyle w:val="BodyText"/>
        <w:spacing w:line="300" w:lineRule="auto" w:before="76"/>
        <w:ind w:left="635" w:right="1091"/>
        <w:jc w:val="left"/>
      </w:pPr>
      <w:r>
        <w:rPr/>
        <w:t>（</w:t>
      </w:r>
      <w:r>
        <w:rPr>
          <w:rFonts w:ascii="Times New Roman" w:hAnsi="Times New Roman" w:cs="Times New Roman" w:eastAsia="Times New Roman" w:hint="default"/>
        </w:rPr>
        <w:t>4</w:t>
      </w:r>
      <w:r>
        <w:rPr/>
        <w:t>）开发支出 确定资本化的金额时，管理层必须做出有关资产的预期未来现金的产生、应采用的折现率以及预计受益期间的假设。</w:t>
      </w:r>
    </w:p>
    <w:p>
      <w:pPr>
        <w:pStyle w:val="BodyText"/>
        <w:spacing w:line="300" w:lineRule="auto" w:before="31"/>
        <w:ind w:left="635" w:right="0"/>
        <w:jc w:val="left"/>
      </w:pPr>
      <w:r>
        <w:rPr/>
        <w:t>（</w:t>
      </w:r>
      <w:r>
        <w:rPr>
          <w:rFonts w:ascii="Times New Roman" w:hAnsi="Times New Roman" w:cs="Times New Roman" w:eastAsia="Times New Roman" w:hint="default"/>
        </w:rPr>
        <w:t>5</w:t>
      </w:r>
      <w:r>
        <w:rPr/>
        <w:t>）递延所得税资产 </w:t>
      </w:r>
      <w:r>
        <w:rPr>
          <w:spacing w:val="-1"/>
        </w:rPr>
        <w:t>在很有可能有足够的应纳税利润来抵扣亏损的限度内，应就所有未利用的税务亏损确认递延所得税资产。这需要管理</w:t>
      </w:r>
    </w:p>
    <w:p>
      <w:pPr>
        <w:pStyle w:val="BodyText"/>
        <w:spacing w:line="240" w:lineRule="auto" w:before="31"/>
        <w:ind w:right="0"/>
        <w:jc w:val="both"/>
      </w:pPr>
      <w:r>
        <w:rPr/>
        <w:t>层运用大量的判断来估计未来应纳税利润发生的时间和金额，结合纳税筹划策略，以决定应确认的递延所得税资产的金额。</w:t>
      </w:r>
    </w:p>
    <w:p>
      <w:pPr>
        <w:pStyle w:val="BodyText"/>
        <w:spacing w:line="300" w:lineRule="auto" w:before="76"/>
        <w:ind w:left="635" w:right="0"/>
        <w:jc w:val="left"/>
      </w:pPr>
      <w:r>
        <w:rPr/>
        <w:t>（</w:t>
      </w:r>
      <w:r>
        <w:rPr>
          <w:rFonts w:ascii="Times New Roman" w:hAnsi="Times New Roman" w:cs="Times New Roman" w:eastAsia="Times New Roman" w:hint="default"/>
        </w:rPr>
        <w:t>6</w:t>
      </w:r>
      <w:r>
        <w:rPr/>
        <w:t>）未上市权益投资的公允价值确定 </w:t>
      </w:r>
      <w:r>
        <w:rPr>
          <w:spacing w:val="-1"/>
        </w:rPr>
        <w:t>未上市的权益投资的公允价值是根据具有类似条款和风险特征的项目当前折现率折现的预计未来现金流量。这种估价</w:t>
      </w:r>
    </w:p>
    <w:p>
      <w:pPr>
        <w:pStyle w:val="BodyText"/>
        <w:spacing w:line="316" w:lineRule="auto" w:before="31"/>
        <w:ind w:right="1130"/>
        <w:jc w:val="both"/>
      </w:pPr>
      <w:r>
        <w:rPr>
          <w:spacing w:val="-2"/>
        </w:rPr>
        <w:t>要求本公司估计预期未来现金流量和折现率，因此具有不确定性。在有限情况下，如果用以确定公允价值的信息不足，或者</w:t>
      </w:r>
      <w:r>
        <w:rPr>
          <w:spacing w:val="-64"/>
        </w:rPr>
        <w:t> </w:t>
      </w:r>
      <w:r>
        <w:rPr>
          <w:spacing w:val="-64"/>
        </w:rPr>
      </w:r>
      <w:r>
        <w:rPr>
          <w:spacing w:val="-2"/>
        </w:rPr>
        <w:t>公允价值的可能估计金额分布范围很广，而成本代表了该范围内对公允价值的最佳估计的，该成本可代表其在该分布范围内</w:t>
      </w:r>
      <w:r>
        <w:rPr>
          <w:spacing w:val="-64"/>
        </w:rPr>
        <w:t> </w:t>
      </w:r>
      <w:r>
        <w:rPr>
          <w:spacing w:val="-64"/>
        </w:rPr>
      </w:r>
      <w:r>
        <w:rPr/>
        <w:t>对公允价值的恰当估计。</w:t>
      </w:r>
    </w:p>
    <w:p>
      <w:pPr>
        <w:spacing w:line="240" w:lineRule="auto" w:before="6"/>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）重要会计政策变更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2"/>
        <w:rPr>
          <w:rFonts w:ascii="宋体" w:hAnsi="宋体" w:cs="宋体" w:eastAsia="宋体" w:hint="default"/>
          <w:sz w:val="6"/>
          <w:szCs w:val="6"/>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404" w:hRule="exact"/>
        </w:trPr>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日，财政部发布的《关于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67"/>
              <w:jc w:val="center"/>
              <w:rPr>
                <w:rFonts w:ascii="宋体" w:hAnsi="宋体" w:cs="宋体" w:eastAsia="宋体" w:hint="default"/>
                <w:sz w:val="18"/>
                <w:szCs w:val="18"/>
              </w:rPr>
            </w:pPr>
            <w:r>
              <w:rPr>
                <w:rFonts w:ascii="宋体" w:hAnsi="宋体" w:cs="宋体" w:eastAsia="宋体" w:hint="default"/>
                <w:sz w:val="18"/>
                <w:szCs w:val="18"/>
              </w:rPr>
              <w:t>经本公司于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日召开的第</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r>
        <w:rPr/>
        <w:pict>
          <v:shape style="position:absolute;margin-left:75.360001pt;margin-top:72.47998pt;width:300.2pt;height:665.3pt;mso-position-horizontal-relative:page;mso-position-vertical-relative:page;z-index:-13264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9"/>
                    <w:rPr>
                      <w:rFonts w:ascii="Times New Roman" w:hAnsi="Times New Roman" w:cs="Times New Roman" w:eastAsia="Times New Roman" w:hint="default"/>
                      <w:sz w:val="23"/>
                      <w:szCs w:val="23"/>
                    </w:rPr>
                  </w:pPr>
                </w:p>
                <w:p>
                  <w:pPr>
                    <w:pStyle w:val="BodyText"/>
                    <w:spacing w:line="240" w:lineRule="auto"/>
                    <w:ind w:left="180" w:right="0" w:firstLine="2523"/>
                    <w:jc w:val="left"/>
                  </w:pPr>
                  <w:r>
                    <w:rPr/>
                    <w:t>】</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2"/>
                    <w:rPr>
                      <w:rFonts w:ascii="Times New Roman" w:hAnsi="Times New Roman" w:cs="Times New Roman" w:eastAsia="Times New Roman" w:hint="default"/>
                      <w:sz w:val="25"/>
                      <w:szCs w:val="25"/>
                    </w:rPr>
                  </w:pPr>
                </w:p>
                <w:p>
                  <w:pPr>
                    <w:pStyle w:val="BodyText"/>
                    <w:spacing w:line="240" w:lineRule="auto"/>
                    <w:ind w:left="0" w:right="0" w:firstLine="180"/>
                    <w:jc w:val="left"/>
                  </w:pPr>
                  <w:r>
                    <w:rPr/>
                    <w:t>对会计政策的相关内容进行调整，</w:t>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7"/>
                    <w:rPr>
                      <w:rFonts w:ascii="Times New Roman" w:hAnsi="Times New Roman" w:cs="Times New Roman" w:eastAsia="Times New Roman" w:hint="default"/>
                      <w:sz w:val="19"/>
                      <w:szCs w:val="19"/>
                    </w:rPr>
                  </w:pPr>
                </w:p>
                <w:p>
                  <w:pPr>
                    <w:pStyle w:val="BodyText"/>
                    <w:spacing w:line="240" w:lineRule="auto"/>
                    <w:ind w:left="0" w:right="0"/>
                    <w:jc w:val="left"/>
                  </w:pPr>
                  <w:r>
                    <w:rPr/>
                    <w:t>本公司按照新金融工具准则的规定，</w:t>
                  </w:r>
                </w:p>
              </w:txbxContent>
            </v:textbox>
            <w10:wrap type="none"/>
          </v:shape>
        </w:pict>
      </w:r>
      <w:r>
        <w:rPr/>
        <w:pict>
          <v:group style="position:absolute;margin-left:216.529999pt;margin-top:121.339981pt;width:159.050pt;height:616.450pt;mso-position-horizontal-relative:page;mso-position-vertical-relative:page;z-index:-1326448" coordorigin="4331,2427" coordsize="3181,12329">
            <v:shape style="position:absolute;left:4331;top:2427;width:3181;height:12329" coordorigin="4331,2427" coordsize="3181,12329" path="m4331,14755l7511,14755,7511,2427,4331,2427,4331,14755xe" filled="true" fillcolor="#ffffff" stroked="false">
              <v:path arrowok="t"/>
              <v:fill type="solid"/>
            </v:shape>
            <w10:wrap type="none"/>
          </v:group>
        </w:pict>
      </w: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3"/>
        <w:gridCol w:w="3188"/>
        <w:gridCol w:w="3190"/>
      </w:tblGrid>
      <w:tr>
        <w:trPr>
          <w:trHeight w:val="322" w:hRule="exact"/>
        </w:trPr>
        <w:tc>
          <w:tcPr>
            <w:tcW w:w="31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修订印发</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年度一般企业财务报表格</w:t>
            </w:r>
          </w:p>
        </w:tc>
        <w:tc>
          <w:tcPr>
            <w:tcW w:w="318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right="44"/>
              <w:jc w:val="right"/>
              <w:rPr>
                <w:rFonts w:ascii="Times New Roman" w:hAnsi="Times New Roman" w:cs="Times New Roman" w:eastAsia="Times New Roman" w:hint="default"/>
                <w:sz w:val="18"/>
                <w:szCs w:val="18"/>
              </w:rPr>
            </w:pPr>
            <w:r>
              <w:rPr>
                <w:rFonts w:ascii="宋体" w:hAnsi="宋体" w:cs="宋体" w:eastAsia="宋体" w:hint="default"/>
                <w:sz w:val="18"/>
                <w:szCs w:val="18"/>
              </w:rPr>
              <w:t>四届董事会第十二次会议、于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p>
        </w:tc>
        <w:tc>
          <w:tcPr>
            <w:tcW w:w="3190" w:type="dxa"/>
            <w:vMerge w:val="restart"/>
            <w:tcBorders>
              <w:top w:val="single" w:sz="4" w:space="0" w:color="000000"/>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式的通知</w:t>
            </w:r>
            <w:r>
              <w:rPr>
                <w:rFonts w:ascii="宋体" w:hAnsi="宋体" w:cs="宋体" w:eastAsia="宋体" w:hint="default"/>
                <w:spacing w:val="-106"/>
                <w:sz w:val="18"/>
                <w:szCs w:val="18"/>
              </w:rPr>
              <w:t>》</w:t>
            </w:r>
            <w:r>
              <w:rPr>
                <w:rFonts w:ascii="宋体" w:hAnsi="宋体" w:cs="宋体" w:eastAsia="宋体" w:hint="default"/>
                <w:sz w:val="18"/>
                <w:szCs w:val="18"/>
              </w:rPr>
              <w:t>（财</w:t>
            </w:r>
            <w:r>
              <w:rPr>
                <w:rFonts w:ascii="宋体" w:hAnsi="宋体" w:cs="宋体" w:eastAsia="宋体" w:hint="default"/>
                <w:spacing w:val="-15"/>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pacing w:val="-17"/>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15"/>
                <w:sz w:val="18"/>
                <w:szCs w:val="18"/>
              </w:rPr>
              <w:t>，</w:t>
            </w:r>
            <w:r>
              <w:rPr>
                <w:rFonts w:ascii="宋体" w:hAnsi="宋体" w:cs="宋体" w:eastAsia="宋体" w:hint="default"/>
                <w:sz w:val="18"/>
                <w:szCs w:val="18"/>
              </w:rPr>
              <w:t>要求对</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9"/>
              <w:jc w:val="righ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日召开的第四届董事会第九次会议</w:t>
            </w: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已执行新金融工具准则但未执行新收入</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z w:val="18"/>
                <w:szCs w:val="18"/>
              </w:rPr>
              <w:t>批准。</w:t>
            </w: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准则和新租赁准则的企业应按如下规定</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3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编制财务报表：</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3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资产负债表中将</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行项目拆分为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及</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p>
        </w:tc>
        <w:tc>
          <w:tcPr>
            <w:tcW w:w="318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49" w:right="0"/>
              <w:jc w:val="left"/>
              <w:rPr>
                <w:rFonts w:ascii="宋体" w:hAnsi="宋体" w:cs="宋体" w:eastAsia="宋体" w:hint="default"/>
                <w:sz w:val="18"/>
                <w:szCs w:val="18"/>
              </w:rPr>
            </w:pPr>
            <w:r>
              <w:rPr>
                <w:rFonts w:ascii="宋体" w:hAnsi="宋体" w:cs="宋体" w:eastAsia="宋体" w:hint="default"/>
                <w:sz w:val="18"/>
                <w:szCs w:val="18"/>
              </w:rPr>
              <w:t>；</w:t>
            </w: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增加</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应收款项融</w:t>
            </w:r>
            <w:r>
              <w:rPr>
                <w:rFonts w:ascii="宋体" w:hAnsi="宋体" w:cs="宋体" w:eastAsia="宋体" w:hint="default"/>
                <w:spacing w:val="-1"/>
                <w:sz w:val="18"/>
                <w:szCs w:val="18"/>
              </w:rPr>
              <w:t>资</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项目</w:t>
            </w:r>
            <w:r>
              <w:rPr>
                <w:rFonts w:ascii="宋体" w:hAnsi="宋体" w:cs="宋体" w:eastAsia="宋体" w:hint="default"/>
                <w:spacing w:val="-85"/>
                <w:sz w:val="18"/>
                <w:szCs w:val="18"/>
              </w:rPr>
              <w:t>，</w:t>
            </w:r>
            <w:r>
              <w:rPr>
                <w:rFonts w:ascii="宋体" w:hAnsi="宋体" w:cs="宋体" w:eastAsia="宋体" w:hint="default"/>
                <w:sz w:val="18"/>
                <w:szCs w:val="18"/>
              </w:rPr>
              <w:t>反映资产负债</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表日以公允价值计量且其变动计入其他</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综合收益的应收票据和应收账款等；将</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行项目拆分为</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应付票据</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及</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应付账款</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。利润表中在投</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资收益项目下增加</w:t>
            </w:r>
            <w:r>
              <w:rPr>
                <w:rFonts w:ascii="Times New Roman" w:hAnsi="Times New Roman" w:cs="Times New Roman" w:eastAsia="Times New Roman" w:hint="default"/>
                <w:sz w:val="18"/>
                <w:szCs w:val="18"/>
              </w:rPr>
              <w:t>“</w:t>
            </w:r>
            <w:r>
              <w:rPr>
                <w:rFonts w:ascii="宋体" w:hAnsi="宋体" w:cs="宋体" w:eastAsia="宋体" w:hint="default"/>
                <w:sz w:val="18"/>
                <w:szCs w:val="18"/>
              </w:rPr>
              <w:t>以摊余成本计量的</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金融资产终止确认收益（损失以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31"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列）</w:t>
            </w:r>
            <w:r>
              <w:rPr>
                <w:rFonts w:ascii="Times New Roman" w:hAnsi="Times New Roman" w:cs="Times New Roman" w:eastAsia="Times New Roman" w:hint="default"/>
                <w:sz w:val="18"/>
                <w:szCs w:val="18"/>
              </w:rPr>
              <w:t>”</w:t>
            </w:r>
            <w:r>
              <w:rPr>
                <w:rFonts w:ascii="宋体" w:hAnsi="宋体" w:cs="宋体" w:eastAsia="宋体" w:hint="default"/>
                <w:sz w:val="18"/>
                <w:szCs w:val="18"/>
              </w:rPr>
              <w:t>的明细项目。</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31"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24"/>
              <w:ind w:left="24" w:right="0"/>
              <w:jc w:val="left"/>
              <w:rPr>
                <w:rFonts w:ascii="宋体" w:hAnsi="宋体" w:cs="宋体" w:eastAsia="宋体" w:hint="default"/>
                <w:sz w:val="18"/>
                <w:szCs w:val="18"/>
              </w:rPr>
            </w:pPr>
            <w:r>
              <w:rPr>
                <w:rFonts w:ascii="宋体" w:hAnsi="宋体" w:cs="宋体" w:eastAsia="宋体" w:hint="default"/>
                <w:spacing w:val="-5"/>
                <w:sz w:val="18"/>
                <w:szCs w:val="18"/>
              </w:rPr>
              <w:t>本公司根据财会【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6</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号规定的财务</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报表格式编制比较报表，并采用追溯调</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3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整法变更了相关财务报表列报。</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3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31"/>
              <w:ind w:left="24"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日分别发布了</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《企业会计准则第</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金融工具确认</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和计量</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pacing w:val="1"/>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《企业会</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金融资产转</w:t>
            </w:r>
            <w:r>
              <w:rPr>
                <w:rFonts w:ascii="宋体" w:hAnsi="宋体" w:cs="宋体" w:eastAsia="宋体" w:hint="default"/>
                <w:spacing w:val="-3"/>
                <w:sz w:val="18"/>
                <w:szCs w:val="18"/>
              </w:rPr>
              <w:t>移</w:t>
            </w:r>
            <w:r>
              <w:rPr>
                <w:rFonts w:ascii="宋体" w:hAnsi="宋体" w:cs="宋体" w:eastAsia="宋体" w:hint="default"/>
                <w:spacing w:val="-92"/>
                <w:sz w:val="18"/>
                <w:szCs w:val="18"/>
              </w:rPr>
              <w:t>》</w:t>
            </w:r>
            <w:r>
              <w:rPr>
                <w:rFonts w:ascii="宋体" w:hAnsi="宋体" w:cs="宋体" w:eastAsia="宋体" w:hint="default"/>
                <w:sz w:val="18"/>
                <w:szCs w:val="18"/>
              </w:rPr>
              <w:t>（财会</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套期会计</w:t>
            </w:r>
            <w:r>
              <w:rPr>
                <w:rFonts w:ascii="宋体" w:hAnsi="宋体" w:cs="宋体" w:eastAsia="宋体" w:hint="default"/>
                <w:spacing w:val="-92"/>
                <w:sz w:val="18"/>
                <w:szCs w:val="18"/>
              </w:rPr>
              <w:t>》</w:t>
            </w:r>
            <w:r>
              <w:rPr>
                <w:rFonts w:ascii="宋体" w:hAnsi="宋体" w:cs="宋体" w:eastAsia="宋体" w:hint="default"/>
                <w:sz w:val="18"/>
                <w:szCs w:val="18"/>
              </w:rPr>
              <w:t>（财会</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2017</w:t>
            </w:r>
            <w:r>
              <w:rPr>
                <w:rFonts w:ascii="宋体" w:hAnsi="宋体" w:cs="宋体" w:eastAsia="宋体" w:hint="default"/>
                <w:spacing w:val="-3"/>
                <w:sz w:val="18"/>
                <w:szCs w:val="18"/>
              </w:rPr>
              <w:t>】</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z w:val="18"/>
                <w:szCs w:val="18"/>
              </w:rPr>
              <w:t>，于</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日发布了《企业会计准则</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第</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金融工具列报</w:t>
            </w:r>
            <w:r>
              <w:rPr>
                <w:rFonts w:ascii="宋体" w:hAnsi="宋体" w:cs="宋体" w:eastAsia="宋体" w:hint="default"/>
                <w:spacing w:val="-99"/>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财</w:t>
            </w:r>
            <w:r>
              <w:rPr>
                <w:rFonts w:ascii="宋体" w:hAnsi="宋体" w:cs="宋体" w:eastAsia="宋体" w:hint="default"/>
                <w:spacing w:val="-8"/>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7</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4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r>
              <w:rPr>
                <w:rFonts w:ascii="宋体" w:hAnsi="宋体" w:cs="宋体" w:eastAsia="宋体" w:hint="default"/>
                <w:spacing w:val="-96"/>
                <w:sz w:val="18"/>
                <w:szCs w:val="18"/>
              </w:rPr>
              <w:t>）</w:t>
            </w:r>
            <w:r>
              <w:rPr>
                <w:rFonts w:ascii="宋体" w:hAnsi="宋体" w:cs="宋体" w:eastAsia="宋体" w:hint="default"/>
                <w:sz w:val="18"/>
                <w:szCs w:val="18"/>
              </w:rPr>
              <w:t>（上述准则以下统</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3"/>
                <w:sz w:val="18"/>
                <w:szCs w:val="18"/>
              </w:rPr>
              <w:t>新</w:t>
            </w:r>
            <w:r>
              <w:rPr>
                <w:rFonts w:ascii="宋体" w:hAnsi="宋体" w:cs="宋体" w:eastAsia="宋体" w:hint="default"/>
                <w:sz w:val="18"/>
                <w:szCs w:val="18"/>
              </w:rPr>
              <w:t>金融工具</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准则</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。要求境内上市企业自</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日起执行新金融工具准则。本公司</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日执行上述新金融工具</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准则，</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38"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详见附注五、</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3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24" w:right="0"/>
              <w:jc w:val="left"/>
              <w:rPr>
                <w:rFonts w:ascii="宋体" w:hAnsi="宋体" w:cs="宋体" w:eastAsia="宋体" w:hint="default"/>
                <w:sz w:val="18"/>
                <w:szCs w:val="18"/>
              </w:rPr>
            </w:pPr>
            <w:r>
              <w:rPr>
                <w:rFonts w:ascii="宋体" w:hAnsi="宋体" w:cs="宋体" w:eastAsia="宋体" w:hint="default"/>
                <w:sz w:val="18"/>
                <w:szCs w:val="18"/>
              </w:rPr>
              <w:t>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日之前的金融工具确认</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和计量与新金融工具准则要求不一致</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的，</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对金融工具的分类和计量（含减值）进</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行追溯调整，将金融工具原账面价值和</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在新金融工具准则施行日（即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日）的新账面价值之间的差额计入</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12"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日的留存收益或其他综合</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07" w:hRule="exact"/>
        </w:trPr>
        <w:tc>
          <w:tcPr>
            <w:tcW w:w="31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4" w:right="0"/>
              <w:jc w:val="left"/>
              <w:rPr>
                <w:rFonts w:ascii="宋体" w:hAnsi="宋体" w:cs="宋体" w:eastAsia="宋体" w:hint="default"/>
                <w:sz w:val="18"/>
                <w:szCs w:val="18"/>
              </w:rPr>
            </w:pPr>
            <w:r>
              <w:rPr>
                <w:rFonts w:ascii="宋体" w:hAnsi="宋体" w:cs="宋体" w:eastAsia="宋体" w:hint="default"/>
                <w:sz w:val="18"/>
                <w:szCs w:val="18"/>
              </w:rPr>
              <w:t>收益。同时，本公司未对比较财务报表</w:t>
            </w:r>
          </w:p>
        </w:tc>
        <w:tc>
          <w:tcPr>
            <w:tcW w:w="3188" w:type="dxa"/>
            <w:tcBorders>
              <w:top w:val="nil" w:sz="6" w:space="0" w:color="auto"/>
              <w:left w:val="single" w:sz="4" w:space="0" w:color="000000"/>
              <w:bottom w:val="nil" w:sz="6" w:space="0" w:color="auto"/>
              <w:right w:val="single" w:sz="4" w:space="0" w:color="000000"/>
            </w:tcBorders>
          </w:tcPr>
          <w:p>
            <w:pPr/>
          </w:p>
        </w:tc>
        <w:tc>
          <w:tcPr>
            <w:tcW w:w="3190" w:type="dxa"/>
            <w:vMerge/>
            <w:tcBorders>
              <w:left w:val="single" w:sz="4" w:space="0" w:color="000000"/>
              <w:right w:val="single" w:sz="4" w:space="0" w:color="000000"/>
            </w:tcBorders>
          </w:tcPr>
          <w:p>
            <w:pPr/>
          </w:p>
        </w:tc>
      </w:tr>
      <w:tr>
        <w:trPr>
          <w:trHeight w:val="358" w:hRule="exact"/>
        </w:trPr>
        <w:tc>
          <w:tcPr>
            <w:tcW w:w="31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4" w:right="0"/>
              <w:jc w:val="left"/>
              <w:rPr>
                <w:rFonts w:ascii="宋体" w:hAnsi="宋体" w:cs="宋体" w:eastAsia="宋体" w:hint="default"/>
                <w:sz w:val="18"/>
                <w:szCs w:val="18"/>
              </w:rPr>
            </w:pPr>
            <w:r>
              <w:rPr>
                <w:rFonts w:ascii="宋体" w:hAnsi="宋体" w:cs="宋体" w:eastAsia="宋体" w:hint="default"/>
                <w:sz w:val="18"/>
                <w:szCs w:val="18"/>
              </w:rPr>
              <w:t>数据进行调整。</w:t>
            </w:r>
          </w:p>
        </w:tc>
        <w:tc>
          <w:tcPr>
            <w:tcW w:w="3188" w:type="dxa"/>
            <w:tcBorders>
              <w:top w:val="nil" w:sz="6" w:space="0" w:color="auto"/>
              <w:left w:val="single" w:sz="4" w:space="0" w:color="000000"/>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8"/>
          <w:szCs w:val="28"/>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）重要会计估计变更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3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160" w:left="980" w:right="0"/>
          <w:cols w:num="2" w:equalWidth="0">
            <w:col w:w="1534" w:space="7387"/>
            <w:col w:w="2009"/>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343,503,676.38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343,503,676.38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结算备付金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拆出资金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739,844,880.10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717,628,253.82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-22,216,626.28</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13,629,985.24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13,629,985.24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应收保费</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应收分保合同准备金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22,553,070.26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21,315,266.93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-1,237,803.33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3,706,866.66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2,469,063.33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-1,237,803.33</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宋体" w:hAnsi="宋体" w:cs="宋体" w:eastAsia="宋体" w:hint="default"/>
                <w:sz w:val="18"/>
                <w:szCs w:val="18"/>
              </w:rPr>
              <w:t>买入返售金融资产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106,481,939.02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106,481,939.02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75,747,784.28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75,747,784.28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10,253,277.82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10,253,277.82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1,312,014,613.10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1,288,560,183.49</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-23,454,429.61</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发放贷款和垫款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-46,000,000.00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5,084,867.23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5,084,867.23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380,972,704.91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380,972,704.91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50,026,398.71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50,026,398.71</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72,949,527.30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72,949,527.30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437,311.93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29,685,551.01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29,685,551.01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9,740,579.47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9,740,579.47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10,275,743.30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10,275,743.30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5,553,550.13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5,553,550.13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42,242,660.33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44,273,326.05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2,030,665.72</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602,942,495.61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608,999,560.04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6,057,064.43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1,914,957,108.71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1,897,559,743.53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-17,397,365.18</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284,500,000.00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285,022,566.54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522,566.54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向中央银行借款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拆入资金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226,126,287.61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226,126,287.61</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98,462,072.77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98,462,072.77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卖出回购金融资产款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吸收存款及同业存放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代理买卖证券款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代理承销证券款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68,851,278.81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68,851,278.81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36,991,413.98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36,991,413.98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64,282,441.19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43,759,874.65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-20,522,566.54</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20,522,566.54</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-20,522,566.54</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应付手续费及佣金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应付分保账款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2,071,379.00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2,071,379.00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781,284,873.36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761,284,873.36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保险合同准备金</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300,221,363.84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320,221,363.84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1,153,636.70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1,153,636.70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300,221,363.84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321,375,000.54</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21,153,636.70</w:t>
            </w: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1,081,506,237.20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1,082,659,873.90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1,153,636.70</w:t>
            </w: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32,401,913.78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32,401,913.78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4,120,171.28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2,960,984.22</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26,927,422.86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26,927,422.86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一般风险准备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250,158,960.13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228,769,939.66</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-21,389,020.47</w:t>
            </w:r>
          </w:p>
        </w:tc>
      </w:tr>
      <w:tr>
        <w:trPr>
          <w:trHeight w:val="715"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90"/>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740,647,483.83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722,219,447.58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-18,428,036.25</w:t>
            </w: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92,803,387.68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92,680,422.05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-122,965.63</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833,450,871.51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814,899,869.63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-18,551,001.88</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1,914,957,108.71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1,897,559,743.53</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-17,397,365.18</w:t>
            </w:r>
          </w:p>
        </w:tc>
      </w:tr>
    </w:tbl>
    <w:p>
      <w:pPr>
        <w:pStyle w:val="BodyText"/>
        <w:spacing w:line="240" w:lineRule="auto" w:before="51"/>
        <w:ind w:right="1133"/>
        <w:jc w:val="left"/>
      </w:pPr>
      <w:r>
        <w:rPr/>
        <w:t>调整情况说明</w:t>
      </w:r>
    </w:p>
    <w:p>
      <w:pPr>
        <w:spacing w:line="240" w:lineRule="auto" w:before="1"/>
        <w:rPr>
          <w:rFonts w:ascii="宋体" w:hAnsi="宋体" w:cs="宋体" w:eastAsia="宋体" w:hint="default"/>
          <w:sz w:val="15"/>
          <w:szCs w:val="15"/>
        </w:rPr>
      </w:pPr>
    </w:p>
    <w:p>
      <w:pPr>
        <w:pStyle w:val="BodyText"/>
        <w:spacing w:line="240" w:lineRule="auto"/>
        <w:ind w:left="573" w:right="1133"/>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spacing w:line="240" w:lineRule="auto" w:before="11"/>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865"/>
        <w:gridCol w:w="1402"/>
        <w:gridCol w:w="1421"/>
        <w:gridCol w:w="1253"/>
        <w:gridCol w:w="1483"/>
        <w:gridCol w:w="1421"/>
      </w:tblGrid>
      <w:tr>
        <w:trPr>
          <w:trHeight w:val="348" w:hRule="exact"/>
        </w:trPr>
        <w:tc>
          <w:tcPr>
            <w:tcW w:w="46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793"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p>
        </w:tc>
        <w:tc>
          <w:tcPr>
            <w:tcW w:w="415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14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p>
        </w:tc>
      </w:tr>
      <w:tr>
        <w:trPr>
          <w:trHeight w:val="346"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8"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739,844,880.10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717,628,253.82</w:t>
            </w:r>
          </w:p>
        </w:tc>
      </w:tr>
      <w:tr>
        <w:trPr>
          <w:trHeight w:val="348"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22,553,070.26</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21,315,266.93</w:t>
            </w:r>
          </w:p>
        </w:tc>
      </w:tr>
      <w:tr>
        <w:trPr>
          <w:trHeight w:val="970" w:hRule="exact"/>
        </w:trPr>
        <w:tc>
          <w:tcPr>
            <w:tcW w:w="18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2"/>
              <w:jc w:val="left"/>
              <w:rPr>
                <w:rFonts w:ascii="宋体" w:hAnsi="宋体" w:cs="宋体" w:eastAsia="宋体" w:hint="default"/>
                <w:sz w:val="18"/>
                <w:szCs w:val="18"/>
              </w:rPr>
            </w:pPr>
            <w:r>
              <w:rPr>
                <w:rFonts w:ascii="宋体" w:hAnsi="宋体" w:cs="宋体" w:eastAsia="宋体" w:hint="default"/>
                <w:spacing w:val="-8"/>
                <w:sz w:val="18"/>
                <w:szCs w:val="18"/>
              </w:rPr>
              <w:t>以成本计量（权益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工具）</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46,000,000.00</w:t>
            </w:r>
          </w:p>
        </w:tc>
        <w:tc>
          <w:tcPr>
            <w:tcW w:w="125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153"/>
              <w:jc w:val="left"/>
              <w:rPr>
                <w:rFonts w:ascii="宋体" w:hAnsi="宋体" w:cs="宋体" w:eastAsia="宋体" w:hint="default"/>
                <w:sz w:val="18"/>
                <w:szCs w:val="18"/>
              </w:rPr>
            </w:pPr>
            <w:r>
              <w:rPr>
                <w:rFonts w:ascii="宋体" w:hAnsi="宋体" w:cs="宋体" w:eastAsia="宋体" w:hint="default"/>
                <w:sz w:val="18"/>
                <w:szCs w:val="18"/>
              </w:rPr>
              <w:t>其他权益工具 投资</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4" w:right="23"/>
              <w:jc w:val="both"/>
              <w:rPr>
                <w:rFonts w:ascii="宋体" w:hAnsi="宋体" w:cs="宋体" w:eastAsia="宋体" w:hint="default"/>
                <w:sz w:val="18"/>
                <w:szCs w:val="18"/>
              </w:rPr>
            </w:pPr>
            <w:r>
              <w:rPr>
                <w:rFonts w:ascii="宋体" w:hAnsi="宋体" w:cs="宋体" w:eastAsia="宋体" w:hint="default"/>
                <w:sz w:val="18"/>
                <w:szCs w:val="18"/>
              </w:rPr>
              <w:t>以公允价值计量且 变动计入其他综合 收益</w:t>
            </w:r>
          </w:p>
        </w:tc>
        <w:tc>
          <w:tcPr>
            <w:tcW w:w="14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50,026,398.71</w:t>
            </w:r>
          </w:p>
        </w:tc>
      </w:tr>
    </w:tbl>
    <w:p>
      <w:pPr>
        <w:spacing w:line="240" w:lineRule="auto" w:before="8"/>
        <w:rPr>
          <w:rFonts w:ascii="宋体" w:hAnsi="宋体" w:cs="宋体" w:eastAsia="宋体" w:hint="default"/>
          <w:sz w:val="6"/>
          <w:szCs w:val="6"/>
        </w:rPr>
      </w:pPr>
    </w:p>
    <w:p>
      <w:pPr>
        <w:pStyle w:val="BodyText"/>
        <w:spacing w:line="240" w:lineRule="auto" w:before="44"/>
        <w:ind w:left="573" w:right="1133"/>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日，按新金融工具准则将原金融资产账面价值调整为新金融工具准则账面价值的调节表</w:t>
      </w:r>
    </w:p>
    <w:p>
      <w:pPr>
        <w:spacing w:line="240" w:lineRule="auto" w:before="1"/>
        <w:rPr>
          <w:rFonts w:ascii="宋体" w:hAnsi="宋体" w:cs="宋体" w:eastAsia="宋体" w:hint="default"/>
          <w:sz w:val="4"/>
          <w:szCs w:val="4"/>
        </w:rPr>
      </w:pPr>
    </w:p>
    <w:tbl>
      <w:tblPr>
        <w:tblW w:w="0" w:type="auto"/>
        <w:jc w:val="left"/>
        <w:tblInd w:w="148" w:type="dxa"/>
        <w:tblLayout w:type="fixed"/>
        <w:tblCellMar>
          <w:top w:w="0" w:type="dxa"/>
          <w:left w:w="0" w:type="dxa"/>
          <w:bottom w:w="0" w:type="dxa"/>
          <w:right w:w="0" w:type="dxa"/>
        </w:tblCellMar>
        <w:tblLook w:val="01E0"/>
      </w:tblPr>
      <w:tblGrid>
        <w:gridCol w:w="2552"/>
        <w:gridCol w:w="1841"/>
        <w:gridCol w:w="1419"/>
        <w:gridCol w:w="1416"/>
        <w:gridCol w:w="1618"/>
      </w:tblGrid>
      <w:tr>
        <w:trPr>
          <w:trHeight w:val="967"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2"/>
              <w:ind w:left="7" w:right="19"/>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 价值（按原金融工具准 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2"/>
              <w:ind w:left="7" w:right="3"/>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 </w:t>
            </w:r>
            <w:r>
              <w:rPr>
                <w:rFonts w:ascii="宋体" w:hAnsi="宋体" w:cs="宋体" w:eastAsia="宋体" w:hint="default"/>
                <w:spacing w:val="-3"/>
                <w:sz w:val="18"/>
                <w:szCs w:val="18"/>
              </w:rPr>
              <w:t>面价值（按新金融工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具准则）</w:t>
            </w:r>
          </w:p>
        </w:tc>
      </w:tr>
      <w:tr>
        <w:trPr>
          <w:trHeight w:val="341" w:hRule="exact"/>
        </w:trPr>
        <w:tc>
          <w:tcPr>
            <w:tcW w:w="88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一、新金融工具准则下以摊余成本计量的金融资产</w:t>
            </w: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2"/>
              <w:jc w:val="left"/>
              <w:rPr>
                <w:rFonts w:ascii="宋体" w:hAnsi="宋体" w:cs="宋体" w:eastAsia="宋体" w:hint="default"/>
                <w:sz w:val="18"/>
                <w:szCs w:val="18"/>
              </w:rPr>
            </w:pPr>
            <w:r>
              <w:rPr>
                <w:rFonts w:ascii="宋体" w:hAnsi="宋体" w:cs="宋体" w:eastAsia="宋体" w:hint="default"/>
                <w:sz w:val="18"/>
                <w:szCs w:val="18"/>
              </w:rPr>
              <w:t>应收账款（按原金融工具准则列 示金额）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739,844,880.10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加：应收保理利息转入</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58" w:right="0"/>
              <w:jc w:val="left"/>
              <w:rPr>
                <w:rFonts w:ascii="Times New Roman" w:hAnsi="Times New Roman" w:cs="Times New Roman" w:eastAsia="Times New Roman" w:hint="default"/>
                <w:sz w:val="18"/>
                <w:szCs w:val="18"/>
              </w:rPr>
            </w:pPr>
            <w:r>
              <w:rPr>
                <w:rFonts w:ascii="Times New Roman"/>
                <w:sz w:val="18"/>
              </w:rPr>
              <w:t>1,237,803.33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重新计量：预期信用损失</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67" w:right="0"/>
              <w:jc w:val="left"/>
              <w:rPr>
                <w:rFonts w:ascii="Times New Roman" w:hAnsi="Times New Roman" w:cs="Times New Roman" w:eastAsia="Times New Roman" w:hint="default"/>
                <w:sz w:val="18"/>
                <w:szCs w:val="18"/>
              </w:rPr>
            </w:pPr>
            <w:r>
              <w:rPr>
                <w:rFonts w:ascii="Times New Roman"/>
                <w:sz w:val="18"/>
              </w:rPr>
              <w:t>23,454,429.61</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65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
              <w:jc w:val="left"/>
              <w:rPr>
                <w:rFonts w:ascii="宋体" w:hAnsi="宋体" w:cs="宋体" w:eastAsia="宋体" w:hint="default"/>
                <w:sz w:val="18"/>
                <w:szCs w:val="18"/>
              </w:rPr>
            </w:pPr>
            <w:r>
              <w:rPr>
                <w:rFonts w:ascii="宋体" w:hAnsi="宋体" w:cs="宋体" w:eastAsia="宋体" w:hint="default"/>
                <w:sz w:val="18"/>
                <w:szCs w:val="18"/>
              </w:rPr>
              <w:t>应收账款（按新融工具准则列示 金额）</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78" w:right="0"/>
              <w:jc w:val="left"/>
              <w:rPr>
                <w:rFonts w:ascii="Times New Roman" w:hAnsi="Times New Roman" w:cs="Times New Roman" w:eastAsia="Times New Roman" w:hint="default"/>
                <w:sz w:val="18"/>
                <w:szCs w:val="18"/>
              </w:rPr>
            </w:pPr>
            <w:r>
              <w:rPr>
                <w:rFonts w:ascii="Times New Roman"/>
                <w:sz w:val="18"/>
              </w:rPr>
              <w:t>717,628,253.82</w:t>
            </w: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2"/>
              <w:jc w:val="left"/>
              <w:rPr>
                <w:rFonts w:ascii="宋体" w:hAnsi="宋体" w:cs="宋体" w:eastAsia="宋体" w:hint="default"/>
                <w:sz w:val="18"/>
                <w:szCs w:val="18"/>
              </w:rPr>
            </w:pPr>
            <w:r>
              <w:rPr>
                <w:rFonts w:ascii="宋体" w:hAnsi="宋体" w:cs="宋体" w:eastAsia="宋体" w:hint="default"/>
                <w:sz w:val="18"/>
                <w:szCs w:val="18"/>
              </w:rPr>
              <w:t>其他应收款（按原金融工具准则 列示金额）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22,553,070.26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2"/>
        <w:gridCol w:w="1841"/>
        <w:gridCol w:w="1419"/>
        <w:gridCol w:w="1416"/>
        <w:gridCol w:w="1618"/>
      </w:tblGrid>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减：应收保理利息转出</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1,237,803.33</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2"/>
              <w:jc w:val="left"/>
              <w:rPr>
                <w:rFonts w:ascii="宋体" w:hAnsi="宋体" w:cs="宋体" w:eastAsia="宋体" w:hint="default"/>
                <w:sz w:val="18"/>
                <w:szCs w:val="18"/>
              </w:rPr>
            </w:pPr>
            <w:r>
              <w:rPr>
                <w:rFonts w:ascii="宋体" w:hAnsi="宋体" w:cs="宋体" w:eastAsia="宋体" w:hint="default"/>
                <w:sz w:val="18"/>
                <w:szCs w:val="18"/>
              </w:rPr>
              <w:t>其他应收款（按新融工具准则列 示金额）</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21,315,266.93</w:t>
            </w:r>
          </w:p>
        </w:tc>
      </w:tr>
      <w:tr>
        <w:trPr>
          <w:trHeight w:val="341" w:hRule="exact"/>
        </w:trPr>
        <w:tc>
          <w:tcPr>
            <w:tcW w:w="88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二、新金融工具准则下以公允价值计量且其变动计入其他综合收益的金融资产</w:t>
            </w: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2"/>
              <w:jc w:val="left"/>
              <w:rPr>
                <w:rFonts w:ascii="宋体" w:hAnsi="宋体" w:cs="宋体" w:eastAsia="宋体" w:hint="default"/>
                <w:sz w:val="18"/>
                <w:szCs w:val="18"/>
              </w:rPr>
            </w:pPr>
            <w:r>
              <w:rPr>
                <w:rFonts w:ascii="宋体" w:hAnsi="宋体" w:cs="宋体" w:eastAsia="宋体" w:hint="default"/>
                <w:sz w:val="18"/>
                <w:szCs w:val="18"/>
              </w:rPr>
              <w:t>可供出售金融资产（按原金融工 具准则列示金额）</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795" w:right="0"/>
              <w:jc w:val="left"/>
              <w:rPr>
                <w:rFonts w:ascii="Times New Roman" w:hAnsi="Times New Roman" w:cs="Times New Roman" w:eastAsia="Times New Roman" w:hint="default"/>
                <w:sz w:val="18"/>
                <w:szCs w:val="18"/>
              </w:rPr>
            </w:pPr>
            <w:r>
              <w:rPr>
                <w:rFonts w:ascii="Times New Roman"/>
                <w:sz w:val="18"/>
              </w:rPr>
              <w:t>46,000,000.00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46,000,000.00</w:t>
            </w:r>
          </w:p>
        </w:tc>
        <w:tc>
          <w:tcPr>
            <w:tcW w:w="141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加：公允价值重新计量</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455" w:right="0"/>
              <w:jc w:val="left"/>
              <w:rPr>
                <w:rFonts w:ascii="Times New Roman" w:hAnsi="Times New Roman" w:cs="Times New Roman" w:eastAsia="Times New Roman" w:hint="default"/>
                <w:sz w:val="18"/>
                <w:szCs w:val="18"/>
              </w:rPr>
            </w:pPr>
            <w:r>
              <w:rPr>
                <w:rFonts w:ascii="Times New Roman"/>
                <w:sz w:val="18"/>
              </w:rPr>
              <w:t>4,026,398.71</w:t>
            </w:r>
          </w:p>
        </w:tc>
        <w:tc>
          <w:tcPr>
            <w:tcW w:w="1618"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
              <w:jc w:val="left"/>
              <w:rPr>
                <w:rFonts w:ascii="宋体" w:hAnsi="宋体" w:cs="宋体" w:eastAsia="宋体" w:hint="default"/>
                <w:sz w:val="18"/>
                <w:szCs w:val="18"/>
              </w:rPr>
            </w:pPr>
            <w:r>
              <w:rPr>
                <w:rFonts w:ascii="宋体" w:hAnsi="宋体" w:cs="宋体" w:eastAsia="宋体" w:hint="default"/>
                <w:sz w:val="18"/>
                <w:szCs w:val="18"/>
              </w:rPr>
              <w:t>其他权益工具投资（按新融工具 准则列示金额）</w:t>
            </w:r>
          </w:p>
        </w:tc>
        <w:tc>
          <w:tcPr>
            <w:tcW w:w="1841"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50,026,398.71</w:t>
            </w:r>
          </w:p>
        </w:tc>
      </w:tr>
    </w:tbl>
    <w:p>
      <w:pPr>
        <w:spacing w:line="240" w:lineRule="auto" w:before="8"/>
        <w:rPr>
          <w:rFonts w:ascii="宋体" w:hAnsi="宋体" w:cs="宋体" w:eastAsia="宋体" w:hint="default"/>
          <w:sz w:val="6"/>
          <w:szCs w:val="6"/>
        </w:rPr>
      </w:pPr>
    </w:p>
    <w:p>
      <w:pPr>
        <w:pStyle w:val="BodyText"/>
        <w:spacing w:line="240" w:lineRule="auto" w:before="44"/>
        <w:ind w:left="573" w:right="1133"/>
        <w:jc w:val="left"/>
      </w:pPr>
      <w:r>
        <w:rPr/>
        <w:t>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日，执行新金融工具准则将原金融资产减值准备调整到新金融工具准则金融资产减值准备的调节表</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2439"/>
        <w:gridCol w:w="2127"/>
        <w:gridCol w:w="975"/>
        <w:gridCol w:w="1315"/>
        <w:gridCol w:w="1990"/>
      </w:tblGrid>
      <w:tr>
        <w:trPr>
          <w:trHeight w:val="965"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69" w:right="6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日计提的减 值准备（按原金融工具准 则）</w:t>
            </w:r>
          </w:p>
        </w:tc>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13"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92"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日计提的减 </w:t>
            </w:r>
            <w:r>
              <w:rPr>
                <w:rFonts w:ascii="宋体" w:hAnsi="宋体" w:cs="宋体" w:eastAsia="宋体" w:hint="default"/>
                <w:spacing w:val="-1"/>
                <w:sz w:val="18"/>
                <w:szCs w:val="18"/>
              </w:rPr>
              <w:t>值准备（按新金融工具准</w:t>
            </w:r>
            <w:r>
              <w:rPr>
                <w:rFonts w:ascii="宋体" w:hAnsi="宋体" w:cs="宋体" w:eastAsia="宋体" w:hint="default"/>
                <w:sz w:val="18"/>
                <w:szCs w:val="18"/>
              </w:rPr>
              <w:t> 则）</w:t>
            </w:r>
          </w:p>
        </w:tc>
      </w:tr>
      <w:tr>
        <w:trPr>
          <w:trHeight w:val="343" w:hRule="exact"/>
        </w:trPr>
        <w:tc>
          <w:tcPr>
            <w:tcW w:w="88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（一）以摊余成本计量的金融资产</w:t>
            </w:r>
          </w:p>
        </w:tc>
      </w:tr>
      <w:tr>
        <w:trPr>
          <w:trHeight w:val="341" w:hRule="exact"/>
        </w:trPr>
        <w:tc>
          <w:tcPr>
            <w:tcW w:w="24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其中：应收账款减值准备</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080" w:right="0"/>
              <w:jc w:val="left"/>
              <w:rPr>
                <w:rFonts w:ascii="Times New Roman" w:hAnsi="Times New Roman" w:cs="Times New Roman" w:eastAsia="Times New Roman" w:hint="default"/>
                <w:sz w:val="18"/>
                <w:szCs w:val="18"/>
              </w:rPr>
            </w:pPr>
            <w:r>
              <w:rPr>
                <w:rFonts w:ascii="Times New Roman"/>
                <w:sz w:val="18"/>
              </w:rPr>
              <w:t>67,259,591.78</w:t>
            </w:r>
          </w:p>
        </w:tc>
        <w:tc>
          <w:tcPr>
            <w:tcW w:w="975" w:type="dxa"/>
            <w:tcBorders>
              <w:top w:val="single" w:sz="4" w:space="0" w:color="000000"/>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66" w:right="0"/>
              <w:jc w:val="left"/>
              <w:rPr>
                <w:rFonts w:ascii="Times New Roman" w:hAnsi="Times New Roman" w:cs="Times New Roman" w:eastAsia="Times New Roman" w:hint="default"/>
                <w:sz w:val="18"/>
                <w:szCs w:val="18"/>
              </w:rPr>
            </w:pPr>
            <w:r>
              <w:rPr>
                <w:rFonts w:ascii="Times New Roman"/>
                <w:sz w:val="18"/>
              </w:rPr>
              <w:t>23,454,429.61</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941" w:right="0"/>
              <w:jc w:val="left"/>
              <w:rPr>
                <w:rFonts w:ascii="Times New Roman" w:hAnsi="Times New Roman" w:cs="Times New Roman" w:eastAsia="Times New Roman" w:hint="default"/>
                <w:sz w:val="18"/>
                <w:szCs w:val="18"/>
              </w:rPr>
            </w:pPr>
            <w:r>
              <w:rPr>
                <w:rFonts w:ascii="Times New Roman"/>
                <w:sz w:val="18"/>
              </w:rPr>
              <w:t>90,714,021.39</w:t>
            </w:r>
          </w:p>
        </w:tc>
      </w:tr>
    </w:tbl>
    <w:p>
      <w:pPr>
        <w:spacing w:line="240" w:lineRule="auto" w:before="5"/>
        <w:rPr>
          <w:rFonts w:ascii="宋体" w:hAnsi="宋体" w:cs="宋体" w:eastAsia="宋体" w:hint="default"/>
          <w:sz w:val="24"/>
          <w:szCs w:val="24"/>
        </w:rPr>
      </w:pPr>
    </w:p>
    <w:p>
      <w:pPr>
        <w:pStyle w:val="BodyText"/>
        <w:spacing w:line="240" w:lineRule="auto" w:before="44"/>
        <w:ind w:right="1133"/>
        <w:jc w:val="left"/>
      </w:pPr>
      <w:r>
        <w:rPr/>
        <w:t>母公司资产负债表</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货币资金</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82,433,001.43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82,433,001.43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205,643,969.26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198,120,193.91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-7,523,775.35</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应收款项融资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预付款项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57,769,432.40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57,769,432.40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38,415,544.14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38,415,544.14</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其中：应收利息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456,704.09</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-456,704.09</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应收股利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存货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37,943,576.72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37,943,576.72</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613,000.00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613,000.00</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36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4,766,340.57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4,766,340.57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427,584,864.52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420,061,089.17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-7,523,775.35</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可供出售金融资产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其他债权投资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持有至到期投资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长期应收款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4,441,116.08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4,441,116.08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长期股权投资</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974,993,226.71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974,993,226.71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411,851.91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411,851.91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其他非流动金融资产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投资性房地产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61,955,887.89</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61,955,887.89</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在建工程</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437,311.93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437,311.93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生产性生物资产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油气资产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使用权资产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15,121,773.97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15,121,773.97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开发支出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商誉</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2,113,401.91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2,113,401.91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16,502,410.44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17,719,198.95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1,216,788.51</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其他非流动资产</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1,076,565,128.93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1,077,193,769.35</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628,640.42</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1,504,149,993.45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1,497,254,858.52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-6,895,134.93</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短期借款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245,000,000.00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245,433,313.00</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433,313.00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交易性金融负债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9"/>
              <w:jc w:val="both"/>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以公允价值计量且其 变动计入当期损益的金融 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衍生金融负债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应付票据</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应付账款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210,022,242.72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210,022,242.72</w:t>
            </w:r>
          </w:p>
        </w:tc>
        <w:tc>
          <w:tcPr>
            <w:tcW w:w="24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2206"/>
        <w:gridCol w:w="2453"/>
        <w:gridCol w:w="2456"/>
        <w:gridCol w:w="2453"/>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预收款项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37,117,509.30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37,117,509.30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合同负债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应付职工薪酬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9,400,550.57</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9,400,550.57</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应交税费</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414,979.48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414,979.48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402,114,362.11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401,681,049.11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-433,313.00</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其中：应付利息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662,667.17</w:t>
            </w: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-662,667.17</w:t>
            </w: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应付股利</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持有待售负债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89"/>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一年内到期的非流动 负债</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2,678,249.00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2,678,249.00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906,747,893.18</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906,747,893.18</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长期借款</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应付债券</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租赁负债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长期应付款</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4,410,917.83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4,410,917.83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长期应付职工薪酬</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预计负债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递延收益</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其他非流动负债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4,410,917.83</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4,410,917.83</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911,158,811.01</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911,158,811.01</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股本</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430,000,000.00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430,000,000.00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其中：优先股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永续债</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资本公积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37,727,060.86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37,727,060.86</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减：库存股</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其他综合收益</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1,159,187.06</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659,261.18</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-499,925.88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205"/>
        <w:gridCol w:w="2453"/>
        <w:gridCol w:w="2456"/>
        <w:gridCol w:w="2453"/>
      </w:tblGrid>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专项储备</w:t>
            </w:r>
          </w:p>
        </w:tc>
        <w:tc>
          <w:tcPr>
            <w:tcW w:w="2453" w:type="dxa"/>
            <w:tcBorders>
              <w:top w:val="single" w:sz="4" w:space="0" w:color="000000"/>
              <w:left w:val="single" w:sz="4" w:space="0" w:color="000000"/>
              <w:bottom w:val="single" w:sz="4" w:space="0" w:color="000000"/>
              <w:right w:val="single" w:sz="4" w:space="0" w:color="000000"/>
            </w:tcBorders>
          </w:tcPr>
          <w:p>
            <w:pPr/>
          </w:p>
        </w:tc>
        <w:tc>
          <w:tcPr>
            <w:tcW w:w="2456" w:type="dxa"/>
            <w:tcBorders>
              <w:top w:val="single" w:sz="4" w:space="0" w:color="000000"/>
              <w:left w:val="single" w:sz="4" w:space="0" w:color="000000"/>
              <w:bottom w:val="single" w:sz="4" w:space="0" w:color="000000"/>
              <w:right w:val="single" w:sz="4" w:space="0" w:color="000000"/>
            </w:tcBorders>
          </w:tcPr>
          <w:p>
            <w:pP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盈余公积</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27,136,905.60</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27,136,905.60</w:t>
            </w:r>
          </w:p>
        </w:tc>
        <w:tc>
          <w:tcPr>
            <w:tcW w:w="24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未分配利润</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96,968,028.92</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90,572,819.87</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-6,395,209.05</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592,991,182.44</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586,096,047.51</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-6,895,134.93</w:t>
            </w:r>
          </w:p>
        </w:tc>
      </w:tr>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1,504,149,993.45</w:t>
            </w:r>
          </w:p>
        </w:tc>
        <w:tc>
          <w:tcPr>
            <w:tcW w:w="2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1,497,254,858.52</w:t>
            </w:r>
          </w:p>
        </w:tc>
        <w:tc>
          <w:tcPr>
            <w:tcW w:w="2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-6,895,134.93</w:t>
            </w:r>
          </w:p>
        </w:tc>
      </w:tr>
    </w:tbl>
    <w:p>
      <w:pPr>
        <w:pStyle w:val="BodyText"/>
        <w:spacing w:line="240" w:lineRule="auto" w:before="51"/>
        <w:ind w:right="1133"/>
        <w:jc w:val="left"/>
      </w:pPr>
      <w:r>
        <w:rPr/>
        <w:t>调整情况说明</w:t>
      </w:r>
    </w:p>
    <w:p>
      <w:pPr>
        <w:spacing w:line="240" w:lineRule="auto" w:before="0"/>
        <w:rPr>
          <w:rFonts w:ascii="宋体" w:hAnsi="宋体" w:cs="宋体" w:eastAsia="宋体" w:hint="default"/>
          <w:sz w:val="15"/>
          <w:szCs w:val="15"/>
        </w:rPr>
      </w:pPr>
    </w:p>
    <w:p>
      <w:pPr>
        <w:pStyle w:val="BodyText"/>
        <w:spacing w:line="240" w:lineRule="auto"/>
        <w:ind w:left="573" w:right="1133"/>
        <w:jc w:val="left"/>
      </w:pPr>
      <w:r>
        <w:rPr/>
        <w:t>①于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日，执行新金融工具准则前后金融资产的分类和计量对比表</w:t>
      </w:r>
    </w:p>
    <w:p>
      <w:pPr>
        <w:spacing w:line="240" w:lineRule="auto" w:before="11"/>
        <w:rPr>
          <w:rFonts w:ascii="宋体" w:hAnsi="宋体" w:cs="宋体" w:eastAsia="宋体" w:hint="default"/>
          <w:sz w:val="3"/>
          <w:szCs w:val="3"/>
        </w:rPr>
      </w:pPr>
    </w:p>
    <w:tbl>
      <w:tblPr>
        <w:tblW w:w="0" w:type="auto"/>
        <w:jc w:val="left"/>
        <w:tblInd w:w="261" w:type="dxa"/>
        <w:tblLayout w:type="fixed"/>
        <w:tblCellMar>
          <w:top w:w="0" w:type="dxa"/>
          <w:left w:w="0" w:type="dxa"/>
          <w:bottom w:w="0" w:type="dxa"/>
          <w:right w:w="0" w:type="dxa"/>
        </w:tblCellMar>
        <w:tblLook w:val="01E0"/>
      </w:tblPr>
      <w:tblGrid>
        <w:gridCol w:w="1862"/>
        <w:gridCol w:w="1402"/>
        <w:gridCol w:w="1423"/>
        <w:gridCol w:w="1251"/>
        <w:gridCol w:w="1481"/>
        <w:gridCol w:w="1426"/>
      </w:tblGrid>
      <w:tr>
        <w:trPr>
          <w:trHeight w:val="343" w:hRule="exact"/>
        </w:trPr>
        <w:tc>
          <w:tcPr>
            <w:tcW w:w="468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日（原金融工具准则）</w:t>
            </w:r>
          </w:p>
        </w:tc>
        <w:tc>
          <w:tcPr>
            <w:tcW w:w="4158"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日（新金融工具准则）</w:t>
            </w:r>
          </w:p>
        </w:tc>
      </w:tr>
      <w:tr>
        <w:trPr>
          <w:trHeight w:val="341"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计量类别</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3"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205,643,969.26</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198,120,193.91</w:t>
            </w:r>
          </w:p>
        </w:tc>
      </w:tr>
      <w:tr>
        <w:trPr>
          <w:trHeight w:val="341"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38,415,544.14</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5"/>
              <w:jc w:val="right"/>
              <w:rPr>
                <w:rFonts w:ascii="Times New Roman" w:hAnsi="Times New Roman" w:cs="Times New Roman" w:eastAsia="Times New Roman" w:hint="default"/>
                <w:sz w:val="18"/>
                <w:szCs w:val="18"/>
              </w:rPr>
            </w:pPr>
            <w:r>
              <w:rPr>
                <w:rFonts w:ascii="Times New Roman"/>
                <w:spacing w:val="-1"/>
                <w:sz w:val="18"/>
              </w:rPr>
              <w:t>38,415,544.14</w:t>
            </w:r>
          </w:p>
        </w:tc>
      </w:tr>
      <w:tr>
        <w:trPr>
          <w:trHeight w:val="967"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4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3"/>
              <w:jc w:val="left"/>
              <w:rPr>
                <w:rFonts w:ascii="宋体" w:hAnsi="宋体" w:cs="宋体" w:eastAsia="宋体" w:hint="default"/>
                <w:sz w:val="18"/>
                <w:szCs w:val="18"/>
              </w:rPr>
            </w:pPr>
            <w:r>
              <w:rPr>
                <w:rFonts w:ascii="宋体" w:hAnsi="宋体" w:cs="宋体" w:eastAsia="宋体" w:hint="default"/>
                <w:spacing w:val="-8"/>
                <w:sz w:val="18"/>
                <w:szCs w:val="18"/>
              </w:rPr>
              <w:t>以成本计量（权益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工具）</w:t>
            </w:r>
          </w:p>
        </w:tc>
        <w:tc>
          <w:tcPr>
            <w:tcW w:w="14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1,000,000.00</w:t>
            </w:r>
          </w:p>
        </w:tc>
        <w:tc>
          <w:tcPr>
            <w:tcW w:w="12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53"/>
              <w:jc w:val="left"/>
              <w:rPr>
                <w:rFonts w:ascii="宋体" w:hAnsi="宋体" w:cs="宋体" w:eastAsia="宋体" w:hint="default"/>
                <w:sz w:val="18"/>
                <w:szCs w:val="18"/>
              </w:rPr>
            </w:pPr>
            <w:r>
              <w:rPr>
                <w:rFonts w:ascii="宋体" w:hAnsi="宋体" w:cs="宋体" w:eastAsia="宋体" w:hint="default"/>
                <w:sz w:val="18"/>
                <w:szCs w:val="18"/>
              </w:rPr>
              <w:t>其他权益工具 投资</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23"/>
              <w:jc w:val="both"/>
              <w:rPr>
                <w:rFonts w:ascii="宋体" w:hAnsi="宋体" w:cs="宋体" w:eastAsia="宋体" w:hint="default"/>
                <w:sz w:val="18"/>
                <w:szCs w:val="18"/>
              </w:rPr>
            </w:pPr>
            <w:r>
              <w:rPr>
                <w:rFonts w:ascii="宋体" w:hAnsi="宋体" w:cs="宋体" w:eastAsia="宋体" w:hint="default"/>
                <w:sz w:val="18"/>
                <w:szCs w:val="18"/>
              </w:rPr>
              <w:t>以公允价值计量且 变动计入其他综合 收益</w:t>
            </w:r>
          </w:p>
        </w:tc>
        <w:tc>
          <w:tcPr>
            <w:tcW w:w="1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411,851.91</w:t>
            </w:r>
          </w:p>
        </w:tc>
      </w:tr>
    </w:tbl>
    <w:p>
      <w:pPr>
        <w:spacing w:line="240" w:lineRule="auto" w:before="8"/>
        <w:rPr>
          <w:rFonts w:ascii="宋体" w:hAnsi="宋体" w:cs="宋体" w:eastAsia="宋体" w:hint="default"/>
          <w:sz w:val="6"/>
          <w:szCs w:val="6"/>
        </w:rPr>
      </w:pPr>
    </w:p>
    <w:p>
      <w:pPr>
        <w:pStyle w:val="BodyText"/>
        <w:spacing w:line="240" w:lineRule="auto" w:before="44"/>
        <w:ind w:left="573" w:right="1133"/>
        <w:jc w:val="left"/>
      </w:pPr>
      <w:r>
        <w:rPr/>
        <w:t>②于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日，按新金融工具准则将原金融资产账面价值调整为新金融工具准则账面价值的调节表</w:t>
      </w:r>
    </w:p>
    <w:p>
      <w:pPr>
        <w:spacing w:line="240" w:lineRule="auto" w:before="13"/>
        <w:rPr>
          <w:rFonts w:ascii="宋体" w:hAnsi="宋体" w:cs="宋体" w:eastAsia="宋体" w:hint="default"/>
          <w:sz w:val="3"/>
          <w:szCs w:val="3"/>
        </w:rPr>
      </w:pPr>
    </w:p>
    <w:tbl>
      <w:tblPr>
        <w:tblW w:w="0" w:type="auto"/>
        <w:jc w:val="left"/>
        <w:tblInd w:w="261" w:type="dxa"/>
        <w:tblLayout w:type="fixed"/>
        <w:tblCellMar>
          <w:top w:w="0" w:type="dxa"/>
          <w:left w:w="0" w:type="dxa"/>
          <w:bottom w:w="0" w:type="dxa"/>
          <w:right w:w="0" w:type="dxa"/>
        </w:tblCellMar>
        <w:tblLook w:val="01E0"/>
      </w:tblPr>
      <w:tblGrid>
        <w:gridCol w:w="2552"/>
        <w:gridCol w:w="1843"/>
        <w:gridCol w:w="1419"/>
        <w:gridCol w:w="1418"/>
        <w:gridCol w:w="1613"/>
      </w:tblGrid>
      <w:tr>
        <w:trPr>
          <w:trHeight w:val="96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7"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日的账面 价值（按原金融工具准 则）</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7" w:right="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日的账 </w:t>
            </w:r>
            <w:r>
              <w:rPr>
                <w:rFonts w:ascii="宋体" w:hAnsi="宋体" w:cs="宋体" w:eastAsia="宋体" w:hint="default"/>
                <w:spacing w:val="-3"/>
                <w:sz w:val="18"/>
                <w:szCs w:val="18"/>
              </w:rPr>
              <w:t>面价值（按新金融工</w:t>
            </w:r>
            <w:r>
              <w:rPr>
                <w:rFonts w:ascii="宋体" w:hAnsi="宋体" w:cs="宋体" w:eastAsia="宋体" w:hint="default"/>
                <w:sz w:val="18"/>
                <w:szCs w:val="18"/>
              </w:rPr>
              <w:t> 具准则）</w:t>
            </w:r>
          </w:p>
        </w:tc>
      </w:tr>
      <w:tr>
        <w:trPr>
          <w:trHeight w:val="65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3"/>
              <w:ind w:left="7" w:right="12"/>
              <w:jc w:val="left"/>
              <w:rPr>
                <w:rFonts w:ascii="宋体" w:hAnsi="宋体" w:cs="宋体" w:eastAsia="宋体" w:hint="default"/>
                <w:sz w:val="18"/>
                <w:szCs w:val="18"/>
              </w:rPr>
            </w:pPr>
            <w:r>
              <w:rPr>
                <w:rFonts w:ascii="宋体" w:hAnsi="宋体" w:cs="宋体" w:eastAsia="宋体" w:hint="default"/>
                <w:sz w:val="18"/>
                <w:szCs w:val="18"/>
              </w:rPr>
              <w:t>应收账款（按原金融工具准则列 示金额）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0"/>
              <w:jc w:val="right"/>
              <w:rPr>
                <w:rFonts w:ascii="Times New Roman" w:hAnsi="Times New Roman" w:cs="Times New Roman" w:eastAsia="Times New Roman" w:hint="default"/>
                <w:sz w:val="18"/>
                <w:szCs w:val="18"/>
              </w:rPr>
            </w:pPr>
            <w:r>
              <w:rPr>
                <w:rFonts w:ascii="Times New Roman"/>
                <w:spacing w:val="-1"/>
                <w:sz w:val="18"/>
              </w:rPr>
              <w:t>205,643,969.26</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重新计量：预期信用损失</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7,523,775.35</w:t>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2"/>
              <w:jc w:val="left"/>
              <w:rPr>
                <w:rFonts w:ascii="宋体" w:hAnsi="宋体" w:cs="宋体" w:eastAsia="宋体" w:hint="default"/>
                <w:sz w:val="18"/>
                <w:szCs w:val="18"/>
              </w:rPr>
            </w:pPr>
            <w:r>
              <w:rPr>
                <w:rFonts w:ascii="宋体" w:hAnsi="宋体" w:cs="宋体" w:eastAsia="宋体" w:hint="default"/>
                <w:sz w:val="18"/>
                <w:szCs w:val="18"/>
              </w:rPr>
              <w:t>应收账款（按新融工具准则列示 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198,120,193.91</w:t>
            </w:r>
          </w:p>
        </w:tc>
      </w:tr>
      <w:tr>
        <w:trPr>
          <w:trHeight w:val="65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
              <w:jc w:val="left"/>
              <w:rPr>
                <w:rFonts w:ascii="宋体" w:hAnsi="宋体" w:cs="宋体" w:eastAsia="宋体" w:hint="default"/>
                <w:sz w:val="18"/>
                <w:szCs w:val="18"/>
              </w:rPr>
            </w:pPr>
            <w:r>
              <w:rPr>
                <w:rFonts w:ascii="宋体" w:hAnsi="宋体" w:cs="宋体" w:eastAsia="宋体" w:hint="default"/>
                <w:sz w:val="18"/>
                <w:szCs w:val="18"/>
              </w:rPr>
              <w:t>其他应收款（按原金融工具准则 列示金额）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38,415,544.14</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减：应收利息转出</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456,704.09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加：应收内部拆借利息</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456,704.09</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656"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12"/>
              <w:jc w:val="left"/>
              <w:rPr>
                <w:rFonts w:ascii="宋体" w:hAnsi="宋体" w:cs="宋体" w:eastAsia="宋体" w:hint="default"/>
                <w:sz w:val="18"/>
                <w:szCs w:val="18"/>
              </w:rPr>
            </w:pPr>
            <w:r>
              <w:rPr>
                <w:rFonts w:ascii="宋体" w:hAnsi="宋体" w:cs="宋体" w:eastAsia="宋体" w:hint="default"/>
                <w:sz w:val="18"/>
                <w:szCs w:val="18"/>
              </w:rPr>
              <w:t>其他应收款（按新融工具准则列 示金额）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38,415,544.14</w:t>
            </w:r>
          </w:p>
        </w:tc>
      </w:tr>
      <w:tr>
        <w:trPr>
          <w:trHeight w:val="341" w:hRule="exact"/>
        </w:trPr>
        <w:tc>
          <w:tcPr>
            <w:tcW w:w="88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二、新金融工具准则下以公允价值计量且其变动计入其他综合收益的金融资产</w:t>
            </w: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2"/>
              <w:jc w:val="left"/>
              <w:rPr>
                <w:rFonts w:ascii="宋体" w:hAnsi="宋体" w:cs="宋体" w:eastAsia="宋体" w:hint="default"/>
                <w:sz w:val="18"/>
                <w:szCs w:val="18"/>
              </w:rPr>
            </w:pPr>
            <w:r>
              <w:rPr>
                <w:rFonts w:ascii="宋体" w:hAnsi="宋体" w:cs="宋体" w:eastAsia="宋体" w:hint="default"/>
                <w:sz w:val="18"/>
                <w:szCs w:val="18"/>
              </w:rPr>
              <w:t>可供出售金融资产（按原金融工 具准则列示金额）</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1,000,000.00</w:t>
            </w: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4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减：转出至其他权益工具投资</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1,000,000.00</w:t>
            </w:r>
          </w:p>
        </w:tc>
        <w:tc>
          <w:tcPr>
            <w:tcW w:w="14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加：公允价值重新计量</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-588,148.09</w:t>
            </w:r>
          </w:p>
        </w:tc>
        <w:tc>
          <w:tcPr>
            <w:tcW w:w="1613"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2"/>
              <w:jc w:val="left"/>
              <w:rPr>
                <w:rFonts w:ascii="宋体" w:hAnsi="宋体" w:cs="宋体" w:eastAsia="宋体" w:hint="default"/>
                <w:sz w:val="18"/>
                <w:szCs w:val="18"/>
              </w:rPr>
            </w:pPr>
            <w:r>
              <w:rPr>
                <w:rFonts w:ascii="宋体" w:hAnsi="宋体" w:cs="宋体" w:eastAsia="宋体" w:hint="default"/>
                <w:sz w:val="18"/>
                <w:szCs w:val="18"/>
              </w:rPr>
              <w:t>其他权益工具投资（按新融工具 准则列示金额）</w:t>
            </w:r>
          </w:p>
        </w:tc>
        <w:tc>
          <w:tcPr>
            <w:tcW w:w="1843"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6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411,851.91</w:t>
            </w:r>
          </w:p>
        </w:tc>
      </w:tr>
    </w:tbl>
    <w:p>
      <w:pPr>
        <w:spacing w:line="240" w:lineRule="auto" w:before="8"/>
        <w:rPr>
          <w:rFonts w:ascii="宋体" w:hAnsi="宋体" w:cs="宋体" w:eastAsia="宋体" w:hint="default"/>
          <w:sz w:val="6"/>
          <w:szCs w:val="6"/>
        </w:rPr>
      </w:pPr>
    </w:p>
    <w:p>
      <w:pPr>
        <w:pStyle w:val="BodyText"/>
        <w:spacing w:line="240" w:lineRule="auto" w:before="44"/>
        <w:ind w:left="573" w:right="1133"/>
        <w:jc w:val="left"/>
      </w:pPr>
      <w:r>
        <w:rPr/>
        <w:t>③于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日，执行新金融工具准则将原金融资产减值准备调整到新金融工具准则金融资产减值准备的调节表</w:t>
      </w:r>
    </w:p>
    <w:p>
      <w:pPr>
        <w:spacing w:line="240" w:lineRule="auto" w:before="13"/>
        <w:rPr>
          <w:rFonts w:ascii="宋体" w:hAnsi="宋体" w:cs="宋体" w:eastAsia="宋体" w:hint="default"/>
          <w:sz w:val="3"/>
          <w:szCs w:val="3"/>
        </w:rPr>
      </w:pPr>
    </w:p>
    <w:tbl>
      <w:tblPr>
        <w:tblW w:w="0" w:type="auto"/>
        <w:jc w:val="left"/>
        <w:tblInd w:w="261" w:type="dxa"/>
        <w:tblLayout w:type="fixed"/>
        <w:tblCellMar>
          <w:top w:w="0" w:type="dxa"/>
          <w:left w:w="0" w:type="dxa"/>
          <w:bottom w:w="0" w:type="dxa"/>
          <w:right w:w="0" w:type="dxa"/>
        </w:tblCellMar>
        <w:tblLook w:val="01E0"/>
      </w:tblPr>
      <w:tblGrid>
        <w:gridCol w:w="2438"/>
        <w:gridCol w:w="2125"/>
        <w:gridCol w:w="992"/>
        <w:gridCol w:w="1303"/>
        <w:gridCol w:w="1990"/>
      </w:tblGrid>
      <w:tr>
        <w:trPr>
          <w:trHeight w:val="965"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70" w:right="6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日计提的减 值准备（按原金融工具准 则）</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23" w:right="0"/>
              <w:jc w:val="left"/>
              <w:rPr>
                <w:rFonts w:ascii="宋体" w:hAnsi="宋体" w:cs="宋体" w:eastAsia="宋体" w:hint="default"/>
                <w:sz w:val="18"/>
                <w:szCs w:val="18"/>
              </w:rPr>
            </w:pPr>
            <w:r>
              <w:rPr>
                <w:rFonts w:ascii="宋体" w:hAnsi="宋体" w:cs="宋体" w:eastAsia="宋体" w:hint="default"/>
                <w:sz w:val="18"/>
                <w:szCs w:val="18"/>
              </w:rPr>
              <w:t>重分类</w:t>
            </w: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87"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99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20"/>
              <w:ind w:left="4" w:right="5" w:firstLine="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日计提的减 </w:t>
            </w:r>
            <w:r>
              <w:rPr>
                <w:rFonts w:ascii="宋体" w:hAnsi="宋体" w:cs="宋体" w:eastAsia="宋体" w:hint="default"/>
                <w:spacing w:val="-2"/>
                <w:sz w:val="18"/>
                <w:szCs w:val="18"/>
              </w:rPr>
              <w:t>值准备（按新金融工具准</w:t>
            </w:r>
            <w:r>
              <w:rPr>
                <w:rFonts w:ascii="宋体" w:hAnsi="宋体" w:cs="宋体" w:eastAsia="宋体" w:hint="default"/>
                <w:sz w:val="18"/>
                <w:szCs w:val="18"/>
              </w:rPr>
              <w:t> 则）</w:t>
            </w:r>
          </w:p>
        </w:tc>
      </w:tr>
    </w:tbl>
    <w:p>
      <w:pPr>
        <w:spacing w:after="0" w:line="309"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261" w:type="dxa"/>
        <w:tblLayout w:type="fixed"/>
        <w:tblCellMar>
          <w:top w:w="0" w:type="dxa"/>
          <w:left w:w="0" w:type="dxa"/>
          <w:bottom w:w="0" w:type="dxa"/>
          <w:right w:w="0" w:type="dxa"/>
        </w:tblCellMar>
        <w:tblLook w:val="01E0"/>
      </w:tblPr>
      <w:tblGrid>
        <w:gridCol w:w="2438"/>
        <w:gridCol w:w="2125"/>
        <w:gridCol w:w="992"/>
        <w:gridCol w:w="1303"/>
        <w:gridCol w:w="1988"/>
      </w:tblGrid>
      <w:tr>
        <w:trPr>
          <w:trHeight w:val="341" w:hRule="exact"/>
        </w:trPr>
        <w:tc>
          <w:tcPr>
            <w:tcW w:w="8846"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（一）以摊余成本计量的金融资产</w:t>
            </w:r>
          </w:p>
        </w:tc>
      </w:tr>
      <w:tr>
        <w:trPr>
          <w:trHeight w:val="343" w:hRule="exact"/>
        </w:trPr>
        <w:tc>
          <w:tcPr>
            <w:tcW w:w="24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其中：应收账款减值准备</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1078" w:right="0"/>
              <w:jc w:val="left"/>
              <w:rPr>
                <w:rFonts w:ascii="Times New Roman" w:hAnsi="Times New Roman" w:cs="Times New Roman" w:eastAsia="Times New Roman" w:hint="default"/>
                <w:sz w:val="18"/>
                <w:szCs w:val="18"/>
              </w:rPr>
            </w:pPr>
            <w:r>
              <w:rPr>
                <w:rFonts w:ascii="Times New Roman"/>
                <w:sz w:val="18"/>
              </w:rPr>
              <w:t>33,291,567.06</w:t>
            </w:r>
          </w:p>
        </w:tc>
        <w:tc>
          <w:tcPr>
            <w:tcW w:w="992" w:type="dxa"/>
            <w:tcBorders>
              <w:top w:val="single" w:sz="4" w:space="0" w:color="000000"/>
              <w:left w:val="single" w:sz="4" w:space="0" w:color="000000"/>
              <w:bottom w:val="single" w:sz="4" w:space="0" w:color="000000"/>
              <w:right w:val="single" w:sz="4" w:space="0" w:color="000000"/>
            </w:tcBorders>
          </w:tcPr>
          <w:p>
            <w:pPr/>
          </w:p>
        </w:tc>
        <w:tc>
          <w:tcPr>
            <w:tcW w:w="1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343" w:right="0"/>
              <w:jc w:val="left"/>
              <w:rPr>
                <w:rFonts w:ascii="Times New Roman" w:hAnsi="Times New Roman" w:cs="Times New Roman" w:eastAsia="Times New Roman" w:hint="default"/>
                <w:sz w:val="18"/>
                <w:szCs w:val="18"/>
              </w:rPr>
            </w:pPr>
            <w:r>
              <w:rPr>
                <w:rFonts w:ascii="Times New Roman"/>
                <w:sz w:val="18"/>
              </w:rPr>
              <w:t>7,523,775.35</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938" w:right="0"/>
              <w:jc w:val="left"/>
              <w:rPr>
                <w:rFonts w:ascii="Times New Roman" w:hAnsi="Times New Roman" w:cs="Times New Roman" w:eastAsia="Times New Roman" w:hint="default"/>
                <w:sz w:val="18"/>
                <w:szCs w:val="18"/>
              </w:rPr>
            </w:pPr>
            <w:r>
              <w:rPr>
                <w:rFonts w:ascii="Times New Roman"/>
                <w:sz w:val="18"/>
              </w:rPr>
              <w:t>40,815,342.41</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45</w:t>
      </w:r>
      <w:r>
        <w:rPr/>
        <w:t>、其他</w:t>
      </w:r>
      <w:r>
        <w:rPr>
          <w:b w:val="0"/>
          <w:bCs w:val="0"/>
        </w:rPr>
      </w:r>
    </w:p>
    <w:p>
      <w:pPr>
        <w:pStyle w:val="BodyText"/>
        <w:spacing w:line="430" w:lineRule="atLeast" w:before="153"/>
        <w:ind w:left="633" w:right="1133" w:firstLine="2"/>
        <w:jc w:val="left"/>
      </w:pPr>
      <w:r>
        <w:rPr>
          <w:rFonts w:ascii="宋体" w:hAnsi="宋体" w:cs="宋体" w:eastAsia="宋体" w:hint="default"/>
          <w:b/>
          <w:bCs/>
        </w:rPr>
        <w:t>公允价值计量</w:t>
      </w:r>
      <w:r>
        <w:rPr>
          <w:rFonts w:ascii="宋体" w:hAnsi="宋体" w:cs="宋体" w:eastAsia="宋体" w:hint="default"/>
          <w:b/>
          <w:bCs/>
          <w:w w:val="99"/>
        </w:rPr>
        <w:t> </w:t>
      </w:r>
      <w:r>
        <w:rPr/>
        <w:t>公允价值是指市场参与者在计量日发生的有序交易中，出售一项资产所能收到或者转移一项负债所需支付的价格。 </w:t>
      </w:r>
      <w:r>
        <w:rPr>
          <w:spacing w:val="-1"/>
        </w:rPr>
        <w:t>本公司以主要市场的价格计量相关资产或负债的公允价值，不存在主要市场的，本公司以最有利市场的价格计量相关</w:t>
      </w:r>
    </w:p>
    <w:p>
      <w:pPr>
        <w:pStyle w:val="BodyText"/>
        <w:spacing w:line="240" w:lineRule="auto" w:before="76"/>
        <w:ind w:right="0"/>
        <w:jc w:val="both"/>
      </w:pPr>
      <w:r>
        <w:rPr/>
        <w:t>资产或负债的公允价值。本公司采用市场参与者在对该资产或负债定价时为实现其经济利益最大化所使用的假设。</w:t>
      </w:r>
    </w:p>
    <w:p>
      <w:pPr>
        <w:spacing w:line="240" w:lineRule="auto" w:before="0"/>
        <w:rPr>
          <w:rFonts w:ascii="宋体" w:hAnsi="宋体" w:cs="宋体" w:eastAsia="宋体" w:hint="default"/>
          <w:sz w:val="15"/>
          <w:szCs w:val="15"/>
        </w:rPr>
      </w:pPr>
    </w:p>
    <w:p>
      <w:pPr>
        <w:pStyle w:val="BodyText"/>
        <w:spacing w:line="316" w:lineRule="auto"/>
        <w:ind w:right="1132" w:firstLine="480"/>
        <w:jc w:val="both"/>
      </w:pPr>
      <w:r>
        <w:rPr>
          <w:spacing w:val="-1"/>
        </w:rPr>
        <w:t>主要市场，是指相关资产或负债交易量最大和交易活跃程度最高的市场；最有利市场，是指在考虑交易费用和运输费</w:t>
      </w:r>
      <w:r>
        <w:rPr/>
        <w:t> 用后，能够以最高金额出售相关资产或者以最低金额转移相关负债的市场。</w:t>
      </w:r>
    </w:p>
    <w:p>
      <w:pPr>
        <w:pStyle w:val="BodyText"/>
        <w:spacing w:line="316" w:lineRule="auto" w:before="139"/>
        <w:ind w:right="1111" w:firstLine="480"/>
        <w:jc w:val="both"/>
      </w:pPr>
      <w:r>
        <w:rPr/>
        <w:t>存在活跃市场的金融资产或金融负债，本公司采用活跃市场中的报价确定其公允价值。金融工具不存在活跃市场的， 本公司采用估值技术确定其公允价值。</w:t>
      </w:r>
    </w:p>
    <w:p>
      <w:pPr>
        <w:pStyle w:val="BodyText"/>
        <w:spacing w:line="319" w:lineRule="auto" w:before="139"/>
        <w:ind w:right="1135" w:firstLine="480"/>
        <w:jc w:val="both"/>
      </w:pPr>
      <w:r>
        <w:rPr>
          <w:spacing w:val="-1"/>
        </w:rPr>
        <w:t>以公允价值计量非金融资产的，考虑市场参与者将该资产用于最佳用途产生经济利益的能力，或者将该资产出售给能</w:t>
      </w:r>
      <w:r>
        <w:rPr/>
        <w:t> 够用于最佳用途的其他市场参与者产生经济利益的能力。</w:t>
      </w:r>
    </w:p>
    <w:p>
      <w:pPr>
        <w:pStyle w:val="BodyText"/>
        <w:spacing w:line="432" w:lineRule="exact" w:before="1"/>
        <w:ind w:left="633" w:right="1093"/>
        <w:jc w:val="left"/>
      </w:pPr>
      <w:r>
        <w:rPr/>
        <w:t>①估值技术 本公司采用在当期情况下适用并且有足够可利用数据和其他信息支持的估值技术，使用的估值技术主要包括市场法、</w:t>
      </w:r>
    </w:p>
    <w:p>
      <w:pPr>
        <w:pStyle w:val="BodyText"/>
        <w:spacing w:line="316" w:lineRule="auto" w:before="15"/>
        <w:ind w:right="1034"/>
        <w:jc w:val="left"/>
      </w:pPr>
      <w:r>
        <w:rPr/>
        <w:t>收益法和成本法。本公司使用与其中一种或多种估值技术相一致的方法计量公允价值，使用多种估值技术计量公允价值的， 考虑各估值结果的合理性，选取在当期情况下最能代表公允价值的金额作为公允价值。</w:t>
      </w:r>
    </w:p>
    <w:p>
      <w:pPr>
        <w:pStyle w:val="BodyText"/>
        <w:spacing w:line="316" w:lineRule="auto" w:before="139"/>
        <w:ind w:right="1131" w:firstLine="480"/>
        <w:jc w:val="both"/>
      </w:pPr>
      <w:r>
        <w:rPr>
          <w:spacing w:val="-1"/>
        </w:rPr>
        <w:t>本公司在估值技术的应用中，优先使用相关可观察输入值，只有在相关可观察输入值无法取得或取得不切实可行的情</w:t>
      </w:r>
      <w:r>
        <w:rPr/>
        <w:t> </w:t>
      </w:r>
      <w:r>
        <w:rPr>
          <w:spacing w:val="-2"/>
        </w:rPr>
        <w:t>况下，才使用不可观察输入值。可观察输入值，是指能够从市场数据中取得的输入值。该输入值反映了市场参与者在对相关</w:t>
      </w:r>
      <w:r>
        <w:rPr>
          <w:spacing w:val="-64"/>
        </w:rPr>
        <w:t> </w:t>
      </w:r>
      <w:r>
        <w:rPr>
          <w:spacing w:val="-64"/>
        </w:rPr>
      </w:r>
      <w:r>
        <w:rPr>
          <w:spacing w:val="-2"/>
        </w:rPr>
        <w:t>资产或负债定价时所使用的假设。不可观察输入值，是指不能从市场数据中取得的输入值。该输入值根据可获得的市场参与</w:t>
      </w:r>
      <w:r>
        <w:rPr>
          <w:spacing w:val="-66"/>
        </w:rPr>
        <w:t> </w:t>
      </w:r>
      <w:r>
        <w:rPr>
          <w:spacing w:val="-66"/>
        </w:rPr>
      </w:r>
      <w:r>
        <w:rPr/>
        <w:t>者在对相关资产或负债定价时所使用假设的最佳信息取得。</w:t>
      </w:r>
    </w:p>
    <w:p>
      <w:pPr>
        <w:pStyle w:val="BodyText"/>
        <w:spacing w:line="432" w:lineRule="exact" w:before="4"/>
        <w:ind w:left="633" w:right="0"/>
        <w:jc w:val="left"/>
      </w:pPr>
      <w:r>
        <w:rPr/>
        <w:t>②公允价值层次 </w:t>
      </w:r>
      <w:r>
        <w:rPr>
          <w:spacing w:val="-1"/>
        </w:rPr>
        <w:t>本公司将公允价值计量所使用的输入值划分为三个层次，并首先使用第一层次输入值，其次使用第二层次输入值，最</w:t>
      </w:r>
    </w:p>
    <w:p>
      <w:pPr>
        <w:pStyle w:val="BodyText"/>
        <w:spacing w:line="316" w:lineRule="auto" w:before="15"/>
        <w:ind w:right="1131"/>
        <w:jc w:val="both"/>
      </w:pPr>
      <w:r>
        <w:rPr>
          <w:spacing w:val="-2"/>
        </w:rPr>
        <w:t>后使用第三层次输入值。第一层次输入值是在计量日能够取得的相同资产或负债在活跃市场上未经调整的报价。第二层次输</w:t>
      </w:r>
      <w:r>
        <w:rPr>
          <w:spacing w:val="-62"/>
        </w:rPr>
        <w:t> </w:t>
      </w:r>
      <w:r>
        <w:rPr>
          <w:spacing w:val="-62"/>
        </w:rPr>
      </w:r>
      <w:r>
        <w:rPr>
          <w:spacing w:val="-2"/>
        </w:rPr>
        <w:t>入值是除第一层次输入值外相关资产或负债直接或间接可观察的输入值。第三层次输入值是相关资产或负债的不可观察输入</w:t>
      </w:r>
      <w:r>
        <w:rPr>
          <w:spacing w:val="-64"/>
        </w:rPr>
        <w:t> </w:t>
      </w:r>
      <w:r>
        <w:rPr>
          <w:spacing w:val="-64"/>
        </w:rPr>
      </w:r>
      <w:r>
        <w:rPr/>
        <w:t>值。</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r>
        <w:rPr/>
        <w:t>六、税项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、主要税种及税率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w:t>
            </w:r>
          </w:p>
        </w:tc>
      </w:tr>
    </w:tbl>
    <w:p>
      <w:pPr>
        <w:pStyle w:val="BodyText"/>
        <w:spacing w:line="240" w:lineRule="auto" w:before="51"/>
        <w:ind w:right="1133"/>
        <w:jc w:val="left"/>
      </w:pPr>
      <w:r>
        <w:rPr/>
        <w:t>存在不同企业所得税税率纳税主体的，披露情况说明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易联众信息技术股份有限公司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福建易联众软件系统开发有限公司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福建易联众电子科技有限公司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福州市鼓楼区易思达系统集成有限公司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福建易联众医疗信息系统有限公司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福建易联众医卫信息技术有限公司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福建易联众易达迅教育科技有限公司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福州欣贝康医药科技有限公司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广州易联众睿图信息技术有限公司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福建易联众保睿通信息科技有限公司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易联众智能（厦门）科技有限公司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易联众民生（厦门）科技有限公司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厦门市易联众易惠科技有限公司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12.50%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易联众健康医疗控股有限公司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厦门易联众金融控股有限公司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易康吉保险经纪有限责任公司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厦门易联众融资租赁有限公司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广西易联众信息技术有限公司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广东易联众计算机技术有限公司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厦门市纵达科技有限公司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厦门市民生通电子商务有限公司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吉林易联众信息技术有限公司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宁夏易联众信息技术有限公司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易联众（厦门）大数据科技有限公司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易联众（厦门）人力资源服务有限公司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厦门易联众网络科技有限公司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厦门易联众易方科技有限公司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三明易联众信息技术有限公司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海南易联众信息技术有限公司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厦门易联众长青科技有限公司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易联众通达易（厦门）信息科技有限公司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北京易联众智康科技有限公司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三明易就医信息技术有限公司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陕西易联众金纳信息技术有限公司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山西易联众信息技术有限公司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湖南易联众信息技术有限公司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山西易联众民生科技有限公司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山西无感付科技有限公司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10.00%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安徽易惠天下软件科技有限公司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安徽易联众民生科技有限公司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湖南易联众鑫卫信息科技有限公司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山西易联众惠民科技有限公司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安徽易联众科技发展有限公司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25.00%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福州灵医科技有限公司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5.00%</w:t>
            </w:r>
          </w:p>
        </w:tc>
      </w:tr>
    </w:tbl>
    <w:p>
      <w:pPr>
        <w:spacing w:line="240" w:lineRule="auto" w:before="3"/>
        <w:rPr>
          <w:rFonts w:ascii="宋体" w:hAnsi="宋体" w:cs="宋体" w:eastAsia="宋体" w:hint="default"/>
          <w:sz w:val="19"/>
          <w:szCs w:val="19"/>
        </w:rPr>
      </w:pPr>
    </w:p>
    <w:p>
      <w:pPr>
        <w:pStyle w:val="Heading3"/>
        <w:spacing w:line="240" w:lineRule="auto" w:before="36"/>
        <w:ind w:left="321" w:right="1133" w:hanging="169"/>
        <w:jc w:val="left"/>
        <w:rPr>
          <w:b w:val="0"/>
          <w:bCs w:val="0"/>
        </w:rPr>
      </w:pP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left="532" w:right="1124"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增值税</w:t>
      </w:r>
      <w:r>
        <w:rPr>
          <w:w w:val="99"/>
        </w:rPr>
        <w:t> </w:t>
      </w:r>
      <w:r>
        <w:rPr/>
        <w:t>说明</w:t>
      </w:r>
      <w:r>
        <w:rPr>
          <w:rFonts w:ascii="Times New Roman" w:hAnsi="Times New Roman" w:cs="Times New Roman" w:eastAsia="Times New Roman" w:hint="default"/>
        </w:rPr>
        <w:t>1</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2019</w:t>
      </w:r>
      <w:r>
        <w:rPr/>
        <w:t>〕</w:t>
      </w:r>
      <w:r>
        <w:rPr>
          <w:rFonts w:ascii="Times New Roman" w:hAnsi="Times New Roman" w:cs="Times New Roman" w:eastAsia="Times New Roman" w:hint="default"/>
        </w:rPr>
        <w:t>39</w:t>
      </w:r>
      <w:r>
        <w:rPr/>
        <w:t>号</w:t>
      </w:r>
      <w:r>
        <w:rPr>
          <w:rFonts w:ascii="Times New Roman" w:hAnsi="Times New Roman" w:cs="Times New Roman" w:eastAsia="Times New Roman" w:hint="default"/>
        </w:rPr>
        <w:t>”</w:t>
      </w:r>
      <w:r>
        <w:rPr/>
        <w:t>文《关于深化增值税改革有关政策的公告》的规定，自</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日，本公司发生增</w:t>
      </w:r>
    </w:p>
    <w:p>
      <w:pPr>
        <w:pStyle w:val="BodyText"/>
        <w:spacing w:line="240" w:lineRule="auto" w:before="13"/>
        <w:ind w:right="1133"/>
        <w:jc w:val="left"/>
      </w:pPr>
      <w:r>
        <w:rPr/>
        <w:t>值税应税销售行为，原适用</w:t>
      </w:r>
      <w:r>
        <w:rPr>
          <w:rFonts w:ascii="Times New Roman" w:hAnsi="Times New Roman" w:cs="Times New Roman" w:eastAsia="Times New Roman" w:hint="default"/>
        </w:rPr>
        <w:t>16%</w:t>
      </w:r>
      <w:r>
        <w:rPr/>
        <w:t>和</w:t>
      </w:r>
      <w:r>
        <w:rPr>
          <w:rFonts w:ascii="Times New Roman" w:hAnsi="Times New Roman" w:cs="Times New Roman" w:eastAsia="Times New Roman" w:hint="default"/>
        </w:rPr>
        <w:t>10%</w:t>
      </w:r>
      <w:r>
        <w:rPr/>
        <w:t>税率的，税率分别调整为</w:t>
      </w:r>
      <w:r>
        <w:rPr>
          <w:rFonts w:ascii="Times New Roman" w:hAnsi="Times New Roman" w:cs="Times New Roman" w:eastAsia="Times New Roman" w:hint="default"/>
        </w:rPr>
        <w:t>13%</w:t>
      </w:r>
      <w:r>
        <w:rPr/>
        <w:t>、</w:t>
      </w:r>
      <w:r>
        <w:rPr>
          <w:rFonts w:ascii="Times New Roman" w:hAnsi="Times New Roman" w:cs="Times New Roman" w:eastAsia="Times New Roman" w:hint="default"/>
        </w:rPr>
        <w:t>9%</w:t>
      </w:r>
      <w:r>
        <w:rPr/>
        <w:t>。</w:t>
      </w:r>
    </w:p>
    <w:p>
      <w:pPr>
        <w:pStyle w:val="BodyText"/>
        <w:spacing w:line="300" w:lineRule="auto" w:before="63"/>
        <w:ind w:right="1138" w:firstLine="420"/>
        <w:jc w:val="both"/>
      </w:pPr>
      <w:r>
        <w:rPr/>
        <w:t>说明</w:t>
      </w:r>
      <w:r>
        <w:rPr>
          <w:rFonts w:ascii="Times New Roman" w:hAnsi="Times New Roman" w:cs="Times New Roman" w:eastAsia="Times New Roman" w:hint="default"/>
        </w:rPr>
        <w:t>2</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[2011]100</w:t>
      </w:r>
      <w:r>
        <w:rPr/>
        <w:t>号</w:t>
      </w:r>
      <w:r>
        <w:rPr>
          <w:rFonts w:ascii="Times New Roman" w:hAnsi="Times New Roman" w:cs="Times New Roman" w:eastAsia="Times New Roman" w:hint="default"/>
        </w:rPr>
        <w:t>”</w:t>
      </w:r>
      <w:r>
        <w:rPr/>
        <w:t>文《财政部</w:t>
      </w:r>
      <w:r>
        <w:rPr>
          <w:spacing w:val="-19"/>
        </w:rPr>
        <w:t> </w:t>
      </w:r>
      <w:r>
        <w:rPr/>
        <w:t>国家税务总局关于软件产品增值税政策的通知》的规定，自</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 起，本公司销售自行开发生产的软件产品，按</w:t>
      </w:r>
      <w:r>
        <w:rPr>
          <w:rFonts w:ascii="Times New Roman" w:hAnsi="Times New Roman" w:cs="Times New Roman" w:eastAsia="Times New Roman" w:hint="default"/>
        </w:rPr>
        <w:t>17%</w:t>
      </w:r>
      <w:r>
        <w:rPr/>
        <w:t>（</w:t>
      </w:r>
      <w:r>
        <w:rPr>
          <w:rFonts w:ascii="Times New Roman" w:hAnsi="Times New Roman" w:cs="Times New Roman" w:eastAsia="Times New Roman" w:hint="default"/>
        </w:rPr>
        <w:t>16%</w:t>
      </w:r>
      <w:r>
        <w:rPr/>
        <w:t>、</w:t>
      </w:r>
      <w:r>
        <w:rPr>
          <w:rFonts w:ascii="宋体" w:hAnsi="宋体" w:cs="宋体" w:eastAsia="宋体" w:hint="default"/>
        </w:rPr>
        <w:t>13%</w:t>
      </w:r>
      <w:r>
        <w:rPr/>
        <w:t>）的法定税率征收增值税后，对其增值税实际税负超过</w:t>
      </w:r>
      <w:r>
        <w:rPr>
          <w:rFonts w:ascii="Times New Roman" w:hAnsi="Times New Roman" w:cs="Times New Roman" w:eastAsia="Times New Roman" w:hint="default"/>
        </w:rPr>
        <w:t>3%</w:t>
      </w:r>
      <w:r>
        <w:rPr/>
        <w:t>的 部分实行即征即退政策。</w:t>
      </w:r>
    </w:p>
    <w:p>
      <w:pPr>
        <w:pStyle w:val="BodyText"/>
        <w:spacing w:line="309" w:lineRule="auto" w:before="31"/>
        <w:ind w:right="1129" w:firstLine="420"/>
        <w:jc w:val="both"/>
      </w:pPr>
      <w:r>
        <w:rPr>
          <w:spacing w:val="-2"/>
        </w:rPr>
        <w:t>说明</w:t>
      </w:r>
      <w:r>
        <w:rPr>
          <w:rFonts w:ascii="Times New Roman" w:hAnsi="Times New Roman" w:cs="Times New Roman" w:eastAsia="Times New Roman" w:hint="default"/>
          <w:spacing w:val="-2"/>
        </w:rPr>
        <w:t>3</w:t>
      </w:r>
      <w:r>
        <w:rPr>
          <w:spacing w:val="-2"/>
        </w:rPr>
        <w:t>：根据财政部和国家税务总局</w:t>
      </w:r>
      <w:r>
        <w:rPr>
          <w:rFonts w:ascii="Times New Roman" w:hAnsi="Times New Roman" w:cs="Times New Roman" w:eastAsia="Times New Roman" w:hint="default"/>
          <w:spacing w:val="-2"/>
        </w:rPr>
        <w:t>“</w:t>
      </w:r>
      <w:r>
        <w:rPr>
          <w:spacing w:val="-2"/>
        </w:rPr>
        <w:t>财税字</w:t>
      </w:r>
      <w:r>
        <w:rPr>
          <w:rFonts w:ascii="Times New Roman" w:hAnsi="Times New Roman" w:cs="Times New Roman" w:eastAsia="Times New Roman" w:hint="default"/>
          <w:spacing w:val="-2"/>
        </w:rPr>
        <w:t>[1999]273</w:t>
      </w:r>
      <w:r>
        <w:rPr>
          <w:spacing w:val="-2"/>
        </w:rPr>
        <w:t>号</w:t>
      </w:r>
      <w:r>
        <w:rPr>
          <w:rFonts w:ascii="Times New Roman" w:hAnsi="Times New Roman" w:cs="Times New Roman" w:eastAsia="Times New Roman" w:hint="default"/>
          <w:spacing w:val="-2"/>
        </w:rPr>
        <w:t>”</w:t>
      </w:r>
      <w:r>
        <w:rPr>
          <w:spacing w:val="-2"/>
        </w:rPr>
        <w:t>文《关于贯彻落实〈中共中央国务院关于加强技术创新，发展</w:t>
      </w:r>
      <w:r>
        <w:rPr/>
        <w:t> </w:t>
      </w:r>
      <w:r>
        <w:rPr>
          <w:spacing w:val="-2"/>
        </w:rPr>
        <w:t>高科技，实现产业化的决定〉有关税收问题的通知》，从事技术转让、技术开发业务和与之相关的技术咨询、技术服务业务</w:t>
      </w:r>
      <w:r>
        <w:rPr>
          <w:spacing w:val="-68"/>
        </w:rPr>
        <w:t> </w:t>
      </w:r>
      <w:r>
        <w:rPr>
          <w:spacing w:val="-68"/>
        </w:rPr>
      </w:r>
      <w:r>
        <w:rPr/>
        <w:t>取得的收入，免征营业税。本公司的技术开发、技术转让收入免征营业税，营改增后免征增值税。</w:t>
      </w:r>
    </w:p>
    <w:p>
      <w:pPr>
        <w:spacing w:line="240" w:lineRule="auto" w:before="9"/>
        <w:rPr>
          <w:rFonts w:ascii="宋体" w:hAnsi="宋体" w:cs="宋体" w:eastAsia="宋体" w:hint="default"/>
          <w:sz w:val="25"/>
          <w:szCs w:val="25"/>
        </w:rPr>
      </w:pPr>
    </w:p>
    <w:p>
      <w:pPr>
        <w:pStyle w:val="BodyText"/>
        <w:spacing w:line="300" w:lineRule="auto"/>
        <w:ind w:left="623" w:right="1133" w:hanging="327"/>
        <w:jc w:val="left"/>
      </w:pPr>
      <w:r>
        <w:rPr>
          <w:rFonts w:ascii="Times New Roman" w:hAnsi="Times New Roman" w:cs="Times New Roman" w:eastAsia="Times New Roman" w:hint="default"/>
        </w:rPr>
        <w:t>(2)</w:t>
      </w:r>
      <w:r>
        <w:rPr/>
        <w:t>企业所得税</w:t>
      </w:r>
      <w:r>
        <w:rPr>
          <w:w w:val="99"/>
        </w:rPr>
        <w:t> </w:t>
      </w:r>
      <w:r>
        <w:rPr/>
        <w:t>说明</w:t>
      </w: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10</w:t>
      </w:r>
      <w:r>
        <w:rPr/>
        <w:t>日通过复审，被厦门市科学技术局等相关部门继续认定为高新技术企业，根据《中华</w:t>
      </w:r>
    </w:p>
    <w:p>
      <w:pPr>
        <w:pStyle w:val="BodyText"/>
        <w:spacing w:line="300" w:lineRule="auto" w:before="13"/>
        <w:ind w:left="633" w:right="0" w:hanging="481"/>
        <w:jc w:val="left"/>
      </w:pPr>
      <w:r>
        <w:rPr/>
        <w:t>人民共和国企业所得税法》及相关法规规定，本公司</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税率缴纳企业所得税。 </w:t>
      </w:r>
      <w:r>
        <w:rPr>
          <w:spacing w:val="-1"/>
        </w:rPr>
        <w:t>说明</w:t>
      </w:r>
      <w:r>
        <w:rPr>
          <w:rFonts w:ascii="Times New Roman" w:hAnsi="Times New Roman" w:cs="Times New Roman" w:eastAsia="Times New Roman" w:hint="default"/>
          <w:spacing w:val="-1"/>
        </w:rPr>
        <w:t>2</w:t>
      </w:r>
      <w:r>
        <w:rPr>
          <w:spacing w:val="-1"/>
        </w:rPr>
        <w:t>：电子科技于</w:t>
      </w:r>
      <w:r>
        <w:rPr>
          <w:rFonts w:ascii="Times New Roman" w:hAnsi="Times New Roman" w:cs="Times New Roman" w:eastAsia="Times New Roman" w:hint="default"/>
          <w:spacing w:val="-1"/>
        </w:rPr>
        <w:t>2019</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w:t>
      </w:r>
      <w:r>
        <w:rPr>
          <w:spacing w:val="-1"/>
        </w:rPr>
        <w:t>日通过复审，被福建省科学技术厅等相关部门继续认定为高新技术企业，根据《中华</w:t>
      </w:r>
    </w:p>
    <w:p>
      <w:pPr>
        <w:pStyle w:val="BodyText"/>
        <w:spacing w:line="300" w:lineRule="auto" w:before="13"/>
        <w:ind w:left="633" w:right="0" w:hanging="481"/>
        <w:jc w:val="left"/>
      </w:pPr>
      <w:r>
        <w:rPr/>
        <w:t>人民共和国企业所得税法》及相关法规规定，电子科技</w:t>
      </w:r>
      <w:r>
        <w:rPr>
          <w:rFonts w:ascii="Times New Roman" w:hAnsi="Times New Roman" w:cs="Times New Roman" w:eastAsia="Times New Roman" w:hint="default"/>
        </w:rPr>
        <w:t>2019</w:t>
      </w:r>
      <w:r>
        <w:rPr/>
        <w:t>年至</w:t>
      </w:r>
      <w:r>
        <w:rPr>
          <w:rFonts w:ascii="Times New Roman" w:hAnsi="Times New Roman" w:cs="Times New Roman" w:eastAsia="Times New Roman" w:hint="default"/>
        </w:rPr>
        <w:t>2021</w:t>
      </w:r>
      <w:r>
        <w:rPr/>
        <w:t>年减按</w:t>
      </w:r>
      <w:r>
        <w:rPr>
          <w:rFonts w:ascii="Times New Roman" w:hAnsi="Times New Roman" w:cs="Times New Roman" w:eastAsia="Times New Roman" w:hint="default"/>
        </w:rPr>
        <w:t>15%</w:t>
      </w:r>
      <w:r>
        <w:rPr/>
        <w:t>税率缴纳企业所得税。 </w:t>
      </w:r>
      <w:r>
        <w:rPr>
          <w:spacing w:val="-1"/>
        </w:rPr>
        <w:t>说明</w:t>
      </w:r>
      <w:r>
        <w:rPr>
          <w:rFonts w:ascii="Times New Roman" w:hAnsi="Times New Roman" w:cs="Times New Roman" w:eastAsia="Times New Roman" w:hint="default"/>
          <w:spacing w:val="-1"/>
        </w:rPr>
        <w:t>3</w:t>
      </w:r>
      <w:r>
        <w:rPr>
          <w:spacing w:val="-1"/>
        </w:rPr>
        <w:t>：根据</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[2012]27</w:t>
      </w:r>
      <w:r>
        <w:rPr>
          <w:spacing w:val="-1"/>
        </w:rPr>
        <w:t>号</w:t>
      </w:r>
      <w:r>
        <w:rPr>
          <w:rFonts w:ascii="Times New Roman" w:hAnsi="Times New Roman" w:cs="Times New Roman" w:eastAsia="Times New Roman" w:hint="default"/>
          <w:spacing w:val="-1"/>
        </w:rPr>
        <w:t>”</w:t>
      </w:r>
      <w:r>
        <w:rPr>
          <w:spacing w:val="-1"/>
        </w:rPr>
        <w:t>文《财政部、国家税务总局关于进一步鼓励软件产业和集成电路产业发展企业所得税政</w:t>
      </w:r>
    </w:p>
    <w:p>
      <w:pPr>
        <w:pStyle w:val="BodyText"/>
        <w:spacing w:line="240" w:lineRule="auto" w:before="13"/>
        <w:ind w:right="0"/>
        <w:jc w:val="left"/>
      </w:pPr>
      <w:r>
        <w:rPr/>
        <w:t>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left="0" w:right="1132"/>
        <w:jc w:val="right"/>
      </w:pPr>
      <w:r>
        <w:rPr>
          <w:spacing w:val="-1"/>
        </w:rPr>
        <w:t>第五年减半征收企业所得税</w:t>
      </w:r>
      <w:r>
        <w:rPr>
          <w:rFonts w:ascii="Times New Roman" w:hAnsi="Times New Roman" w:cs="Times New Roman" w:eastAsia="Times New Roman" w:hint="default"/>
          <w:spacing w:val="-1"/>
        </w:rPr>
        <w:t>”</w:t>
      </w:r>
      <w:r>
        <w:rPr>
          <w:spacing w:val="-1"/>
        </w:rPr>
        <w:t>，医疗信息于</w:t>
      </w:r>
      <w:r>
        <w:rPr>
          <w:rFonts w:ascii="Times New Roman" w:hAnsi="Times New Roman" w:cs="Times New Roman" w:eastAsia="Times New Roman" w:hint="default"/>
          <w:spacing w:val="-1"/>
        </w:rPr>
        <w:t>2018</w:t>
      </w:r>
      <w:r>
        <w:rPr>
          <w:spacing w:val="-1"/>
        </w:rPr>
        <w:t>年申请税收优惠备案，</w:t>
      </w:r>
      <w:r>
        <w:rPr>
          <w:rFonts w:ascii="Times New Roman" w:hAnsi="Times New Roman" w:cs="Times New Roman" w:eastAsia="Times New Roman" w:hint="default"/>
          <w:spacing w:val="-1"/>
        </w:rPr>
        <w:t>2019</w:t>
      </w:r>
      <w:r>
        <w:rPr>
          <w:spacing w:val="-1"/>
        </w:rPr>
        <w:t>年度为第三个获利年度，减半征收企业所得税。</w:t>
      </w:r>
      <w:r>
        <w:rPr>
          <w:spacing w:val="-68"/>
        </w:rPr>
        <w:t> </w:t>
      </w:r>
      <w:r>
        <w:rPr>
          <w:spacing w:val="-68"/>
        </w:rPr>
      </w:r>
      <w:r>
        <w:rPr>
          <w:spacing w:val="-1"/>
        </w:rPr>
        <w:t>说明</w:t>
      </w:r>
      <w:r>
        <w:rPr>
          <w:rFonts w:ascii="Times New Roman" w:hAnsi="Times New Roman" w:cs="Times New Roman" w:eastAsia="Times New Roman" w:hint="default"/>
          <w:spacing w:val="-1"/>
        </w:rPr>
        <w:t>4</w:t>
      </w:r>
      <w:r>
        <w:rPr>
          <w:spacing w:val="-1"/>
        </w:rPr>
        <w:t>：根据</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[2012]27</w:t>
      </w:r>
      <w:r>
        <w:rPr>
          <w:spacing w:val="-1"/>
        </w:rPr>
        <w:t>号</w:t>
      </w:r>
      <w:r>
        <w:rPr>
          <w:rFonts w:ascii="Times New Roman" w:hAnsi="Times New Roman" w:cs="Times New Roman" w:eastAsia="Times New Roman" w:hint="default"/>
          <w:spacing w:val="-1"/>
        </w:rPr>
        <w:t>”</w:t>
      </w:r>
      <w:r>
        <w:rPr>
          <w:spacing w:val="-1"/>
        </w:rPr>
        <w:t>文《财政部、国家税务总局关于进一步鼓励软件产业和集成电路产业发展企业所得税政</w:t>
      </w:r>
      <w:r>
        <w:rPr/>
        <w:t> 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p>
    <w:p>
      <w:pPr>
        <w:pStyle w:val="BodyText"/>
        <w:spacing w:line="300" w:lineRule="auto" w:before="13"/>
        <w:ind w:left="633" w:right="0" w:hanging="481"/>
        <w:jc w:val="left"/>
      </w:pPr>
      <w:r>
        <w:rPr/>
        <w:t>第五年减半征收企业所得税</w:t>
      </w:r>
      <w:r>
        <w:rPr>
          <w:rFonts w:ascii="Times New Roman" w:hAnsi="Times New Roman" w:cs="Times New Roman" w:eastAsia="Times New Roman" w:hint="default"/>
        </w:rPr>
        <w:t>”</w:t>
      </w:r>
      <w:r>
        <w:rPr/>
        <w:t>，医卫信息于</w:t>
      </w:r>
      <w:r>
        <w:rPr>
          <w:rFonts w:ascii="Times New Roman" w:hAnsi="Times New Roman" w:cs="Times New Roman" w:eastAsia="Times New Roman" w:hint="default"/>
        </w:rPr>
        <w:t>2018</w:t>
      </w:r>
      <w:r>
        <w:rPr/>
        <w:t>年申请税收优惠备案，</w:t>
      </w:r>
      <w:r>
        <w:rPr>
          <w:rFonts w:ascii="Times New Roman" w:hAnsi="Times New Roman" w:cs="Times New Roman" w:eastAsia="Times New Roman" w:hint="default"/>
        </w:rPr>
        <w:t>2019</w:t>
      </w:r>
      <w:r>
        <w:rPr/>
        <w:t>年度为第二个获利年度，免缴企业所得税。 </w:t>
      </w:r>
      <w:r>
        <w:rPr>
          <w:spacing w:val="-1"/>
        </w:rPr>
        <w:t>说明</w:t>
      </w:r>
      <w:r>
        <w:rPr>
          <w:rFonts w:ascii="Times New Roman" w:hAnsi="Times New Roman" w:cs="Times New Roman" w:eastAsia="Times New Roman" w:hint="default"/>
          <w:spacing w:val="-1"/>
        </w:rPr>
        <w:t>5</w:t>
      </w:r>
      <w:r>
        <w:rPr>
          <w:spacing w:val="-1"/>
        </w:rPr>
        <w:t>：根据</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[2012]27</w:t>
      </w:r>
      <w:r>
        <w:rPr>
          <w:spacing w:val="-1"/>
        </w:rPr>
        <w:t>号</w:t>
      </w:r>
      <w:r>
        <w:rPr>
          <w:rFonts w:ascii="Times New Roman" w:hAnsi="Times New Roman" w:cs="Times New Roman" w:eastAsia="Times New Roman" w:hint="default"/>
          <w:spacing w:val="-1"/>
        </w:rPr>
        <w:t>”</w:t>
      </w:r>
      <w:r>
        <w:rPr>
          <w:spacing w:val="-1"/>
        </w:rPr>
        <w:t>文《财政部、国家税务总局关于进一步鼓励软件产业和集成电路产业发展企业所得税政</w:t>
      </w:r>
    </w:p>
    <w:p>
      <w:pPr>
        <w:pStyle w:val="BodyText"/>
        <w:spacing w:line="300" w:lineRule="auto" w:before="13"/>
        <w:ind w:right="1133"/>
        <w:jc w:val="left"/>
      </w:pPr>
      <w:r>
        <w:rPr/>
        <w:t>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r>
        <w:rPr>
          <w:spacing w:val="-76"/>
        </w:rPr>
        <w:t> </w:t>
      </w:r>
      <w:r>
        <w:rPr>
          <w:spacing w:val="-76"/>
        </w:rPr>
      </w:r>
      <w:r>
        <w:rPr/>
        <w:t>第五年减半征收企业所得税</w:t>
      </w:r>
      <w:r>
        <w:rPr>
          <w:rFonts w:ascii="Times New Roman" w:hAnsi="Times New Roman" w:cs="Times New Roman" w:eastAsia="Times New Roman" w:hint="default"/>
        </w:rPr>
        <w:t>”</w:t>
      </w:r>
      <w:r>
        <w:rPr/>
        <w:t>，广州睿图于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月申请税收优惠备案，</w:t>
      </w:r>
      <w:r>
        <w:rPr>
          <w:rFonts w:ascii="Times New Roman" w:hAnsi="Times New Roman" w:cs="Times New Roman" w:eastAsia="Times New Roman" w:hint="default"/>
        </w:rPr>
        <w:t>2019</w:t>
      </w:r>
      <w:r>
        <w:rPr/>
        <w:t>年度为第二个获利年度，免缴企业所得税。</w:t>
      </w:r>
    </w:p>
    <w:p>
      <w:pPr>
        <w:pStyle w:val="BodyText"/>
        <w:spacing w:line="300" w:lineRule="auto" w:before="13"/>
        <w:ind w:right="1132" w:firstLine="480"/>
        <w:jc w:val="both"/>
      </w:pPr>
      <w:r>
        <w:rPr>
          <w:spacing w:val="-1"/>
        </w:rPr>
        <w:t>说明</w:t>
      </w:r>
      <w:r>
        <w:rPr>
          <w:rFonts w:ascii="Times New Roman" w:hAnsi="Times New Roman" w:cs="Times New Roman" w:eastAsia="Times New Roman" w:hint="default"/>
          <w:spacing w:val="-1"/>
        </w:rPr>
        <w:t>6</w:t>
      </w:r>
      <w:r>
        <w:rPr>
          <w:spacing w:val="-1"/>
        </w:rPr>
        <w:t>：根据</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[2012]27</w:t>
      </w:r>
      <w:r>
        <w:rPr>
          <w:spacing w:val="-1"/>
        </w:rPr>
        <w:t>号</w:t>
      </w:r>
      <w:r>
        <w:rPr>
          <w:rFonts w:ascii="Times New Roman" w:hAnsi="Times New Roman" w:cs="Times New Roman" w:eastAsia="Times New Roman" w:hint="default"/>
          <w:spacing w:val="-1"/>
        </w:rPr>
        <w:t>”</w:t>
      </w:r>
      <w:r>
        <w:rPr>
          <w:spacing w:val="-1"/>
        </w:rPr>
        <w:t>文《财政部、国家税务总局关于进一步鼓励软件产业和集成电路产业发展企业所得税政</w:t>
      </w:r>
      <w:r>
        <w:rPr/>
        <w:t> 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r>
        <w:rPr>
          <w:spacing w:val="-74"/>
        </w:rPr>
        <w:t> </w:t>
      </w:r>
      <w:r>
        <w:rPr>
          <w:spacing w:val="-74"/>
        </w:rPr>
      </w:r>
      <w:r>
        <w:rPr/>
        <w:t>第五年减半征收企业所得税</w:t>
      </w:r>
      <w:r>
        <w:rPr>
          <w:rFonts w:ascii="Times New Roman" w:hAnsi="Times New Roman" w:cs="Times New Roman" w:eastAsia="Times New Roman" w:hint="default"/>
        </w:rPr>
        <w:t>”</w:t>
      </w:r>
      <w:r>
        <w:rPr/>
        <w:t>，保睿通于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9</w:t>
      </w:r>
      <w:r>
        <w:rPr/>
        <w:t>月申请税收优惠备案，</w:t>
      </w:r>
      <w:r>
        <w:rPr>
          <w:rFonts w:ascii="Times New Roman" w:hAnsi="Times New Roman" w:cs="Times New Roman" w:eastAsia="Times New Roman" w:hint="default"/>
        </w:rPr>
        <w:t>2019</w:t>
      </w:r>
      <w:r>
        <w:rPr/>
        <w:t>年度为第二个获利年度，免缴企业所得税。</w:t>
      </w:r>
    </w:p>
    <w:p>
      <w:pPr>
        <w:pStyle w:val="BodyText"/>
        <w:spacing w:line="304" w:lineRule="auto" w:before="13"/>
        <w:ind w:right="1130" w:firstLine="480"/>
        <w:jc w:val="both"/>
      </w:pPr>
      <w:r>
        <w:rPr>
          <w:spacing w:val="-1"/>
        </w:rPr>
        <w:t>说明</w:t>
      </w:r>
      <w:r>
        <w:rPr>
          <w:rFonts w:ascii="Times New Roman" w:hAnsi="Times New Roman" w:cs="Times New Roman" w:eastAsia="Times New Roman" w:hint="default"/>
          <w:spacing w:val="-1"/>
        </w:rPr>
        <w:t>7</w:t>
      </w:r>
      <w:r>
        <w:rPr>
          <w:spacing w:val="-1"/>
        </w:rPr>
        <w:t>：根据《国务院关于经济特区和上海浦东新区新设立高新技术企业实行过渡性税收优惠的通知》（国发</w:t>
      </w:r>
      <w:r>
        <w:rPr>
          <w:rFonts w:ascii="Times New Roman" w:hAnsi="Times New Roman" w:cs="Times New Roman" w:eastAsia="Times New Roman" w:hint="default"/>
          <w:spacing w:val="-1"/>
        </w:rPr>
        <w:t>[2017]40</w:t>
      </w:r>
      <w:r>
        <w:rPr>
          <w:rFonts w:ascii="Times New Roman" w:hAnsi="Times New Roman" w:cs="Times New Roman" w:eastAsia="Times New Roman" w:hint="default"/>
        </w:rPr>
        <w:t> </w:t>
      </w:r>
      <w:r>
        <w:rPr>
          <w:spacing w:val="-1"/>
        </w:rPr>
        <w:t>号）、《财政部、国家税务总局关于贯彻落实国务院关于实施企业所得税过渡优惠有关问题的通知》（财税</w:t>
      </w:r>
      <w:r>
        <w:rPr>
          <w:rFonts w:ascii="Times New Roman" w:hAnsi="Times New Roman" w:cs="Times New Roman" w:eastAsia="Times New Roman" w:hint="default"/>
          <w:spacing w:val="-1"/>
        </w:rPr>
        <w:t>[2008]21</w:t>
      </w:r>
      <w:r>
        <w:rPr>
          <w:spacing w:val="-1"/>
        </w:rPr>
        <w:t>号）的</w:t>
      </w:r>
      <w:r>
        <w:rPr>
          <w:spacing w:val="-58"/>
        </w:rPr>
        <w:t> </w:t>
      </w:r>
      <w:r>
        <w:rPr>
          <w:spacing w:val="-58"/>
        </w:rPr>
      </w:r>
      <w:r>
        <w:rPr/>
        <w:t>有关规定</w:t>
      </w:r>
      <w:r>
        <w:rPr>
          <w:rFonts w:ascii="Times New Roman" w:hAnsi="Times New Roman" w:cs="Times New Roman" w:eastAsia="Times New Roman" w:hint="default"/>
        </w:rPr>
        <w:t>“</w:t>
      </w:r>
      <w:r>
        <w:rPr/>
        <w:t>经济特区和上海浦东新区内，在</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日（含）之后完成注册的国家需要重点扶持的高新技术企业，在经济</w:t>
      </w:r>
      <w:r>
        <w:rPr>
          <w:spacing w:val="-76"/>
        </w:rPr>
        <w:t> </w:t>
      </w:r>
      <w:r>
        <w:rPr>
          <w:spacing w:val="-76"/>
        </w:rPr>
      </w:r>
      <w:r>
        <w:rPr>
          <w:spacing w:val="-2"/>
        </w:rPr>
        <w:t>特区和上海浦东新区内取得的所得，自取得第一笔生产经营收入所属纳税年度起，第一年至第二年免征企业所得税，第三年</w:t>
      </w:r>
      <w:r>
        <w:rPr>
          <w:spacing w:val="-63"/>
        </w:rPr>
        <w:t> </w:t>
      </w:r>
      <w:r>
        <w:rPr>
          <w:spacing w:val="-63"/>
        </w:rPr>
      </w:r>
      <w:r>
        <w:rPr>
          <w:spacing w:val="-1"/>
        </w:rPr>
        <w:t>至第五年按照</w:t>
      </w:r>
      <w:r>
        <w:rPr>
          <w:rFonts w:ascii="Times New Roman" w:hAnsi="Times New Roman" w:cs="Times New Roman" w:eastAsia="Times New Roman" w:hint="default"/>
          <w:spacing w:val="-1"/>
        </w:rPr>
        <w:t>25%</w:t>
      </w:r>
      <w:r>
        <w:rPr>
          <w:spacing w:val="-1"/>
        </w:rPr>
        <w:t>法定税率减半征收企业所得税。智能科技于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月取得国家高新技术企业证书，</w:t>
      </w:r>
      <w:r>
        <w:rPr>
          <w:rFonts w:ascii="Times New Roman" w:hAnsi="Times New Roman" w:cs="Times New Roman" w:eastAsia="Times New Roman" w:hint="default"/>
          <w:spacing w:val="-1"/>
        </w:rPr>
        <w:t>2019</w:t>
      </w:r>
      <w:r>
        <w:rPr>
          <w:spacing w:val="-1"/>
        </w:rPr>
        <w:t>年度为第三个生</w:t>
      </w:r>
      <w:r>
        <w:rPr>
          <w:spacing w:val="-88"/>
        </w:rPr>
        <w:t> </w:t>
      </w:r>
      <w:r>
        <w:rPr>
          <w:spacing w:val="-88"/>
        </w:rPr>
      </w:r>
      <w:r>
        <w:rPr/>
        <w:t>产经营年度，减半征收企业所得税。</w:t>
      </w:r>
    </w:p>
    <w:p>
      <w:pPr>
        <w:pStyle w:val="BodyText"/>
        <w:spacing w:line="300" w:lineRule="auto" w:before="28"/>
        <w:ind w:right="1132" w:firstLine="480"/>
        <w:jc w:val="right"/>
      </w:pPr>
      <w:r>
        <w:rPr>
          <w:spacing w:val="-1"/>
        </w:rPr>
        <w:t>说明</w:t>
      </w:r>
      <w:r>
        <w:rPr>
          <w:rFonts w:ascii="Times New Roman" w:hAnsi="Times New Roman" w:cs="Times New Roman" w:eastAsia="Times New Roman" w:hint="default"/>
          <w:spacing w:val="-1"/>
        </w:rPr>
        <w:t>8</w:t>
      </w:r>
      <w:r>
        <w:rPr>
          <w:spacing w:val="-1"/>
        </w:rPr>
        <w:t>：根据</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[2012]27</w:t>
      </w:r>
      <w:r>
        <w:rPr>
          <w:spacing w:val="-1"/>
        </w:rPr>
        <w:t>号</w:t>
      </w:r>
      <w:r>
        <w:rPr>
          <w:rFonts w:ascii="Times New Roman" w:hAnsi="Times New Roman" w:cs="Times New Roman" w:eastAsia="Times New Roman" w:hint="default"/>
          <w:spacing w:val="-1"/>
        </w:rPr>
        <w:t>”</w:t>
      </w:r>
      <w:r>
        <w:rPr>
          <w:spacing w:val="-1"/>
        </w:rPr>
        <w:t>文《财政部、国家税务总局关于进一步鼓励软件产业和集成电路产业发展企业所得税政</w:t>
      </w:r>
      <w:r>
        <w:rPr/>
        <w:t> 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r>
        <w:rPr>
          <w:spacing w:val="-87"/>
        </w:rPr>
        <w:t> </w:t>
      </w:r>
      <w:r>
        <w:rPr>
          <w:spacing w:val="-87"/>
        </w:rPr>
      </w:r>
      <w:r>
        <w:rPr>
          <w:spacing w:val="-1"/>
        </w:rPr>
        <w:t>第五年减半征收企业所得税</w:t>
      </w:r>
      <w:r>
        <w:rPr>
          <w:rFonts w:ascii="Times New Roman" w:hAnsi="Times New Roman" w:cs="Times New Roman" w:eastAsia="Times New Roman" w:hint="default"/>
          <w:spacing w:val="-1"/>
        </w:rPr>
        <w:t>”</w:t>
      </w:r>
      <w:r>
        <w:rPr>
          <w:spacing w:val="-1"/>
        </w:rPr>
        <w:t>，民生科技于</w:t>
      </w:r>
      <w:r>
        <w:rPr>
          <w:rFonts w:ascii="Times New Roman" w:hAnsi="Times New Roman" w:cs="Times New Roman" w:eastAsia="Times New Roman" w:hint="default"/>
          <w:spacing w:val="-1"/>
        </w:rPr>
        <w:t>2017</w:t>
      </w:r>
      <w:r>
        <w:rPr>
          <w:spacing w:val="-1"/>
        </w:rPr>
        <w:t>年申请税收优惠备案，</w:t>
      </w:r>
      <w:r>
        <w:rPr>
          <w:rFonts w:ascii="Times New Roman" w:hAnsi="Times New Roman" w:cs="Times New Roman" w:eastAsia="Times New Roman" w:hint="default"/>
          <w:spacing w:val="-1"/>
        </w:rPr>
        <w:t>2019</w:t>
      </w:r>
      <w:r>
        <w:rPr>
          <w:spacing w:val="-1"/>
        </w:rPr>
        <w:t>年度为第三个获利年度，减半征收企业所得税。</w:t>
      </w:r>
      <w:r>
        <w:rPr>
          <w:spacing w:val="-68"/>
        </w:rPr>
        <w:t> </w:t>
      </w:r>
      <w:r>
        <w:rPr>
          <w:spacing w:val="-68"/>
        </w:rPr>
      </w:r>
      <w:r>
        <w:rPr>
          <w:spacing w:val="-1"/>
        </w:rPr>
        <w:t>说明</w:t>
      </w:r>
      <w:r>
        <w:rPr>
          <w:rFonts w:ascii="Times New Roman" w:hAnsi="Times New Roman" w:cs="Times New Roman" w:eastAsia="Times New Roman" w:hint="default"/>
          <w:spacing w:val="-1"/>
        </w:rPr>
        <w:t>9</w:t>
      </w:r>
      <w:r>
        <w:rPr>
          <w:spacing w:val="-1"/>
        </w:rPr>
        <w:t>：根据</w:t>
      </w:r>
      <w:r>
        <w:rPr>
          <w:rFonts w:ascii="Times New Roman" w:hAnsi="Times New Roman" w:cs="Times New Roman" w:eastAsia="Times New Roman" w:hint="default"/>
          <w:spacing w:val="-1"/>
        </w:rPr>
        <w:t>“</w:t>
      </w:r>
      <w:r>
        <w:rPr>
          <w:spacing w:val="-1"/>
        </w:rPr>
        <w:t>财税</w:t>
      </w:r>
      <w:r>
        <w:rPr>
          <w:rFonts w:ascii="Times New Roman" w:hAnsi="Times New Roman" w:cs="Times New Roman" w:eastAsia="Times New Roman" w:hint="default"/>
          <w:spacing w:val="-1"/>
        </w:rPr>
        <w:t>[2012]27</w:t>
      </w:r>
      <w:r>
        <w:rPr>
          <w:spacing w:val="-1"/>
        </w:rPr>
        <w:t>号</w:t>
      </w:r>
      <w:r>
        <w:rPr>
          <w:rFonts w:ascii="Times New Roman" w:hAnsi="Times New Roman" w:cs="Times New Roman" w:eastAsia="Times New Roman" w:hint="default"/>
          <w:spacing w:val="-1"/>
        </w:rPr>
        <w:t>”</w:t>
      </w:r>
      <w:r>
        <w:rPr>
          <w:spacing w:val="-1"/>
        </w:rPr>
        <w:t>文《财政部、国家税务总局关于进一步鼓励软件产业和集成电路产业发展企业所得税政</w:t>
      </w:r>
      <w:r>
        <w:rPr/>
        <w:t> 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我国境内新办软件生产企业经认定后，自获利年度起，第一年和第二年免缴企业所得税，第三年至</w:t>
      </w:r>
      <w:r>
        <w:rPr>
          <w:spacing w:val="-87"/>
        </w:rPr>
        <w:t> </w:t>
      </w:r>
      <w:r>
        <w:rPr>
          <w:spacing w:val="-87"/>
        </w:rPr>
      </w:r>
      <w:r>
        <w:rPr/>
        <w:t>第五年减半征收企业所得税</w:t>
      </w:r>
      <w:r>
        <w:rPr>
          <w:rFonts w:ascii="Times New Roman" w:hAnsi="Times New Roman" w:cs="Times New Roman" w:eastAsia="Times New Roman" w:hint="default"/>
        </w:rPr>
        <w:t>”</w:t>
      </w:r>
      <w:r>
        <w:rPr/>
        <w:t>，易惠科技于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9</w:t>
      </w:r>
      <w:r>
        <w:rPr/>
        <w:t>日申请税收优惠备案，</w:t>
      </w:r>
      <w:r>
        <w:rPr>
          <w:rFonts w:ascii="Times New Roman" w:hAnsi="Times New Roman" w:cs="Times New Roman" w:eastAsia="Times New Roman" w:hint="default"/>
        </w:rPr>
        <w:t>2019</w:t>
      </w:r>
      <w:r>
        <w:rPr/>
        <w:t>年度为第三个获利年度，减半征收企业所</w:t>
      </w:r>
    </w:p>
    <w:p>
      <w:pPr>
        <w:pStyle w:val="BodyText"/>
        <w:spacing w:line="240" w:lineRule="auto" w:before="13"/>
        <w:ind w:right="1133"/>
        <w:jc w:val="left"/>
      </w:pPr>
      <w:r>
        <w:rPr/>
        <w:t>得税。</w:t>
      </w:r>
    </w:p>
    <w:p>
      <w:pPr>
        <w:pStyle w:val="BodyText"/>
        <w:spacing w:line="300" w:lineRule="auto" w:before="76"/>
        <w:ind w:right="1039" w:firstLine="480"/>
        <w:jc w:val="both"/>
      </w:pPr>
      <w:r>
        <w:rPr/>
        <w:t>说明</w:t>
      </w:r>
      <w:r>
        <w:rPr>
          <w:rFonts w:ascii="Times New Roman" w:hAnsi="Times New Roman" w:cs="Times New Roman" w:eastAsia="Times New Roman" w:hint="default"/>
        </w:rPr>
        <w:t>10</w:t>
      </w:r>
      <w:r>
        <w:rPr/>
        <w:t>：广东易联众公司、厦门纵达公司、人力资源公司、三明易就医公司、山西民生公司、福州灵医公司</w:t>
      </w:r>
      <w:r>
        <w:rPr>
          <w:rFonts w:ascii="Times New Roman" w:hAnsi="Times New Roman" w:cs="Times New Roman" w:eastAsia="Times New Roman" w:hint="default"/>
        </w:rPr>
        <w:t>2019</w:t>
      </w:r>
      <w:r>
        <w:rPr/>
        <w:t>年度 </w:t>
      </w:r>
      <w:r>
        <w:rPr>
          <w:spacing w:val="-1"/>
        </w:rPr>
        <w:t>符合小型微利企业标准，适用</w:t>
      </w:r>
      <w:r>
        <w:rPr>
          <w:rFonts w:ascii="Times New Roman" w:hAnsi="Times New Roman" w:cs="Times New Roman" w:eastAsia="Times New Roman" w:hint="default"/>
          <w:spacing w:val="-1"/>
        </w:rPr>
        <w:t>5%</w:t>
      </w:r>
      <w:r>
        <w:rPr>
          <w:spacing w:val="-1"/>
        </w:rPr>
        <w:t>的所得税税率，山西无感付公司</w:t>
      </w:r>
      <w:r>
        <w:rPr>
          <w:rFonts w:ascii="Times New Roman" w:hAnsi="Times New Roman" w:cs="Times New Roman" w:eastAsia="Times New Roman" w:hint="default"/>
          <w:spacing w:val="-1"/>
        </w:rPr>
        <w:t>2019</w:t>
      </w:r>
      <w:r>
        <w:rPr>
          <w:spacing w:val="-1"/>
        </w:rPr>
        <w:t>年度符合小型微利企业标准，适用</w:t>
      </w:r>
      <w:r>
        <w:rPr>
          <w:rFonts w:ascii="Times New Roman" w:hAnsi="Times New Roman" w:cs="Times New Roman" w:eastAsia="Times New Roman" w:hint="default"/>
          <w:spacing w:val="-1"/>
        </w:rPr>
        <w:t>10%</w:t>
      </w:r>
      <w:r>
        <w:rPr>
          <w:spacing w:val="-1"/>
        </w:rPr>
        <w:t>的所得税税率。</w:t>
      </w:r>
    </w:p>
    <w:p>
      <w:pPr>
        <w:pStyle w:val="BodyText"/>
        <w:spacing w:line="300" w:lineRule="auto" w:before="13"/>
        <w:ind w:right="1129" w:firstLine="480"/>
        <w:jc w:val="both"/>
      </w:pPr>
      <w:r>
        <w:rPr>
          <w:spacing w:val="-1"/>
        </w:rPr>
        <w:t>说明</w:t>
      </w:r>
      <w:r>
        <w:rPr>
          <w:rFonts w:ascii="Times New Roman" w:hAnsi="Times New Roman" w:cs="Times New Roman" w:eastAsia="Times New Roman" w:hint="default"/>
          <w:spacing w:val="-1"/>
        </w:rPr>
        <w:t>11</w:t>
      </w:r>
      <w:r>
        <w:rPr>
          <w:spacing w:val="-1"/>
        </w:rPr>
        <w:t>：山西易联众于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29</w:t>
      </w:r>
      <w:r>
        <w:rPr>
          <w:spacing w:val="-1"/>
        </w:rPr>
        <w:t>日被山西省科学技术厅等相关部门认定为高新技术企业。根据《中华人民共和国</w:t>
      </w:r>
      <w:r>
        <w:rPr/>
        <w:t> 企业所得税法》及相关法规规定，</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税率缴纳企业所得税。</w:t>
      </w:r>
    </w:p>
    <w:p>
      <w:pPr>
        <w:pStyle w:val="BodyText"/>
        <w:spacing w:line="300" w:lineRule="auto" w:before="13"/>
        <w:ind w:right="1129" w:firstLine="480"/>
        <w:jc w:val="both"/>
      </w:pPr>
      <w:r>
        <w:rPr>
          <w:spacing w:val="-1"/>
        </w:rPr>
        <w:t>说明</w:t>
      </w:r>
      <w:r>
        <w:rPr>
          <w:rFonts w:ascii="Times New Roman" w:hAnsi="Times New Roman" w:cs="Times New Roman" w:eastAsia="Times New Roman" w:hint="default"/>
          <w:spacing w:val="-1"/>
        </w:rPr>
        <w:t>12</w:t>
      </w:r>
      <w:r>
        <w:rPr>
          <w:spacing w:val="-1"/>
        </w:rPr>
        <w:t>：安徽易联众于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26</w:t>
      </w:r>
      <w:r>
        <w:rPr>
          <w:spacing w:val="-1"/>
        </w:rPr>
        <w:t>日被安徽省科学技术厅等相关部门认定为高新技术企业。根据《中华人民共和国</w:t>
      </w:r>
      <w:r>
        <w:rPr/>
        <w:t> 企业所得税法》及相关法规规定，</w:t>
      </w:r>
      <w:r>
        <w:rPr>
          <w:rFonts w:ascii="Times New Roman" w:hAnsi="Times New Roman" w:cs="Times New Roman" w:eastAsia="Times New Roman" w:hint="default"/>
        </w:rPr>
        <w:t>2018</w:t>
      </w:r>
      <w:r>
        <w:rPr/>
        <w:t>年至</w:t>
      </w:r>
      <w:r>
        <w:rPr>
          <w:rFonts w:ascii="Times New Roman" w:hAnsi="Times New Roman" w:cs="Times New Roman" w:eastAsia="Times New Roman" w:hint="default"/>
        </w:rPr>
        <w:t>2020</w:t>
      </w:r>
      <w:r>
        <w:rPr/>
        <w:t>年减按</w:t>
      </w:r>
      <w:r>
        <w:rPr>
          <w:rFonts w:ascii="Times New Roman" w:hAnsi="Times New Roman" w:cs="Times New Roman" w:eastAsia="Times New Roman" w:hint="default"/>
        </w:rPr>
        <w:t>15%</w:t>
      </w:r>
      <w:r>
        <w:rPr/>
        <w:t>税率缴纳企业所得税。</w:t>
      </w:r>
    </w:p>
    <w:p>
      <w:pPr>
        <w:pStyle w:val="BodyText"/>
        <w:spacing w:line="300" w:lineRule="auto" w:before="13"/>
        <w:ind w:right="1129" w:firstLine="480"/>
        <w:jc w:val="both"/>
      </w:pPr>
      <w:r>
        <w:rPr>
          <w:spacing w:val="-1"/>
        </w:rPr>
        <w:t>说明</w:t>
      </w:r>
      <w:r>
        <w:rPr>
          <w:rFonts w:ascii="Times New Roman" w:hAnsi="Times New Roman" w:cs="Times New Roman" w:eastAsia="Times New Roman" w:hint="default"/>
          <w:spacing w:val="-1"/>
        </w:rPr>
        <w:t>13</w:t>
      </w:r>
      <w:r>
        <w:rPr>
          <w:spacing w:val="-1"/>
        </w:rPr>
        <w:t>：湖南易联众于</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9</w:t>
      </w:r>
      <w:r>
        <w:rPr>
          <w:spacing w:val="-1"/>
        </w:rPr>
        <w:t>月</w:t>
      </w:r>
      <w:r>
        <w:rPr>
          <w:rFonts w:ascii="Times New Roman" w:hAnsi="Times New Roman" w:cs="Times New Roman" w:eastAsia="Times New Roman" w:hint="default"/>
          <w:spacing w:val="-1"/>
        </w:rPr>
        <w:t>5</w:t>
      </w:r>
      <w:r>
        <w:rPr>
          <w:spacing w:val="-1"/>
        </w:rPr>
        <w:t>日被湖南省科学技术厅等相关部门认定为高新技术企业，根据《中华人民共和国企</w:t>
      </w:r>
      <w:r>
        <w:rPr/>
        <w:t> 业所得税法》及相关法规规定，湖南易联众</w:t>
      </w:r>
      <w:r>
        <w:rPr>
          <w:rFonts w:ascii="Times New Roman" w:hAnsi="Times New Roman" w:cs="Times New Roman" w:eastAsia="Times New Roman" w:hint="default"/>
        </w:rPr>
        <w:t>2017</w:t>
      </w:r>
      <w:r>
        <w:rPr/>
        <w:t>年至</w:t>
      </w:r>
      <w:r>
        <w:rPr>
          <w:rFonts w:ascii="Times New Roman" w:hAnsi="Times New Roman" w:cs="Times New Roman" w:eastAsia="Times New Roman" w:hint="default"/>
        </w:rPr>
        <w:t>2019</w:t>
      </w:r>
      <w:r>
        <w:rPr/>
        <w:t>年减按</w:t>
      </w:r>
      <w:r>
        <w:rPr>
          <w:rFonts w:ascii="Times New Roman" w:hAnsi="Times New Roman" w:cs="Times New Roman" w:eastAsia="Times New Roman" w:hint="default"/>
        </w:rPr>
        <w:t>15%</w:t>
      </w:r>
      <w:r>
        <w:rPr/>
        <w:t>税率缴纳企业所得税。</w:t>
      </w:r>
    </w:p>
    <w:p>
      <w:pPr>
        <w:pStyle w:val="BodyText"/>
        <w:spacing w:line="300" w:lineRule="auto" w:before="13"/>
        <w:ind w:right="1042" w:firstLine="480"/>
        <w:jc w:val="both"/>
      </w:pPr>
      <w:r>
        <w:rPr/>
        <w:t>说明</w:t>
      </w:r>
      <w:r>
        <w:rPr>
          <w:rFonts w:ascii="Times New Roman" w:hAnsi="Times New Roman" w:cs="Times New Roman" w:eastAsia="Times New Roman" w:hint="default"/>
        </w:rPr>
        <w:t>14</w:t>
      </w:r>
      <w:r>
        <w:rPr/>
        <w:t>：根据</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文《财政部、国家税务总局关于进一步鼓励软件产业和集成电路产业发展企业所得税 政策的通知》的有关规定</w:t>
      </w:r>
      <w:r>
        <w:rPr>
          <w:rFonts w:ascii="Times New Roman" w:hAnsi="Times New Roman" w:cs="Times New Roman" w:eastAsia="Times New Roman" w:hint="default"/>
        </w:rPr>
        <w:t>“</w:t>
      </w:r>
      <w:r>
        <w:rPr/>
        <w:t>我国境内新办软件生产企业经认定后，自获利年度起，第一年和第二年免缴企业所得税，第三年</w:t>
      </w:r>
      <w:r>
        <w:rPr>
          <w:spacing w:val="-76"/>
        </w:rPr>
        <w:t> </w:t>
      </w:r>
      <w:r>
        <w:rPr>
          <w:spacing w:val="-76"/>
        </w:rPr>
      </w:r>
      <w:r>
        <w:rPr>
          <w:spacing w:val="-2"/>
        </w:rPr>
        <w:t>至第五年减半征收企业所得税</w:t>
      </w:r>
      <w:r>
        <w:rPr>
          <w:rFonts w:ascii="Times New Roman" w:hAnsi="Times New Roman" w:cs="Times New Roman" w:eastAsia="Times New Roman" w:hint="default"/>
          <w:spacing w:val="-2"/>
        </w:rPr>
        <w:t>”</w:t>
      </w:r>
      <w:r>
        <w:rPr>
          <w:spacing w:val="-2"/>
        </w:rPr>
        <w:t>，安徽易惠于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10</w:t>
      </w:r>
      <w:r>
        <w:rPr>
          <w:spacing w:val="-2"/>
        </w:rPr>
        <w:t>月申请税收优惠备案，</w:t>
      </w:r>
      <w:r>
        <w:rPr>
          <w:rFonts w:ascii="Times New Roman" w:hAnsi="Times New Roman" w:cs="Times New Roman" w:eastAsia="Times New Roman" w:hint="default"/>
          <w:spacing w:val="-2"/>
        </w:rPr>
        <w:t>2019</w:t>
      </w:r>
      <w:r>
        <w:rPr>
          <w:spacing w:val="-2"/>
        </w:rPr>
        <w:t>年度为第一个获利年度，免缴企业所得税。</w:t>
      </w:r>
    </w:p>
    <w:p>
      <w:pPr>
        <w:pStyle w:val="BodyText"/>
        <w:spacing w:line="300" w:lineRule="auto" w:before="13"/>
        <w:ind w:right="1129" w:firstLine="480"/>
        <w:jc w:val="both"/>
      </w:pPr>
      <w:r>
        <w:rPr/>
        <w:t>说明</w:t>
      </w:r>
      <w:r>
        <w:rPr>
          <w:rFonts w:ascii="Times New Roman" w:hAnsi="Times New Roman" w:cs="Times New Roman" w:eastAsia="Times New Roman" w:hint="default"/>
        </w:rPr>
        <w:t>15</w:t>
      </w:r>
      <w:r>
        <w:rPr/>
        <w:t>：根据财政部、税务总局于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11</w:t>
      </w:r>
      <w:r>
        <w:rPr/>
        <w:t>日发布的《关于延长高新技术企业和科技型中小企业亏损结转年限的 通知》（财税（</w:t>
      </w:r>
      <w:r>
        <w:rPr>
          <w:rFonts w:ascii="Times New Roman" w:hAnsi="Times New Roman" w:cs="Times New Roman" w:eastAsia="Times New Roman" w:hint="default"/>
        </w:rPr>
        <w:t>2018]76</w:t>
      </w:r>
      <w:r>
        <w:rPr/>
        <w:t>号），自</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日起，当年具备高新技术企业或科技型中小企业资格的企业，其具备资格年度</w:t>
      </w:r>
      <w:r>
        <w:rPr>
          <w:spacing w:val="-59"/>
        </w:rPr>
        <w:t> </w:t>
      </w:r>
      <w:r>
        <w:rPr>
          <w:spacing w:val="-59"/>
        </w:rPr>
      </w:r>
      <w:r>
        <w:rPr>
          <w:spacing w:val="-2"/>
        </w:rPr>
        <w:t>之前</w:t>
      </w:r>
      <w:r>
        <w:rPr>
          <w:rFonts w:ascii="Times New Roman" w:hAnsi="Times New Roman" w:cs="Times New Roman" w:eastAsia="Times New Roman" w:hint="default"/>
          <w:spacing w:val="-2"/>
        </w:rPr>
        <w:t>5</w:t>
      </w:r>
      <w:r>
        <w:rPr>
          <w:spacing w:val="-2"/>
        </w:rPr>
        <w:t>个年度发生的尚未弥补完的亏损，准予结转以后年度弥补，最长结转年限由</w:t>
      </w:r>
      <w:r>
        <w:rPr>
          <w:rFonts w:ascii="Times New Roman" w:hAnsi="Times New Roman" w:cs="Times New Roman" w:eastAsia="Times New Roman" w:hint="default"/>
          <w:spacing w:val="-2"/>
        </w:rPr>
        <w:t>5</w:t>
      </w:r>
      <w:r>
        <w:rPr>
          <w:spacing w:val="-2"/>
        </w:rPr>
        <w:t>年延长至</w:t>
      </w:r>
      <w:r>
        <w:rPr>
          <w:rFonts w:ascii="Times New Roman" w:hAnsi="Times New Roman" w:cs="Times New Roman" w:eastAsia="Times New Roman" w:hint="default"/>
          <w:spacing w:val="-2"/>
        </w:rPr>
        <w:t>10</w:t>
      </w:r>
      <w:r>
        <w:rPr>
          <w:spacing w:val="-2"/>
        </w:rPr>
        <w:t>年。本公司及符合条件的子公</w:t>
      </w:r>
      <w:r>
        <w:rPr>
          <w:spacing w:val="-60"/>
        </w:rPr>
        <w:t> </w:t>
      </w:r>
      <w:r>
        <w:rPr>
          <w:spacing w:val="-60"/>
        </w:rPr>
      </w:r>
      <w:r>
        <w:rPr/>
        <w:t>司享受该税收优惠。</w:t>
      </w:r>
    </w:p>
    <w:p>
      <w:pPr>
        <w:pStyle w:val="BodyText"/>
        <w:spacing w:line="240" w:lineRule="auto" w:before="72"/>
        <w:ind w:right="1133"/>
        <w:jc w:val="left"/>
      </w:pPr>
      <w:r>
        <w:rPr/>
        <w:t>公司需遵守《深圳证券交易所行业信息披露指引第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594,890.81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876,148.44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449,926,967.85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330,633,014.52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10,371,214.20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11,994,513.42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460,893,072.86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343,503,676.38</w:t>
            </w:r>
          </w:p>
        </w:tc>
      </w:tr>
    </w:tbl>
    <w:p>
      <w:pPr>
        <w:pStyle w:val="BodyText"/>
        <w:spacing w:line="240" w:lineRule="auto" w:before="51"/>
        <w:ind w:right="1133"/>
        <w:jc w:val="left"/>
      </w:pPr>
      <w:r>
        <w:rPr/>
        <w:t>其他说明</w:t>
      </w:r>
    </w:p>
    <w:p>
      <w:pPr>
        <w:pStyle w:val="BodyText"/>
        <w:spacing w:line="300" w:lineRule="auto" w:before="117"/>
        <w:ind w:right="1133"/>
        <w:jc w:val="left"/>
      </w:pPr>
      <w:r>
        <w:rPr>
          <w:rFonts w:ascii="宋体" w:hAnsi="宋体" w:cs="宋体" w:eastAsia="宋体" w:hint="default"/>
          <w:spacing w:val="90"/>
        </w:rPr>
        <w:t> </w:t>
      </w:r>
      <w:r>
        <w:rPr>
          <w:rFonts w:ascii="宋体" w:hAnsi="宋体" w:cs="宋体" w:eastAsia="宋体" w:hint="default"/>
        </w:rPr>
        <w:t>  </w:t>
      </w:r>
      <w:r>
        <w:rPr>
          <w:spacing w:val="-1"/>
        </w:rPr>
        <w:t>说明</w:t>
      </w:r>
      <w:r>
        <w:rPr>
          <w:rFonts w:ascii="Times New Roman" w:hAnsi="Times New Roman" w:cs="Times New Roman" w:eastAsia="Times New Roman" w:hint="default"/>
          <w:spacing w:val="-1"/>
        </w:rPr>
        <w:t>1</w:t>
      </w:r>
      <w:r>
        <w:rPr>
          <w:spacing w:val="-1"/>
        </w:rPr>
        <w:t>：货币资金年末数较年初数增加</w:t>
      </w:r>
      <w:r>
        <w:rPr>
          <w:rFonts w:ascii="Times New Roman" w:hAnsi="Times New Roman" w:cs="Times New Roman" w:eastAsia="Times New Roman" w:hint="default"/>
          <w:spacing w:val="-1"/>
        </w:rPr>
        <w:t>34.17%</w:t>
      </w:r>
      <w:r>
        <w:rPr>
          <w:spacing w:val="-1"/>
        </w:rPr>
        <w:t>，主要系本公司经营活动产生以及本期处置商业保理公司收到股权转让款</w:t>
      </w:r>
      <w:r>
        <w:rPr/>
        <w:t> 所致。</w:t>
      </w:r>
    </w:p>
    <w:p>
      <w:pPr>
        <w:pStyle w:val="BodyText"/>
        <w:spacing w:line="300" w:lineRule="auto" w:before="31"/>
        <w:ind w:right="0"/>
        <w:jc w:val="left"/>
      </w:pPr>
      <w:r>
        <w:rPr>
          <w:rFonts w:ascii="宋体" w:hAnsi="宋体" w:cs="宋体" w:eastAsia="宋体" w:hint="default"/>
          <w:spacing w:val="90"/>
        </w:rPr>
        <w:t> </w:t>
      </w:r>
      <w:r>
        <w:rPr>
          <w:rFonts w:ascii="宋体" w:hAnsi="宋体" w:cs="宋体" w:eastAsia="宋体" w:hint="default"/>
        </w:rPr>
        <w:t>  </w:t>
      </w:r>
      <w:r>
        <w:rPr/>
        <w:t>说明</w:t>
      </w:r>
      <w:r>
        <w:rPr>
          <w:rFonts w:ascii="Times New Roman" w:hAnsi="Times New Roman" w:cs="Times New Roman" w:eastAsia="Times New Roman" w:hint="default"/>
        </w:rPr>
        <w:t>2</w:t>
      </w:r>
      <w:r>
        <w:rPr/>
        <w:t>：银行存款年末余额中包含预收中国银行股份有限公司莆田分行货款</w:t>
      </w:r>
      <w:r>
        <w:rPr>
          <w:rFonts w:ascii="Times New Roman" w:hAnsi="Times New Roman" w:cs="Times New Roman" w:eastAsia="Times New Roman" w:hint="default"/>
        </w:rPr>
        <w:t>725,325.08</w:t>
      </w:r>
      <w:r>
        <w:rPr/>
        <w:t>元、</w:t>
      </w:r>
      <w:r>
        <w:rPr>
          <w:rFonts w:ascii="Times New Roman" w:hAnsi="Times New Roman" w:cs="Times New Roman" w:eastAsia="Times New Roman" w:hint="default"/>
        </w:rPr>
        <w:t>ETC</w:t>
      </w:r>
      <w:r>
        <w:rPr/>
        <w:t>保证金</w:t>
      </w:r>
      <w:r>
        <w:rPr>
          <w:rFonts w:ascii="Times New Roman" w:hAnsi="Times New Roman" w:cs="Times New Roman" w:eastAsia="Times New Roman" w:hint="default"/>
        </w:rPr>
        <w:t>1,000.00</w:t>
      </w:r>
      <w:r>
        <w:rPr/>
        <w:t>元，此部 分款项不能随时用于支付，在编制现金流量表时不作为现金及现金等价物。</w:t>
      </w:r>
    </w:p>
    <w:p>
      <w:pPr>
        <w:pStyle w:val="BodyText"/>
        <w:spacing w:line="304" w:lineRule="auto" w:before="24"/>
        <w:ind w:right="1124"/>
        <w:jc w:val="left"/>
      </w:pPr>
      <w:r>
        <w:rPr>
          <w:rFonts w:ascii="宋体" w:hAnsi="宋体" w:cs="宋体" w:eastAsia="宋体" w:hint="default"/>
          <w:spacing w:val="90"/>
        </w:rPr>
        <w:t> </w:t>
      </w:r>
      <w:r>
        <w:rPr>
          <w:rFonts w:ascii="宋体" w:hAnsi="宋体" w:cs="宋体" w:eastAsia="宋体" w:hint="default"/>
        </w:rPr>
        <w:t>  </w:t>
      </w:r>
      <w:r>
        <w:rPr/>
        <w:t>说明</w:t>
      </w:r>
      <w:r>
        <w:rPr>
          <w:rFonts w:ascii="Times New Roman" w:hAnsi="Times New Roman" w:cs="Times New Roman" w:eastAsia="Times New Roman" w:hint="default"/>
        </w:rPr>
        <w:t>3</w:t>
      </w:r>
      <w:r>
        <w:rPr/>
        <w:t>：银行存款年末余额中包含定期存款</w:t>
      </w:r>
      <w:r>
        <w:rPr>
          <w:rFonts w:ascii="Times New Roman" w:hAnsi="Times New Roman" w:cs="Times New Roman" w:eastAsia="Times New Roman" w:hint="default"/>
        </w:rPr>
        <w:t>550</w:t>
      </w:r>
      <w:r>
        <w:rPr>
          <w:rFonts w:ascii="等线" w:hAnsi="等线" w:cs="等线" w:eastAsia="等线" w:hint="default"/>
        </w:rPr>
        <w:t>万</w:t>
      </w:r>
      <w:r>
        <w:rPr/>
        <w:t>元，系根据保监会要求缴存的经营保证金</w:t>
      </w:r>
      <w:r>
        <w:rPr>
          <w:rFonts w:ascii="Times New Roman" w:hAnsi="Times New Roman" w:cs="Times New Roman" w:eastAsia="Times New Roman" w:hint="default"/>
        </w:rPr>
        <w:t>500</w:t>
      </w:r>
      <w:r>
        <w:rPr/>
        <w:t>万元以及截止期末到期日 超过</w:t>
      </w:r>
      <w:r>
        <w:rPr>
          <w:rFonts w:ascii="Times New Roman" w:hAnsi="Times New Roman" w:cs="Times New Roman" w:eastAsia="Times New Roman" w:hint="default"/>
        </w:rPr>
        <w:t>3</w:t>
      </w:r>
      <w:r>
        <w:rPr/>
        <w:t>个月的定期存单</w:t>
      </w:r>
      <w:r>
        <w:rPr>
          <w:rFonts w:ascii="Times New Roman" w:hAnsi="Times New Roman" w:cs="Times New Roman" w:eastAsia="Times New Roman" w:hint="default"/>
        </w:rPr>
        <w:t>50</w:t>
      </w:r>
      <w:r>
        <w:rPr/>
        <w:t>万元，在编制现金流量表时不作为现金及现金等价物。</w:t>
      </w:r>
    </w:p>
    <w:p>
      <w:pPr>
        <w:pStyle w:val="BodyText"/>
        <w:spacing w:line="300" w:lineRule="auto" w:before="9"/>
        <w:ind w:right="1133"/>
        <w:jc w:val="left"/>
      </w:pPr>
      <w:r>
        <w:rPr>
          <w:rFonts w:ascii="宋体" w:hAnsi="宋体" w:cs="宋体" w:eastAsia="宋体" w:hint="default"/>
          <w:spacing w:val="90"/>
        </w:rPr>
        <w:t> </w:t>
      </w:r>
      <w:r>
        <w:rPr>
          <w:rFonts w:ascii="宋体" w:hAnsi="宋体" w:cs="宋体" w:eastAsia="宋体" w:hint="default"/>
        </w:rPr>
        <w:t>  </w:t>
      </w:r>
      <w:r>
        <w:rPr/>
        <w:t>说明</w:t>
      </w:r>
      <w:r>
        <w:rPr>
          <w:rFonts w:ascii="Times New Roman" w:hAnsi="Times New Roman" w:cs="Times New Roman" w:eastAsia="Times New Roman" w:hint="default"/>
        </w:rPr>
        <w:t>4</w:t>
      </w:r>
      <w:r>
        <w:rPr/>
        <w:t>：其他货币资金年末余额中包含保函保证金</w:t>
      </w:r>
      <w:r>
        <w:rPr>
          <w:rFonts w:ascii="Times New Roman" w:hAnsi="Times New Roman" w:cs="Times New Roman" w:eastAsia="Times New Roman" w:hint="default"/>
        </w:rPr>
        <w:t>10,287,127.93</w:t>
      </w:r>
      <w:r>
        <w:rPr/>
        <w:t>元，此部分款项不能随时用于支付，在编制现金流量表 时不作为现金及现金等价物。</w:t>
      </w:r>
    </w:p>
    <w:p>
      <w:pPr>
        <w:pStyle w:val="BodyText"/>
        <w:spacing w:line="300" w:lineRule="auto" w:before="32"/>
        <w:ind w:right="1124"/>
        <w:jc w:val="left"/>
      </w:pPr>
      <w:r>
        <w:rPr>
          <w:rFonts w:ascii="宋体" w:hAnsi="宋体" w:cs="宋体" w:eastAsia="宋体" w:hint="default"/>
          <w:spacing w:val="90"/>
        </w:rPr>
        <w:t> </w:t>
      </w:r>
      <w:r>
        <w:rPr>
          <w:rFonts w:ascii="宋体" w:hAnsi="宋体" w:cs="宋体" w:eastAsia="宋体" w:hint="default"/>
        </w:rPr>
        <w:t>  </w:t>
      </w:r>
      <w:r>
        <w:rPr/>
        <w:t>说明</w:t>
      </w:r>
      <w:r>
        <w:rPr>
          <w:rFonts w:ascii="Times New Roman" w:hAnsi="Times New Roman" w:cs="Times New Roman" w:eastAsia="Times New Roman" w:hint="default"/>
        </w:rPr>
        <w:t>5</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日止，除上述说明外，本公司不存在抵押、质押或冻结等对使用有限制的款项，不存在存放 在境外且资金汇回受到限制的款项。</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、衍生金融资产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）应收票据分类列示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8"/>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7"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按单项计提坏账准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84,509,6</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88.74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13.64%</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13,499,8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34.66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15.97%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71,009,85</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4.08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5,369,139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0.66%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5,369,139</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58"/>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534,958,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554.31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86.36%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91,060,9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50.99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443,897,6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03.32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802,973,1</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36.20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99.34%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85,344,88</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2.38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10.63%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717,628,25</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3.82</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销售货款和提 供服务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0" w:right="0"/>
              <w:jc w:val="center"/>
              <w:rPr>
                <w:rFonts w:ascii="Times New Roman" w:hAnsi="Times New Roman" w:cs="Times New Roman" w:eastAsia="Times New Roman" w:hint="default"/>
                <w:sz w:val="18"/>
                <w:szCs w:val="18"/>
              </w:rPr>
            </w:pPr>
            <w:r>
              <w:rPr>
                <w:rFonts w:ascii="Times New Roman"/>
                <w:sz w:val="18"/>
              </w:rPr>
              <w:t>534,958,</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554.31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86.36%</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98" w:right="0"/>
              <w:jc w:val="left"/>
              <w:rPr>
                <w:rFonts w:ascii="Times New Roman" w:hAnsi="Times New Roman" w:cs="Times New Roman" w:eastAsia="Times New Roman" w:hint="default"/>
                <w:sz w:val="18"/>
                <w:szCs w:val="18"/>
              </w:rPr>
            </w:pPr>
            <w:r>
              <w:rPr>
                <w:rFonts w:ascii="Times New Roman"/>
                <w:sz w:val="18"/>
              </w:rPr>
              <w:t>91,060,9</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50.99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5" w:right="0"/>
              <w:jc w:val="left"/>
              <w:rPr>
                <w:rFonts w:ascii="Times New Roman" w:hAnsi="Times New Roman" w:cs="Times New Roman" w:eastAsia="Times New Roman" w:hint="default"/>
                <w:sz w:val="18"/>
                <w:szCs w:val="18"/>
              </w:rPr>
            </w:pPr>
            <w:r>
              <w:rPr>
                <w:rFonts w:ascii="Times New Roman"/>
                <w:sz w:val="18"/>
              </w:rPr>
              <w:t>443,897,6</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03.32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442,194,7</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82.87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54.70%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85,234,47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6.88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356,960,30</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5.99</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应收保理款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359,837,8</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03.33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44.52%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359,737,80</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3.33</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3"/>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应收融资租赁 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940,550.0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10,405.50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930,144.50</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619,468,</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243.05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104,560,</w:t>
            </w:r>
          </w:p>
          <w:p>
            <w:pPr>
              <w:pStyle w:val="TableParagraph"/>
              <w:spacing w:line="240" w:lineRule="auto" w:before="105"/>
              <w:ind w:left="214" w:right="0"/>
              <w:jc w:val="center"/>
              <w:rPr>
                <w:rFonts w:ascii="Times New Roman" w:hAnsi="Times New Roman" w:cs="Times New Roman" w:eastAsia="Times New Roman" w:hint="default"/>
                <w:sz w:val="18"/>
                <w:szCs w:val="18"/>
              </w:rPr>
            </w:pPr>
            <w:r>
              <w:rPr>
                <w:rFonts w:ascii="Times New Roman"/>
                <w:sz w:val="18"/>
              </w:rPr>
              <w:t>785.65</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16.88%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514,907,4</w:t>
            </w:r>
          </w:p>
          <w:p>
            <w:pPr>
              <w:pStyle w:val="TableParagraph"/>
              <w:spacing w:line="240" w:lineRule="auto" w:before="105"/>
              <w:ind w:left="350" w:right="0"/>
              <w:jc w:val="left"/>
              <w:rPr>
                <w:rFonts w:ascii="Times New Roman" w:hAnsi="Times New Roman" w:cs="Times New Roman" w:eastAsia="Times New Roman" w:hint="default"/>
                <w:sz w:val="18"/>
                <w:szCs w:val="18"/>
              </w:rPr>
            </w:pPr>
            <w:r>
              <w:rPr>
                <w:rFonts w:ascii="Times New Roman"/>
                <w:sz w:val="18"/>
              </w:rPr>
              <w:t>57.40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808,342,2</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75.21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90,714,02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1.39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11.22%</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717,628,25</w:t>
            </w:r>
          </w:p>
          <w:p>
            <w:pPr>
              <w:pStyle w:val="TableParagraph"/>
              <w:spacing w:line="240" w:lineRule="auto" w:before="105"/>
              <w:ind w:left="585" w:right="0"/>
              <w:jc w:val="left"/>
              <w:rPr>
                <w:rFonts w:ascii="Times New Roman" w:hAnsi="Times New Roman" w:cs="Times New Roman" w:eastAsia="Times New Roman" w:hint="default"/>
                <w:sz w:val="18"/>
                <w:szCs w:val="18"/>
              </w:rPr>
            </w:pPr>
            <w:r>
              <w:rPr>
                <w:rFonts w:ascii="Times New Roman"/>
                <w:sz w:val="18"/>
              </w:rPr>
              <w:t>3.82</w:t>
            </w:r>
          </w:p>
        </w:tc>
      </w:tr>
    </w:tbl>
    <w:p>
      <w:pPr>
        <w:pStyle w:val="BodyText"/>
        <w:spacing w:line="240" w:lineRule="auto" w:before="51"/>
        <w:ind w:right="1133"/>
        <w:jc w:val="left"/>
      </w:pPr>
      <w:r>
        <w:rPr/>
        <w:t>按单项计提坏账准备：</w:t>
      </w:r>
      <w:r>
        <w:rPr>
          <w:rFonts w:ascii="Times New Roman" w:hAnsi="Times New Roman" w:cs="Times New Roman" w:eastAsia="Times New Roman" w:hint="default"/>
        </w:rPr>
        <w:t>13,499,834.66</w:t>
      </w:r>
      <w:r>
        <w:rPr>
          <w:rFonts w:ascii="Times New Roman" w:hAnsi="Times New Roman" w:cs="Times New Roman" w:eastAsia="Times New Roman" w:hint="default"/>
          <w:spacing w:val="2"/>
        </w:rPr>
        <w:t> </w:t>
      </w:r>
      <w:r>
        <w:rPr/>
        <w:t>元</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漳浦县三星旅业发展有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50" w:right="0"/>
              <w:jc w:val="left"/>
              <w:rPr>
                <w:rFonts w:ascii="Times New Roman" w:hAnsi="Times New Roman" w:cs="Times New Roman" w:eastAsia="Times New Roman" w:hint="default"/>
                <w:sz w:val="18"/>
                <w:szCs w:val="18"/>
              </w:rPr>
            </w:pPr>
            <w:r>
              <w:rPr>
                <w:rFonts w:ascii="Times New Roman"/>
                <w:sz w:val="18"/>
              </w:rPr>
              <w:t>64,985,069.73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2,668,695.65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4.11%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4" w:right="79"/>
              <w:jc w:val="left"/>
              <w:rPr>
                <w:rFonts w:ascii="宋体" w:hAnsi="宋体" w:cs="宋体" w:eastAsia="宋体" w:hint="default"/>
                <w:sz w:val="18"/>
                <w:szCs w:val="18"/>
              </w:rPr>
            </w:pPr>
            <w:r>
              <w:rPr>
                <w:rFonts w:ascii="宋体" w:hAnsi="宋体" w:cs="宋体" w:eastAsia="宋体" w:hint="default"/>
                <w:sz w:val="18"/>
                <w:szCs w:val="18"/>
              </w:rPr>
              <w:t>融资租赁客户，本公司 对其还款能力存在疑</w:t>
            </w:r>
          </w:p>
        </w:tc>
      </w:tr>
    </w:tbl>
    <w:p>
      <w:pPr>
        <w:spacing w:after="0" w:line="316"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987"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79"/>
              <w:jc w:val="both"/>
              <w:rPr>
                <w:rFonts w:ascii="宋体" w:hAnsi="宋体" w:cs="宋体" w:eastAsia="宋体" w:hint="default"/>
                <w:sz w:val="18"/>
                <w:szCs w:val="18"/>
              </w:rPr>
            </w:pPr>
            <w:r>
              <w:rPr>
                <w:rFonts w:ascii="宋体" w:hAnsi="宋体" w:cs="宋体" w:eastAsia="宋体" w:hint="default"/>
                <w:sz w:val="18"/>
                <w:szCs w:val="18"/>
              </w:rPr>
              <w:t>虑；截止财务报告日批 准报出融资租赁款已全 部收回。</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大唐国投文化传媒有限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13,637,500.00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7,517,500.00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55.12%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left"/>
              <w:rPr>
                <w:rFonts w:ascii="宋体" w:hAnsi="宋体" w:cs="宋体" w:eastAsia="宋体" w:hint="default"/>
                <w:sz w:val="18"/>
                <w:szCs w:val="18"/>
              </w:rPr>
            </w:pPr>
            <w:r>
              <w:rPr>
                <w:rFonts w:ascii="宋体" w:hAnsi="宋体" w:cs="宋体" w:eastAsia="宋体" w:hint="default"/>
                <w:sz w:val="18"/>
                <w:szCs w:val="18"/>
              </w:rPr>
              <w:t>融资租赁客户，本息已 逾期</w:t>
            </w:r>
          </w:p>
        </w:tc>
      </w:tr>
      <w:tr>
        <w:trPr>
          <w:trHeight w:val="133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 w:right="77"/>
              <w:jc w:val="left"/>
              <w:rPr>
                <w:rFonts w:ascii="宋体" w:hAnsi="宋体" w:cs="宋体" w:eastAsia="宋体" w:hint="default"/>
                <w:sz w:val="18"/>
                <w:szCs w:val="18"/>
              </w:rPr>
            </w:pPr>
            <w:r>
              <w:rPr>
                <w:rFonts w:ascii="宋体" w:hAnsi="宋体" w:cs="宋体" w:eastAsia="宋体" w:hint="default"/>
                <w:sz w:val="18"/>
                <w:szCs w:val="18"/>
              </w:rPr>
              <w:t>厦门基源医疗科技有限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2,815,350.00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241,870.00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9"/>
              <w:jc w:val="both"/>
              <w:rPr>
                <w:rFonts w:ascii="宋体" w:hAnsi="宋体" w:cs="宋体" w:eastAsia="宋体" w:hint="default"/>
                <w:sz w:val="18"/>
                <w:szCs w:val="18"/>
              </w:rPr>
            </w:pPr>
            <w:r>
              <w:rPr>
                <w:rFonts w:ascii="宋体" w:hAnsi="宋体" w:cs="宋体" w:eastAsia="宋体" w:hint="default"/>
                <w:sz w:val="18"/>
                <w:szCs w:val="18"/>
              </w:rPr>
              <w:t>融资租赁客户，本息已 逾期；截止财务报告批 准报出日融资租赁款已 全部收回。</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应收其他零星客户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3,071,769.01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3,071,769.01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收回可能性较小</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84,509,688.74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13,499,834.66</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按组合计提坏账准备：</w:t>
      </w:r>
      <w:r>
        <w:rPr>
          <w:rFonts w:ascii="Times New Roman" w:hAnsi="Times New Roman" w:cs="Times New Roman" w:eastAsia="Times New Roman" w:hint="default"/>
        </w:rPr>
        <w:t>91,060,950.99</w:t>
      </w:r>
      <w:r>
        <w:rPr>
          <w:rFonts w:ascii="Times New Roman" w:hAnsi="Times New Roman" w:cs="Times New Roman" w:eastAsia="Times New Roman" w:hint="default"/>
          <w:spacing w:val="2"/>
        </w:rPr>
        <w:t> </w:t>
      </w:r>
      <w:r>
        <w:rPr/>
        <w:t>元</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385,092,757.76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26,966,828.33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75,831,425.40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13,728,205.57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18.10%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29,486,406.12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11,867,096.38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40.25%</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21,677,826.48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16,728,149.31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77.17%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5,582,299.01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5,334,465.16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95.56%</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17,287,839.54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16,436,206.24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95.07%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534,958,554.31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91,060,950.99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确定该组合依据的说明：</w:t>
      </w:r>
    </w:p>
    <w:p>
      <w:pPr>
        <w:spacing w:line="240" w:lineRule="auto" w:before="0"/>
        <w:rPr>
          <w:rFonts w:ascii="宋体" w:hAnsi="宋体" w:cs="宋体" w:eastAsia="宋体" w:hint="default"/>
          <w:sz w:val="15"/>
          <w:szCs w:val="15"/>
        </w:rPr>
      </w:pPr>
    </w:p>
    <w:p>
      <w:pPr>
        <w:pStyle w:val="BodyText"/>
        <w:spacing w:line="338" w:lineRule="auto"/>
        <w:ind w:right="1754"/>
        <w:jc w:val="left"/>
      </w:pPr>
      <w:r>
        <w:rPr>
          <w:rFonts w:ascii="宋体" w:hAnsi="宋体" w:cs="宋体" w:eastAsia="宋体" w:hint="default"/>
          <w:spacing w:val="90"/>
        </w:rPr>
        <w:t> </w:t>
      </w:r>
      <w:r>
        <w:rPr>
          <w:rFonts w:ascii="宋体" w:hAnsi="宋体" w:cs="宋体" w:eastAsia="宋体" w:hint="default"/>
        </w:rPr>
        <w:t>  </w:t>
      </w:r>
      <w:r>
        <w:rPr/>
        <w:t>按组合计提坏账准备的确认标准及说明见附注五、</w:t>
      </w:r>
      <w:r>
        <w:rPr>
          <w:rFonts w:ascii="Times New Roman" w:hAnsi="Times New Roman" w:cs="Times New Roman" w:eastAsia="Times New Roman" w:hint="default"/>
        </w:rPr>
        <w:t>12</w:t>
      </w:r>
      <w:r>
        <w:rPr/>
        <w:t>。 如是按照预期信用损失一般模型计提应收账款坏账准备，请参照其他应收款的披露方式披露坏账准备的相关信息：</w:t>
      </w:r>
    </w:p>
    <w:p>
      <w:pPr>
        <w:pStyle w:val="BodyText"/>
        <w:spacing w:line="338" w:lineRule="auto" w:before="43"/>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451,458,127.44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88,937,935.40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29,525,156.12</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49,547,024.09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25,260,742.09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6,865,422.41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17,420,859.59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619,468,243.05</w:t>
            </w:r>
          </w:p>
        </w:tc>
      </w:tr>
    </w:tbl>
    <w:p>
      <w:pPr>
        <w:pStyle w:val="BodyText"/>
        <w:spacing w:line="240" w:lineRule="auto" w:before="51"/>
        <w:ind w:right="1133"/>
        <w:jc w:val="left"/>
      </w:pPr>
      <w:r>
        <w:rPr/>
        <w:t>公司需要遵守《深圳证券交易所行业信息披露指引第</w:t>
      </w:r>
      <w:r>
        <w:rPr>
          <w:spacing w:val="-45"/>
        </w:rPr>
        <w:t> </w:t>
      </w:r>
      <w:r>
        <w:rPr>
          <w:rFonts w:ascii="Times New Roman" w:hAnsi="Times New Roman" w:cs="Times New Roman" w:eastAsia="Times New Roman" w:hint="default"/>
        </w:rPr>
        <w:t>12 </w:t>
      </w:r>
      <w:r>
        <w:rPr/>
        <w:t>号</w:t>
      </w:r>
      <w:r>
        <w:rPr>
          <w:rFonts w:ascii="Times New Roman" w:hAnsi="Times New Roman" w:cs="Times New Roman" w:eastAsia="Times New Roman" w:hint="default"/>
        </w:rPr>
        <w:t>——</w:t>
      </w:r>
      <w:r>
        <w:rPr/>
        <w:t>上市公司从事软件与信息技术服务业务》的披露要求</w:t>
      </w:r>
    </w:p>
    <w:p>
      <w:pPr>
        <w:spacing w:line="240" w:lineRule="auto" w:before="13"/>
        <w:rPr>
          <w:rFonts w:ascii="宋体" w:hAnsi="宋体" w:cs="宋体" w:eastAsia="宋体" w:hint="default"/>
          <w:sz w:val="13"/>
          <w:szCs w:val="13"/>
        </w:rPr>
      </w:pPr>
    </w:p>
    <w:p>
      <w:pPr>
        <w:pStyle w:val="BodyText"/>
        <w:spacing w:line="297" w:lineRule="auto"/>
        <w:ind w:right="1040"/>
        <w:jc w:val="left"/>
      </w:pPr>
      <w:r>
        <w:rPr>
          <w:rFonts w:ascii="宋体" w:hAnsi="宋体" w:cs="宋体" w:eastAsia="宋体" w:hint="default"/>
          <w:sz w:val="24"/>
          <w:szCs w:val="24"/>
        </w:rPr>
        <w:t>  </w:t>
      </w:r>
      <w:r>
        <w:rPr>
          <w:rFonts w:ascii="宋体" w:hAnsi="宋体" w:cs="宋体" w:eastAsia="宋体" w:hint="default"/>
        </w:rPr>
        <w:t>  </w:t>
      </w:r>
      <w:r>
        <w:rPr>
          <w:spacing w:val="-2"/>
        </w:rPr>
        <w:t>说明：应收账款期末余额中包含应收融资租赁款</w:t>
      </w:r>
      <w:r>
        <w:rPr>
          <w:rFonts w:ascii="Times New Roman" w:hAnsi="Times New Roman" w:cs="Times New Roman" w:eastAsia="Times New Roman" w:hint="default"/>
          <w:spacing w:val="-2"/>
        </w:rPr>
        <w:t>81,437,919.73</w:t>
      </w:r>
      <w:r>
        <w:rPr>
          <w:spacing w:val="-2"/>
        </w:rPr>
        <w:t>元（期初余额：</w:t>
      </w:r>
      <w:r>
        <w:rPr>
          <w:rFonts w:ascii="Times New Roman" w:hAnsi="Times New Roman" w:cs="Times New Roman" w:eastAsia="Times New Roman" w:hint="default"/>
          <w:spacing w:val="-2"/>
        </w:rPr>
        <w:t>940,550.00</w:t>
      </w:r>
      <w:r>
        <w:rPr>
          <w:spacing w:val="-2"/>
        </w:rPr>
        <w:t>元），根据租赁款的支付时间，</w:t>
      </w:r>
      <w:r>
        <w:rPr/>
        <w:t> 账龄划分如下：</w:t>
      </w:r>
      <w:r>
        <w:rPr>
          <w:rFonts w:ascii="Times New Roman" w:hAnsi="Times New Roman" w:cs="Times New Roman" w:eastAsia="Times New Roman" w:hint="default"/>
        </w:rPr>
        <w:t>1</w:t>
      </w:r>
      <w:r>
        <w:rPr/>
        <w:t>年以内</w:t>
      </w:r>
      <w:r>
        <w:rPr>
          <w:rFonts w:ascii="Times New Roman" w:hAnsi="Times New Roman" w:cs="Times New Roman" w:eastAsia="Times New Roman" w:hint="default"/>
        </w:rPr>
        <w:t>66,285,369.73</w:t>
      </w:r>
      <w:r>
        <w:rPr/>
        <w:t>元，</w:t>
      </w:r>
      <w:r>
        <w:rPr>
          <w:rFonts w:ascii="Times New Roman" w:hAnsi="Times New Roman" w:cs="Times New Roman" w:eastAsia="Times New Roman" w:hint="default"/>
        </w:rPr>
        <w:t>1-2</w:t>
      </w:r>
      <w:r>
        <w:rPr/>
        <w:t>年</w:t>
      </w:r>
      <w:r>
        <w:rPr>
          <w:rFonts w:ascii="Times New Roman" w:hAnsi="Times New Roman" w:cs="Times New Roman" w:eastAsia="Times New Roman" w:hint="default"/>
        </w:rPr>
        <w:t>12,940,550.00</w:t>
      </w:r>
      <w:r>
        <w:rPr/>
        <w:t>元，</w:t>
      </w:r>
      <w:r>
        <w:rPr>
          <w:rFonts w:ascii="Times New Roman" w:hAnsi="Times New Roman" w:cs="Times New Roman" w:eastAsia="Times New Roman" w:hint="default"/>
        </w:rPr>
        <w:t>3-4</w:t>
      </w:r>
      <w:r>
        <w:rPr/>
        <w:t>年</w:t>
      </w:r>
      <w:r>
        <w:rPr>
          <w:rFonts w:ascii="Times New Roman" w:hAnsi="Times New Roman" w:cs="Times New Roman" w:eastAsia="Times New Roman" w:hint="default"/>
        </w:rPr>
        <w:t>2,212,000.00</w:t>
      </w:r>
      <w:r>
        <w:rPr/>
        <w:t>元。</w:t>
      </w:r>
    </w:p>
    <w:p>
      <w:pPr>
        <w:spacing w:line="240" w:lineRule="auto" w:before="4"/>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90,714,021.39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40,229,448.45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14,197,578.33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12,185,105.86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104,560,785.65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90,714,021.39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40,229,448.45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14,197,578.33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12,185,105.86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104,560,785.65</w:t>
            </w:r>
          </w:p>
        </w:tc>
      </w:tr>
    </w:tbl>
    <w:p>
      <w:pPr>
        <w:pStyle w:val="BodyText"/>
        <w:spacing w:line="240" w:lineRule="auto" w:before="51"/>
        <w:ind w:right="1133"/>
        <w:jc w:val="left"/>
      </w:pPr>
      <w:r>
        <w:rPr/>
        <w:t>其中本期坏账准备收回或转回金额重要的：</w:t>
      </w:r>
    </w:p>
    <w:p>
      <w:pPr>
        <w:spacing w:line="240" w:lineRule="auto" w:before="3"/>
        <w:rPr>
          <w:rFonts w:ascii="宋体" w:hAnsi="宋体" w:cs="宋体" w:eastAsia="宋体" w:hint="default"/>
          <w:sz w:val="15"/>
          <w:szCs w:val="15"/>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说明：应收账款坏账准备本期变动金额其他减少</w:t>
      </w:r>
      <w:r>
        <w:rPr>
          <w:rFonts w:ascii="Times New Roman" w:hAnsi="Times New Roman" w:cs="Times New Roman" w:eastAsia="Times New Roman" w:hint="default"/>
        </w:rPr>
        <w:t>12,185,105.86</w:t>
      </w:r>
      <w:r>
        <w:rPr/>
        <w:t>元，系本期处置子公司商业保理公司所致。</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14,197,578.33</w:t>
            </w:r>
          </w:p>
        </w:tc>
      </w:tr>
    </w:tbl>
    <w:p>
      <w:pPr>
        <w:pStyle w:val="BodyText"/>
        <w:spacing w:line="240" w:lineRule="auto" w:before="51"/>
        <w:ind w:right="1133"/>
        <w:jc w:val="left"/>
      </w:pPr>
      <w:r>
        <w:rPr/>
        <w:t>其中重要的应收账款核销情况：</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2"/>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523" w:right="71" w:hanging="452"/>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20"/>
              <w:jc w:val="both"/>
              <w:rPr>
                <w:rFonts w:ascii="宋体" w:hAnsi="宋体" w:cs="宋体" w:eastAsia="宋体" w:hint="default"/>
                <w:sz w:val="18"/>
                <w:szCs w:val="18"/>
              </w:rPr>
            </w:pPr>
            <w:r>
              <w:rPr>
                <w:rFonts w:ascii="宋体" w:hAnsi="宋体" w:cs="宋体" w:eastAsia="宋体" w:hint="default"/>
                <w:sz w:val="18"/>
                <w:szCs w:val="18"/>
              </w:rPr>
              <w:t>广西壮族自治区人 力资源和社会保障 信息中心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80"/>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120"/>
              <w:jc w:val="both"/>
              <w:rPr>
                <w:rFonts w:ascii="宋体" w:hAnsi="宋体" w:cs="宋体" w:eastAsia="宋体" w:hint="default"/>
                <w:sz w:val="18"/>
                <w:szCs w:val="18"/>
              </w:rPr>
            </w:pPr>
            <w:r>
              <w:rPr>
                <w:rFonts w:ascii="宋体" w:hAnsi="宋体" w:cs="宋体" w:eastAsia="宋体" w:hint="default"/>
                <w:sz w:val="18"/>
                <w:szCs w:val="18"/>
              </w:rPr>
              <w:t>中国建设银行股份 有限公司广西壮族 自治区分行</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2,425,948.00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480"/>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其他零星客户</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7,271,630.33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80"/>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董事会</w:t>
            </w:r>
            <w:r>
              <w:rPr>
                <w:rFonts w:ascii="宋体" w:hAnsi="宋体" w:cs="宋体" w:eastAsia="宋体" w:hint="default"/>
                <w:spacing w:val="-82"/>
                <w:sz w:val="18"/>
                <w:szCs w:val="18"/>
              </w:rPr>
              <w:t>、</w:t>
            </w:r>
            <w:r>
              <w:rPr>
                <w:rFonts w:ascii="宋体" w:hAnsi="宋体" w:cs="宋体" w:eastAsia="宋体" w:hint="default"/>
                <w:sz w:val="18"/>
                <w:szCs w:val="18"/>
              </w:rPr>
              <w:t>监事会审批</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14,197,578.33</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应收账款核销说明：无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80" w:right="89" w:hanging="992"/>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9"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漳浦县三星旅业发展有 限公司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64,985,069.73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10.49%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2,668,695.65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合肥市卫生健康委员会</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22,767,000.00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3.68%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1,734,845.40</w:t>
            </w:r>
          </w:p>
        </w:tc>
      </w:tr>
      <w:tr>
        <w:trPr>
          <w:trHeight w:val="715"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44"/>
              <w:jc w:val="left"/>
              <w:rPr>
                <w:rFonts w:ascii="宋体" w:hAnsi="宋体" w:cs="宋体" w:eastAsia="宋体" w:hint="default"/>
                <w:sz w:val="18"/>
                <w:szCs w:val="18"/>
              </w:rPr>
            </w:pPr>
            <w:r>
              <w:rPr>
                <w:rFonts w:ascii="宋体" w:hAnsi="宋体" w:cs="宋体" w:eastAsia="宋体" w:hint="default"/>
                <w:sz w:val="18"/>
                <w:szCs w:val="18"/>
              </w:rPr>
              <w:t>中国建设银行股份有限 公司福州城北支行</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21,814,000.00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1,171,182.50</w:t>
            </w:r>
          </w:p>
        </w:tc>
      </w:tr>
      <w:tr>
        <w:trPr>
          <w:trHeight w:val="71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4"/>
              <w:jc w:val="left"/>
              <w:rPr>
                <w:rFonts w:ascii="宋体" w:hAnsi="宋体" w:cs="宋体" w:eastAsia="宋体" w:hint="default"/>
                <w:sz w:val="18"/>
                <w:szCs w:val="18"/>
              </w:rPr>
            </w:pPr>
            <w:r>
              <w:rPr>
                <w:rFonts w:ascii="宋体" w:hAnsi="宋体" w:cs="宋体" w:eastAsia="宋体" w:hint="default"/>
                <w:sz w:val="18"/>
                <w:szCs w:val="18"/>
              </w:rPr>
              <w:t>中国电信股份有限公司 福州分公司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18,477,800.00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2.98%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3,404,663.85</w:t>
            </w:r>
          </w:p>
        </w:tc>
      </w:tr>
      <w:tr>
        <w:trPr>
          <w:trHeight w:val="716"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4" w:right="144"/>
              <w:jc w:val="left"/>
              <w:rPr>
                <w:rFonts w:ascii="宋体" w:hAnsi="宋体" w:cs="宋体" w:eastAsia="宋体" w:hint="default"/>
                <w:sz w:val="18"/>
                <w:szCs w:val="18"/>
              </w:rPr>
            </w:pPr>
            <w:r>
              <w:rPr>
                <w:rFonts w:ascii="宋体" w:hAnsi="宋体" w:cs="宋体" w:eastAsia="宋体" w:hint="default"/>
                <w:sz w:val="18"/>
                <w:szCs w:val="18"/>
              </w:rPr>
              <w:t>广西医大开元埌东医院 有限责任公司</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17,131,140.00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2.77%</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4,352,991.34</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145,175,009.73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23.44%</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、应收款项融资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应收款项融资本期增减变动及公允价值变动情况</w:t>
      </w:r>
    </w:p>
    <w:p>
      <w:pPr>
        <w:pStyle w:val="BodyText"/>
        <w:spacing w:line="340" w:lineRule="auto" w:before="117"/>
        <w:ind w:right="13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如是按照预期信用损失一般模型计提应收款项融资减值准备，请参照其他应收款的披露方式披露减值准备的相关信息：</w:t>
      </w:r>
    </w:p>
    <w:p>
      <w:pPr>
        <w:pStyle w:val="BodyText"/>
        <w:spacing w:line="340" w:lineRule="auto" w:before="3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其他说明：无</w:t>
      </w:r>
    </w:p>
    <w:p>
      <w:pPr>
        <w:spacing w:line="240" w:lineRule="auto" w:before="4"/>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、预付款项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8,696,163.77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87.74%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12,742,784.59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93.49%</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697,530.79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7.04%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562,789.46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4.13%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324,636.00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3.28%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243,256.60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1.78%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193,333.19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1.95%</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81,154.59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915"/>
        <w:gridCol w:w="1916"/>
        <w:gridCol w:w="1913"/>
        <w:gridCol w:w="1915"/>
        <w:gridCol w:w="1915"/>
      </w:tblGrid>
      <w:tr>
        <w:trPr>
          <w:trHeight w:val="404" w:hRule="exact"/>
        </w:trPr>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46" w:right="0"/>
              <w:jc w:val="left"/>
              <w:rPr>
                <w:rFonts w:ascii="Times New Roman" w:hAnsi="Times New Roman" w:cs="Times New Roman" w:eastAsia="Times New Roman" w:hint="default"/>
                <w:sz w:val="18"/>
                <w:szCs w:val="18"/>
              </w:rPr>
            </w:pPr>
            <w:r>
              <w:rPr>
                <w:rFonts w:ascii="Times New Roman"/>
                <w:sz w:val="18"/>
              </w:rPr>
              <w:t>9,911,663.75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7" w:right="0"/>
              <w:jc w:val="left"/>
              <w:rPr>
                <w:rFonts w:ascii="Times New Roman" w:hAnsi="Times New Roman" w:cs="Times New Roman" w:eastAsia="Times New Roman" w:hint="default"/>
                <w:sz w:val="18"/>
                <w:szCs w:val="18"/>
              </w:rPr>
            </w:pPr>
            <w:r>
              <w:rPr>
                <w:rFonts w:ascii="Times New Roman"/>
                <w:sz w:val="18"/>
              </w:rPr>
              <w:t>13,629,985.24</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年且金额重要的预付款项未及时结算原因的说明：无</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3759"/>
        <w:gridCol w:w="2688"/>
        <w:gridCol w:w="2398"/>
      </w:tblGrid>
      <w:tr>
        <w:trPr>
          <w:trHeight w:val="658" w:hRule="exact"/>
        </w:trPr>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日余额（元）</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755" w:right="20" w:hanging="735"/>
              <w:jc w:val="left"/>
              <w:rPr>
                <w:rFonts w:ascii="宋体" w:hAnsi="宋体" w:cs="宋体" w:eastAsia="宋体" w:hint="default"/>
                <w:sz w:val="18"/>
                <w:szCs w:val="18"/>
              </w:rPr>
            </w:pPr>
            <w:r>
              <w:rPr>
                <w:rFonts w:ascii="宋体" w:hAnsi="宋体" w:cs="宋体" w:eastAsia="宋体" w:hint="default"/>
                <w:sz w:val="18"/>
                <w:szCs w:val="18"/>
              </w:rPr>
              <w:t>占预付款项期末余额合计数的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48" w:hRule="exact"/>
        </w:trPr>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南宁市拓欧电子科技有限公司</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1,582,683.50</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15.97</w:t>
            </w:r>
          </w:p>
        </w:tc>
      </w:tr>
      <w:tr>
        <w:trPr>
          <w:trHeight w:val="348" w:hRule="exact"/>
        </w:trPr>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厦门医联康信息技术有限公司</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722,655.40</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7.29</w:t>
            </w:r>
          </w:p>
        </w:tc>
      </w:tr>
      <w:tr>
        <w:trPr>
          <w:trHeight w:val="346" w:hRule="exact"/>
        </w:trPr>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惠州市圳泰塑胶五金有限公司</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539,798.00</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5.45</w:t>
            </w:r>
          </w:p>
        </w:tc>
      </w:tr>
      <w:tr>
        <w:trPr>
          <w:trHeight w:val="348" w:hRule="exact"/>
        </w:trPr>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合肥璞丽资产管理有限公司</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385,542.50</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3.89</w:t>
            </w:r>
          </w:p>
        </w:tc>
      </w:tr>
      <w:tr>
        <w:trPr>
          <w:trHeight w:val="346" w:hRule="exact"/>
        </w:trPr>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厦门竞天网络科技有限公司</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383,372.00</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3.87</w:t>
            </w:r>
          </w:p>
        </w:tc>
      </w:tr>
      <w:tr>
        <w:trPr>
          <w:trHeight w:val="348" w:hRule="exact"/>
        </w:trPr>
        <w:tc>
          <w:tcPr>
            <w:tcW w:w="37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6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3,614,051.40</w:t>
            </w:r>
          </w:p>
        </w:tc>
        <w:tc>
          <w:tcPr>
            <w:tcW w:w="23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36.46</w:t>
            </w:r>
          </w:p>
        </w:tc>
      </w:tr>
    </w:tbl>
    <w:p>
      <w:pPr>
        <w:pStyle w:val="BodyText"/>
        <w:spacing w:line="240" w:lineRule="auto" w:before="51"/>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2,469,063.33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28,788,650.39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18,846,203.60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28,788,650.39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21,315,266.93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应收保理利息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3,813,666.67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减：坏账准备</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1,344,603.34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2,469,063.33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after="0" w:line="240" w:lineRule="auto"/>
        <w:jc w:val="left"/>
        <w:sectPr>
          <w:footerReference w:type="default" r:id="rId23"/>
          <w:pgSz w:w="11910" w:h="16840"/>
          <w:pgMar w:footer="1524" w:header="748" w:top="1060" w:bottom="1720" w:left="980" w:right="0"/>
          <w:pgNumType w:start="17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6" w:right="0"/>
              <w:jc w:val="left"/>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74,603.34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1,344,603.34</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-74,603.34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-1,270,000.00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-1,344,603.34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240" w:lineRule="auto" w:before="51"/>
        <w:ind w:right="1133"/>
        <w:jc w:val="left"/>
      </w:pPr>
      <w:r>
        <w:rPr/>
        <w:t>损失准备本期变动金额重大的账面余额变动情况</w:t>
      </w:r>
    </w:p>
    <w:p>
      <w:pPr>
        <w:pStyle w:val="BodyText"/>
        <w:spacing w:line="240" w:lineRule="auto" w:before="115"/>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其他说明：无</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1,071,495.65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917,276.97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20,108,436.69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20,316,808.81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7,906,926.27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3,848,196.11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6,911,218.38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35,998,076.99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25,082,281.89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after="0" w:line="240" w:lineRule="auto"/>
        <w:jc w:val="left"/>
        <w:sectPr>
          <w:pgSz w:w="11910" w:h="16840"/>
          <w:pgMar w:header="748" w:footer="1524" w:top="1060" w:bottom="172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4"/>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6,236,078.29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6,236,078.29</w:t>
            </w: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1,143,385.54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1,143,385.54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-170,037.23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-170,037.23</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7,209,426.60</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7,209,426.60</w:t>
            </w:r>
          </w:p>
        </w:tc>
      </w:tr>
    </w:tbl>
    <w:p>
      <w:pPr>
        <w:spacing w:after="0" w:line="240" w:lineRule="auto"/>
        <w:jc w:val="right"/>
        <w:rPr>
          <w:rFonts w:ascii="Times New Roman" w:hAnsi="Times New Roman" w:cs="Times New Roman" w:eastAsia="Times New Roman" w:hint="default"/>
          <w:sz w:val="18"/>
          <w:szCs w:val="18"/>
        </w:rPr>
        <w:sectPr>
          <w:footerReference w:type="default" r:id="rId24"/>
          <w:pgSz w:w="11910" w:h="16840"/>
          <w:pgMar w:footer="974" w:header="748" w:top="1060" w:bottom="1160" w:left="980" w:right="0"/>
          <w:pgNumType w:start="172"/>
        </w:sectPr>
      </w:pPr>
    </w:p>
    <w:p>
      <w:pPr>
        <w:pStyle w:val="BodyText"/>
        <w:spacing w:line="240" w:lineRule="auto" w:before="51"/>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20,358,580.70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7,797,460.21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2,493,409.45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5,348,626.63</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871,412.05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1,426,022.81</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3,051,191.77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35,998,076.99</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8"/>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6"/>
        <w:gridCol w:w="1097"/>
        <w:gridCol w:w="1340"/>
        <w:gridCol w:w="1332"/>
        <w:gridCol w:w="1332"/>
        <w:gridCol w:w="1325"/>
        <w:gridCol w:w="1726"/>
      </w:tblGrid>
      <w:tr>
        <w:trPr>
          <w:trHeight w:val="401"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3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097" w:type="dxa"/>
            <w:vMerge/>
            <w:tcBorders>
              <w:left w:val="single" w:sz="4" w:space="0" w:color="000000"/>
              <w:bottom w:val="single" w:sz="4" w:space="0" w:color="000000"/>
              <w:right w:val="single" w:sz="4" w:space="0" w:color="000000"/>
            </w:tcBorders>
            <w:shd w:val="clear" w:color="auto" w:fill="D2D2D2"/>
          </w:tcPr>
          <w:p>
            <w:pPr/>
          </w:p>
        </w:tc>
        <w:tc>
          <w:tcPr>
            <w:tcW w:w="1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3"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6,236,078.29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1,143,385.54</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2" w:right="0"/>
              <w:jc w:val="left"/>
              <w:rPr>
                <w:rFonts w:ascii="Times New Roman" w:hAnsi="Times New Roman" w:cs="Times New Roman" w:eastAsia="Times New Roman" w:hint="default"/>
                <w:sz w:val="18"/>
                <w:szCs w:val="18"/>
              </w:rPr>
            </w:pPr>
            <w:r>
              <w:rPr>
                <w:rFonts w:ascii="Times New Roman"/>
                <w:sz w:val="18"/>
              </w:rPr>
              <w:t>170,037.23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7,209,426.60</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center"/>
              <w:rPr>
                <w:rFonts w:ascii="Times New Roman" w:hAnsi="Times New Roman" w:cs="Times New Roman" w:eastAsia="Times New Roman" w:hint="default"/>
                <w:sz w:val="18"/>
                <w:szCs w:val="18"/>
              </w:rPr>
            </w:pPr>
            <w:r>
              <w:rPr>
                <w:rFonts w:ascii="Times New Roman"/>
                <w:sz w:val="18"/>
              </w:rPr>
              <w:t>6,236,078.29</w:t>
            </w:r>
          </w:p>
        </w:tc>
        <w:tc>
          <w:tcPr>
            <w:tcW w:w="1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1,143,385.54</w:t>
            </w:r>
          </w:p>
        </w:tc>
        <w:tc>
          <w:tcPr>
            <w:tcW w:w="1332"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2" w:right="0"/>
              <w:jc w:val="left"/>
              <w:rPr>
                <w:rFonts w:ascii="Times New Roman" w:hAnsi="Times New Roman" w:cs="Times New Roman" w:eastAsia="Times New Roman" w:hint="default"/>
                <w:sz w:val="18"/>
                <w:szCs w:val="18"/>
              </w:rPr>
            </w:pPr>
            <w:r>
              <w:rPr>
                <w:rFonts w:ascii="Times New Roman"/>
                <w:sz w:val="18"/>
              </w:rPr>
              <w:t>170,037.23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7,209,426.60</w:t>
            </w:r>
          </w:p>
        </w:tc>
      </w:tr>
    </w:tbl>
    <w:p>
      <w:pPr>
        <w:pStyle w:val="BodyText"/>
        <w:spacing w:line="316" w:lineRule="auto" w:before="10"/>
        <w:ind w:left="573" w:right="3043"/>
        <w:jc w:val="left"/>
      </w:pPr>
      <w:r>
        <w:rPr/>
        <w:t>说明：</w:t>
      </w:r>
      <w:r>
        <w:rPr>
          <w:rFonts w:ascii="宋体" w:hAnsi="宋体" w:cs="宋体" w:eastAsia="宋体" w:hint="default"/>
        </w:rPr>
        <w:t> </w:t>
      </w:r>
      <w:r>
        <w:rPr/>
        <w:t>其他应收款坏账准备本期变动金额其他减少</w:t>
      </w:r>
      <w:r>
        <w:rPr>
          <w:rFonts w:ascii="Times New Roman" w:hAnsi="Times New Roman" w:cs="Times New Roman" w:eastAsia="Times New Roman" w:hint="default"/>
        </w:rPr>
        <w:t>170,037.23</w:t>
      </w:r>
      <w:r>
        <w:rPr/>
        <w:t>元，系处置子公司商业保理公司所致。</w:t>
      </w:r>
    </w:p>
    <w:p>
      <w:pPr>
        <w:pStyle w:val="BodyText"/>
        <w:spacing w:line="235" w:lineRule="exact"/>
        <w:ind w:right="1133"/>
        <w:jc w:val="left"/>
        <w:rPr>
          <w:rFonts w:ascii="宋体" w:hAnsi="宋体" w:cs="宋体" w:eastAsia="宋体" w:hint="default"/>
        </w:rPr>
      </w:pPr>
      <w:r>
        <w:rPr/>
        <w:t>其中本期坏账准备转回或收回金额重要的：无</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after="0" w:line="2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2" w:right="7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2"/>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1649"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厦门欣亚锐商贸有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应收股权转让款（系</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处置子公司商业保 </w:t>
            </w:r>
            <w:r>
              <w:rPr>
                <w:rFonts w:ascii="宋体" w:hAnsi="宋体" w:cs="宋体" w:eastAsia="宋体" w:hint="default"/>
                <w:spacing w:val="-10"/>
                <w:sz w:val="18"/>
                <w:szCs w:val="18"/>
              </w:rPr>
              <w:t>理的股权转让款，期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末尾款已于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8" w:lineRule="exact"/>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6,911,218.38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345,560.92</w:t>
            </w:r>
          </w:p>
        </w:tc>
      </w:tr>
      <w:tr>
        <w:trPr>
          <w:trHeight w:val="1028"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安徽合肥公共资源 交易中心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3,177,250.00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277,150.00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2,900,100.00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8.83%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303,867.50</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中机国际招标公司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67,000.00</w:t>
            </w:r>
          </w:p>
        </w:tc>
      </w:tr>
      <w:tr>
        <w:trPr>
          <w:trHeight w:val="1027"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18"/>
              <w:jc w:val="left"/>
              <w:rPr>
                <w:rFonts w:ascii="宋体" w:hAnsi="宋体" w:cs="宋体" w:eastAsia="宋体" w:hint="default"/>
                <w:sz w:val="18"/>
                <w:szCs w:val="18"/>
              </w:rPr>
            </w:pPr>
            <w:r>
              <w:rPr>
                <w:rFonts w:ascii="宋体" w:hAnsi="宋体" w:cs="宋体" w:eastAsia="宋体" w:hint="default"/>
                <w:sz w:val="18"/>
                <w:szCs w:val="18"/>
              </w:rPr>
              <w:t>福建省农村信用社 联合社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pacing w:val="-10"/>
                <w:sz w:val="18"/>
                <w:szCs w:val="18"/>
              </w:rPr>
              <w:t>押金、保证金及往来</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939,000.00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439,000.00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121,950.00</w:t>
            </w:r>
          </w:p>
        </w:tc>
      </w:tr>
      <w:tr>
        <w:trPr>
          <w:trHeight w:val="102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吉林大学第一医院</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315,000.00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600,000.00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663,000.00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13,282,468.38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36.90%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1,501,378.42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4,459,749.83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4,459,749.83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3,389,029.68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3,389,029.68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20,373,795.47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20,373,795.47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22,722,933.05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22,722,933.05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23,516,766.50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10,971,165.87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12,545,600.63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27,604,363.59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11,588,396.43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16,015,967.16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78,848,051.46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5,113,561.35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73,734,490.11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66,683,389.69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2,329,380.56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64,354,009.13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127,198,363.26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16,084,727.22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111,113,636.04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120,399,716.01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13,917,776.99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106,481,939.02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11,588,396.43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3,280,573.44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3,897,804.00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10,971,165.87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2,329,380.56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2,784,180.79</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5,113,561.35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13,917,776.99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6,064,754.23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3,897,804.00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16,084,727.22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10</w:t>
      </w:r>
      <w:r>
        <w:rPr/>
        <w:t>、合同资产</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1754"/>
        <w:jc w:val="left"/>
      </w:pPr>
      <w:r>
        <w:rPr/>
        <w:t>合同资产的账面价值在本期内发生的重大变动金额和原因：无 如是按照预期信用损失一般模型计提合同资产坏账准备，请参照其他应收款的披露方式披露坏账准备的相关信息：</w:t>
      </w:r>
    </w:p>
    <w:p>
      <w:pPr>
        <w:pStyle w:val="BodyText"/>
        <w:spacing w:line="350" w:lineRule="auto" w:before="25"/>
        <w:ind w:right="82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本期合同资产计提减值准备情况 其他说明：无</w:t>
      </w:r>
    </w:p>
    <w:p>
      <w:pPr>
        <w:spacing w:line="240" w:lineRule="auto" w:before="6"/>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11</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12</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一年内到期的分期收款提供劳务款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613,000.00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一年内到期的融资租赁款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75,134,784.28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613,000.00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75,747,784.28</w:t>
            </w:r>
          </w:p>
        </w:tc>
      </w:tr>
    </w:tbl>
    <w:p>
      <w:pPr>
        <w:pStyle w:val="BodyText"/>
        <w:spacing w:line="338" w:lineRule="auto" w:before="51"/>
        <w:ind w:right="8364"/>
        <w:jc w:val="left"/>
      </w:pPr>
      <w:r>
        <w:rPr/>
        <w:t>重要的债权投资</w:t>
      </w:r>
      <w:r>
        <w:rPr>
          <w:rFonts w:ascii="Times New Roman" w:hAnsi="Times New Roman" w:cs="Times New Roman" w:eastAsia="Times New Roman" w:hint="default"/>
        </w:rPr>
        <w:t>/</w:t>
      </w:r>
      <w:r>
        <w:rPr/>
        <w:t>其他债权投资 其他说明：无</w:t>
      </w:r>
    </w:p>
    <w:p>
      <w:pPr>
        <w:spacing w:line="240" w:lineRule="auto" w:before="5"/>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13</w:t>
      </w:r>
      <w:r>
        <w:rPr/>
        <w:t>、其他流动资产</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20"/>
        <w:jc w:val="left"/>
      </w:pPr>
      <w:r>
        <w:rPr/>
        <w:t>是否已执行新收入准则</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进项税额</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9,613,351.31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8,514,615.50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56,003.38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1,728,013.52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8,896.38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148.12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1,752.42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9,669,502.81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10,253,277.82</w:t>
            </w:r>
          </w:p>
        </w:tc>
      </w:tr>
    </w:tbl>
    <w:p>
      <w:pPr>
        <w:pStyle w:val="BodyText"/>
        <w:spacing w:line="240" w:lineRule="auto" w:before="51"/>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14</w:t>
      </w:r>
      <w:r>
        <w:rPr/>
        <w:t>、债权投资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5,500,000.00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减：一年内到期 的债权投资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8" w:right="0"/>
              <w:jc w:val="left"/>
              <w:rPr>
                <w:rFonts w:ascii="Times New Roman" w:hAnsi="Times New Roman" w:cs="Times New Roman" w:eastAsia="Times New Roman" w:hint="default"/>
                <w:sz w:val="18"/>
                <w:szCs w:val="18"/>
              </w:rPr>
            </w:pPr>
            <w:r>
              <w:rPr>
                <w:rFonts w:ascii="Times New Roman"/>
                <w:sz w:val="18"/>
              </w:rPr>
              <w:t>5,500,000.00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损失准备本期变动金额重大的账面余额变动情况</w:t>
      </w:r>
    </w:p>
    <w:p>
      <w:pPr>
        <w:pStyle w:val="BodyText"/>
        <w:spacing w:line="340" w:lineRule="auto" w:before="115"/>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其他说明：无</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15</w:t>
      </w:r>
      <w:r>
        <w:rPr/>
        <w:t>、其他债权投资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损失准备本期变动金额重大的账面余额变动情况</w:t>
      </w:r>
    </w:p>
    <w:p>
      <w:pPr>
        <w:pStyle w:val="BodyText"/>
        <w:spacing w:line="340" w:lineRule="auto" w:before="117"/>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其他说明：无</w:t>
      </w:r>
    </w:p>
    <w:p>
      <w:pPr>
        <w:spacing w:after="0" w:line="340" w:lineRule="auto"/>
        <w:jc w:val="left"/>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04"/>
        <w:gridCol w:w="1166"/>
        <w:gridCol w:w="1167"/>
        <w:gridCol w:w="1166"/>
        <w:gridCol w:w="1169"/>
        <w:gridCol w:w="1166"/>
        <w:gridCol w:w="1167"/>
        <w:gridCol w:w="1164"/>
      </w:tblGrid>
      <w:tr>
        <w:trPr>
          <w:trHeight w:val="401" w:hRule="exact"/>
        </w:trPr>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4"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融资租赁款</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75,134,784.28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75,134,784.28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08"/>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其中：未实 现融资收益</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3,452,515.72</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3,452,515.72</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分期收款提供劳 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5,287,180.05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5,287,180.05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5,697,867.23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5,697,867.23</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left"/>
              <w:rPr>
                <w:rFonts w:ascii="宋体" w:hAnsi="宋体" w:cs="宋体" w:eastAsia="宋体" w:hint="default"/>
                <w:sz w:val="18"/>
                <w:szCs w:val="18"/>
              </w:rPr>
            </w:pPr>
            <w:r>
              <w:rPr>
                <w:rFonts w:ascii="宋体" w:hAnsi="宋体" w:cs="宋体" w:eastAsia="宋体" w:hint="default"/>
                <w:sz w:val="18"/>
                <w:szCs w:val="18"/>
              </w:rPr>
              <w:t>减：一年内到期 的长期应收款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613,000.00</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75,747,784.28</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75,747,784.28</w:t>
            </w:r>
          </w:p>
        </w:tc>
        <w:tc>
          <w:tcPr>
            <w:tcW w:w="116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4,674,180.05</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4,674,180.05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5,084,867.23</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5,084,867.23</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坏账准备减值情况</w:t>
      </w:r>
    </w:p>
    <w:p>
      <w:pPr>
        <w:pStyle w:val="BodyText"/>
        <w:spacing w:line="357" w:lineRule="auto" w:before="117"/>
        <w:ind w:right="6974"/>
        <w:jc w:val="left"/>
      </w:pPr>
      <w:r>
        <w:rPr>
          <w:rFonts w:ascii="宋体" w:hAnsi="宋体" w:cs="宋体" w:eastAsia="宋体" w:hint="default"/>
          <w:spacing w:val="90"/>
        </w:rPr>
        <w:t> </w:t>
      </w:r>
      <w:r>
        <w:rPr>
          <w:rFonts w:ascii="宋体" w:hAnsi="宋体" w:cs="宋体" w:eastAsia="宋体" w:hint="default"/>
        </w:rPr>
        <w:t>  </w:t>
      </w:r>
      <w:r>
        <w:rPr/>
        <w:t>无 损失准备本期变动金额重大的账面余额变动情况</w:t>
      </w:r>
    </w:p>
    <w:p>
      <w:pPr>
        <w:pStyle w:val="BodyText"/>
        <w:spacing w:line="240" w:lineRule="auto" w:before="29"/>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17</w:t>
      </w:r>
      <w:r>
        <w:rPr/>
        <w:t>、长期股权投资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1"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01" w:right="32"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1"/>
              <w:jc w:val="righ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4"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401"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2" w:right="0"/>
              <w:jc w:val="left"/>
              <w:rPr>
                <w:rFonts w:ascii="宋体" w:hAnsi="宋体" w:cs="宋体" w:eastAsia="宋体" w:hint="default"/>
                <w:sz w:val="18"/>
                <w:szCs w:val="18"/>
              </w:rPr>
            </w:pPr>
            <w:r>
              <w:rPr>
                <w:rFonts w:ascii="宋体" w:hAnsi="宋体" w:cs="宋体" w:eastAsia="宋体" w:hint="default"/>
                <w:sz w:val="18"/>
                <w:szCs w:val="18"/>
              </w:rPr>
              <w:t>易宿（厦</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400,000.0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-3,993.01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396,006.9</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98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1"/>
              <w:ind w:left="24" w:right="41"/>
              <w:jc w:val="both"/>
              <w:rPr>
                <w:rFonts w:ascii="宋体" w:hAnsi="宋体" w:cs="宋体" w:eastAsia="宋体" w:hint="default"/>
                <w:sz w:val="18"/>
                <w:szCs w:val="18"/>
              </w:rPr>
            </w:pPr>
            <w:r>
              <w:rPr>
                <w:rFonts w:ascii="宋体" w:hAnsi="宋体" w:cs="宋体" w:eastAsia="宋体" w:hint="default"/>
                <w:sz w:val="18"/>
                <w:szCs w:val="18"/>
              </w:rPr>
              <w:t>门）信息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百川通信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36,802,40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349,194.6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36,319,84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349,194.6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r>
        <w:trPr>
          <w:trHeight w:val="1652"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福建易联 众基因检 测分析技 术有限公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厦门麟腾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1,778,502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115,695.0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1,894,197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福建医联 康护信息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25,343,08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0.94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7,834,701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.79</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1,633,940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52" w:right="0"/>
              <w:jc w:val="left"/>
              <w:rPr>
                <w:rFonts w:ascii="Times New Roman" w:hAnsi="Times New Roman" w:cs="Times New Roman" w:eastAsia="Times New Roman" w:hint="default"/>
                <w:sz w:val="18"/>
                <w:szCs w:val="18"/>
              </w:rPr>
            </w:pPr>
            <w:r>
              <w:rPr>
                <w:rFonts w:ascii="Times New Roman"/>
                <w:sz w:val="18"/>
              </w:rPr>
              <w:t>30,811,72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3.60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湖州百路 源投资管 理有限公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359" w:right="0"/>
              <w:jc w:val="left"/>
              <w:rPr>
                <w:rFonts w:ascii="Times New Roman" w:hAnsi="Times New Roman" w:cs="Times New Roman" w:eastAsia="Times New Roman" w:hint="default"/>
                <w:sz w:val="18"/>
                <w:szCs w:val="18"/>
              </w:rPr>
            </w:pPr>
            <w:r>
              <w:rPr>
                <w:rFonts w:ascii="Times New Roman"/>
                <w:sz w:val="18"/>
              </w:rPr>
              <w:t>12.87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1,183,447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1,183,460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北京尚洋 易捷信息 技术股份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16,223,58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3,749,294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2,883,200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17,089,68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福建省星 民易付多 卡融合信 息科技有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3,667,808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76" w:right="0"/>
              <w:jc w:val="left"/>
              <w:rPr>
                <w:rFonts w:ascii="Times New Roman" w:hAnsi="Times New Roman" w:cs="Times New Roman" w:eastAsia="Times New Roman" w:hint="default"/>
                <w:sz w:val="18"/>
                <w:szCs w:val="18"/>
              </w:rPr>
            </w:pPr>
            <w:r>
              <w:rPr>
                <w:rFonts w:ascii="Times New Roman"/>
                <w:sz w:val="18"/>
              </w:rPr>
              <w:t>-1,513,35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4.50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2,154,453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广东易联 众民生信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206,091.9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3,349,000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-1,558,49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1,996,601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广州桔叶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6,618,908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-22,115.6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1,572,500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5,024,292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1,572,500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r>
      <w:tr>
        <w:trPr>
          <w:trHeight w:val="1028"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海保人寿 保险股份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289,730,0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-19,419,8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743,192.7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271,053,4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10.48</w:t>
            </w: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黑龙江易 联众信息 工程技术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602,228.2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-121,099.</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258,777.1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222,351.8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258,777.1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both"/>
              <w:rPr>
                <w:rFonts w:ascii="宋体" w:hAnsi="宋体" w:cs="宋体" w:eastAsia="宋体" w:hint="default"/>
                <w:sz w:val="18"/>
                <w:szCs w:val="18"/>
              </w:rPr>
            </w:pPr>
            <w:r>
              <w:rPr>
                <w:rFonts w:ascii="宋体" w:hAnsi="宋体" w:cs="宋体" w:eastAsia="宋体" w:hint="default"/>
                <w:sz w:val="18"/>
                <w:szCs w:val="18"/>
              </w:rPr>
              <w:t>易联众</w:t>
            </w:r>
          </w:p>
          <w:p>
            <w:pPr>
              <w:pStyle w:val="TableParagraph"/>
              <w:spacing w:line="316" w:lineRule="auto" w:before="74"/>
              <w:ind w:left="24" w:right="41"/>
              <w:jc w:val="both"/>
              <w:rPr>
                <w:rFonts w:ascii="宋体" w:hAnsi="宋体" w:cs="宋体" w:eastAsia="宋体" w:hint="default"/>
                <w:sz w:val="18"/>
                <w:szCs w:val="18"/>
              </w:rPr>
            </w:pPr>
            <w:r>
              <w:rPr>
                <w:rFonts w:ascii="宋体" w:hAnsi="宋体" w:cs="宋体" w:eastAsia="宋体" w:hint="default"/>
                <w:sz w:val="18"/>
                <w:szCs w:val="18"/>
              </w:rPr>
              <w:t>（福建） 医疗器械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14,724,50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-1,746.52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14,722,75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临沂市民 卡数据服 务有限公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47,214.86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1,517,214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380,972,7</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04.91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19,943,50</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88" w:right="0"/>
              <w:jc w:val="left"/>
              <w:rPr>
                <w:rFonts w:ascii="Times New Roman" w:hAnsi="Times New Roman" w:cs="Times New Roman" w:eastAsia="Times New Roman" w:hint="default"/>
                <w:sz w:val="18"/>
                <w:szCs w:val="18"/>
              </w:rPr>
            </w:pPr>
            <w:r>
              <w:rPr>
                <w:rFonts w:ascii="Times New Roman"/>
                <w:sz w:val="18"/>
              </w:rPr>
              <w:t>-11,027,1</w:t>
            </w:r>
          </w:p>
          <w:p>
            <w:pPr>
              <w:pStyle w:val="TableParagraph"/>
              <w:spacing w:line="240" w:lineRule="auto" w:before="102"/>
              <w:ind w:left="359" w:right="0"/>
              <w:jc w:val="left"/>
              <w:rPr>
                <w:rFonts w:ascii="Times New Roman" w:hAnsi="Times New Roman" w:cs="Times New Roman" w:eastAsia="Times New Roman" w:hint="default"/>
                <w:sz w:val="18"/>
                <w:szCs w:val="18"/>
              </w:rPr>
            </w:pPr>
            <w:r>
              <w:rPr>
                <w:rFonts w:ascii="Times New Roman"/>
                <w:sz w:val="18"/>
              </w:rPr>
              <w:t>18.48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743,192.7</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1,633,940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6,883,200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2,180,471</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1,183,447</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5" w:right="0"/>
              <w:jc w:val="left"/>
              <w:rPr>
                <w:rFonts w:ascii="Times New Roman" w:hAnsi="Times New Roman" w:cs="Times New Roman" w:eastAsia="Times New Roman" w:hint="default"/>
                <w:sz w:val="18"/>
                <w:szCs w:val="18"/>
              </w:rPr>
            </w:pPr>
            <w:r>
              <w:rPr>
                <w:rFonts w:ascii="Times New Roman"/>
                <w:sz w:val="18"/>
              </w:rPr>
              <w:t>384,385,9</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95.38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2,180,471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.80</w:t>
            </w:r>
          </w:p>
        </w:tc>
      </w:tr>
      <w:tr>
        <w:trPr>
          <w:trHeight w:val="715"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380,972,7</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04.91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19,943,50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-11,027,1</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18.48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743,192.7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1,633,940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6,883,200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2,180,471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1,183,447</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.16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384,385,9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95.38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2,180,471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r>
    </w:tbl>
    <w:p>
      <w:pPr>
        <w:pStyle w:val="BodyText"/>
        <w:spacing w:line="240" w:lineRule="auto" w:before="51"/>
        <w:ind w:right="1133"/>
        <w:jc w:val="left"/>
      </w:pPr>
      <w:r>
        <w:rPr/>
        <w:t>其他说明</w:t>
      </w:r>
    </w:p>
    <w:p>
      <w:pPr>
        <w:pStyle w:val="BodyText"/>
        <w:spacing w:line="309" w:lineRule="auto" w:before="115"/>
        <w:ind w:right="0"/>
        <w:jc w:val="left"/>
      </w:pPr>
      <w:r>
        <w:rPr>
          <w:rFonts w:ascii="宋体" w:hAnsi="宋体" w:cs="宋体" w:eastAsia="宋体" w:hint="default"/>
          <w:spacing w:val="90"/>
        </w:rPr>
        <w:t> </w:t>
      </w:r>
      <w:r>
        <w:rPr>
          <w:rFonts w:ascii="宋体" w:hAnsi="宋体" w:cs="宋体" w:eastAsia="宋体" w:hint="default"/>
        </w:rPr>
        <w:t>  </w:t>
      </w:r>
      <w:r>
        <w:rPr/>
        <w:t>百路源由原子公司商业保理公司持股</w:t>
      </w:r>
      <w:r>
        <w:rPr>
          <w:spacing w:val="-46"/>
        </w:rPr>
        <w:t> </w:t>
      </w:r>
      <w:r>
        <w:rPr>
          <w:rFonts w:ascii="Times New Roman" w:hAnsi="Times New Roman" w:cs="Times New Roman" w:eastAsia="Times New Roman" w:hint="default"/>
        </w:rPr>
        <w:t>80%</w:t>
      </w:r>
      <w:r>
        <w:rPr/>
        <w:t>，子公司金融控股公司持股</w:t>
      </w:r>
      <w:r>
        <w:rPr>
          <w:spacing w:val="-47"/>
        </w:rPr>
        <w:t> </w:t>
      </w:r>
      <w:r>
        <w:rPr>
          <w:rFonts w:ascii="Times New Roman" w:hAnsi="Times New Roman" w:cs="Times New Roman" w:eastAsia="Times New Roman" w:hint="default"/>
        </w:rPr>
        <w:t>20%</w:t>
      </w:r>
      <w:r>
        <w:rPr/>
        <w:t>，本期处置商业保理公司后，百路源由孙公 </w:t>
      </w:r>
      <w:r>
        <w:rPr>
          <w:spacing w:val="-2"/>
        </w:rPr>
        <w:t>司转为联营企业，采用权益法核算。对于原取得投资至处置投资（转为权益法核算）之间百路源实现净损益中本公司享有的</w:t>
      </w:r>
      <w:r>
        <w:rPr>
          <w:spacing w:val="-64"/>
        </w:rPr>
        <w:t> </w:t>
      </w:r>
      <w:r>
        <w:rPr>
          <w:spacing w:val="-64"/>
        </w:rPr>
      </w:r>
      <w:r>
        <w:rPr/>
        <w:t>份额，计入本期其他增减变动。</w:t>
      </w:r>
    </w:p>
    <w:p>
      <w:pPr>
        <w:spacing w:line="240" w:lineRule="auto" w:before="0"/>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18</w:t>
      </w:r>
      <w:r>
        <w:rPr/>
        <w:t>、其他权益工具投资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非上市权益工具投资</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50,026,398.71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50,026,398.71</w:t>
            </w:r>
          </w:p>
        </w:tc>
      </w:tr>
    </w:tbl>
    <w:p>
      <w:pPr>
        <w:pStyle w:val="BodyText"/>
        <w:spacing w:line="240" w:lineRule="auto" w:before="51"/>
        <w:ind w:right="1133"/>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1337"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46"/>
              <w:jc w:val="righ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入留存收益的金 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 w:right="46"/>
              <w:jc w:val="center"/>
              <w:rPr>
                <w:rFonts w:ascii="宋体" w:hAnsi="宋体" w:cs="宋体" w:eastAsia="宋体" w:hint="default"/>
                <w:sz w:val="18"/>
                <w:szCs w:val="18"/>
              </w:rPr>
            </w:pPr>
            <w:r>
              <w:rPr>
                <w:rFonts w:ascii="宋体" w:hAnsi="宋体" w:cs="宋体" w:eastAsia="宋体" w:hint="default"/>
                <w:sz w:val="18"/>
                <w:szCs w:val="18"/>
              </w:rPr>
              <w:t>指定为以公允价 值计量且其变动 计入其他综合收 益的原因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7" w:right="48"/>
              <w:jc w:val="center"/>
              <w:rPr>
                <w:rFonts w:ascii="宋体" w:hAnsi="宋体" w:cs="宋体" w:eastAsia="宋体" w:hint="default"/>
                <w:sz w:val="18"/>
                <w:szCs w:val="18"/>
              </w:rPr>
            </w:pPr>
            <w:r>
              <w:rPr>
                <w:rFonts w:ascii="宋体" w:hAnsi="宋体" w:cs="宋体" w:eastAsia="宋体" w:hint="default"/>
                <w:sz w:val="18"/>
                <w:szCs w:val="18"/>
              </w:rPr>
              <w:t>其他综合收益转 入留存收益的原 因</w:t>
            </w:r>
          </w:p>
        </w:tc>
      </w:tr>
      <w:tr>
        <w:trPr>
          <w:trHeight w:val="1027"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4" w:lineRule="auto"/>
              <w:ind w:left="24" w:right="72"/>
              <w:jc w:val="left"/>
              <w:rPr>
                <w:rFonts w:ascii="宋体" w:hAnsi="宋体" w:cs="宋体" w:eastAsia="宋体" w:hint="default"/>
                <w:sz w:val="18"/>
                <w:szCs w:val="18"/>
              </w:rPr>
            </w:pPr>
            <w:r>
              <w:rPr>
                <w:rFonts w:ascii="宋体" w:hAnsi="宋体" w:cs="宋体" w:eastAsia="宋体" w:hint="default"/>
                <w:sz w:val="18"/>
                <w:szCs w:val="18"/>
              </w:rPr>
              <w:t>厦门农商金融控 股集团有限公司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3,816,503.60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4,614,546.80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4,614,546.80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3" w:right="70"/>
              <w:jc w:val="both"/>
              <w:rPr>
                <w:rFonts w:ascii="宋体" w:hAnsi="宋体" w:cs="宋体" w:eastAsia="宋体" w:hint="default"/>
                <w:sz w:val="18"/>
                <w:szCs w:val="18"/>
              </w:rPr>
            </w:pPr>
            <w:r>
              <w:rPr>
                <w:rFonts w:ascii="宋体" w:hAnsi="宋体" w:cs="宋体" w:eastAsia="宋体" w:hint="default"/>
                <w:sz w:val="18"/>
                <w:szCs w:val="18"/>
              </w:rPr>
              <w:t>既以获取合同现 金流量为目的， 又以出售为目的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本期处置</w:t>
            </w:r>
          </w:p>
        </w:tc>
      </w:tr>
      <w:tr>
        <w:trPr>
          <w:trHeight w:val="102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2"/>
              <w:jc w:val="both"/>
              <w:rPr>
                <w:rFonts w:ascii="宋体" w:hAnsi="宋体" w:cs="宋体" w:eastAsia="宋体" w:hint="default"/>
                <w:sz w:val="18"/>
                <w:szCs w:val="18"/>
              </w:rPr>
            </w:pPr>
            <w:r>
              <w:rPr>
                <w:rFonts w:ascii="宋体" w:hAnsi="宋体" w:cs="宋体" w:eastAsia="宋体" w:hint="default"/>
                <w:sz w:val="18"/>
                <w:szCs w:val="18"/>
              </w:rPr>
              <w:t>易联众（厦门） 医生集团有限公 司</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88" w:right="0"/>
              <w:jc w:val="left"/>
              <w:rPr>
                <w:rFonts w:ascii="Times New Roman" w:hAnsi="Times New Roman" w:cs="Times New Roman" w:eastAsia="Times New Roman" w:hint="default"/>
                <w:sz w:val="18"/>
                <w:szCs w:val="18"/>
              </w:rPr>
            </w:pPr>
            <w:r>
              <w:rPr>
                <w:rFonts w:ascii="Times New Roman"/>
                <w:sz w:val="18"/>
              </w:rPr>
              <w:t>1,000,000.00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71"/>
              <w:jc w:val="both"/>
              <w:rPr>
                <w:rFonts w:ascii="宋体" w:hAnsi="宋体" w:cs="宋体" w:eastAsia="宋体" w:hint="default"/>
                <w:sz w:val="18"/>
                <w:szCs w:val="18"/>
              </w:rPr>
            </w:pPr>
            <w:r>
              <w:rPr>
                <w:rFonts w:ascii="宋体" w:hAnsi="宋体" w:cs="宋体" w:eastAsia="宋体" w:hint="default"/>
                <w:sz w:val="18"/>
                <w:szCs w:val="18"/>
              </w:rPr>
              <w:t>既以获取合同现 金流量为目的， 又以出售为目的</w:t>
            </w: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19</w:t>
      </w:r>
      <w:r>
        <w:rPr/>
        <w:t>、其他非流动金融资产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权益工具投资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20</w:t>
      </w:r>
      <w:r>
        <w:rPr/>
        <w:t>、投资性房地产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0"/>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21</w:t>
      </w:r>
      <w:r>
        <w:rPr/>
        <w:t>、固定资产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67,993,331.45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72,949,527.30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67,993,331.45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72,949,527.30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03" w:right="19" w:hanging="680"/>
              <w:jc w:val="left"/>
              <w:rPr>
                <w:rFonts w:ascii="宋体" w:hAnsi="宋体" w:cs="宋体" w:eastAsia="宋体" w:hint="default"/>
                <w:sz w:val="18"/>
                <w:szCs w:val="18"/>
              </w:rPr>
            </w:pPr>
            <w:r>
              <w:rPr>
                <w:rFonts w:ascii="宋体" w:hAnsi="宋体" w:cs="宋体" w:eastAsia="宋体" w:hint="default"/>
                <w:spacing w:val="-10"/>
                <w:sz w:val="18"/>
                <w:szCs w:val="18"/>
              </w:rPr>
              <w:t>电子、办公及其他设</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70,843,007.88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27" w:right="0"/>
              <w:jc w:val="left"/>
              <w:rPr>
                <w:rFonts w:ascii="Times New Roman" w:hAnsi="Times New Roman" w:cs="Times New Roman" w:eastAsia="Times New Roman" w:hint="default"/>
                <w:sz w:val="18"/>
                <w:szCs w:val="18"/>
              </w:rPr>
            </w:pPr>
            <w:r>
              <w:rPr>
                <w:rFonts w:ascii="Times New Roman"/>
                <w:sz w:val="18"/>
              </w:rPr>
              <w:t>20,250,286.59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43,791,294.26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21,555,750.95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156,440,339.68</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918,198.75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5,858,782.41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616,533.46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7,393,514.62</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5,669,582.92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5,669,582.92</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918,198.75</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159,292.04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1,077,490.79</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3"/>
        <w:gridCol w:w="1594"/>
        <w:gridCol w:w="1596"/>
        <w:gridCol w:w="1594"/>
        <w:gridCol w:w="1594"/>
        <w:gridCol w:w="1594"/>
      </w:tblGrid>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
              <w:jc w:val="righ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其他增加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29,907.45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616,533.46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646,440.91</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303,261.05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1,584,227.08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1,342,420.73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3,229,908.86</w:t>
            </w:r>
          </w:p>
        </w:tc>
      </w:tr>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281,957.27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681,876.07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1,342,420.73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2,306,254.07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21,303.78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902,351.01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923,654.79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71,761,206.63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19,947,025.54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48,065,849.59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20,829,863.68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160,603,945.44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19,724,987.89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14,674,874.17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28,558,728.42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20,532,221.90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83,490,812.38</w:t>
            </w:r>
          </w:p>
        </w:tc>
      </w:tr>
      <w:tr>
        <w:trPr>
          <w:trHeight w:val="404"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2,744,509.76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1,640,458.34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10,113,628.74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2,541,557.23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17,040,154.07</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2,744,509.76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1,619,157.80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4,067,901.38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2,448,807.30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10,880,376.24</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21,300.54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6,045,727.36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92,749.93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6,159,777.83</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174,004.29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245,537.61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1,361,576.35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6,139,234.21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7,920,352.46</w:t>
            </w:r>
          </w:p>
        </w:tc>
      </w:tr>
      <w:tr>
        <w:trPr>
          <w:trHeight w:val="715"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3"/>
              <w:ind w:left="22"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 废</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245,537.60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506,018.66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953,506.73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1,705,062.99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4"/>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）其他减少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174,004.29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855,557.69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5,185,727.48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6,215,289.47</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22,295,493.36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16,069,794.90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37,310,780.81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16,934,544.92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92,610,613.99</w:t>
            </w: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49,465,713.27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3,877,230.64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10,755,068.78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3,895,318.76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67,993,331.45</w:t>
            </w:r>
          </w:p>
        </w:tc>
      </w:tr>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51,118,019.99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5,575,412.42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15,232,565.84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1,023,529.05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72,949,527.30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）固定资产清理</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22</w:t>
      </w:r>
      <w:r>
        <w:rPr/>
        <w:t>、在建工程</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437,311.93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437,311.93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福州办公室装修 工程</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437,311.93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437,311.93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437,311.93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437,311.93</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）工程物资</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24</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25</w:t>
      </w:r>
      <w:r>
        <w:rPr/>
        <w:t>、使用权资产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26</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594"/>
        <w:gridCol w:w="1594"/>
        <w:gridCol w:w="1596"/>
        <w:gridCol w:w="1594"/>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3"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87,861,449.86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87,861,449.86</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87,861,449.86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87,861,449.86</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13,080,925.55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13,080,925.55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310,470.19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310,470.19</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 发</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12,770,455.36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12,770,455.36</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6"/>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 并增加</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100,942,375.41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100,942,375.41</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58,175,898.85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58,175,898.85</w:t>
            </w: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12,289,136.08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12,289,136.08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12,289,136.08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12,289,136.08</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70,465,034.93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70,465,034.93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30,477,340.48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30,477,340.48</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16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29,685,551.01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29,685,551.01</w:t>
            </w:r>
          </w:p>
        </w:tc>
      </w:tr>
    </w:tbl>
    <w:p>
      <w:pPr>
        <w:pStyle w:val="BodyText"/>
        <w:spacing w:line="240" w:lineRule="auto" w:before="51"/>
        <w:ind w:right="1133"/>
        <w:jc w:val="left"/>
      </w:pPr>
      <w:r>
        <w:rPr>
          <w:rFonts w:ascii="宋体" w:hAnsi="宋体" w:cs="宋体" w:eastAsia="宋体" w:hint="default"/>
          <w:spacing w:val="90"/>
        </w:rPr>
        <w:t> </w:t>
      </w:r>
      <w:r>
        <w:rPr>
          <w:rFonts w:ascii="宋体" w:hAnsi="宋体" w:cs="宋体" w:eastAsia="宋体" w:hint="default"/>
        </w:rPr>
        <w:t>  </w:t>
      </w:r>
      <w:r>
        <w:rPr/>
        <w:t>本期末通过公司内部研发形成的无形资产占无形资产余额的比例</w:t>
      </w:r>
      <w:r>
        <w:rPr>
          <w:spacing w:val="-44"/>
        </w:rPr>
        <w:t> </w:t>
      </w:r>
      <w:r>
        <w:rPr>
          <w:rFonts w:ascii="Times New Roman" w:hAnsi="Times New Roman" w:cs="Times New Roman" w:eastAsia="Times New Roman" w:hint="default"/>
        </w:rPr>
        <w:t>97.15%</w:t>
      </w:r>
      <w:r>
        <w:rPr/>
        <w:t>。</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27</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348"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5" w:hanging="360"/>
              <w:jc w:val="left"/>
              <w:rPr>
                <w:rFonts w:ascii="宋体" w:hAnsi="宋体" w:cs="宋体" w:eastAsia="宋体" w:hint="default"/>
                <w:sz w:val="18"/>
                <w:szCs w:val="18"/>
              </w:rPr>
            </w:pPr>
            <w:r>
              <w:rPr>
                <w:rFonts w:ascii="宋体" w:hAnsi="宋体" w:cs="宋体" w:eastAsia="宋体" w:hint="default"/>
                <w:sz w:val="18"/>
                <w:szCs w:val="18"/>
              </w:rPr>
              <w:t>内部开发支 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7" w:right="74" w:hanging="272"/>
              <w:jc w:val="left"/>
              <w:rPr>
                <w:rFonts w:ascii="宋体" w:hAnsi="宋体" w:cs="宋体" w:eastAsia="宋体" w:hint="default"/>
                <w:sz w:val="18"/>
                <w:szCs w:val="18"/>
              </w:rPr>
            </w:pPr>
            <w:r>
              <w:rPr>
                <w:rFonts w:ascii="宋体" w:hAnsi="宋体" w:cs="宋体" w:eastAsia="宋体" w:hint="default"/>
                <w:sz w:val="18"/>
                <w:szCs w:val="18"/>
              </w:rPr>
              <w:t>确认为无形 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36" w:right="72" w:hanging="360"/>
              <w:jc w:val="left"/>
              <w:rPr>
                <w:rFonts w:ascii="宋体" w:hAnsi="宋体" w:cs="宋体" w:eastAsia="宋体" w:hint="default"/>
                <w:sz w:val="18"/>
                <w:szCs w:val="18"/>
              </w:rPr>
            </w:pPr>
            <w:r>
              <w:rPr>
                <w:rFonts w:ascii="宋体" w:hAnsi="宋体" w:cs="宋体" w:eastAsia="宋体" w:hint="default"/>
                <w:sz w:val="18"/>
                <w:szCs w:val="18"/>
              </w:rPr>
              <w:t>转入当期损 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29"/>
              <w:jc w:val="both"/>
              <w:rPr>
                <w:rFonts w:ascii="宋体" w:hAnsi="宋体" w:cs="宋体" w:eastAsia="宋体" w:hint="default"/>
                <w:sz w:val="18"/>
                <w:szCs w:val="18"/>
              </w:rPr>
            </w:pPr>
            <w:r>
              <w:rPr>
                <w:rFonts w:ascii="宋体" w:hAnsi="宋体" w:cs="宋体" w:eastAsia="宋体" w:hint="default"/>
                <w:sz w:val="18"/>
                <w:szCs w:val="18"/>
              </w:rPr>
              <w:t>易联众睿图 区域医技检 查预约管理 软件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1,108,657.04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1,108,657.04</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易联众医疗 保险智能监 察风控平台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1,759,710.76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849,634.08</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2,609,344.84</w:t>
            </w:r>
          </w:p>
        </w:tc>
      </w:tr>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易联众医卫 公共卫生管 理信息系统</w:t>
            </w:r>
          </w:p>
          <w:p>
            <w:pPr>
              <w:pStyle w:val="TableParagraph"/>
              <w:spacing w:line="240" w:lineRule="auto" w:before="61"/>
              <w:ind w:left="24" w:right="0"/>
              <w:jc w:val="both"/>
              <w:rPr>
                <w:rFonts w:ascii="Times New Roman" w:hAnsi="Times New Roman" w:cs="Times New Roman" w:eastAsia="Times New Roman" w:hint="default"/>
                <w:sz w:val="18"/>
                <w:szCs w:val="18"/>
              </w:rPr>
            </w:pPr>
            <w:r>
              <w:rPr>
                <w:rFonts w:ascii="Times New Roman"/>
                <w:sz w:val="18"/>
              </w:rPr>
              <w:t>V3.0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1,658,328.44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1,316,333.47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2,974,661.91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24"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就业形势动 态监测平台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1,882,665.32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1,882,665.32</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left"/>
              <w:rPr>
                <w:rFonts w:ascii="宋体" w:hAnsi="宋体" w:cs="宋体" w:eastAsia="宋体" w:hint="default"/>
                <w:sz w:val="18"/>
                <w:szCs w:val="18"/>
              </w:rPr>
            </w:pPr>
            <w:r>
              <w:rPr>
                <w:rFonts w:ascii="宋体" w:hAnsi="宋体" w:cs="宋体" w:eastAsia="宋体" w:hint="default"/>
                <w:sz w:val="18"/>
                <w:szCs w:val="18"/>
              </w:rPr>
              <w:t>家加社保二 期项目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1,990,609.48</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1,990,609.48</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医疗电子处 方共享平台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2,713,764.91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2,713,764.91</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4" w:right="129"/>
              <w:jc w:val="both"/>
              <w:rPr>
                <w:rFonts w:ascii="宋体" w:hAnsi="宋体" w:cs="宋体" w:eastAsia="宋体" w:hint="default"/>
                <w:sz w:val="18"/>
                <w:szCs w:val="18"/>
              </w:rPr>
            </w:pPr>
            <w:r>
              <w:rPr>
                <w:rFonts w:ascii="宋体" w:hAnsi="宋体" w:cs="宋体" w:eastAsia="宋体" w:hint="default"/>
                <w:sz w:val="18"/>
                <w:szCs w:val="18"/>
              </w:rPr>
              <w:t>医保药店监 督管理平台 研发项目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630,432.20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630,432.20</w:t>
            </w:r>
          </w:p>
        </w:tc>
      </w:tr>
      <w:tr>
        <w:trPr>
          <w:trHeight w:val="102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易联众运营 决策分析平 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1,450,826.03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1,118,732.41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2,569,558.44</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29"/>
              <w:jc w:val="both"/>
              <w:rPr>
                <w:rFonts w:ascii="宋体" w:hAnsi="宋体" w:cs="宋体" w:eastAsia="宋体" w:hint="default"/>
                <w:sz w:val="18"/>
                <w:szCs w:val="18"/>
              </w:rPr>
            </w:pPr>
            <w:r>
              <w:rPr>
                <w:rFonts w:ascii="宋体" w:hAnsi="宋体" w:cs="宋体" w:eastAsia="宋体" w:hint="default"/>
                <w:sz w:val="18"/>
                <w:szCs w:val="18"/>
              </w:rPr>
              <w:t>易联众长青 华养汇康养 服务平台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118,512.15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118,512.15</w:t>
            </w:r>
          </w:p>
        </w:tc>
      </w:tr>
      <w:tr>
        <w:trPr>
          <w:trHeight w:val="1028"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4"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易联众长青 医养软件平 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144,618.43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144,618.43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2"/>
        <w:gridCol w:w="1063"/>
        <w:gridCol w:w="1064"/>
        <w:gridCol w:w="1063"/>
        <w:gridCol w:w="1064"/>
        <w:gridCol w:w="1063"/>
        <w:gridCol w:w="1061"/>
        <w:gridCol w:w="1064"/>
        <w:gridCol w:w="1063"/>
      </w:tblGrid>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易联众长青 医养软件平 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263,602.14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375,593.16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639,195.30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易联众睿图 电子胶片管 理软件</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1,468,937.03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1,468,937.03</w:t>
            </w:r>
          </w:p>
        </w:tc>
      </w:tr>
      <w:tr>
        <w:trPr>
          <w:trHeight w:val="227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福建省</w:t>
            </w:r>
          </w:p>
          <w:p>
            <w:pPr>
              <w:pStyle w:val="TableParagraph"/>
              <w:spacing w:line="240" w:lineRule="auto" w:before="76"/>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C-DRG</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疾病</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分组省级平 台及医保结 算支付系统 和稽核改造 项目</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2,617,502.62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1,840,087.09</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4,457,589.71</w:t>
            </w:r>
          </w:p>
        </w:tc>
      </w:tr>
      <w:tr>
        <w:trPr>
          <w:trHeight w:val="1027"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3"/>
              <w:ind w:left="22" w:right="129"/>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三保合一</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信息管理平 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1,477,053.85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1,477,053.85</w:t>
            </w:r>
          </w:p>
        </w:tc>
      </w:tr>
      <w:tr>
        <w:trPr>
          <w:trHeight w:val="713"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社会保险信 息管理平台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1,768,646.10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1,768,646.10</w:t>
            </w:r>
          </w:p>
        </w:tc>
      </w:tr>
      <w:tr>
        <w:trPr>
          <w:trHeight w:val="1028"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29"/>
              <w:jc w:val="both"/>
              <w:rPr>
                <w:rFonts w:ascii="宋体" w:hAnsi="宋体" w:cs="宋体" w:eastAsia="宋体" w:hint="default"/>
                <w:sz w:val="18"/>
                <w:szCs w:val="18"/>
              </w:rPr>
            </w:pPr>
            <w:r>
              <w:rPr>
                <w:rFonts w:ascii="宋体" w:hAnsi="宋体" w:cs="宋体" w:eastAsia="宋体" w:hint="default"/>
                <w:sz w:val="18"/>
                <w:szCs w:val="18"/>
              </w:rPr>
              <w:t>易联众医卫 新版慢病管 理平台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3,465,156.45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3,465,156.45</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易联众支付 服务开放平 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1,650,928.43</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1,650,928.43</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129"/>
              <w:jc w:val="left"/>
              <w:rPr>
                <w:rFonts w:ascii="宋体" w:hAnsi="宋体" w:cs="宋体" w:eastAsia="宋体" w:hint="default"/>
                <w:sz w:val="18"/>
                <w:szCs w:val="18"/>
              </w:rPr>
            </w:pPr>
            <w:r>
              <w:rPr>
                <w:rFonts w:ascii="宋体" w:hAnsi="宋体" w:cs="宋体" w:eastAsia="宋体" w:hint="default"/>
                <w:sz w:val="18"/>
                <w:szCs w:val="18"/>
              </w:rPr>
              <w:t>医疗保障公 共服务平台</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4,000,494.37</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4,000,494.37</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人工智能语 音识别应用 服务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1,228,301.90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1,228,301.90</w:t>
            </w:r>
          </w:p>
        </w:tc>
      </w:tr>
      <w:tr>
        <w:trPr>
          <w:trHeight w:val="1340"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4"/>
              <w:ind w:left="22" w:right="129"/>
              <w:jc w:val="both"/>
              <w:rPr>
                <w:rFonts w:ascii="Times New Roman" w:hAnsi="Times New Roman" w:cs="Times New Roman" w:eastAsia="Times New Roman" w:hint="default"/>
                <w:sz w:val="18"/>
                <w:szCs w:val="18"/>
              </w:rPr>
            </w:pPr>
            <w:r>
              <w:rPr>
                <w:rFonts w:ascii="宋体" w:hAnsi="宋体" w:cs="宋体" w:eastAsia="宋体" w:hint="default"/>
                <w:sz w:val="18"/>
                <w:szCs w:val="18"/>
              </w:rPr>
              <w:t>厦门市医疗 保险目录与 价格管理系 统</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2,240,147.35</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2,240,147.35</w:t>
            </w:r>
          </w:p>
        </w:tc>
      </w:tr>
      <w:tr>
        <w:trPr>
          <w:trHeight w:val="102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51"/>
              <w:ind w:left="22" w:right="129"/>
              <w:jc w:val="left"/>
              <w:rPr>
                <w:rFonts w:ascii="Times New Roman" w:hAnsi="Times New Roman" w:cs="Times New Roman" w:eastAsia="Times New Roman" w:hint="default"/>
                <w:sz w:val="18"/>
                <w:szCs w:val="18"/>
              </w:rPr>
            </w:pPr>
            <w:r>
              <w:rPr>
                <w:rFonts w:ascii="宋体" w:hAnsi="宋体" w:cs="宋体" w:eastAsia="宋体" w:hint="default"/>
                <w:sz w:val="18"/>
                <w:szCs w:val="18"/>
              </w:rPr>
              <w:t>新医疗保障 信息系统 </w:t>
            </w:r>
            <w:r>
              <w:rPr>
                <w:rFonts w:ascii="Times New Roman" w:hAnsi="Times New Roman" w:cs="Times New Roman" w:eastAsia="Times New Roman" w:hint="default"/>
                <w:sz w:val="18"/>
                <w:szCs w:val="18"/>
              </w:rPr>
              <w:t>V1.0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7,589,948.54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7,589,948.54</w:t>
            </w:r>
          </w:p>
        </w:tc>
      </w:tr>
      <w:tr>
        <w:trPr>
          <w:trHeight w:val="715" w:hRule="exact"/>
        </w:trPr>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9,740,579.47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35,760,342.3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1,228,301.90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12,770,455.3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6</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33,958,768.3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r>
    </w:tbl>
    <w:p>
      <w:pPr>
        <w:pStyle w:val="BodyText"/>
        <w:spacing w:line="240" w:lineRule="auto" w:before="51"/>
        <w:ind w:right="1133"/>
        <w:jc w:val="left"/>
      </w:pPr>
      <w:r>
        <w:rPr/>
        <w:t>其他说明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289"/>
        <w:gridCol w:w="1988"/>
        <w:gridCol w:w="1699"/>
        <w:gridCol w:w="1870"/>
      </w:tblGrid>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96" w:right="0"/>
              <w:jc w:val="left"/>
              <w:rPr>
                <w:rFonts w:ascii="宋体" w:hAnsi="宋体" w:cs="宋体" w:eastAsia="宋体" w:hint="default"/>
                <w:sz w:val="18"/>
                <w:szCs w:val="18"/>
              </w:rPr>
            </w:pPr>
            <w:r>
              <w:rPr>
                <w:rFonts w:ascii="宋体" w:hAnsi="宋体" w:cs="宋体" w:eastAsia="宋体" w:hint="default"/>
                <w:sz w:val="18"/>
                <w:szCs w:val="18"/>
              </w:rPr>
              <w:t>资本化开始时点</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资本化的具体依据</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6" w:right="0"/>
              <w:jc w:val="left"/>
              <w:rPr>
                <w:rFonts w:ascii="宋体" w:hAnsi="宋体" w:cs="宋体" w:eastAsia="宋体" w:hint="default"/>
                <w:sz w:val="18"/>
                <w:szCs w:val="18"/>
              </w:rPr>
            </w:pPr>
            <w:r>
              <w:rPr>
                <w:rFonts w:ascii="宋体" w:hAnsi="宋体" w:cs="宋体" w:eastAsia="宋体" w:hint="default"/>
                <w:sz w:val="18"/>
                <w:szCs w:val="18"/>
              </w:rPr>
              <w:t>截至年末的研发进度</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289"/>
        <w:gridCol w:w="1988"/>
        <w:gridCol w:w="1699"/>
        <w:gridCol w:w="1870"/>
      </w:tblGrid>
      <w:tr>
        <w:trPr>
          <w:trHeight w:val="34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易联众睿图区域医技检查预约管理软件</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95.00%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易联众医疗保险智能监察风控平台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75.00%</w:t>
            </w:r>
          </w:p>
        </w:tc>
      </w:tr>
      <w:tr>
        <w:trPr>
          <w:trHeight w:val="34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易联众医卫公共卫生管理信息系统</w:t>
            </w:r>
            <w:r>
              <w:rPr>
                <w:rFonts w:ascii="Times New Roman" w:hAnsi="Times New Roman" w:cs="Times New Roman" w:eastAsia="Times New Roman" w:hint="default"/>
                <w:sz w:val="18"/>
                <w:szCs w:val="18"/>
              </w:rPr>
              <w:t>V3.0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2019.4.2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就业形势动态监测平台</w:t>
            </w:r>
            <w:r>
              <w:rPr>
                <w:rFonts w:ascii="Times New Roman" w:hAnsi="Times New Roman" w:cs="Times New Roman" w:eastAsia="Times New Roman" w:hint="default"/>
                <w:sz w:val="18"/>
                <w:szCs w:val="18"/>
              </w:rPr>
              <w:t>V1.0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家加社保二期项目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医疗电子处方共享平台项目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2019.6.3</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医保药店监督管理平台研发项目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易联众运营决策分析平台</w:t>
            </w:r>
            <w:r>
              <w:rPr>
                <w:rFonts w:ascii="Times New Roman" w:hAnsi="Times New Roman" w:cs="Times New Roman" w:eastAsia="Times New Roman" w:hint="default"/>
                <w:sz w:val="18"/>
                <w:szCs w:val="18"/>
              </w:rPr>
              <w:t>V2.0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2018.5.1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易联众长青华养汇康养服务平台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2019.5.16</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40.00%</w:t>
            </w:r>
          </w:p>
        </w:tc>
      </w:tr>
      <w:tr>
        <w:trPr>
          <w:trHeight w:val="344"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易联众长青医养软件平台</w:t>
            </w:r>
            <w:r>
              <w:rPr>
                <w:rFonts w:ascii="Times New Roman" w:hAnsi="Times New Roman" w:cs="Times New Roman" w:eastAsia="Times New Roman" w:hint="default"/>
                <w:sz w:val="18"/>
                <w:szCs w:val="18"/>
              </w:rPr>
              <w:t>V3.0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60.00%</w:t>
            </w:r>
          </w:p>
        </w:tc>
      </w:tr>
      <w:tr>
        <w:trPr>
          <w:trHeight w:val="34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易联众长青医养软件平台</w:t>
            </w:r>
            <w:r>
              <w:rPr>
                <w:rFonts w:ascii="Times New Roman" w:hAnsi="Times New Roman" w:cs="Times New Roman" w:eastAsia="Times New Roman" w:hint="default"/>
                <w:sz w:val="18"/>
                <w:szCs w:val="18"/>
              </w:rPr>
              <w:t>V2.0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2018.10.1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易联众睿图电子胶片管理软件</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2019.1.2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95.00%</w:t>
            </w:r>
          </w:p>
        </w:tc>
      </w:tr>
      <w:tr>
        <w:trPr>
          <w:trHeight w:val="65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7" w:right="10"/>
              <w:jc w:val="left"/>
              <w:rPr>
                <w:rFonts w:ascii="宋体" w:hAnsi="宋体" w:cs="宋体" w:eastAsia="宋体" w:hint="default"/>
                <w:sz w:val="18"/>
                <w:szCs w:val="18"/>
              </w:rPr>
            </w:pPr>
            <w:r>
              <w:rPr>
                <w:rFonts w:ascii="宋体" w:hAnsi="宋体" w:cs="宋体" w:eastAsia="宋体" w:hint="default"/>
                <w:sz w:val="18"/>
                <w:szCs w:val="18"/>
              </w:rPr>
              <w:t>福建省</w:t>
            </w:r>
            <w:r>
              <w:rPr>
                <w:rFonts w:ascii="Times New Roman" w:hAnsi="Times New Roman" w:cs="Times New Roman" w:eastAsia="Times New Roman" w:hint="default"/>
                <w:sz w:val="18"/>
                <w:szCs w:val="18"/>
              </w:rPr>
              <w:t>C-DRG</w:t>
            </w:r>
            <w:r>
              <w:rPr>
                <w:rFonts w:ascii="宋体" w:hAnsi="宋体" w:cs="宋体" w:eastAsia="宋体" w:hint="default"/>
                <w:sz w:val="18"/>
                <w:szCs w:val="18"/>
              </w:rPr>
              <w:t>疾病分组省级平台及医保结 算支付系统和稽核改造项目</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2018.7.1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75.00%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三保合一</w:t>
            </w:r>
            <w:r>
              <w:rPr>
                <w:rFonts w:ascii="Times New Roman" w:hAnsi="Times New Roman" w:cs="Times New Roman" w:eastAsia="Times New Roman" w:hint="default"/>
                <w:sz w:val="18"/>
                <w:szCs w:val="18"/>
              </w:rPr>
              <w:t>”</w:t>
            </w:r>
            <w:r>
              <w:rPr>
                <w:rFonts w:ascii="宋体" w:hAnsi="宋体" w:cs="宋体" w:eastAsia="宋体" w:hint="default"/>
                <w:sz w:val="18"/>
                <w:szCs w:val="18"/>
              </w:rPr>
              <w:t>信息管理平台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4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社会保险信息管理平台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2019.1.1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易联众医卫新版慢病管理平台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2019.5.2</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60.00%</w:t>
            </w:r>
          </w:p>
        </w:tc>
      </w:tr>
      <w:tr>
        <w:trPr>
          <w:trHeight w:val="34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易联众支付服务开放平台</w:t>
            </w:r>
            <w:r>
              <w:rPr>
                <w:rFonts w:ascii="Times New Roman" w:hAnsi="Times New Roman" w:cs="Times New Roman" w:eastAsia="Times New Roman" w:hint="default"/>
                <w:sz w:val="18"/>
                <w:szCs w:val="18"/>
              </w:rPr>
              <w:t>V1.0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医疗保障公共服务平台</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2019.4.1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41"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人工智能语音识别应用服务</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2019.12.1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委托开发合同</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60.00%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厦门市医疗保险目录与价格管理系统</w:t>
            </w:r>
            <w:r>
              <w:rPr>
                <w:rFonts w:ascii="Times New Roman" w:hAnsi="Times New Roman" w:cs="Times New Roman" w:eastAsia="Times New Roman" w:hint="default"/>
                <w:sz w:val="18"/>
                <w:szCs w:val="18"/>
              </w:rPr>
              <w:t>V1.0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left="2" w:right="0"/>
              <w:jc w:val="center"/>
              <w:rPr>
                <w:rFonts w:ascii="Times New Roman" w:hAnsi="Times New Roman" w:cs="Times New Roman" w:eastAsia="Times New Roman" w:hint="default"/>
                <w:sz w:val="18"/>
                <w:szCs w:val="18"/>
              </w:rPr>
            </w:pPr>
            <w:r>
              <w:rPr>
                <w:rFonts w:ascii="Times New Roman"/>
                <w:sz w:val="18"/>
              </w:rPr>
              <w:t>2019.5.1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50.00%</w:t>
            </w:r>
          </w:p>
        </w:tc>
      </w:tr>
      <w:tr>
        <w:trPr>
          <w:trHeight w:val="343" w:hRule="exact"/>
        </w:trPr>
        <w:tc>
          <w:tcPr>
            <w:tcW w:w="3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新医疗保障信息系统</w:t>
            </w:r>
            <w:r>
              <w:rPr>
                <w:rFonts w:ascii="Times New Roman" w:hAnsi="Times New Roman" w:cs="Times New Roman" w:eastAsia="Times New Roman" w:hint="default"/>
                <w:sz w:val="18"/>
                <w:szCs w:val="18"/>
              </w:rPr>
              <w:t>V1.0</w:t>
            </w:r>
          </w:p>
        </w:tc>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2019.5.1</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项目立项报告</w:t>
            </w:r>
          </w:p>
        </w:tc>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28</w:t>
      </w:r>
      <w:r>
        <w:rPr/>
        <w:t>、商誉</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）商誉账面原值</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8" w:right="48"/>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1"/>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62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厦门市纵达科技 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692,278.33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692,278.33</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72"/>
              <w:jc w:val="left"/>
              <w:rPr>
                <w:rFonts w:ascii="宋体" w:hAnsi="宋体" w:cs="宋体" w:eastAsia="宋体" w:hint="default"/>
                <w:sz w:val="18"/>
                <w:szCs w:val="18"/>
              </w:rPr>
            </w:pPr>
            <w:r>
              <w:rPr>
                <w:rFonts w:ascii="宋体" w:hAnsi="宋体" w:cs="宋体" w:eastAsia="宋体" w:hint="default"/>
                <w:sz w:val="18"/>
                <w:szCs w:val="18"/>
              </w:rPr>
              <w:t>海南易联众信息 技术有限公司</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9,583,464.97</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9,583,464.97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10,275,743.30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10,275,743.30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2734"/>
        <w:gridCol w:w="2737"/>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46" w:right="0"/>
              <w:jc w:val="left"/>
              <w:rPr>
                <w:rFonts w:ascii="宋体" w:hAnsi="宋体" w:cs="宋体" w:eastAsia="宋体" w:hint="default"/>
                <w:sz w:val="18"/>
                <w:szCs w:val="18"/>
              </w:rPr>
            </w:pPr>
            <w:r>
              <w:rPr>
                <w:rFonts w:ascii="宋体" w:hAnsi="宋体" w:cs="宋体" w:eastAsia="宋体" w:hint="default"/>
                <w:sz w:val="18"/>
                <w:szCs w:val="18"/>
              </w:rPr>
              <w:t>被投资单位名称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67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11"/>
              <w:ind w:left="588" w:right="48" w:hanging="541"/>
              <w:jc w:val="left"/>
              <w:rPr>
                <w:rFonts w:ascii="宋体" w:hAnsi="宋体" w:cs="宋体" w:eastAsia="宋体" w:hint="default"/>
                <w:sz w:val="18"/>
                <w:szCs w:val="18"/>
              </w:rPr>
            </w:pPr>
            <w:r>
              <w:rPr>
                <w:rFonts w:ascii="宋体" w:hAnsi="宋体" w:cs="宋体" w:eastAsia="宋体" w:hint="default"/>
                <w:sz w:val="18"/>
                <w:szCs w:val="18"/>
              </w:rPr>
              <w:t>或形成商誉的事 项</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厦门市纵达科技 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海南易联众信息 技术有限公司</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1,145,818.37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1,145,818.37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1,145,818.37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1,145,818.37</w:t>
            </w:r>
          </w:p>
        </w:tc>
      </w:tr>
    </w:tbl>
    <w:p>
      <w:pPr>
        <w:pStyle w:val="BodyText"/>
        <w:spacing w:line="360" w:lineRule="auto" w:before="51"/>
        <w:ind w:left="635" w:right="0" w:hanging="483"/>
        <w:jc w:val="left"/>
      </w:pPr>
      <w:r>
        <w:rPr/>
        <w:t>商誉所在资产组或资产组组合的相关信息 </w:t>
      </w:r>
      <w:r>
        <w:rPr>
          <w:spacing w:val="-1"/>
        </w:rPr>
        <w:t>本公司并购厦门纵达、海南易联众股权，是基于市场价值基础的定价，资产组包含在厦门纵达、海南易联众相关的经</w:t>
      </w:r>
    </w:p>
    <w:p>
      <w:pPr>
        <w:pStyle w:val="BodyText"/>
        <w:spacing w:line="223" w:lineRule="exact"/>
        <w:ind w:right="1133"/>
        <w:jc w:val="left"/>
      </w:pPr>
      <w:r>
        <w:rPr/>
        <w:t>营性资产、负债中。本年确定资产组合与购买日、以前年度商誉减值测试时所确定的资产组一致。</w:t>
      </w:r>
    </w:p>
    <w:p>
      <w:pPr>
        <w:pStyle w:val="BodyText"/>
        <w:spacing w:line="314" w:lineRule="auto" w:before="117"/>
        <w:ind w:right="1133"/>
        <w:jc w:val="left"/>
      </w:pP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04" w:lineRule="auto" w:before="61"/>
        <w:ind w:right="1126" w:firstLine="482"/>
        <w:jc w:val="both"/>
      </w:pPr>
      <w:r>
        <w:rPr/>
        <w:t>本公司采用预计未来现金流量的方式计算资产组的可收回金额。本公司根据管理层批准的财务预算预计未来</w:t>
      </w:r>
      <w:r>
        <w:rPr>
          <w:rFonts w:ascii="Times New Roman" w:hAnsi="Times New Roman" w:cs="Times New Roman" w:eastAsia="Times New Roman" w:hint="default"/>
        </w:rPr>
        <w:t>5</w:t>
      </w:r>
      <w:r>
        <w:rPr/>
        <w:t>年内现</w:t>
      </w:r>
      <w:r>
        <w:rPr>
          <w:spacing w:val="2"/>
        </w:rPr>
        <w:t> </w:t>
      </w:r>
      <w:r>
        <w:rPr>
          <w:spacing w:val="-1"/>
        </w:rPr>
        <w:t>金流量，其后年度采用的现金流量增长率预计为</w:t>
      </w:r>
      <w:r>
        <w:rPr>
          <w:rFonts w:ascii="Times New Roman" w:hAnsi="Times New Roman" w:cs="Times New Roman" w:eastAsia="Times New Roman" w:hint="default"/>
          <w:spacing w:val="-1"/>
        </w:rPr>
        <w:t>0%</w:t>
      </w:r>
      <w:r>
        <w:rPr>
          <w:spacing w:val="-1"/>
        </w:rPr>
        <w:t>（上期</w:t>
      </w:r>
      <w:r>
        <w:rPr>
          <w:rFonts w:ascii="Times New Roman" w:hAnsi="Times New Roman" w:cs="Times New Roman" w:eastAsia="Times New Roman" w:hint="default"/>
          <w:spacing w:val="-1"/>
        </w:rPr>
        <w:t>0%</w:t>
      </w:r>
      <w:r>
        <w:rPr>
          <w:spacing w:val="-1"/>
        </w:rPr>
        <w:t>），不会超过资产组经营业务的长期平均增长率。管理层根据</w:t>
      </w:r>
      <w:r>
        <w:rPr>
          <w:spacing w:val="-61"/>
        </w:rPr>
        <w:t> </w:t>
      </w:r>
      <w:r>
        <w:rPr>
          <w:spacing w:val="-61"/>
        </w:rPr>
      </w:r>
      <w:r>
        <w:rPr>
          <w:spacing w:val="-2"/>
        </w:rPr>
        <w:t>过往表现及其对市场发展的预期编制上述财务预算。计算厦门纵达、海南易联众未来现金流量现值所采用的税前折现率分别</w:t>
      </w:r>
      <w:r>
        <w:rPr>
          <w:spacing w:val="-65"/>
        </w:rPr>
        <w:t> </w:t>
      </w:r>
      <w:r>
        <w:rPr>
          <w:spacing w:val="-65"/>
        </w:rPr>
      </w:r>
      <w:r>
        <w:rPr/>
        <w:t>为</w:t>
      </w:r>
      <w:r>
        <w:rPr>
          <w:rFonts w:ascii="Times New Roman" w:hAnsi="Times New Roman" w:cs="Times New Roman" w:eastAsia="Times New Roman" w:hint="default"/>
        </w:rPr>
        <w:t>14.25%</w:t>
      </w:r>
      <w:r>
        <w:rPr/>
        <w:t>、</w:t>
      </w:r>
      <w:r>
        <w:rPr>
          <w:rFonts w:ascii="Times New Roman" w:hAnsi="Times New Roman" w:cs="Times New Roman" w:eastAsia="Times New Roman" w:hint="default"/>
        </w:rPr>
        <w:t>17.72%</w:t>
      </w:r>
      <w:r>
        <w:rPr/>
        <w:t>，差异系所得税率及公司特有风险收益率不同导致，已反映了相对有关的风险。上年分别为</w:t>
      </w:r>
      <w:r>
        <w:rPr>
          <w:rFonts w:ascii="Times New Roman" w:hAnsi="Times New Roman" w:cs="Times New Roman" w:eastAsia="Times New Roman" w:hint="default"/>
        </w:rPr>
        <w:t>15.15%</w:t>
      </w:r>
      <w:r>
        <w:rPr/>
        <w:t>（厦</w:t>
      </w:r>
      <w:r>
        <w:rPr>
          <w:spacing w:val="-47"/>
        </w:rPr>
        <w:t> </w:t>
      </w:r>
      <w:r>
        <w:rPr>
          <w:spacing w:val="-8"/>
        </w:rPr>
        <w:t>门纵达）、</w:t>
      </w:r>
      <w:r>
        <w:rPr>
          <w:rFonts w:ascii="Times New Roman" w:hAnsi="Times New Roman" w:cs="Times New Roman" w:eastAsia="Times New Roman" w:hint="default"/>
          <w:spacing w:val="-8"/>
        </w:rPr>
        <w:t>17.12%</w:t>
      </w:r>
      <w:r>
        <w:rPr>
          <w:spacing w:val="-8"/>
        </w:rPr>
        <w:t>（海南易联众）。根据减值测试的结果，厦门纵达期末商誉未发生减值，海南易联众期末商誉减值</w:t>
      </w:r>
      <w:r>
        <w:rPr>
          <w:rFonts w:ascii="Times New Roman" w:hAnsi="Times New Roman" w:cs="Times New Roman" w:eastAsia="Times New Roman" w:hint="default"/>
          <w:spacing w:val="-8"/>
        </w:rPr>
        <w:t>1,145,818.37</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元（上期期末：无）。</w:t>
      </w:r>
    </w:p>
    <w:p>
      <w:pPr>
        <w:spacing w:line="240" w:lineRule="auto" w:before="0"/>
        <w:rPr>
          <w:rFonts w:ascii="宋体" w:hAnsi="宋体" w:cs="宋体" w:eastAsia="宋体" w:hint="default"/>
          <w:sz w:val="18"/>
          <w:szCs w:val="18"/>
        </w:rPr>
      </w:pPr>
    </w:p>
    <w:p>
      <w:pPr>
        <w:pStyle w:val="BodyText"/>
        <w:spacing w:line="357" w:lineRule="auto" w:before="145"/>
        <w:ind w:right="9134"/>
        <w:jc w:val="left"/>
      </w:pPr>
      <w:r>
        <w:rPr/>
        <w:t>商誉减值测试的影响 无</w:t>
      </w:r>
    </w:p>
    <w:p>
      <w:pPr>
        <w:pStyle w:val="BodyText"/>
        <w:spacing w:line="360" w:lineRule="auto" w:before="29"/>
        <w:ind w:right="1003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29</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3,340,347.71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1,578,274.28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1,529,590.66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235,003.38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3,154,027.95</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展厅装修费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1,856,438.93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815,104.95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1,041,333.98</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制卡中心装修费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212,500.00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137,500.00</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144,263.49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69,805.82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48,542.78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165,526.53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5,553,550.13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1,648,080.10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2,468,238.39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235,003.38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4,498,388.46</w:t>
            </w:r>
          </w:p>
        </w:tc>
      </w:tr>
    </w:tbl>
    <w:p>
      <w:pPr>
        <w:pStyle w:val="BodyText"/>
        <w:spacing w:line="240" w:lineRule="auto" w:before="51"/>
        <w:ind w:right="1133"/>
        <w:jc w:val="left"/>
      </w:pPr>
      <w:r>
        <w:rPr/>
        <w:t>其他说明</w:t>
      </w:r>
    </w:p>
    <w:p>
      <w:pPr>
        <w:pStyle w:val="BodyText"/>
        <w:spacing w:line="240" w:lineRule="auto" w:before="117"/>
        <w:ind w:right="1133"/>
        <w:jc w:val="left"/>
      </w:pPr>
      <w:r>
        <w:rPr>
          <w:rFonts w:ascii="宋体" w:hAnsi="宋体" w:cs="宋体" w:eastAsia="宋体" w:hint="default"/>
          <w:spacing w:val="90"/>
        </w:rPr>
        <w:t> </w:t>
      </w:r>
      <w:r>
        <w:rPr>
          <w:rFonts w:ascii="宋体" w:hAnsi="宋体" w:cs="宋体" w:eastAsia="宋体" w:hint="default"/>
        </w:rPr>
        <w:t>  </w:t>
      </w:r>
      <w:r>
        <w:rPr/>
        <w:t>本期其他减少金额系处置子公司商业保理公司所致。</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14,995,917.66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2,249,387.66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13,917,776.99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3,479,444.25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116,464,532.38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20,338,526.99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92,357,869.14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16,866,726.92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信用减值准备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67,561,663.57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10,101,391.24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81,880,702.18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12,811,177.68</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无形资产摊销年限低于 税法规定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22,366,555.32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3,341,785.73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20,705,204.54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3,105,780.68</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预提项目实施费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58,012,378.08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8,810,800.67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50,686,512.78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7,770,811.39</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合并抵消的未实现内部 利润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7,097,829.36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1,064,674.40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1,007,752.81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151,162.92</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其他权益工具公允价值 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150,000.00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588,148.09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88,222.21</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287,498,876.37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46,056,566.69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261,143,966.53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44,273,326.05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4,614,546.80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1,153,636.70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4,614,546.80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1,153,636.70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2"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21" w:right="51"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412" w:right="48"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321" w:right="50" w:hanging="269"/>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7" w:right="0"/>
              <w:jc w:val="left"/>
              <w:rPr>
                <w:rFonts w:ascii="Times New Roman" w:hAnsi="Times New Roman" w:cs="Times New Roman" w:eastAsia="Times New Roman" w:hint="default"/>
                <w:sz w:val="18"/>
                <w:szCs w:val="18"/>
              </w:rPr>
            </w:pPr>
            <w:r>
              <w:rPr>
                <w:rFonts w:ascii="Times New Roman"/>
                <w:sz w:val="18"/>
              </w:rPr>
              <w:t>46,056,566.69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44,273,326.05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1,153,636.70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47,477,830.04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16,414,000.84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93,732,974.99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65,359,242.44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141,210,805.03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81,773,243.28</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2,700,823.92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1,883,558.24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21,677,979.49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22,620,401.00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32,786,481.20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30,698,769.15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18,718,485.14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10,156,514.05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17,849,205.24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93,732,974.99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65,359,242.44</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pStyle w:val="BodyText"/>
        <w:spacing w:line="300" w:lineRule="auto" w:before="115"/>
        <w:ind w:right="1133" w:firstLine="482"/>
        <w:jc w:val="left"/>
      </w:pPr>
      <w:r>
        <w:rPr/>
        <w:t>说明</w:t>
      </w:r>
      <w:r>
        <w:rPr>
          <w:rFonts w:ascii="Times New Roman" w:hAnsi="Times New Roman" w:cs="Times New Roman" w:eastAsia="Times New Roman" w:hint="default"/>
        </w:rPr>
        <w:t>1</w:t>
      </w:r>
      <w:r>
        <w:rPr/>
        <w:t>：子公司北京智康、福建开发、福州易联众、广西易联众、陕西易联众、医疗控股、民生通预计在未来五年无 法取得足够的应纳税所得额以利用可抵扣暂时性差异及可抵扣亏损，因此未确认递延所得税资产。</w:t>
      </w:r>
    </w:p>
    <w:p>
      <w:pPr>
        <w:pStyle w:val="BodyText"/>
        <w:spacing w:line="300" w:lineRule="auto" w:before="31"/>
        <w:ind w:right="1133" w:firstLine="482"/>
        <w:jc w:val="left"/>
      </w:pPr>
      <w:r>
        <w:rPr/>
        <w:t>说明</w:t>
      </w:r>
      <w:r>
        <w:rPr>
          <w:rFonts w:ascii="Times New Roman" w:hAnsi="Times New Roman" w:cs="Times New Roman" w:eastAsia="Times New Roman" w:hint="default"/>
        </w:rPr>
        <w:t>2</w:t>
      </w:r>
      <w:r>
        <w:rPr/>
        <w:t>：子公司电子科技、北京易联众预计未来五年无法取得足够的应纳税所得额以利用可抵扣暂时性差异，因此以 预计可取得的应纳税所得额为限确认递延所得税资产。</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31</w:t>
      </w:r>
      <w:r>
        <w:rPr/>
        <w:t>、其他非流动资产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348" w:lineRule="auto" w:before="117"/>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 无</w:t>
      </w: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32</w:t>
      </w:r>
      <w:r>
        <w:rPr/>
        <w:t>、短期借款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39,589,253.54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170,301,731.00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165,273,813.00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保证加抵押借款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80,127,600.00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80,159,500.00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250,429,331.00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285,022,566.54</w:t>
            </w:r>
          </w:p>
        </w:tc>
      </w:tr>
    </w:tbl>
    <w:p>
      <w:pPr>
        <w:pStyle w:val="BodyText"/>
        <w:spacing w:line="240" w:lineRule="auto" w:before="51"/>
        <w:ind w:right="1133"/>
        <w:jc w:val="left"/>
      </w:pPr>
      <w:r>
        <w:rPr/>
        <w:t>短期借款分类的说明：</w:t>
      </w:r>
    </w:p>
    <w:p>
      <w:pPr>
        <w:spacing w:after="0" w:line="240" w:lineRule="auto"/>
        <w:jc w:val="lef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30"/>
        <w:gridCol w:w="1985"/>
        <w:gridCol w:w="2696"/>
        <w:gridCol w:w="3171"/>
      </w:tblGrid>
      <w:tr>
        <w:trPr>
          <w:trHeight w:val="34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91" w:right="0"/>
              <w:jc w:val="left"/>
              <w:rPr>
                <w:rFonts w:ascii="宋体" w:hAnsi="宋体" w:cs="宋体" w:eastAsia="宋体" w:hint="default"/>
                <w:sz w:val="18"/>
                <w:szCs w:val="18"/>
              </w:rPr>
            </w:pPr>
            <w:r>
              <w:rPr>
                <w:rFonts w:ascii="宋体" w:hAnsi="宋体" w:cs="宋体" w:eastAsia="宋体" w:hint="default"/>
                <w:sz w:val="18"/>
                <w:szCs w:val="18"/>
              </w:rPr>
              <w:t>借款人</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48" w:right="0"/>
              <w:jc w:val="left"/>
              <w:rPr>
                <w:rFonts w:ascii="宋体" w:hAnsi="宋体" w:cs="宋体" w:eastAsia="宋体" w:hint="default"/>
                <w:sz w:val="18"/>
                <w:szCs w:val="18"/>
              </w:rPr>
            </w:pPr>
            <w:r>
              <w:rPr>
                <w:rFonts w:ascii="宋体" w:hAnsi="宋体" w:cs="宋体" w:eastAsia="宋体" w:hint="default"/>
                <w:sz w:val="18"/>
                <w:szCs w:val="18"/>
              </w:rPr>
              <w:t>年末账面余额</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抵押物</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担保人</w:t>
            </w:r>
          </w:p>
        </w:tc>
      </w:tr>
      <w:tr>
        <w:trPr>
          <w:trHeight w:val="34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20,000,000.00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张曦</w:t>
            </w:r>
          </w:p>
        </w:tc>
      </w:tr>
      <w:tr>
        <w:trPr>
          <w:trHeight w:val="34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34,000,000.00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张曦、池梅、北京京发置业有限公司</w:t>
            </w:r>
          </w:p>
        </w:tc>
      </w:tr>
      <w:tr>
        <w:trPr>
          <w:trHeight w:val="34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26,000,000.00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张曦、池梅、北京京发置业有限公司</w:t>
            </w:r>
          </w:p>
        </w:tc>
      </w:tr>
      <w:tr>
        <w:trPr>
          <w:trHeight w:val="341"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张曦、厦门建德开发有限公司</w:t>
            </w:r>
          </w:p>
        </w:tc>
      </w:tr>
      <w:tr>
        <w:trPr>
          <w:trHeight w:val="65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位于思明区观日路</w:t>
            </w:r>
            <w:r>
              <w:rPr>
                <w:rFonts w:ascii="Times New Roman" w:hAnsi="Times New Roman" w:cs="Times New Roman" w:eastAsia="Times New Roman" w:hint="default"/>
                <w:sz w:val="18"/>
                <w:szCs w:val="18"/>
              </w:rPr>
              <w:t>18</w:t>
            </w:r>
            <w:r>
              <w:rPr>
                <w:rFonts w:ascii="宋体" w:hAnsi="宋体" w:cs="宋体" w:eastAsia="宋体" w:hint="default"/>
                <w:sz w:val="18"/>
                <w:szCs w:val="18"/>
              </w:rPr>
              <w:t>号软件园</w:t>
            </w:r>
            <w:r>
              <w:rPr>
                <w:rFonts w:ascii="Times New Roman" w:hAnsi="Times New Roman" w:cs="Times New Roman" w:eastAsia="Times New Roman" w:hint="default"/>
                <w:sz w:val="18"/>
                <w:szCs w:val="18"/>
              </w:rPr>
              <w:t>2</w:t>
            </w:r>
            <w:r>
              <w:rPr>
                <w:rFonts w:ascii="宋体" w:hAnsi="宋体" w:cs="宋体" w:eastAsia="宋体" w:hint="default"/>
                <w:sz w:val="18"/>
                <w:szCs w:val="18"/>
              </w:rPr>
              <w:t>期</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个单元房产</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张曦、福州易联众信息技术有限公司</w:t>
            </w:r>
          </w:p>
        </w:tc>
      </w:tr>
      <w:tr>
        <w:trPr>
          <w:trHeight w:val="65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40,000,000.00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位于思明区观日路</w:t>
            </w:r>
            <w:r>
              <w:rPr>
                <w:rFonts w:ascii="Times New Roman" w:hAnsi="Times New Roman" w:cs="Times New Roman" w:eastAsia="Times New Roman" w:hint="default"/>
                <w:sz w:val="18"/>
                <w:szCs w:val="18"/>
              </w:rPr>
              <w:t>18</w:t>
            </w:r>
            <w:r>
              <w:rPr>
                <w:rFonts w:ascii="宋体" w:hAnsi="宋体" w:cs="宋体" w:eastAsia="宋体" w:hint="default"/>
                <w:sz w:val="18"/>
                <w:szCs w:val="18"/>
              </w:rPr>
              <w:t>号软件园</w:t>
            </w:r>
            <w:r>
              <w:rPr>
                <w:rFonts w:ascii="Times New Roman" w:hAnsi="Times New Roman" w:cs="Times New Roman" w:eastAsia="Times New Roman" w:hint="default"/>
                <w:sz w:val="18"/>
                <w:szCs w:val="18"/>
              </w:rPr>
              <w:t>2</w:t>
            </w:r>
            <w:r>
              <w:rPr>
                <w:rFonts w:ascii="宋体" w:hAnsi="宋体" w:cs="宋体" w:eastAsia="宋体" w:hint="default"/>
                <w:sz w:val="18"/>
                <w:szCs w:val="18"/>
              </w:rPr>
              <w:t>期</w:t>
            </w:r>
          </w:p>
          <w:p>
            <w:pPr>
              <w:pStyle w:val="TableParagraph"/>
              <w:spacing w:line="240" w:lineRule="auto" w:before="63"/>
              <w:ind w:left="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个单元房产</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张曦、福州易联众信息技术有限公司</w:t>
            </w:r>
          </w:p>
        </w:tc>
      </w:tr>
      <w:tr>
        <w:trPr>
          <w:trHeight w:val="34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50,000,000.00</w:t>
            </w:r>
          </w:p>
        </w:tc>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left"/>
              <w:rPr>
                <w:rFonts w:ascii="宋体" w:hAnsi="宋体" w:cs="宋体" w:eastAsia="宋体" w:hint="default"/>
                <w:sz w:val="18"/>
                <w:szCs w:val="18"/>
              </w:rPr>
            </w:pPr>
            <w:r>
              <w:rPr>
                <w:rFonts w:ascii="宋体" w:hAnsi="宋体" w:cs="宋体" w:eastAsia="宋体" w:hint="default"/>
                <w:sz w:val="18"/>
                <w:szCs w:val="18"/>
              </w:rPr>
              <w:t>张曦</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33</w:t>
      </w:r>
      <w:r>
        <w:rPr/>
        <w:t>、交易性金融负债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34</w:t>
      </w:r>
      <w:r>
        <w:rPr/>
        <w:t>、衍生金融负债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spacing w:line="544" w:lineRule="auto" w:before="118"/>
        <w:ind w:left="152" w:right="6928"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35</w:t>
      </w:r>
      <w:r>
        <w:rPr>
          <w:rFonts w:ascii="宋体" w:hAnsi="宋体" w:cs="宋体" w:eastAsia="宋体" w:hint="default"/>
          <w:b/>
          <w:bCs/>
          <w:sz w:val="21"/>
          <w:szCs w:val="21"/>
        </w:rPr>
        <w:t>、应付票据</w:t>
      </w:r>
      <w:r>
        <w:rPr>
          <w:rFonts w:ascii="宋体" w:hAnsi="宋体" w:cs="宋体" w:eastAsia="宋体" w:hint="default"/>
          <w:b/>
          <w:bCs/>
          <w:w w:val="100"/>
          <w:sz w:val="21"/>
          <w:szCs w:val="21"/>
        </w:rPr>
        <w:t> </w:t>
      </w:r>
      <w:r>
        <w:rPr>
          <w:rFonts w:ascii="宋体" w:hAnsi="宋体" w:cs="宋体" w:eastAsia="宋体" w:hint="default"/>
          <w:sz w:val="18"/>
          <w:szCs w:val="18"/>
        </w:rPr>
        <w:t>本期末已到期未支付的应付票据总额为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w:t>
      </w:r>
      <w:r>
        <w:rPr>
          <w:rFonts w:ascii="Times New Roman" w:hAnsi="Times New Roman" w:cs="Times New Roman" w:eastAsia="Times New Roman" w:hint="default"/>
          <w:b/>
          <w:bCs/>
          <w:sz w:val="21"/>
          <w:szCs w:val="21"/>
        </w:rPr>
        <w:t>36</w:t>
      </w:r>
      <w:r>
        <w:rPr>
          <w:rFonts w:ascii="宋体" w:hAnsi="宋体" w:cs="宋体" w:eastAsia="宋体" w:hint="default"/>
          <w:b/>
          <w:bCs/>
          <w:sz w:val="21"/>
          <w:szCs w:val="21"/>
        </w:rPr>
        <w:t>、应付账款</w:t>
      </w:r>
      <w:r>
        <w:rPr>
          <w:rFonts w:ascii="宋体" w:hAnsi="宋体" w:cs="宋体" w:eastAsia="宋体" w:hint="default"/>
          <w:sz w:val="21"/>
          <w:szCs w:val="21"/>
        </w:rPr>
      </w:r>
    </w:p>
    <w:p>
      <w:pPr>
        <w:pStyle w:val="Heading3"/>
        <w:spacing w:line="240" w:lineRule="auto" w:before="28"/>
        <w:ind w:right="1133"/>
        <w:jc w:val="left"/>
        <w:rPr>
          <w:b w:val="0"/>
          <w:bCs w:val="0"/>
        </w:rPr>
      </w:pPr>
      <w:r>
        <w:rPr/>
        <w:t>（</w:t>
      </w:r>
      <w:r>
        <w:rPr>
          <w:rFonts w:ascii="Times New Roman" w:hAnsi="Times New Roman" w:cs="Times New Roman" w:eastAsia="Times New Roman" w:hint="default"/>
        </w:rPr>
        <w:t>1</w:t>
      </w:r>
      <w:r>
        <w:rPr/>
        <w:t>）应付账款列示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应付货款及劳务款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287,285,055.75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225,958,797.61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应付工程款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658,208.08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167,490.00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287,943,263.83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226,126,287.61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6,780,629.19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福建医联康护信息技术有限公司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5,350,095.25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恺恩泰（北京）科技有限公司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14,830,724.44</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74"/>
        <w:gridCol w:w="1754"/>
        <w:gridCol w:w="2127"/>
        <w:gridCol w:w="2127"/>
      </w:tblGrid>
      <w:tr>
        <w:trPr>
          <w:trHeight w:val="34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19"/>
              <w:jc w:val="right"/>
              <w:rPr>
                <w:rFonts w:ascii="宋体" w:hAnsi="宋体" w:cs="宋体" w:eastAsia="宋体" w:hint="default"/>
                <w:sz w:val="18"/>
                <w:szCs w:val="18"/>
              </w:rPr>
            </w:pPr>
            <w:r>
              <w:rPr>
                <w:rFonts w:ascii="宋体" w:hAnsi="宋体" w:cs="宋体" w:eastAsia="宋体" w:hint="default"/>
                <w:sz w:val="18"/>
                <w:szCs w:val="18"/>
              </w:rPr>
              <w:t>其中：账龄超过</w:t>
            </w:r>
            <w:r>
              <w:rPr>
                <w:rFonts w:ascii="Times New Roman" w:hAnsi="Times New Roman" w:cs="Times New Roman" w:eastAsia="Times New Roman" w:hint="default"/>
                <w:sz w:val="18"/>
                <w:szCs w:val="18"/>
              </w:rPr>
              <w:t>1</w:t>
            </w:r>
            <w:r>
              <w:rPr>
                <w:rFonts w:ascii="宋体" w:hAnsi="宋体" w:cs="宋体" w:eastAsia="宋体" w:hint="default"/>
                <w:sz w:val="18"/>
                <w:szCs w:val="18"/>
              </w:rPr>
              <w:t>年的金额</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47"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341"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大唐微电子技术有限公司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6,780,629.19</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3,096,813.20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34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福建医联康护信息技术有限公司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5,350,095.25</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2,428,577.47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341"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恺恩泰（北京）科技有限公司</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2,700,000.00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2,700,000.00</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结算期未到</w:t>
            </w:r>
          </w:p>
        </w:tc>
      </w:tr>
      <w:tr>
        <w:trPr>
          <w:trHeight w:val="343" w:hRule="exact"/>
        </w:trPr>
        <w:tc>
          <w:tcPr>
            <w:tcW w:w="3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14,830,724.44</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8,225,390.67</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2"/>
              <w:jc w:val="right"/>
              <w:rPr>
                <w:rFonts w:ascii="宋体" w:hAnsi="宋体" w:cs="宋体" w:eastAsia="宋体" w:hint="default"/>
                <w:sz w:val="18"/>
                <w:szCs w:val="18"/>
              </w:rPr>
            </w:pPr>
            <w:r>
              <w:rPr>
                <w:rFonts w:ascii="宋体" w:hAnsi="宋体" w:cs="宋体" w:eastAsia="宋体" w:hint="default"/>
                <w:sz w:val="18"/>
                <w:szCs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37</w:t>
      </w:r>
      <w:r>
        <w:rPr/>
        <w:t>、预收款项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240" w:lineRule="auto" w:before="11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）预收款项列示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预收货款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114,058,968.56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98,462,072.77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114,058,968.56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98,462,072.77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中国工商银行股份有限公司漳州分行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2,569,000.00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项目未执行完毕</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2,569,000.00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38</w:t>
      </w:r>
      <w:r>
        <w:rPr/>
        <w:t>、合同负债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39</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68,763,021.78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367,110,948.20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342,557,887.07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93,316,082.91</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3"/>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88,257.03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14,643,958.71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14,697,035.60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35,180.14</w:t>
            </w:r>
          </w:p>
        </w:tc>
      </w:tr>
      <w:tr>
        <w:trPr>
          <w:trHeight w:val="404"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211,210.95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129,210.95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82,000.00</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68,851,278.81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381,966,117.86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357,384,133.62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93,433,263.05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）短期薪酬列示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22"/>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补贴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63,918,443.38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327,659,843.19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302,666,808.74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88,911,477.83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13,589,839.04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13,589,839.04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69,259.73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8,728,295.76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8,768,691.78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28,863.71</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其中：医疗保险费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63,516.57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7,700,571.33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7,738,374.45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25,713.45</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工伤保险费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1,799.80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210,332.41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211,207.69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924.52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生育保险费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3,943.36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817,392.02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819,109.64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2,225.74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33,056.60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11,886,659.02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11,919,068.52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647.10</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19"/>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、工会经费和职工教育</w:t>
            </w:r>
            <w:r>
              <w:rPr>
                <w:rFonts w:ascii="宋体" w:hAnsi="宋体" w:cs="宋体" w:eastAsia="宋体" w:hint="default"/>
                <w:sz w:val="18"/>
                <w:szCs w:val="18"/>
              </w:rPr>
              <w:t> 经费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4,742,262.07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5,246,311.19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5,613,478.99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4,375,094.27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68,763,021.78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367,110,948.20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342,557,887.07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93,316,082.91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84,982.04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14,129,468.12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14,180,890.69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33,559.47</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3,274.99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514,490.59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516,144.91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1,620.67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88,257.03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14,643,958.71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14,697,035.60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35,180.14</w:t>
            </w:r>
          </w:p>
        </w:tc>
      </w:tr>
    </w:tbl>
    <w:p>
      <w:pPr>
        <w:pStyle w:val="BodyText"/>
        <w:spacing w:line="240" w:lineRule="auto" w:before="51"/>
        <w:ind w:right="1133"/>
        <w:jc w:val="left"/>
      </w:pPr>
      <w:r>
        <w:rPr/>
        <w:t>其他说明：</w:t>
      </w:r>
    </w:p>
    <w:p>
      <w:pPr>
        <w:pStyle w:val="BodyText"/>
        <w:spacing w:line="240" w:lineRule="auto" w:before="115"/>
        <w:ind w:right="1133"/>
        <w:jc w:val="left"/>
      </w:pPr>
      <w:r>
        <w:rPr>
          <w:rFonts w:ascii="宋体" w:hAnsi="宋体" w:cs="宋体" w:eastAsia="宋体" w:hint="default"/>
          <w:sz w:val="24"/>
          <w:szCs w:val="24"/>
        </w:rPr>
        <w:t>  </w:t>
      </w:r>
      <w:r>
        <w:rPr>
          <w:rFonts w:ascii="宋体" w:hAnsi="宋体" w:cs="宋体" w:eastAsia="宋体" w:hint="default"/>
        </w:rPr>
        <w:t>  </w:t>
      </w:r>
      <w:r>
        <w:rPr/>
        <w:t>期末应付职工薪酬较期初增长</w:t>
      </w:r>
      <w:r>
        <w:rPr>
          <w:rFonts w:ascii="Times New Roman" w:hAnsi="Times New Roman" w:cs="Times New Roman" w:eastAsia="Times New Roman" w:hint="default"/>
        </w:rPr>
        <w:t>35.70%</w:t>
      </w:r>
      <w:r>
        <w:rPr/>
        <w:t>，主要系随着业务规模扩大，本公司员工人数增长所致。</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40</w:t>
      </w:r>
      <w:r>
        <w:rPr/>
        <w:t>、应交税费</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21,017,512.29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20,439,053.59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8,267,092.51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13,118,122.76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1,047,593.57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690,236.55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1,565,833.10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1,311,456.59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1,102,548.74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915,346.18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170,815.07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168,643.22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91,809.78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68,749.79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315,506.41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279,805.30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33,578,711.47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36,991,413.98</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41</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46,976,398.80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43,759,874.65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46,976,398.80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43,759,874.65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）应付利息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）应付股利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）其他应付款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）按款项性质列示其他应付款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40,370,004.10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38,331,629.60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个人往来款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6,606,394.70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5,428,245.05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04"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46,976,398.80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43,759,874.65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百川通信息技术有限公司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36,100,000.00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关联资金拆借暂未偿还</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36,100,000.00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1"/>
        <w:ind w:left="513" w:right="10034" w:hanging="361"/>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42</w:t>
      </w:r>
      <w:r>
        <w:rPr/>
        <w:t>、持有待售负债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43</w:t>
      </w:r>
      <w:r>
        <w:rPr/>
        <w:t>、一年内到期的非流动负债</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2,450,167.00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一年内到期的应付债券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132,895.81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2,071,379.00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一年内到期的租赁负债</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2,583,062.81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2,071,379.00</w:t>
            </w:r>
          </w:p>
        </w:tc>
      </w:tr>
    </w:tbl>
    <w:p>
      <w:pPr>
        <w:pStyle w:val="BodyText"/>
        <w:spacing w:line="240" w:lineRule="auto" w:before="51"/>
        <w:ind w:right="1133"/>
        <w:jc w:val="left"/>
      </w:pPr>
      <w:r>
        <w:rPr/>
        <w:t>其他说明：无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44</w:t>
      </w:r>
      <w:r>
        <w:rPr/>
        <w:t>、其他流动负债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348" w:lineRule="auto" w:before="117"/>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 无</w:t>
      </w: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45</w:t>
      </w:r>
      <w:r>
        <w:rPr/>
        <w:t>、长期借款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90"/>
      </w:tblGrid>
      <w:tr>
        <w:trPr>
          <w:trHeight w:val="48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8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left="24"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22,850,167.00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8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2,450,167.00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8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20,400,000.00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48" w:lineRule="auto" w:before="51"/>
        <w:ind w:right="2339"/>
        <w:jc w:val="left"/>
      </w:pPr>
      <w:r>
        <w:rPr/>
        <w:t>长期借款分类的说明： 上述保证借款系本公司向厦门国际银行股份有限公司厦门直属支行借款</w:t>
      </w:r>
      <w:r>
        <w:rPr>
          <w:rFonts w:ascii="Times New Roman" w:hAnsi="Times New Roman" w:cs="Times New Roman" w:eastAsia="Times New Roman" w:hint="default"/>
        </w:rPr>
        <w:t>22,850,167.00</w:t>
      </w:r>
      <w:r>
        <w:rPr/>
        <w:t>元，由张曦提供担保。 其他说明，包括利率区间：</w:t>
      </w:r>
    </w:p>
    <w:p>
      <w:pPr>
        <w:pStyle w:val="BodyText"/>
        <w:spacing w:line="240" w:lineRule="auto" w:before="34"/>
        <w:ind w:right="1133"/>
        <w:jc w:val="left"/>
        <w:rPr>
          <w:rFonts w:ascii="Times New Roman" w:hAnsi="Times New Roman" w:cs="Times New Roman" w:eastAsia="Times New Roman" w:hint="default"/>
        </w:rPr>
      </w:pPr>
      <w:r>
        <w:rPr>
          <w:rFonts w:ascii="宋体" w:hAnsi="宋体" w:cs="宋体" w:eastAsia="宋体" w:hint="default"/>
          <w:spacing w:val="90"/>
        </w:rPr>
        <w:t> </w:t>
      </w:r>
      <w:r>
        <w:rPr>
          <w:rFonts w:ascii="宋体" w:hAnsi="宋体" w:cs="宋体" w:eastAsia="宋体" w:hint="default"/>
        </w:rPr>
        <w:t>  </w:t>
      </w:r>
      <w:r>
        <w:rPr>
          <w:rFonts w:ascii="Times New Roman" w:hAnsi="Times New Roman" w:cs="Times New Roman" w:eastAsia="Times New Roman" w:hint="default"/>
        </w:rPr>
        <w:t>2019</w:t>
      </w:r>
      <w:r>
        <w:rPr/>
        <w:t>年利率区间为</w:t>
      </w:r>
      <w:r>
        <w:rPr>
          <w:rFonts w:ascii="Times New Roman" w:hAnsi="Times New Roman" w:cs="Times New Roman" w:eastAsia="Times New Roman" w:hint="default"/>
        </w:rPr>
        <w:t>7.20%</w:t>
      </w:r>
    </w:p>
    <w:p>
      <w:pPr>
        <w:spacing w:line="240" w:lineRule="auto" w:before="0"/>
        <w:rPr>
          <w:rFonts w:ascii="Times New Roman" w:hAnsi="Times New Roman" w:cs="Times New Roman" w:eastAsia="Times New Roman" w:hint="default"/>
          <w:sz w:val="18"/>
          <w:szCs w:val="18"/>
        </w:rPr>
      </w:pPr>
    </w:p>
    <w:p>
      <w:pPr>
        <w:pStyle w:val="Heading3"/>
        <w:spacing w:line="240" w:lineRule="auto" w:before="133"/>
        <w:ind w:right="1133"/>
        <w:jc w:val="left"/>
        <w:rPr>
          <w:b w:val="0"/>
          <w:bCs w:val="0"/>
        </w:rPr>
      </w:pPr>
      <w:r>
        <w:rPr>
          <w:rFonts w:ascii="Times New Roman" w:hAnsi="Times New Roman" w:cs="Times New Roman" w:eastAsia="Times New Roman" w:hint="default"/>
        </w:rPr>
        <w:t>46</w:t>
      </w:r>
      <w:r>
        <w:rPr/>
        <w:t>、应付债券</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）应付债券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left="513" w:right="6254" w:hanging="361"/>
        <w:jc w:val="left"/>
      </w:pPr>
      <w:r>
        <w:rPr/>
        <w:t>期末发行在外的优先股、永续债等其他金融工具基本情况 无</w:t>
      </w:r>
    </w:p>
    <w:p>
      <w:pPr>
        <w:pStyle w:val="BodyText"/>
        <w:spacing w:line="357" w:lineRule="auto" w:before="27"/>
        <w:ind w:left="513" w:right="7514" w:hanging="361"/>
        <w:jc w:val="left"/>
      </w:pPr>
      <w:r>
        <w:rPr/>
        <w:t>其他金融工具划分为金融负债的依据说明 无</w:t>
      </w:r>
    </w:p>
    <w:p>
      <w:pPr>
        <w:pStyle w:val="BodyText"/>
        <w:spacing w:line="357" w:lineRule="auto" w:before="29"/>
        <w:ind w:left="513" w:right="10034" w:hanging="361"/>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47</w:t>
      </w:r>
      <w:r>
        <w:rPr/>
        <w:t>、租赁负债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48</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320,221,363.84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320,221,363.84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应付融资租赁款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132,895.81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2,292,742.84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非金融机构长期借款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132,895.81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322,292,742.84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减：一年内到期的长期应付款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132,895.81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2,071,379.00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320,221,363.84</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）专项应付款</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49</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50</w:t>
      </w:r>
      <w:r>
        <w:rPr/>
        <w:t>、预计负债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340" w:lineRule="auto" w:before="117"/>
        <w:ind w:right="60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其他说明，包括重要预计负债的相关重要假设、估计说明：</w:t>
      </w:r>
    </w:p>
    <w:p>
      <w:pPr>
        <w:pStyle w:val="BodyText"/>
        <w:spacing w:line="240" w:lineRule="auto" w:before="39"/>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51</w:t>
      </w:r>
      <w:r>
        <w:rPr/>
        <w:t>、递延收益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52</w:t>
      </w:r>
      <w:r>
        <w:rPr/>
        <w:t>、其他非流动负债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是否已执行新收入准则</w:t>
      </w:r>
    </w:p>
    <w:p>
      <w:pPr>
        <w:pStyle w:val="BodyText"/>
        <w:spacing w:line="348" w:lineRule="auto" w:before="117"/>
        <w:ind w:right="9871" w:hanging="60"/>
        <w:jc w:val="center"/>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 无</w:t>
      </w:r>
    </w:p>
    <w:p>
      <w:pPr>
        <w:spacing w:line="240" w:lineRule="auto" w:before="11"/>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53</w:t>
      </w:r>
      <w:r>
        <w:rPr/>
        <w:t>、股本</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单位：元</w:t>
      </w:r>
    </w:p>
    <w:p>
      <w:pPr>
        <w:spacing w:after="0" w:line="240" w:lineRule="auto"/>
        <w:jc w:val="right"/>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4"/>
        <w:gridCol w:w="1198"/>
        <w:gridCol w:w="1196"/>
        <w:gridCol w:w="1195"/>
        <w:gridCol w:w="1198"/>
        <w:gridCol w:w="1195"/>
        <w:gridCol w:w="1197"/>
        <w:gridCol w:w="1196"/>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8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9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8" w:right="0"/>
              <w:jc w:val="left"/>
              <w:rPr>
                <w:rFonts w:ascii="Times New Roman" w:hAnsi="Times New Roman" w:cs="Times New Roman" w:eastAsia="Times New Roman" w:hint="default"/>
                <w:sz w:val="18"/>
                <w:szCs w:val="18"/>
              </w:rPr>
            </w:pPr>
            <w:r>
              <w:rPr>
                <w:rFonts w:ascii="Times New Roman"/>
                <w:sz w:val="18"/>
              </w:rPr>
              <w:t>430,000,000.00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7" w:right="0"/>
              <w:jc w:val="left"/>
              <w:rPr>
                <w:rFonts w:ascii="Times New Roman" w:hAnsi="Times New Roman" w:cs="Times New Roman" w:eastAsia="Times New Roman" w:hint="default"/>
                <w:sz w:val="18"/>
                <w:szCs w:val="18"/>
              </w:rPr>
            </w:pPr>
            <w:r>
              <w:rPr>
                <w:rFonts w:ascii="Times New Roman"/>
                <w:sz w:val="18"/>
              </w:rPr>
              <w:t>430,000,000.00</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54</w:t>
      </w:r>
      <w:r>
        <w:rPr/>
        <w:t>、其他权益工具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55</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32,043,848.81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885,338.14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128,387.76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32,800,799.19</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358,064.97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1,633,940.87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1,992,005.84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32,401,913.78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2,519,279.01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128,387.76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34,792,805.03</w:t>
            </w:r>
          </w:p>
        </w:tc>
      </w:tr>
    </w:tbl>
    <w:p>
      <w:pPr>
        <w:pStyle w:val="BodyText"/>
        <w:spacing w:line="357" w:lineRule="auto" w:before="51"/>
        <w:ind w:left="635" w:right="6614" w:hanging="483"/>
        <w:jc w:val="left"/>
      </w:pPr>
      <w:r>
        <w:rPr/>
        <w:t>其他说明，包括本期增减变动情况、变动原因说明： 说明</w:t>
      </w:r>
      <w:r>
        <w:rPr>
          <w:rFonts w:ascii="Times New Roman" w:hAnsi="Times New Roman" w:cs="Times New Roman" w:eastAsia="Times New Roman" w:hint="default"/>
        </w:rPr>
        <w:t>1</w:t>
      </w:r>
      <w:r>
        <w:rPr/>
        <w:t>：股本溢价本期变动包括：</w:t>
      </w:r>
    </w:p>
    <w:p>
      <w:pPr>
        <w:pStyle w:val="BodyText"/>
        <w:spacing w:line="214" w:lineRule="exact"/>
        <w:ind w:left="635" w:right="0"/>
        <w:jc w:val="left"/>
      </w:pPr>
      <w:r>
        <w:rPr/>
        <w:t>（</w:t>
      </w:r>
      <w:r>
        <w:rPr>
          <w:rFonts w:ascii="Times New Roman" w:hAnsi="Times New Roman" w:cs="Times New Roman" w:eastAsia="Times New Roman" w:hint="default"/>
        </w:rPr>
        <w:t>1</w:t>
      </w:r>
      <w:r>
        <w:rPr/>
        <w:t>）本期购买子公司广东易联众少数股权，持股比例由</w:t>
      </w:r>
      <w:r>
        <w:rPr>
          <w:rFonts w:ascii="Times New Roman" w:hAnsi="Times New Roman" w:cs="Times New Roman" w:eastAsia="Times New Roman" w:hint="default"/>
        </w:rPr>
        <w:t>60%</w:t>
      </w:r>
      <w:r>
        <w:rPr/>
        <w:t>增至</w:t>
      </w:r>
      <w:r>
        <w:rPr>
          <w:rFonts w:ascii="Times New Roman" w:hAnsi="Times New Roman" w:cs="Times New Roman" w:eastAsia="Times New Roman" w:hint="default"/>
        </w:rPr>
        <w:t>100%</w:t>
      </w:r>
      <w:r>
        <w:rPr/>
        <w:t>，新取得的长期股权投资成本与按照新增持股</w:t>
      </w:r>
    </w:p>
    <w:p>
      <w:pPr>
        <w:pStyle w:val="BodyText"/>
        <w:spacing w:line="240" w:lineRule="auto" w:before="63"/>
        <w:ind w:right="1133"/>
        <w:jc w:val="left"/>
      </w:pPr>
      <w:r>
        <w:rPr/>
        <w:t>比例计算应享有子公司自合并日开始持续计算的可辨认净资产份额之间的差额</w:t>
      </w:r>
      <w:r>
        <w:rPr>
          <w:rFonts w:ascii="Times New Roman" w:hAnsi="Times New Roman" w:cs="Times New Roman" w:eastAsia="Times New Roman" w:hint="default"/>
        </w:rPr>
        <w:t>885,338.14</w:t>
      </w:r>
      <w:r>
        <w:rPr/>
        <w:t>元，调整增加资本公积；</w:t>
      </w:r>
    </w:p>
    <w:p>
      <w:pPr>
        <w:pStyle w:val="BodyText"/>
        <w:spacing w:line="300" w:lineRule="auto" w:before="63"/>
        <w:ind w:right="1131" w:firstLine="482"/>
        <w:jc w:val="both"/>
      </w:pPr>
      <w:r>
        <w:rPr>
          <w:spacing w:val="-2"/>
        </w:rPr>
        <w:t>（</w:t>
      </w:r>
      <w:r>
        <w:rPr>
          <w:rFonts w:ascii="Times New Roman" w:hAnsi="Times New Roman" w:cs="Times New Roman" w:eastAsia="Times New Roman" w:hint="default"/>
          <w:spacing w:val="-2"/>
        </w:rPr>
        <w:t>2</w:t>
      </w:r>
      <w:r>
        <w:rPr>
          <w:spacing w:val="-2"/>
        </w:rPr>
        <w:t>）本期购买子公司海南易联众少数股权，持股比例由</w:t>
      </w:r>
      <w:r>
        <w:rPr>
          <w:rFonts w:ascii="Times New Roman" w:hAnsi="Times New Roman" w:cs="Times New Roman" w:eastAsia="Times New Roman" w:hint="default"/>
          <w:spacing w:val="-2"/>
        </w:rPr>
        <w:t>60%</w:t>
      </w:r>
      <w:r>
        <w:rPr>
          <w:spacing w:val="-2"/>
        </w:rPr>
        <w:t>增至</w:t>
      </w:r>
      <w:r>
        <w:rPr>
          <w:rFonts w:ascii="Times New Roman" w:hAnsi="Times New Roman" w:cs="Times New Roman" w:eastAsia="Times New Roman" w:hint="default"/>
          <w:spacing w:val="-2"/>
        </w:rPr>
        <w:t>80%</w:t>
      </w:r>
      <w:r>
        <w:rPr>
          <w:spacing w:val="-2"/>
        </w:rPr>
        <w:t>，新取得的长期股权投资成本与按照新增持股比</w:t>
      </w:r>
      <w:r>
        <w:rPr/>
        <w:t> 例计算应享有子公司自合并日开始持续计算的可辨认净资产份额之间的差额</w:t>
      </w:r>
      <w:r>
        <w:rPr>
          <w:rFonts w:ascii="Times New Roman" w:hAnsi="Times New Roman" w:cs="Times New Roman" w:eastAsia="Times New Roman" w:hint="default"/>
        </w:rPr>
        <w:t>-128,387.76</w:t>
      </w:r>
      <w:r>
        <w:rPr/>
        <w:t>元，调整减少资本公积。</w:t>
      </w:r>
    </w:p>
    <w:p>
      <w:pPr>
        <w:pStyle w:val="BodyText"/>
        <w:spacing w:line="300" w:lineRule="auto" w:before="13"/>
        <w:ind w:right="1127" w:firstLine="482"/>
        <w:jc w:val="both"/>
      </w:pPr>
      <w:r>
        <w:rPr/>
        <w:t>说明</w:t>
      </w:r>
      <w:r>
        <w:rPr>
          <w:rFonts w:ascii="Times New Roman" w:hAnsi="Times New Roman" w:cs="Times New Roman" w:eastAsia="Times New Roman" w:hint="default"/>
        </w:rPr>
        <w:t>2</w:t>
      </w:r>
      <w:r>
        <w:rPr/>
        <w:t>：其他资本公积本期增加系由于联营企业医联康护其他股东溢价增资，导致本公司持有医联康护的股权由</w:t>
      </w:r>
      <w:r>
        <w:rPr>
          <w:rFonts w:ascii="Times New Roman" w:hAnsi="Times New Roman" w:cs="Times New Roman" w:eastAsia="Times New Roman" w:hint="default"/>
        </w:rPr>
        <w:t>20% </w:t>
      </w:r>
      <w:r>
        <w:rPr/>
        <w:t>被动稀释至</w:t>
      </w:r>
      <w:r>
        <w:rPr>
          <w:rFonts w:ascii="Times New Roman" w:hAnsi="Times New Roman" w:cs="Times New Roman" w:eastAsia="Times New Roman" w:hint="default"/>
        </w:rPr>
        <w:t>19.23%</w:t>
      </w:r>
      <w:r>
        <w:rPr/>
        <w:t>，本公司按照新的持股比例享有对于被投资单位除净损益、其他综合收益和利润分配以外所有者权益的</w:t>
      </w:r>
      <w:r>
        <w:rPr>
          <w:spacing w:val="-23"/>
        </w:rPr>
        <w:t> </w:t>
      </w:r>
      <w:r>
        <w:rPr>
          <w:spacing w:val="-23"/>
        </w:rPr>
      </w:r>
      <w:r>
        <w:rPr/>
        <w:t>其他变动</w:t>
      </w:r>
      <w:r>
        <w:rPr>
          <w:rFonts w:ascii="Times New Roman" w:hAnsi="Times New Roman" w:cs="Times New Roman" w:eastAsia="Times New Roman" w:hint="default"/>
        </w:rPr>
        <w:t>1,633,940.87</w:t>
      </w:r>
      <w:r>
        <w:rPr/>
        <w:t>元计入其他资本公积。</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56</w:t>
      </w:r>
      <w:r>
        <w:rPr/>
        <w:t>、库存股</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57</w:t>
      </w:r>
      <w:r>
        <w:rPr/>
        <w:t>、其他综合收益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55"/>
        <w:gridCol w:w="975"/>
        <w:gridCol w:w="5312"/>
        <w:gridCol w:w="727"/>
      </w:tblGrid>
      <w:tr>
        <w:trPr>
          <w:trHeight w:val="403" w:hRule="exact"/>
        </w:trPr>
        <w:tc>
          <w:tcPr>
            <w:tcW w:w="25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3"/>
              <w:ind w:left="88" w:right="0"/>
              <w:jc w:val="left"/>
              <w:rPr>
                <w:rFonts w:ascii="宋体" w:hAnsi="宋体" w:cs="宋体" w:eastAsia="宋体" w:hint="default"/>
                <w:sz w:val="18"/>
                <w:szCs w:val="18"/>
              </w:rPr>
            </w:pPr>
            <w:r>
              <w:rPr>
                <w:rFonts w:ascii="宋体" w:hAnsi="宋体" w:cs="宋体" w:eastAsia="宋体" w:hint="default"/>
                <w:sz w:val="18"/>
                <w:szCs w:val="18"/>
              </w:rPr>
              <w:t>期末余</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56"/>
        <w:gridCol w:w="975"/>
        <w:gridCol w:w="852"/>
        <w:gridCol w:w="1052"/>
        <w:gridCol w:w="852"/>
        <w:gridCol w:w="852"/>
        <w:gridCol w:w="853"/>
        <w:gridCol w:w="852"/>
        <w:gridCol w:w="727"/>
      </w:tblGrid>
      <w:tr>
        <w:trPr>
          <w:trHeight w:val="1649"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22"/>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2" w:right="59"/>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51" w:right="59" w:hanging="89"/>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62" w:right="58"/>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62"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额</w:t>
            </w:r>
          </w:p>
        </w:tc>
      </w:tr>
      <w:tr>
        <w:trPr>
          <w:trHeight w:val="715"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2,960,984.2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-411,851.9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4,614,546.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-1,215,414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-3,810,984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48"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2"/>
              <w:ind w:left="468" w:right="0"/>
              <w:jc w:val="lef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18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其他权益工具投资公允 价值变动</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2,960,984.2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-411,851.9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4,614,546.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-1,215,414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.49</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-3,810,984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left"/>
              <w:rPr>
                <w:rFonts w:ascii="Times New Roman" w:hAnsi="Times New Roman" w:cs="Times New Roman" w:eastAsia="Times New Roman" w:hint="default"/>
                <w:sz w:val="18"/>
                <w:szCs w:val="18"/>
              </w:rPr>
            </w:pPr>
            <w:r>
              <w:rPr>
                <w:rFonts w:ascii="Times New Roman"/>
                <w:sz w:val="18"/>
              </w:rPr>
              <w:t>-850,000</w:t>
            </w:r>
          </w:p>
          <w:p>
            <w:pPr>
              <w:pStyle w:val="TableParagraph"/>
              <w:spacing w:line="240" w:lineRule="auto" w:before="105"/>
              <w:ind w:left="468" w:right="0"/>
              <w:jc w:val="left"/>
              <w:rPr>
                <w:rFonts w:ascii="Times New Roman" w:hAnsi="Times New Roman" w:cs="Times New Roman" w:eastAsia="Times New Roman" w:hint="default"/>
                <w:sz w:val="18"/>
                <w:szCs w:val="18"/>
              </w:rPr>
            </w:pPr>
            <w:r>
              <w:rPr>
                <w:rFonts w:ascii="Times New Roman"/>
                <w:sz w:val="18"/>
              </w:rPr>
              <w:t>.00</w:t>
            </w:r>
          </w:p>
        </w:tc>
      </w:tr>
      <w:tr>
        <w:trPr>
          <w:trHeight w:val="716"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4" w:right="20"/>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1,159,187.0</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743,192.7</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743,192.7</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1,902,37</w:t>
            </w:r>
          </w:p>
          <w:p>
            <w:pPr>
              <w:pStyle w:val="TableParagraph"/>
              <w:spacing w:line="240" w:lineRule="auto" w:before="103"/>
              <w:ind w:left="379" w:right="0"/>
              <w:jc w:val="left"/>
              <w:rPr>
                <w:rFonts w:ascii="Times New Roman" w:hAnsi="Times New Roman" w:cs="Times New Roman" w:eastAsia="Times New Roman" w:hint="default"/>
                <w:sz w:val="18"/>
                <w:szCs w:val="18"/>
              </w:rPr>
            </w:pPr>
            <w:r>
              <w:rPr>
                <w:rFonts w:ascii="Times New Roman"/>
                <w:sz w:val="18"/>
              </w:rPr>
              <w:t>9.78</w:t>
            </w:r>
          </w:p>
        </w:tc>
      </w:tr>
      <w:tr>
        <w:trPr>
          <w:trHeight w:val="713" w:hRule="exact"/>
        </w:trPr>
        <w:tc>
          <w:tcPr>
            <w:tcW w:w="2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2"/>
                <w:sz w:val="18"/>
                <w:szCs w:val="18"/>
              </w:rPr>
              <w:t>其中：权益法下可转损益的其他</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综合收益</w:t>
            </w:r>
          </w:p>
        </w:tc>
        <w:tc>
          <w:tcPr>
            <w:tcW w:w="9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1,159,187.0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743,192.7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743,192.7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2" w:right="0"/>
              <w:jc w:val="left"/>
              <w:rPr>
                <w:rFonts w:ascii="Times New Roman" w:hAnsi="Times New Roman" w:cs="Times New Roman" w:eastAsia="Times New Roman" w:hint="default"/>
                <w:sz w:val="18"/>
                <w:szCs w:val="18"/>
              </w:rPr>
            </w:pPr>
            <w:r>
              <w:rPr>
                <w:rFonts w:ascii="Times New Roman"/>
                <w:sz w:val="18"/>
              </w:rPr>
              <w:t>1,902,37</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9.78</w:t>
            </w:r>
          </w:p>
        </w:tc>
      </w:tr>
      <w:tr>
        <w:trPr>
          <w:trHeight w:val="163" w:hRule="exact"/>
        </w:trPr>
        <w:tc>
          <w:tcPr>
            <w:tcW w:w="2556" w:type="dxa"/>
            <w:tcBorders>
              <w:top w:val="single" w:sz="4" w:space="0" w:color="000000"/>
              <w:left w:val="single" w:sz="4" w:space="0" w:color="000000"/>
              <w:bottom w:val="nil" w:sz="6" w:space="0" w:color="auto"/>
              <w:right w:val="single" w:sz="4" w:space="0" w:color="000000"/>
            </w:tcBorders>
            <w:shd w:val="clear" w:color="auto" w:fill="D2D2D2"/>
          </w:tcPr>
          <w:p>
            <w:pPr/>
          </w:p>
        </w:tc>
        <w:tc>
          <w:tcPr>
            <w:tcW w:w="975"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4,120,171.2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331,340.8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10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4,614,546.</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-1,215,414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.49</w:t>
            </w:r>
          </w:p>
        </w:tc>
        <w:tc>
          <w:tcPr>
            <w:tcW w:w="853" w:type="dxa"/>
            <w:vMerge w:val="restart"/>
            <w:tcBorders>
              <w:top w:val="single" w:sz="4" w:space="0" w:color="000000"/>
              <w:left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-3,067,791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.50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06" w:right="0"/>
              <w:jc w:val="left"/>
              <w:rPr>
                <w:rFonts w:ascii="Times New Roman" w:hAnsi="Times New Roman" w:cs="Times New Roman" w:eastAsia="Times New Roman" w:hint="default"/>
                <w:sz w:val="18"/>
                <w:szCs w:val="18"/>
              </w:rPr>
            </w:pPr>
            <w:r>
              <w:rPr>
                <w:rFonts w:ascii="Times New Roman"/>
                <w:sz w:val="18"/>
              </w:rPr>
              <w:t>0.00</w:t>
            </w:r>
          </w:p>
        </w:tc>
        <w:tc>
          <w:tcPr>
            <w:tcW w:w="727" w:type="dxa"/>
            <w:vMerge w:val="restart"/>
            <w:tcBorders>
              <w:top w:val="single" w:sz="4" w:space="0" w:color="000000"/>
              <w:left w:val="single" w:sz="4" w:space="0" w:color="000000"/>
              <w:right w:val="single" w:sz="4" w:space="0" w:color="000000"/>
            </w:tcBorders>
          </w:tcPr>
          <w:p>
            <w:pPr>
              <w:pStyle w:val="TableParagraph"/>
              <w:spacing w:line="240" w:lineRule="auto" w:before="96"/>
              <w:ind w:left="62" w:right="0"/>
              <w:jc w:val="left"/>
              <w:rPr>
                <w:rFonts w:ascii="Times New Roman" w:hAnsi="Times New Roman" w:cs="Times New Roman" w:eastAsia="Times New Roman" w:hint="default"/>
                <w:sz w:val="18"/>
                <w:szCs w:val="18"/>
              </w:rPr>
            </w:pPr>
            <w:r>
              <w:rPr>
                <w:rFonts w:ascii="Times New Roman"/>
                <w:sz w:val="18"/>
              </w:rPr>
              <w:t>1,052,37</w:t>
            </w:r>
          </w:p>
          <w:p>
            <w:pPr>
              <w:pStyle w:val="TableParagraph"/>
              <w:spacing w:line="240" w:lineRule="auto" w:before="102"/>
              <w:ind w:left="379" w:right="0"/>
              <w:jc w:val="left"/>
              <w:rPr>
                <w:rFonts w:ascii="Times New Roman" w:hAnsi="Times New Roman" w:cs="Times New Roman" w:eastAsia="Times New Roman" w:hint="default"/>
                <w:sz w:val="18"/>
                <w:szCs w:val="18"/>
              </w:rPr>
            </w:pPr>
            <w:r>
              <w:rPr>
                <w:rFonts w:ascii="Times New Roman"/>
                <w:sz w:val="18"/>
              </w:rPr>
              <w:t>9.78</w:t>
            </w:r>
          </w:p>
        </w:tc>
      </w:tr>
      <w:tr>
        <w:trPr>
          <w:trHeight w:val="391" w:hRule="exact"/>
        </w:trPr>
        <w:tc>
          <w:tcPr>
            <w:tcW w:w="25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5"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10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53"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r>
      <w:tr>
        <w:trPr>
          <w:trHeight w:val="161" w:hRule="exact"/>
        </w:trPr>
        <w:tc>
          <w:tcPr>
            <w:tcW w:w="2556" w:type="dxa"/>
            <w:tcBorders>
              <w:top w:val="nil" w:sz="6" w:space="0" w:color="auto"/>
              <w:left w:val="single" w:sz="4" w:space="0" w:color="000000"/>
              <w:bottom w:val="single" w:sz="4" w:space="0" w:color="000000"/>
              <w:right w:val="single" w:sz="4" w:space="0" w:color="000000"/>
            </w:tcBorders>
            <w:shd w:val="clear" w:color="auto" w:fill="D2D2D2"/>
          </w:tcPr>
          <w:p>
            <w:pPr/>
          </w:p>
        </w:tc>
        <w:tc>
          <w:tcPr>
            <w:tcW w:w="975"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0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53"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其他说明，包括对现金流量套期损益的有效部分转为被套期项目初始确认金额调整：无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58</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59</w:t>
      </w:r>
      <w:r>
        <w:rPr/>
        <w:t>、盈余公积</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26,927,422.86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26,927,422.86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26,927,422.86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26,927,422.86</w:t>
            </w:r>
          </w:p>
        </w:tc>
      </w:tr>
    </w:tbl>
    <w:p>
      <w:pPr>
        <w:pStyle w:val="BodyText"/>
        <w:spacing w:line="360" w:lineRule="auto" w:before="51"/>
        <w:ind w:left="513" w:right="6254" w:hanging="361"/>
        <w:jc w:val="left"/>
      </w:pPr>
      <w:r>
        <w:rPr/>
        <w:t>盈余公积说明，包括本期增减变动情况、变动原因说明：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60</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250,158,960.13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237,913,379.76</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-21,389,020.47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228,769,939.66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237,913,376.76</w:t>
            </w:r>
          </w:p>
        </w:tc>
      </w:tr>
      <w:tr>
        <w:trPr>
          <w:trHeight w:val="401"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10,505,744.63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14,664,775.38</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2,150,000.00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726"/>
        <w:gridCol w:w="2924"/>
        <w:gridCol w:w="2919"/>
      </w:tblGrid>
      <w:tr>
        <w:trPr>
          <w:trHeight w:val="401"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加：其他综合收益结转留存收益</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4,614,546.80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减：其他</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269,192.01</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241,740,231.09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250,158,960.13</w:t>
            </w:r>
          </w:p>
        </w:tc>
      </w:tr>
    </w:tbl>
    <w:p>
      <w:pPr>
        <w:pStyle w:val="BodyText"/>
        <w:spacing w:line="240" w:lineRule="auto" w:before="51"/>
        <w:ind w:right="1133"/>
        <w:jc w:val="left"/>
      </w:pPr>
      <w:r>
        <w:rPr/>
        <w:t>调整期初未分配利润明细：</w:t>
      </w:r>
    </w:p>
    <w:p>
      <w:pPr>
        <w:pStyle w:val="BodyText"/>
        <w:spacing w:line="240" w:lineRule="auto" w:before="115"/>
        <w:ind w:right="1133"/>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2)</w:t>
      </w:r>
      <w:r>
        <w:rPr/>
        <w:t>、由于会计政策变更，影响期初未分配利润</w:t>
      </w:r>
      <w:r>
        <w:rPr>
          <w:rFonts w:ascii="Times New Roman" w:hAnsi="Times New Roman" w:cs="Times New Roman" w:eastAsia="Times New Roman" w:hint="default"/>
        </w:rPr>
        <w:t>-21,511,986.10</w:t>
      </w:r>
      <w:r>
        <w:rPr>
          <w:rFonts w:ascii="Times New Roman" w:hAnsi="Times New Roman" w:cs="Times New Roman" w:eastAsia="Times New Roman" w:hint="default"/>
          <w:spacing w:val="-11"/>
        </w:rPr>
        <w:t> </w:t>
      </w:r>
      <w:r>
        <w:rPr/>
        <w:t>元。</w:t>
      </w:r>
    </w:p>
    <w:p>
      <w:pPr>
        <w:pStyle w:val="BodyText"/>
        <w:spacing w:line="240" w:lineRule="auto" w:before="101"/>
        <w:ind w:right="1133"/>
        <w:jc w:val="left"/>
      </w:pPr>
      <w:r>
        <w:rPr>
          <w:rFonts w:ascii="Times New Roman" w:hAnsi="Times New Roman" w:cs="Times New Roman" w:eastAsia="Times New Roman" w:hint="default"/>
        </w:rPr>
        <w:t>3)</w:t>
      </w:r>
      <w:r>
        <w:rPr/>
        <w:t>、由于重大会计差错更正，影响期初未分配利润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1133"/>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1"/>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61</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948,111,284.79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459,570,757.34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728,710,794.42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343,826,724.42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607,152.08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2"/>
                <w:sz w:val="18"/>
              </w:rPr>
              <w:t>111,506.92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1,094,995.82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133,546.98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948,718,436.87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459,682,264.26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729,805,790.24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343,960,271.40</w:t>
            </w:r>
          </w:p>
        </w:tc>
      </w:tr>
    </w:tbl>
    <w:p>
      <w:pPr>
        <w:pStyle w:val="BodyText"/>
        <w:spacing w:line="240" w:lineRule="auto" w:before="51"/>
        <w:ind w:right="1133"/>
        <w:jc w:val="left"/>
      </w:pPr>
      <w:r>
        <w:rPr/>
        <w:t>是否已执行新收入准则</w:t>
      </w:r>
    </w:p>
    <w:p>
      <w:pPr>
        <w:pStyle w:val="BodyText"/>
        <w:spacing w:line="340" w:lineRule="auto" w:before="115"/>
        <w:ind w:right="985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pStyle w:val="BodyText"/>
        <w:spacing w:line="300" w:lineRule="auto" w:before="121"/>
        <w:ind w:right="0"/>
        <w:jc w:val="left"/>
      </w:pPr>
      <w:r>
        <w:rPr>
          <w:rFonts w:ascii="宋体" w:hAnsi="宋体" w:cs="宋体" w:eastAsia="宋体" w:hint="default"/>
          <w:sz w:val="24"/>
          <w:szCs w:val="24"/>
        </w:rPr>
        <w:t>    </w:t>
      </w:r>
      <w:r>
        <w:rPr>
          <w:spacing w:val="-3"/>
        </w:rPr>
        <w:t>本期营业收入较上期增长</w:t>
      </w:r>
      <w:r>
        <w:rPr>
          <w:rFonts w:ascii="Times New Roman" w:hAnsi="Times New Roman" w:cs="Times New Roman" w:eastAsia="Times New Roman" w:hint="default"/>
          <w:spacing w:val="-3"/>
        </w:rPr>
        <w:t>30.00%</w:t>
      </w:r>
      <w:r>
        <w:rPr>
          <w:spacing w:val="-3"/>
        </w:rPr>
        <w:t>，主要系定制软件及</w:t>
      </w:r>
      <w:r>
        <w:rPr>
          <w:rFonts w:ascii="Times New Roman" w:hAnsi="Times New Roman" w:cs="Times New Roman" w:eastAsia="Times New Roman" w:hint="default"/>
          <w:spacing w:val="-3"/>
        </w:rPr>
        <w:t>IC</w:t>
      </w:r>
      <w:r>
        <w:rPr>
          <w:spacing w:val="-3"/>
        </w:rPr>
        <w:t>卡收入增长，具体包括山西、福建发行并签收的</w:t>
      </w:r>
      <w:r>
        <w:rPr>
          <w:rFonts w:ascii="Times New Roman" w:hAnsi="Times New Roman" w:cs="Times New Roman" w:eastAsia="Times New Roman" w:hint="default"/>
          <w:spacing w:val="-3"/>
        </w:rPr>
        <w:t>IC</w:t>
      </w:r>
      <w:r>
        <w:rPr>
          <w:spacing w:val="-3"/>
        </w:rPr>
        <w:t>卡数量增加，</w:t>
      </w:r>
      <w:r>
        <w:rPr/>
        <w:t> 电子健康卡业务以及医疗软件业务增长所致。</w:t>
      </w:r>
    </w:p>
    <w:p>
      <w:pPr>
        <w:spacing w:line="240" w:lineRule="auto" w:before="7"/>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62</w:t>
      </w:r>
      <w:r>
        <w:rPr/>
        <w:t>、税金及附加</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4,368,375.40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3,532,309.93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3,119,953.77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2,520,312.92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34,218.40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41,937.27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23,040.00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28,920.00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590,601.21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384,140.94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2,297,831.70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1,628,197.31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10,434,020.48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8,135,818.37</w:t>
            </w:r>
          </w:p>
        </w:tc>
      </w:tr>
    </w:tbl>
    <w:p>
      <w:pPr>
        <w:pStyle w:val="BodyText"/>
        <w:spacing w:line="240" w:lineRule="auto" w:before="51"/>
        <w:ind w:right="1133"/>
        <w:jc w:val="left"/>
      </w:pPr>
      <w:r>
        <w:rPr/>
        <w:t>其他说明：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各项税金及附加的计缴标准详见附注六、税项。</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63</w:t>
      </w:r>
      <w:r>
        <w:rPr/>
        <w:t>、销售费用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53,869,126.49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46,448,372.23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14,530,059.78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14,142,185.51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5,015,597.48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3,709,843.96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3,299,111.95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2,842,815.65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1,934,937.95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1,144,503.52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394,290.85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342,078.32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105,128.57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13,904.60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2,228,678.29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2,281,391.01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81,376,931.36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70,925,094.80</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64</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102,020,151.50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77,165,164.93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18,367,316.11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20,958,341.98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管理营运费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19,720,046.14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17,211,553.90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12,099,131.30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9,504,310.29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差旅费用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6,707,358.77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5,082,643.86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5,772,661.87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3,335,604.79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4,592,109.26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4,030,308.96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2,209,483.23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1,543,259.91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171,488,258.18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138,831,188.62</w:t>
            </w:r>
          </w:p>
        </w:tc>
      </w:tr>
    </w:tbl>
    <w:p>
      <w:pPr>
        <w:pStyle w:val="BodyText"/>
        <w:spacing w:line="357" w:lineRule="auto" w:before="51"/>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65</w:t>
      </w:r>
      <w:r>
        <w:rPr/>
        <w:t>、研发费用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人工费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040" w:right="0"/>
              <w:jc w:val="left"/>
              <w:rPr>
                <w:rFonts w:ascii="Times New Roman" w:hAnsi="Times New Roman" w:cs="Times New Roman" w:eastAsia="Times New Roman" w:hint="default"/>
                <w:sz w:val="18"/>
                <w:szCs w:val="18"/>
              </w:rPr>
            </w:pPr>
            <w:r>
              <w:rPr>
                <w:rFonts w:ascii="Times New Roman"/>
                <w:sz w:val="18"/>
              </w:rPr>
              <w:t>125,391,611.49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93,251,014.61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1,933,311.21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3,625,628.17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委托开发费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4,748,430.58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3,080,191.69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管理费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2,541,366.69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2,868,986.05</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办公费用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978,179.71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1,175,372.87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中介代理费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584,294.74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489,764.93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检测费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355,051.46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118,288.86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1,060,379.38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823,723.21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137,592,625.26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105,432,970.39</w:t>
            </w:r>
          </w:p>
        </w:tc>
      </w:tr>
    </w:tbl>
    <w:p>
      <w:pPr>
        <w:pStyle w:val="BodyText"/>
        <w:spacing w:line="240" w:lineRule="auto" w:before="52"/>
        <w:ind w:right="1133"/>
        <w:jc w:val="left"/>
      </w:pPr>
      <w:r>
        <w:rPr/>
        <w:t>其他说明：</w:t>
      </w:r>
    </w:p>
    <w:p>
      <w:pPr>
        <w:pStyle w:val="BodyText"/>
        <w:spacing w:line="240" w:lineRule="auto" w:before="115"/>
        <w:ind w:right="1133"/>
        <w:jc w:val="left"/>
      </w:pPr>
      <w:r>
        <w:rPr>
          <w:rFonts w:ascii="宋体" w:hAnsi="宋体" w:cs="宋体" w:eastAsia="宋体" w:hint="default"/>
          <w:sz w:val="24"/>
          <w:szCs w:val="24"/>
        </w:rPr>
        <w:t>    </w:t>
      </w:r>
      <w:r>
        <w:rPr/>
        <w:t>本期研发费用较上期增长</w:t>
      </w:r>
      <w:r>
        <w:rPr>
          <w:rFonts w:ascii="Times New Roman" w:hAnsi="Times New Roman" w:cs="Times New Roman" w:eastAsia="Times New Roman" w:hint="default"/>
        </w:rPr>
        <w:t>30.50%</w:t>
      </w:r>
      <w:r>
        <w:rPr/>
        <w:t>，系本公司增大研发投入所致。</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66</w:t>
      </w:r>
      <w:r>
        <w:rPr/>
        <w:t>、财务费用</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16,748,040.42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20,362,967.80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2,124,372.48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2,494,638.75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560,715.56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294,352.50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15,184,383.50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18,162,681.55</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67</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一、计入其他收益的政府补助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39,871,133.58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20,743,657.92</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6"/>
              <w:jc w:val="left"/>
              <w:rPr>
                <w:rFonts w:ascii="宋体" w:hAnsi="宋体" w:cs="宋体" w:eastAsia="宋体" w:hint="default"/>
                <w:sz w:val="18"/>
                <w:szCs w:val="18"/>
              </w:rPr>
            </w:pPr>
            <w:r>
              <w:rPr>
                <w:rFonts w:ascii="宋体" w:hAnsi="宋体" w:cs="宋体" w:eastAsia="宋体" w:hint="default"/>
                <w:sz w:val="18"/>
                <w:szCs w:val="18"/>
              </w:rPr>
              <w:t>直接计入当期损益的政府补助（与收益 相关）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39,871,133.58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20,743,657.92</w:t>
            </w:r>
          </w:p>
        </w:tc>
      </w:tr>
      <w:tr>
        <w:trPr>
          <w:trHeight w:val="715"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96"/>
              <w:jc w:val="left"/>
              <w:rPr>
                <w:rFonts w:ascii="宋体" w:hAnsi="宋体" w:cs="宋体" w:eastAsia="宋体" w:hint="default"/>
                <w:sz w:val="18"/>
                <w:szCs w:val="18"/>
              </w:rPr>
            </w:pPr>
            <w:r>
              <w:rPr>
                <w:rFonts w:ascii="宋体" w:hAnsi="宋体" w:cs="宋体" w:eastAsia="宋体" w:hint="default"/>
                <w:sz w:val="18"/>
                <w:szCs w:val="18"/>
              </w:rPr>
              <w:t>二、其他与日常活动相关且计入其他收 益的项目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990,051.55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136,112.83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其中：个税扣缴税款手续费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510,727.47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136,112.83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进项税加计扣除</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479,324.08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40,861,185.13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20,879,770.75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68</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footerReference w:type="default" r:id="rId25"/>
          <w:pgSz w:w="11910" w:h="16840"/>
          <w:pgMar w:footer="974" w:header="748"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-11,130,389.94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533,655.37</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3,730,765.47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86"/>
              <w:jc w:val="left"/>
              <w:rPr>
                <w:rFonts w:ascii="宋体" w:hAnsi="宋体" w:cs="宋体" w:eastAsia="宋体" w:hint="default"/>
                <w:sz w:val="18"/>
                <w:szCs w:val="18"/>
              </w:rPr>
            </w:pPr>
            <w:r>
              <w:rPr>
                <w:rFonts w:ascii="宋体" w:hAnsi="宋体" w:cs="宋体" w:eastAsia="宋体" w:hint="default"/>
                <w:sz w:val="18"/>
                <w:szCs w:val="18"/>
              </w:rPr>
              <w:t>其他权益工具投资在持有期间取得的股利 收入</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3,816,503.60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-3,583,120.87</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533,655.37</w:t>
            </w:r>
          </w:p>
        </w:tc>
      </w:tr>
    </w:tbl>
    <w:p>
      <w:pPr>
        <w:pStyle w:val="BodyText"/>
        <w:spacing w:line="357" w:lineRule="auto" w:before="51"/>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69</w:t>
      </w:r>
      <w:r>
        <w:rPr/>
        <w:t>、净敞口套期收益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70</w:t>
      </w:r>
      <w:r>
        <w:rPr/>
        <w:t>、公允价值变动收益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71</w:t>
      </w:r>
      <w:r>
        <w:rPr/>
        <w:t>、信用减值损失</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-1,143,385.54</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-40,229,448.45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应收利息坏账损失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-1,199,233.32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-42,572,067.31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3" w:right="9854" w:hanging="361"/>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72</w:t>
      </w:r>
      <w:r>
        <w:rPr/>
        <w:t>、资产减值损失</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6"/>
          <w:pgSz w:w="11910" w:h="16840"/>
          <w:pgMar w:footer="974" w:header="748" w:top="1060" w:bottom="1160" w:left="980" w:right="0"/>
          <w:pgNumType w:start="201"/>
        </w:sectPr>
      </w:pPr>
    </w:p>
    <w:p>
      <w:pPr>
        <w:pStyle w:val="BodyText"/>
        <w:spacing w:line="240" w:lineRule="auto" w:before="44"/>
        <w:ind w:right="-20"/>
        <w:jc w:val="left"/>
      </w:pPr>
      <w:r>
        <w:rPr/>
        <w:t>是否已执行新收入准则</w:t>
      </w:r>
    </w:p>
    <w:p>
      <w:pPr>
        <w:pStyle w:val="BodyText"/>
        <w:spacing w:line="240" w:lineRule="auto" w:before="115"/>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953" w:space="687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-17,561,297.74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-6,064,754.23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-4,863,826.75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-2,180,471.80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-1,145,818.37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-9,391,044.40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-22,425,124.49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宋体" w:hAnsi="宋体" w:cs="宋体" w:eastAsia="宋体" w:hint="default"/>
          <w:sz w:val="25"/>
          <w:szCs w:val="25"/>
        </w:rPr>
      </w:pPr>
    </w:p>
    <w:p>
      <w:pPr>
        <w:pStyle w:val="BodyText"/>
        <w:spacing w:line="360" w:lineRule="auto" w:before="44"/>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73</w:t>
      </w:r>
      <w:r>
        <w:rPr/>
        <w:t>、资产处置收益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96"/>
              <w:jc w:val="both"/>
              <w:rPr>
                <w:rFonts w:ascii="宋体" w:hAnsi="宋体" w:cs="宋体" w:eastAsia="宋体" w:hint="default"/>
                <w:sz w:val="18"/>
                <w:szCs w:val="18"/>
              </w:rPr>
            </w:pPr>
            <w:r>
              <w:rPr>
                <w:rFonts w:ascii="宋体" w:hAnsi="宋体" w:cs="宋体" w:eastAsia="宋体" w:hint="default"/>
                <w:sz w:val="18"/>
                <w:szCs w:val="18"/>
              </w:rPr>
              <w:t>处置未划分为持有待售的固定资产、在 建工程、生产性生物资产及无形资产的 处置利得或损失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56,116.88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-822,439.50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56,116.88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-822,439.50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w w:val="95"/>
                <w:sz w:val="18"/>
              </w:rPr>
              <w:t>56,116.88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-822,439.50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74</w:t>
      </w:r>
      <w:r>
        <w:rPr/>
        <w:t>、营业外收入</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715"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无需支付的应付款项</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263,169.13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505,839.50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263,169.13</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71,191.89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w w:val="95"/>
                <w:sz w:val="18"/>
              </w:rPr>
              <w:t>4,243.99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71,191.89</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334,361.02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510,083.49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334,361.02</w:t>
            </w:r>
          </w:p>
        </w:tc>
      </w:tr>
    </w:tbl>
    <w:p>
      <w:pPr>
        <w:pStyle w:val="BodyText"/>
        <w:spacing w:line="360" w:lineRule="auto" w:before="51"/>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75</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161" w:hRule="exact"/>
        </w:trPr>
        <w:tc>
          <w:tcPr>
            <w:tcW w:w="23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2" w:right="111" w:hanging="992"/>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1" w:hRule="exact"/>
        </w:trPr>
        <w:tc>
          <w:tcPr>
            <w:tcW w:w="2388" w:type="dxa"/>
            <w:vMerge/>
            <w:tcBorders>
              <w:left w:val="single" w:sz="4" w:space="0" w:color="000000"/>
              <w:right w:val="single" w:sz="4" w:space="0" w:color="000000"/>
            </w:tcBorders>
            <w:shd w:val="clear" w:color="auto" w:fill="D2D2D2"/>
          </w:tcPr>
          <w:p>
            <w:pPr/>
          </w:p>
        </w:tc>
        <w:tc>
          <w:tcPr>
            <w:tcW w:w="2396" w:type="dxa"/>
            <w:vMerge/>
            <w:tcBorders>
              <w:left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88" w:type="dxa"/>
            <w:vMerge/>
            <w:tcBorders>
              <w:left w:val="single" w:sz="4" w:space="0" w:color="000000"/>
              <w:bottom w:val="single" w:sz="4" w:space="0" w:color="000000"/>
              <w:right w:val="single" w:sz="4" w:space="0" w:color="000000"/>
            </w:tcBorders>
            <w:shd w:val="clear" w:color="auto" w:fill="D2D2D2"/>
          </w:tcPr>
          <w:p>
            <w:pPr/>
          </w:p>
        </w:tc>
        <w:tc>
          <w:tcPr>
            <w:tcW w:w="2396"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21,233.06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417,941.33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21,233.06</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罚款及滞纳金支出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w w:val="95"/>
                <w:sz w:val="18"/>
              </w:rPr>
              <w:t>8,160.82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15,597.83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w w:val="95"/>
                <w:sz w:val="18"/>
              </w:rPr>
              <w:t>8,160.82</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479.00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6"/>
              <w:jc w:val="right"/>
              <w:rPr>
                <w:rFonts w:ascii="Times New Roman" w:hAnsi="Times New Roman" w:cs="Times New Roman" w:eastAsia="Times New Roman" w:hint="default"/>
                <w:sz w:val="18"/>
                <w:szCs w:val="18"/>
              </w:rPr>
            </w:pPr>
            <w:r>
              <w:rPr>
                <w:rFonts w:ascii="Times New Roman"/>
                <w:spacing w:val="-1"/>
                <w:sz w:val="18"/>
              </w:rPr>
              <w:t>152,090.15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45,206.57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152,090.15</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381,963.03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560,245.73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381,963.03</w:t>
            </w:r>
          </w:p>
        </w:tc>
      </w:tr>
    </w:tbl>
    <w:p>
      <w:pPr>
        <w:pStyle w:val="BodyText"/>
        <w:spacing w:line="357" w:lineRule="auto" w:before="51"/>
        <w:ind w:right="9854"/>
        <w:jc w:val="left"/>
      </w:pPr>
      <w:r>
        <w:rPr/>
        <w:t>其他说明： 无</w:t>
      </w:r>
    </w:p>
    <w:p>
      <w:pPr>
        <w:spacing w:after="0" w:line="357"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76</w:t>
      </w:r>
      <w:r>
        <w:rPr/>
        <w:t>、所得税费用</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）所得税费用表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7,161,125.69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16,303,249.84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-5,441,895.29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-11,961,769.04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1,719,230.40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4,341,480.80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58,283,421.25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8,742,513.19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-13,122,585.49</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-6,919,460.70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-1,035,907.54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7,801,625.11</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-149,721.12</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63"/>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9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16,624,121.59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1,686,312.51</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税率变动导致递延所得税的变动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183,023.94</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其他权益工具转让纳税影响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1,153,636.70</w:t>
            </w:r>
          </w:p>
        </w:tc>
      </w:tr>
      <w:tr>
        <w:trPr>
          <w:trHeight w:val="404"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研发费用加计扣除</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-13,168,399.07</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-75,928.72</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1,719,230.40</w:t>
            </w:r>
          </w:p>
        </w:tc>
      </w:tr>
    </w:tbl>
    <w:p>
      <w:pPr>
        <w:pStyle w:val="BodyText"/>
        <w:spacing w:line="240" w:lineRule="auto" w:before="51"/>
        <w:ind w:right="0"/>
        <w:jc w:val="both"/>
      </w:pPr>
      <w:r>
        <w:rPr/>
        <w:t>其他说明</w:t>
      </w:r>
    </w:p>
    <w:p>
      <w:pPr>
        <w:pStyle w:val="BodyText"/>
        <w:spacing w:line="300" w:lineRule="auto" w:before="115"/>
        <w:ind w:right="1127"/>
        <w:jc w:val="both"/>
      </w:pPr>
      <w:r>
        <w:rPr>
          <w:rFonts w:ascii="宋体" w:hAnsi="宋体" w:cs="宋体" w:eastAsia="宋体" w:hint="default"/>
          <w:spacing w:val="90"/>
        </w:rPr>
        <w:t> </w:t>
      </w:r>
      <w:r>
        <w:rPr>
          <w:rFonts w:ascii="宋体" w:hAnsi="宋体" w:cs="宋体" w:eastAsia="宋体" w:hint="default"/>
        </w:rPr>
        <w:t>  </w:t>
      </w:r>
      <w:r>
        <w:rPr/>
        <w:t>说明</w:t>
      </w:r>
      <w:r>
        <w:rPr>
          <w:rFonts w:ascii="Times New Roman" w:hAnsi="Times New Roman" w:cs="Times New Roman" w:eastAsia="Times New Roman" w:hint="default"/>
        </w:rPr>
        <w:t>1</w:t>
      </w:r>
      <w:r>
        <w:rPr/>
        <w:t>：本期调整以前期间所得税的影响金额</w:t>
      </w:r>
      <w:r>
        <w:rPr>
          <w:rFonts w:ascii="Times New Roman" w:hAnsi="Times New Roman" w:cs="Times New Roman" w:eastAsia="Times New Roman" w:hint="default"/>
        </w:rPr>
        <w:t>-6,919,460.70</w:t>
      </w:r>
      <w:r>
        <w:rPr/>
        <w:t>元，主要系子公司广州睿图、保睿通分别于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2019 </w:t>
      </w:r>
      <w:r>
        <w:rPr/>
        <w:t>年</w:t>
      </w:r>
      <w:r>
        <w:rPr>
          <w:rFonts w:ascii="Times New Roman" w:hAnsi="Times New Roman" w:cs="Times New Roman" w:eastAsia="Times New Roman" w:hint="default"/>
        </w:rPr>
        <w:t>9</w:t>
      </w:r>
      <w:r>
        <w:rPr/>
        <w:t>月申请软件企业税收优惠备案，自获利年度起享受企业所得税</w:t>
      </w:r>
      <w:r>
        <w:rPr>
          <w:rFonts w:ascii="Times New Roman" w:hAnsi="Times New Roman" w:cs="Times New Roman" w:eastAsia="Times New Roman" w:hint="default"/>
        </w:rPr>
        <w:t>“</w:t>
      </w:r>
      <w:r>
        <w:rPr/>
        <w:t>两免三减半</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年度为第一个获利年度，因此于本期</w:t>
      </w:r>
      <w:r>
        <w:rPr>
          <w:spacing w:val="-64"/>
        </w:rPr>
        <w:t> </w:t>
      </w:r>
      <w:r>
        <w:rPr>
          <w:spacing w:val="-64"/>
        </w:rPr>
      </w:r>
      <w:r>
        <w:rPr/>
        <w:t>冲回</w:t>
      </w:r>
      <w:r>
        <w:rPr>
          <w:rFonts w:ascii="Times New Roman" w:hAnsi="Times New Roman" w:cs="Times New Roman" w:eastAsia="Times New Roman" w:hint="default"/>
        </w:rPr>
        <w:t>2018</w:t>
      </w:r>
      <w:r>
        <w:rPr/>
        <w:t>年度计提的当期所得税。</w:t>
      </w:r>
    </w:p>
    <w:p>
      <w:pPr>
        <w:pStyle w:val="BodyText"/>
        <w:spacing w:line="240" w:lineRule="auto" w:before="13"/>
        <w:ind w:right="0"/>
        <w:jc w:val="both"/>
      </w:pPr>
      <w:r>
        <w:rPr>
          <w:rFonts w:ascii="宋体" w:hAnsi="宋体" w:cs="宋体" w:eastAsia="宋体" w:hint="default"/>
          <w:spacing w:val="90"/>
        </w:rPr>
        <w:t> </w:t>
      </w:r>
      <w:r>
        <w:rPr>
          <w:rFonts w:ascii="宋体" w:hAnsi="宋体" w:cs="宋体" w:eastAsia="宋体" w:hint="default"/>
        </w:rPr>
        <w:t>  </w:t>
      </w:r>
      <w:r>
        <w:rPr/>
        <w:t>说明</w:t>
      </w:r>
      <w:r>
        <w:rPr>
          <w:rFonts w:ascii="Times New Roman" w:hAnsi="Times New Roman" w:cs="Times New Roman" w:eastAsia="Times New Roman" w:hint="default"/>
        </w:rPr>
        <w:t>2</w:t>
      </w:r>
      <w:r>
        <w:rPr/>
        <w:t>：其他事项系子公司因本年所得税税率与预计暂时性差异转回期间的适用税率不同导致的对所得税费用的影响。</w:t>
      </w:r>
    </w:p>
    <w:p>
      <w:pPr>
        <w:spacing w:line="240" w:lineRule="auto" w:before="13"/>
        <w:rPr>
          <w:rFonts w:ascii="宋体" w:hAnsi="宋体" w:cs="宋体" w:eastAsia="宋体" w:hint="default"/>
          <w:sz w:val="25"/>
          <w:szCs w:val="25"/>
        </w:rPr>
      </w:pPr>
    </w:p>
    <w:p>
      <w:pPr>
        <w:pStyle w:val="Heading3"/>
        <w:spacing w:line="240" w:lineRule="auto"/>
        <w:ind w:right="0"/>
        <w:jc w:val="both"/>
        <w:rPr>
          <w:b w:val="0"/>
          <w:bCs w:val="0"/>
        </w:rPr>
      </w:pPr>
      <w:r>
        <w:rPr>
          <w:rFonts w:ascii="Times New Roman" w:hAnsi="Times New Roman" w:cs="Times New Roman" w:eastAsia="Times New Roman" w:hint="default"/>
        </w:rPr>
        <w:t>77</w:t>
      </w:r>
      <w:r>
        <w:rPr/>
        <w:t>、其他综合收益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详见附注七、</w:t>
      </w:r>
      <w:r>
        <w:rPr>
          <w:rFonts w:ascii="Times New Roman" w:hAnsi="Times New Roman" w:cs="Times New Roman" w:eastAsia="Times New Roman" w:hint="default"/>
        </w:rPr>
        <w:t>57</w:t>
      </w:r>
      <w:r>
        <w:rPr/>
        <w:t>。</w:t>
      </w:r>
    </w:p>
    <w:p>
      <w:pPr>
        <w:spacing w:after="0" w:line="240" w:lineRule="auto"/>
        <w:jc w:val="both"/>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78</w:t>
      </w:r>
      <w:r>
        <w:rPr/>
        <w:t>、现金流量表项目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收到财政及产品补助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23,101,200.37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11,734,368.09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收到员工归还借款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6,413,449.10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3,394,241.21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收到退还的押金、保证金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36,246,820.93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23,847,604.79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1,922,384.22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2,494,680.20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收到的往来款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4,830,432.68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19,561,181.51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122,514,287.30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98,932,075.80</w:t>
            </w:r>
          </w:p>
        </w:tc>
      </w:tr>
    </w:tbl>
    <w:p>
      <w:pPr>
        <w:pStyle w:val="BodyText"/>
        <w:spacing w:line="357" w:lineRule="auto" w:before="51"/>
        <w:ind w:left="513" w:right="7514" w:hanging="361"/>
        <w:jc w:val="left"/>
      </w:pPr>
      <w:r>
        <w:rPr/>
        <w:t>收到的其他与经营活动有关的现金说明：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支付期间费用（不含薪酬税费等）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87,194,130.90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67,176,499.94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支付员工借款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8,197,727.12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4,328,966.00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38,270,643.26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31,036,502.73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65,000,000.00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50,000,000.00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支付融资租赁款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支付的往来款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53,722,115.65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9,217,556.74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存入定期存款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252,884,616.93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175,259,525.41</w:t>
            </w:r>
          </w:p>
        </w:tc>
      </w:tr>
    </w:tbl>
    <w:p>
      <w:pPr>
        <w:pStyle w:val="BodyText"/>
        <w:spacing w:line="240" w:lineRule="auto" w:before="51"/>
        <w:ind w:right="1133"/>
        <w:jc w:val="left"/>
      </w:pPr>
      <w:r>
        <w:rPr/>
        <w:t>支付的其他与经营活动有关的现金说明：</w:t>
      </w:r>
    </w:p>
    <w:p>
      <w:pPr>
        <w:pStyle w:val="BodyText"/>
        <w:spacing w:line="240" w:lineRule="auto" w:before="115"/>
        <w:ind w:right="1133"/>
        <w:jc w:val="left"/>
      </w:pPr>
      <w:r>
        <w:rPr>
          <w:rFonts w:ascii="宋体" w:hAnsi="宋体" w:cs="宋体" w:eastAsia="宋体" w:hint="default"/>
          <w:spacing w:val="90"/>
        </w:rPr>
        <w:t> </w:t>
      </w:r>
      <w:r>
        <w:rPr>
          <w:rFonts w:ascii="宋体" w:hAnsi="宋体" w:cs="宋体" w:eastAsia="宋体" w:hint="default"/>
        </w:rPr>
        <w:t>  </w:t>
      </w:r>
      <w:r>
        <w:rPr/>
        <w:t>本年支付的往来款主要系处置子公司商业保理后，本公司向其归还往来款</w:t>
      </w:r>
      <w:r>
        <w:rPr>
          <w:rFonts w:ascii="Times New Roman" w:hAnsi="Times New Roman" w:cs="Times New Roman" w:eastAsia="Times New Roman" w:hint="default"/>
        </w:rPr>
        <w:t>5,298.26</w:t>
      </w:r>
      <w:r>
        <w:rPr/>
        <w:t>万元。</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收回非关联方资金拆借款及利息</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510,000.00</w:t>
            </w:r>
          </w:p>
        </w:tc>
      </w:tr>
    </w:tbl>
    <w:p>
      <w:pPr>
        <w:pStyle w:val="BodyText"/>
        <w:spacing w:line="240" w:lineRule="auto" w:before="51"/>
        <w:ind w:right="1133"/>
        <w:jc w:val="left"/>
      </w:pPr>
      <w:r>
        <w:rPr/>
        <w:t>收到的其他与投资活动有关的现金说明：</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支付非关联方资金拆借款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存入一年以上定期存款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500,000.00</w:t>
            </w:r>
          </w:p>
        </w:tc>
      </w:tr>
    </w:tbl>
    <w:p>
      <w:pPr>
        <w:pStyle w:val="BodyText"/>
        <w:spacing w:line="360" w:lineRule="auto" w:before="52"/>
        <w:ind w:left="513" w:right="7514" w:hanging="361"/>
        <w:jc w:val="left"/>
      </w:pPr>
      <w:r>
        <w:rPr/>
        <w:t>支付的其他与投资活动有关的现金说明：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定期存单用于借款质押</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13,159,250.00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13,159,250.00</w:t>
            </w:r>
          </w:p>
        </w:tc>
      </w:tr>
    </w:tbl>
    <w:p>
      <w:pPr>
        <w:pStyle w:val="BodyText"/>
        <w:spacing w:line="357" w:lineRule="auto" w:before="51"/>
        <w:ind w:left="513" w:right="7514" w:hanging="361"/>
        <w:jc w:val="left"/>
      </w:pPr>
      <w:r>
        <w:rPr/>
        <w:t>收到的其他与筹资活动有关的现金说明：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56,564,190.85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38,131,984.20</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9,391,044.40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22,425,124.49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42,572,067.31</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固定资产折旧、油气资产折耗、 生产性生物资产折旧</w:t>
            </w:r>
          </w:p>
        </w:tc>
        <w:tc>
          <w:tcPr>
            <w:tcW w:w="305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10,880,376.24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13,181,950.85</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12,289,136.08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12,405,484.25</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2,468,238.39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2,640,723.63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r>
        <w:rPr/>
        <w:pict>
          <v:shape style="position:absolute;margin-left:190.130005pt;margin-top:219.859985pt;width:185.55pt;height:19.6pt;mso-position-horizontal-relative:page;mso-position-vertical-relative:page;z-index:-1326424" type="#_x0000_t202" filled="false" stroked="false">
            <v:textbox inset="0,0,0,0">
              <w:txbxContent>
                <w:p>
                  <w:pPr>
                    <w:pStyle w:val="BodyText"/>
                    <w:spacing w:line="240" w:lineRule="auto" w:before="51"/>
                    <w:ind w:left="0" w:right="0"/>
                    <w:jc w:val="left"/>
                  </w:pPr>
                  <w:r>
                    <w:rPr/>
                    <w:t>号填列）</w:t>
                  </w:r>
                </w:p>
              </w:txbxContent>
            </v:textbox>
            <w10:wrap type="none"/>
          </v:shape>
        </w:pict>
      </w:r>
    </w:p>
    <w:tbl>
      <w:tblPr>
        <w:tblW w:w="0" w:type="auto"/>
        <w:jc w:val="left"/>
        <w:tblInd w:w="148" w:type="dxa"/>
        <w:tblLayout w:type="fixed"/>
        <w:tblCellMar>
          <w:top w:w="0" w:type="dxa"/>
          <w:left w:w="0" w:type="dxa"/>
          <w:bottom w:w="0" w:type="dxa"/>
          <w:right w:w="0" w:type="dxa"/>
        </w:tblCellMar>
        <w:tblLook w:val="01E0"/>
      </w:tblPr>
      <w:tblGrid>
        <w:gridCol w:w="3327"/>
        <w:gridCol w:w="1043"/>
        <w:gridCol w:w="2015"/>
        <w:gridCol w:w="3185"/>
      </w:tblGrid>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51"/>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处置固定资产、无形资产和其他 长期资产的损失（收益以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-56,116.88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822,439.50</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21,233.06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417,941.33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30,954,784.35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38,569,447.70</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3,583,120.87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-533,655.37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递延所得税资产减少（增加以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011" w:right="0"/>
              <w:jc w:val="left"/>
              <w:rPr>
                <w:rFonts w:ascii="Times New Roman" w:hAnsi="Times New Roman" w:cs="Times New Roman" w:eastAsia="Times New Roman" w:hint="default"/>
                <w:sz w:val="18"/>
                <w:szCs w:val="18"/>
              </w:rPr>
            </w:pPr>
            <w:r>
              <w:rPr>
                <w:rFonts w:ascii="Times New Roman"/>
                <w:sz w:val="18"/>
              </w:rPr>
              <w:t>-5,591,895.29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-11,977,710.70</w:t>
            </w:r>
          </w:p>
        </w:tc>
      </w:tr>
      <w:tr>
        <w:trPr>
          <w:trHeight w:val="403" w:hRule="exact"/>
        </w:trPr>
        <w:tc>
          <w:tcPr>
            <w:tcW w:w="332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3"/>
              <w:ind w:left="24" w:right="0"/>
              <w:jc w:val="left"/>
              <w:rPr>
                <w:rFonts w:ascii="Times New Roman" w:hAnsi="Times New Roman" w:cs="Times New Roman" w:eastAsia="Times New Roman"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pacing w:val="-4"/>
                <w:sz w:val="18"/>
                <w:szCs w:val="18"/>
              </w:rPr>
              <w:t>存货的减少（增加以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p>
        </w:tc>
        <w:tc>
          <w:tcPr>
            <w:tcW w:w="1043" w:type="dxa"/>
            <w:tcBorders>
              <w:top w:val="single" w:sz="4" w:space="0" w:color="000000"/>
              <w:left w:val="single" w:sz="13" w:space="0" w:color="FFFFFF"/>
              <w:bottom w:val="single" w:sz="4" w:space="0" w:color="000000"/>
              <w:right w:val="nil" w:sz="6" w:space="0" w:color="auto"/>
            </w:tcBorders>
          </w:tcPr>
          <w:p>
            <w:pPr/>
          </w:p>
        </w:tc>
        <w:tc>
          <w:tcPr>
            <w:tcW w:w="2015" w:type="dxa"/>
            <w:tcBorders>
              <w:top w:val="single" w:sz="4" w:space="0" w:color="000000"/>
              <w:left w:val="nil" w:sz="6" w:space="0" w:color="auto"/>
              <w:bottom w:val="single" w:sz="4" w:space="0" w:color="000000"/>
              <w:right w:val="single" w:sz="12" w:space="0" w:color="FFFFFF"/>
            </w:tcBorders>
          </w:tcPr>
          <w:p>
            <w:pPr>
              <w:pStyle w:val="TableParagraph"/>
              <w:spacing w:line="240" w:lineRule="auto" w:before="96"/>
              <w:ind w:left="980" w:right="0"/>
              <w:jc w:val="left"/>
              <w:rPr>
                <w:rFonts w:ascii="Times New Roman" w:hAnsi="Times New Roman" w:cs="Times New Roman" w:eastAsia="Times New Roman" w:hint="default"/>
                <w:sz w:val="18"/>
                <w:szCs w:val="18"/>
              </w:rPr>
            </w:pPr>
            <w:r>
              <w:rPr>
                <w:rFonts w:ascii="Times New Roman"/>
                <w:sz w:val="18"/>
              </w:rPr>
              <w:t>-6,798,647.25</w:t>
            </w:r>
          </w:p>
        </w:tc>
        <w:tc>
          <w:tcPr>
            <w:tcW w:w="3185" w:type="dxa"/>
            <w:tcBorders>
              <w:top w:val="single" w:sz="4" w:space="0" w:color="000000"/>
              <w:left w:val="single" w:sz="12" w:space="0" w:color="FFFFFF"/>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-13,128,350.26</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经营性应收项目的减少（增加以</w:t>
            </w:r>
          </w:p>
          <w:p>
            <w:pPr>
              <w:pStyle w:val="TableParagraph"/>
              <w:spacing w:line="240" w:lineRule="auto" w:before="7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31" w:right="0"/>
              <w:jc w:val="left"/>
              <w:rPr>
                <w:rFonts w:ascii="Times New Roman" w:hAnsi="Times New Roman" w:cs="Times New Roman" w:eastAsia="Times New Roman" w:hint="default"/>
                <w:sz w:val="18"/>
                <w:szCs w:val="18"/>
              </w:rPr>
            </w:pPr>
            <w:r>
              <w:rPr>
                <w:rFonts w:ascii="Times New Roman"/>
                <w:sz w:val="18"/>
              </w:rPr>
              <w:t>-195,271,095.47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-102,990,930.84</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经营性应付项目的增加（减少以</w:t>
            </w:r>
          </w:p>
          <w:p>
            <w:pPr>
              <w:pStyle w:val="TableParagraph"/>
              <w:spacing w:line="240" w:lineRule="auto" w:before="74"/>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58" w:type="dxa"/>
            <w:gridSpan w:val="2"/>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891" w:right="0"/>
              <w:jc w:val="left"/>
              <w:rPr>
                <w:rFonts w:ascii="Times New Roman" w:hAnsi="Times New Roman" w:cs="Times New Roman" w:eastAsia="Times New Roman" w:hint="default"/>
                <w:sz w:val="18"/>
                <w:szCs w:val="18"/>
              </w:rPr>
            </w:pPr>
            <w:r>
              <w:rPr>
                <w:rFonts w:ascii="Times New Roman"/>
                <w:sz w:val="18"/>
              </w:rPr>
              <w:t>102,487,761.26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56,809,917.31</w:t>
            </w: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经营活动产生的现金流量净额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90" w:right="0"/>
              <w:jc w:val="left"/>
              <w:rPr>
                <w:rFonts w:ascii="Times New Roman" w:hAnsi="Times New Roman" w:cs="Times New Roman" w:eastAsia="Times New Roman" w:hint="default"/>
                <w:sz w:val="18"/>
                <w:szCs w:val="18"/>
              </w:rPr>
            </w:pPr>
            <w:r>
              <w:rPr>
                <w:rFonts w:ascii="Times New Roman"/>
                <w:sz w:val="18"/>
              </w:rPr>
              <w:t>63,494,197.92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56,774,366.09</w:t>
            </w:r>
          </w:p>
        </w:tc>
      </w:tr>
      <w:tr>
        <w:trPr>
          <w:trHeight w:val="162" w:hRule="exact"/>
        </w:trPr>
        <w:tc>
          <w:tcPr>
            <w:tcW w:w="3327"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52"/>
              <w:ind w:left="24"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58"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27" w:type="dxa"/>
            <w:vMerge/>
            <w:tcBorders>
              <w:left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27" w:type="dxa"/>
            <w:vMerge/>
            <w:tcBorders>
              <w:left w:val="single" w:sz="4" w:space="0" w:color="000000"/>
              <w:bottom w:val="single" w:sz="4" w:space="0" w:color="000000"/>
              <w:right w:val="single" w:sz="4" w:space="0" w:color="000000"/>
            </w:tcBorders>
            <w:shd w:val="clear" w:color="auto" w:fill="D2D2D2"/>
          </w:tcPr>
          <w:p>
            <w:pPr/>
          </w:p>
        </w:tc>
        <w:tc>
          <w:tcPr>
            <w:tcW w:w="3058"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26"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现金的期末余额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898" w:right="0"/>
              <w:jc w:val="left"/>
              <w:rPr>
                <w:rFonts w:ascii="Times New Roman" w:hAnsi="Times New Roman" w:cs="Times New Roman" w:eastAsia="Times New Roman" w:hint="default"/>
                <w:sz w:val="18"/>
                <w:szCs w:val="18"/>
              </w:rPr>
            </w:pPr>
            <w:r>
              <w:rPr>
                <w:rFonts w:ascii="Times New Roman"/>
                <w:sz w:val="18"/>
              </w:rPr>
              <w:t>444,379,619.85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325,781,246.11</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减：现金的期初余额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906" w:right="0"/>
              <w:jc w:val="left"/>
              <w:rPr>
                <w:rFonts w:ascii="Times New Roman" w:hAnsi="Times New Roman" w:cs="Times New Roman" w:eastAsia="Times New Roman" w:hint="default"/>
                <w:sz w:val="18"/>
                <w:szCs w:val="18"/>
              </w:rPr>
            </w:pPr>
            <w:r>
              <w:rPr>
                <w:rFonts w:ascii="Times New Roman"/>
                <w:sz w:val="18"/>
              </w:rPr>
              <w:t>325,781,246.11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405,641,701.22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现金及现金等价物净增加额</w:t>
            </w:r>
          </w:p>
        </w:tc>
        <w:tc>
          <w:tcPr>
            <w:tcW w:w="305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906" w:right="0"/>
              <w:jc w:val="left"/>
              <w:rPr>
                <w:rFonts w:ascii="Times New Roman" w:hAnsi="Times New Roman" w:cs="Times New Roman" w:eastAsia="Times New Roman" w:hint="default"/>
                <w:sz w:val="18"/>
                <w:szCs w:val="18"/>
              </w:rPr>
            </w:pPr>
            <w:r>
              <w:rPr>
                <w:rFonts w:ascii="Times New Roman"/>
                <w:sz w:val="18"/>
              </w:rPr>
              <w:t>118,598,373.74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-79,860,455.11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87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8"/>
        <w:gridCol w:w="4583"/>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107,000,000.00</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40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8,878,785.52</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8"/>
              <w:ind w:right="0"/>
              <w:jc w:val="center"/>
              <w:rPr>
                <w:rFonts w:ascii="Times New Roman" w:hAnsi="Times New Roman" w:cs="Times New Roman" w:eastAsia="Times New Roman" w:hint="default"/>
                <w:sz w:val="18"/>
                <w:szCs w:val="18"/>
              </w:rPr>
            </w:pPr>
            <w:r>
              <w:rPr>
                <w:rFonts w:ascii="Times New Roman"/>
                <w:sz w:val="18"/>
              </w:rPr>
              <w:t>--</w:t>
            </w:r>
          </w:p>
        </w:tc>
      </w:tr>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r>
      <w:tr>
        <w:trPr>
          <w:trHeight w:val="40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98,121,214.48</w:t>
            </w:r>
          </w:p>
        </w:tc>
      </w:tr>
    </w:tbl>
    <w:p>
      <w:pPr>
        <w:pStyle w:val="BodyText"/>
        <w:spacing w:line="240" w:lineRule="auto" w:before="51"/>
        <w:ind w:right="1133"/>
        <w:jc w:val="left"/>
      </w:pPr>
      <w:r>
        <w:rPr/>
        <w:t>其他说明：</w:t>
      </w:r>
    </w:p>
    <w:p>
      <w:pPr>
        <w:pStyle w:val="BodyText"/>
        <w:spacing w:line="300" w:lineRule="auto" w:before="115"/>
        <w:ind w:right="1184"/>
        <w:jc w:val="left"/>
      </w:pPr>
      <w:r>
        <w:rPr>
          <w:rFonts w:ascii="宋体" w:hAnsi="宋体" w:cs="宋体" w:eastAsia="宋体" w:hint="default"/>
          <w:sz w:val="24"/>
          <w:szCs w:val="24"/>
        </w:rPr>
        <w:t>    </w:t>
      </w:r>
      <w:r>
        <w:rPr/>
        <w:t>本期处置子公司商业保理公司，股权处置价款为</w:t>
      </w:r>
      <w:r>
        <w:rPr>
          <w:rFonts w:ascii="Times New Roman" w:hAnsi="Times New Roman" w:cs="Times New Roman" w:eastAsia="Times New Roman" w:hint="default"/>
        </w:rPr>
        <w:t>113,911,218.38</w:t>
      </w:r>
      <w:r>
        <w:rPr/>
        <w:t>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日已收回</w:t>
      </w:r>
      <w:r>
        <w:rPr>
          <w:rFonts w:ascii="Times New Roman" w:hAnsi="Times New Roman" w:cs="Times New Roman" w:eastAsia="Times New Roman" w:hint="default"/>
        </w:rPr>
        <w:t>107,000,000.00</w:t>
      </w:r>
      <w:r>
        <w:rPr/>
        <w:t>元，剩 余股权转让款已于</w:t>
      </w:r>
      <w:r>
        <w:rPr>
          <w:rFonts w:ascii="Times New Roman" w:hAnsi="Times New Roman" w:cs="Times New Roman" w:eastAsia="Times New Roman" w:hint="default"/>
        </w:rPr>
        <w:t>2020</w:t>
      </w:r>
      <w:r>
        <w:rPr/>
        <w:t>年</w:t>
      </w:r>
      <w:r>
        <w:rPr>
          <w:rFonts w:ascii="Times New Roman" w:hAnsi="Times New Roman" w:cs="Times New Roman" w:eastAsia="Times New Roman" w:hint="default"/>
        </w:rPr>
        <w:t>1</w:t>
      </w:r>
      <w:r>
        <w:rPr/>
        <w:t>月收回。</w:t>
      </w:r>
    </w:p>
    <w:p>
      <w:pPr>
        <w:spacing w:after="0" w:line="30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444,379,619.85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325,781,246.11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594,890.81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876,148.44</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可随时用于支付的银行存款</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443,700,642.77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324,905,097.67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可随时用于支付的其他货币资金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84,086.27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444,379,619.85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325,781,246.11</w:t>
            </w:r>
          </w:p>
        </w:tc>
      </w:tr>
    </w:tbl>
    <w:p>
      <w:pPr>
        <w:pStyle w:val="BodyText"/>
        <w:spacing w:line="360" w:lineRule="auto" w:before="51"/>
        <w:ind w:left="513" w:right="9854" w:hanging="361"/>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80</w:t>
      </w:r>
      <w:r>
        <w:rPr/>
        <w:t>、所有者权益变动表项目注释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81</w:t>
      </w:r>
      <w:r>
        <w:rPr/>
        <w:t>、所有权或使用权受到限制的资产</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83"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16,513,453.01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21,707,902.27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5,500,000.00</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43,721,355.28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其他说明：</w:t>
      </w:r>
    </w:p>
    <w:p>
      <w:pPr>
        <w:pStyle w:val="BodyText"/>
        <w:spacing w:line="240" w:lineRule="auto" w:before="115"/>
        <w:ind w:right="1133"/>
        <w:jc w:val="left"/>
      </w:pPr>
      <w:r>
        <w:rPr>
          <w:rFonts w:ascii="宋体" w:hAnsi="宋体" w:cs="宋体" w:eastAsia="宋体" w:hint="default"/>
          <w:sz w:val="24"/>
          <w:szCs w:val="24"/>
        </w:rPr>
        <w:t>    </w:t>
      </w:r>
      <w:r>
        <w:rPr/>
        <w:t>说明</w:t>
      </w:r>
      <w:r>
        <w:rPr>
          <w:rFonts w:ascii="Times New Roman" w:hAnsi="Times New Roman" w:cs="Times New Roman" w:eastAsia="Times New Roman" w:hint="default"/>
        </w:rPr>
        <w:t>1</w:t>
      </w:r>
      <w:r>
        <w:rPr/>
        <w:t>：截止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日，本公司使用权受到限制的货币资金如下：</w:t>
      </w:r>
    </w:p>
    <w:p>
      <w:pPr>
        <w:spacing w:line="240" w:lineRule="auto" w:before="13"/>
        <w:rPr>
          <w:rFonts w:ascii="宋体" w:hAnsi="宋体" w:cs="宋体" w:eastAsia="宋体" w:hint="default"/>
          <w:sz w:val="3"/>
          <w:szCs w:val="3"/>
        </w:rPr>
      </w:pPr>
    </w:p>
    <w:tbl>
      <w:tblPr>
        <w:tblW w:w="0" w:type="auto"/>
        <w:jc w:val="left"/>
        <w:tblInd w:w="148" w:type="dxa"/>
        <w:tblLayout w:type="fixed"/>
        <w:tblCellMar>
          <w:top w:w="0" w:type="dxa"/>
          <w:left w:w="0" w:type="dxa"/>
          <w:bottom w:w="0" w:type="dxa"/>
          <w:right w:w="0" w:type="dxa"/>
        </w:tblCellMar>
        <w:tblLook w:val="01E0"/>
      </w:tblPr>
      <w:tblGrid>
        <w:gridCol w:w="6093"/>
        <w:gridCol w:w="2753"/>
      </w:tblGrid>
      <w:tr>
        <w:trPr>
          <w:trHeight w:val="343"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款项内容</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金额（元）</w:t>
            </w:r>
          </w:p>
        </w:tc>
      </w:tr>
      <w:tr>
        <w:trPr>
          <w:trHeight w:val="341"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10,287,127.93</w:t>
            </w:r>
          </w:p>
        </w:tc>
      </w:tr>
      <w:tr>
        <w:trPr>
          <w:trHeight w:val="343"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到期日三个月以上的定期存款</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500,000.00</w:t>
            </w:r>
          </w:p>
        </w:tc>
      </w:tr>
      <w:tr>
        <w:trPr>
          <w:trHeight w:val="341"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根据保监会要求缴存的经营保证金</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5,000,000.00</w:t>
            </w:r>
          </w:p>
        </w:tc>
      </w:tr>
      <w:tr>
        <w:trPr>
          <w:trHeight w:val="343"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预收中国银行股份有限公司莆田分行货款</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725,325.08</w:t>
            </w:r>
          </w:p>
        </w:tc>
      </w:tr>
      <w:tr>
        <w:trPr>
          <w:trHeight w:val="341"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开通高速无需停车缴费服务的保证金</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1,000.00</w:t>
            </w:r>
          </w:p>
        </w:tc>
      </w:tr>
      <w:tr>
        <w:trPr>
          <w:trHeight w:val="343" w:hRule="exact"/>
        </w:trPr>
        <w:tc>
          <w:tcPr>
            <w:tcW w:w="6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54"/>
                <w:sz w:val="18"/>
                <w:szCs w:val="18"/>
              </w:rPr>
              <w:t> </w:t>
            </w:r>
            <w:r>
              <w:rPr>
                <w:rFonts w:ascii="宋体" w:hAnsi="宋体" w:cs="宋体" w:eastAsia="宋体" w:hint="default"/>
                <w:sz w:val="18"/>
                <w:szCs w:val="18"/>
              </w:rPr>
              <w:t>计</w:t>
            </w:r>
          </w:p>
        </w:tc>
        <w:tc>
          <w:tcPr>
            <w:tcW w:w="2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16,513,453.01</w:t>
            </w:r>
          </w:p>
        </w:tc>
      </w:tr>
    </w:tbl>
    <w:p>
      <w:pPr>
        <w:pStyle w:val="BodyText"/>
        <w:spacing w:line="240" w:lineRule="auto" w:before="10"/>
        <w:ind w:right="1133"/>
        <w:jc w:val="left"/>
      </w:pPr>
      <w:r>
        <w:rPr>
          <w:rFonts w:ascii="宋体" w:hAnsi="宋体" w:cs="宋体" w:eastAsia="宋体" w:hint="default"/>
          <w:spacing w:val="90"/>
        </w:rPr>
        <w:t> </w:t>
      </w:r>
      <w:r>
        <w:rPr>
          <w:rFonts w:ascii="宋体" w:hAnsi="宋体" w:cs="宋体" w:eastAsia="宋体" w:hint="default"/>
        </w:rPr>
        <w:t>  </w:t>
      </w:r>
      <w:r>
        <w:rPr/>
        <w:t>说明</w:t>
      </w:r>
      <w:r>
        <w:rPr>
          <w:rFonts w:ascii="Times New Roman" w:hAnsi="Times New Roman" w:cs="Times New Roman" w:eastAsia="Times New Roman" w:hint="default"/>
        </w:rPr>
        <w:t>2</w:t>
      </w:r>
      <w:r>
        <w:rPr/>
        <w:t>：本公司存入期限</w:t>
      </w:r>
      <w:r>
        <w:rPr>
          <w:rFonts w:ascii="Times New Roman" w:hAnsi="Times New Roman" w:cs="Times New Roman" w:eastAsia="Times New Roman" w:hint="default"/>
        </w:rPr>
        <w:t>1</w:t>
      </w:r>
      <w:r>
        <w:rPr/>
        <w:t>年以上的定期存款</w:t>
      </w:r>
      <w:r>
        <w:rPr>
          <w:rFonts w:ascii="Times New Roman" w:hAnsi="Times New Roman" w:cs="Times New Roman" w:eastAsia="Times New Roman" w:hint="default"/>
        </w:rPr>
        <w:t>5,500,000.00</w:t>
      </w:r>
      <w:r>
        <w:rPr/>
        <w:t>元。</w:t>
      </w:r>
    </w:p>
    <w:p>
      <w:pPr>
        <w:pStyle w:val="BodyText"/>
        <w:spacing w:line="300" w:lineRule="auto" w:before="63"/>
        <w:ind w:right="1133"/>
        <w:jc w:val="left"/>
      </w:pPr>
      <w:r>
        <w:rPr>
          <w:rFonts w:ascii="宋体" w:hAnsi="宋体" w:cs="宋体" w:eastAsia="宋体" w:hint="default"/>
          <w:spacing w:val="90"/>
        </w:rPr>
        <w:t> </w:t>
      </w:r>
      <w:r>
        <w:rPr>
          <w:rFonts w:ascii="宋体" w:hAnsi="宋体" w:cs="宋体" w:eastAsia="宋体" w:hint="default"/>
        </w:rPr>
        <w:t>  </w:t>
      </w:r>
      <w:r>
        <w:rPr/>
        <w:t>说明</w:t>
      </w:r>
      <w:r>
        <w:rPr>
          <w:rFonts w:ascii="Times New Roman" w:hAnsi="Times New Roman" w:cs="Times New Roman" w:eastAsia="Times New Roman" w:hint="default"/>
        </w:rPr>
        <w:t>3</w:t>
      </w:r>
      <w:r>
        <w:rPr/>
        <w:t>：本公司以位于思明区观日路</w:t>
      </w:r>
      <w:r>
        <w:rPr>
          <w:rFonts w:ascii="Times New Roman" w:hAnsi="Times New Roman" w:cs="Times New Roman" w:eastAsia="Times New Roman" w:hint="default"/>
        </w:rPr>
        <w:t>18</w:t>
      </w:r>
      <w:r>
        <w:rPr/>
        <w:t>号的房产（年末净值为</w:t>
      </w:r>
      <w:r>
        <w:rPr>
          <w:rFonts w:ascii="Times New Roman" w:hAnsi="Times New Roman" w:cs="Times New Roman" w:eastAsia="Times New Roman" w:hint="default"/>
        </w:rPr>
        <w:t>23,977,910.58</w:t>
      </w:r>
      <w:r>
        <w:rPr/>
        <w:t>元）作为抵押物，向兴业银行厦门分行借入 短期借款</w:t>
      </w:r>
      <w:r>
        <w:rPr>
          <w:rFonts w:ascii="Times New Roman" w:hAnsi="Times New Roman" w:cs="Times New Roman" w:eastAsia="Times New Roman" w:hint="default"/>
        </w:rPr>
        <w:t>8,000</w:t>
      </w:r>
      <w:r>
        <w:rPr/>
        <w:t>万元。</w:t>
      </w:r>
    </w:p>
    <w:p>
      <w:pPr>
        <w:spacing w:after="0" w:line="30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82</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）外币货币性项目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59" w:lineRule="auto" w:before="118"/>
        <w:ind w:right="1133"/>
        <w:jc w:val="left"/>
        <w:rPr>
          <w:b w:val="0"/>
          <w:bCs w:val="0"/>
        </w:rPr>
      </w:pP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4"/>
        </w:rPr>
        <w:t> </w:t>
      </w:r>
      <w:r>
        <w:rPr>
          <w:spacing w:val="-64"/>
        </w:rPr>
      </w:r>
      <w:r>
        <w:rPr/>
        <w:t>依据，记账本位币发生变化的还应披露原因。</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83</w:t>
      </w:r>
      <w:r>
        <w:rPr/>
        <w:t>、套期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84</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）政府补助基本情况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17,280,199.95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软件产品增值税即征即退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17,280,199.95</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7,474,000.00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企业研发费用补助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7,474,000.00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互联网企业年度营收收入首 超奖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1,642,135.00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专项扶持资金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1,642,135.00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1,462,205.00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优秀软件信息企业增产增速 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1,462,205.00</w:t>
            </w:r>
          </w:p>
        </w:tc>
      </w:tr>
      <w:tr>
        <w:trPr>
          <w:trHeight w:val="716"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1,366,608.00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3" w:right="197"/>
              <w:jc w:val="left"/>
              <w:rPr>
                <w:rFonts w:ascii="宋体" w:hAnsi="宋体" w:cs="宋体" w:eastAsia="宋体" w:hint="default"/>
                <w:sz w:val="18"/>
                <w:szCs w:val="18"/>
              </w:rPr>
            </w:pPr>
            <w:r>
              <w:rPr>
                <w:rFonts w:ascii="宋体" w:hAnsi="宋体" w:cs="宋体" w:eastAsia="宋体" w:hint="default"/>
                <w:sz w:val="18"/>
                <w:szCs w:val="18"/>
              </w:rPr>
              <w:t>互联网企业软件开发项目市 外中标（签约）奖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1,366,608.00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1,332,500.00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软件和信息技术服务业专项 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1,332,500.00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1,007,109.55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稳岗就业补贴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1,007,109.55</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973,920.00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137"/>
              <w:jc w:val="left"/>
              <w:rPr>
                <w:rFonts w:ascii="宋体" w:hAnsi="宋体" w:cs="宋体" w:eastAsia="宋体" w:hint="default"/>
                <w:sz w:val="18"/>
                <w:szCs w:val="18"/>
              </w:rPr>
            </w:pPr>
            <w:r>
              <w:rPr>
                <w:rFonts w:ascii="宋体" w:hAnsi="宋体" w:cs="宋体" w:eastAsia="宋体" w:hint="default"/>
                <w:sz w:val="18"/>
                <w:szCs w:val="18"/>
              </w:rPr>
              <w:t>高新技术成果转化项目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 税和增值税奖励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973,920.00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951,200.00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专利补助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951,200.00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430,376.00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技术交易奖励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430,376.00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科技小巨人领军企业奖励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400,000.00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高新技术企业补助项目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346,324.00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湖里区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年度自贸区扶持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346,324.00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资金</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304,820.00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互联网赛会等行业活动各类 扶持政策补贴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304,820.00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思明区质量技术专项奖质量 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209,596.00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扶持资金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209,596.00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质量技术奖品牌奖励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国家级高新技术认定奖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w:t>
            </w:r>
          </w:p>
        </w:tc>
      </w:tr>
      <w:tr>
        <w:trPr>
          <w:trHeight w:val="404"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193,405.59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劳务协作及社保补贴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193,405.59</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厦门市重点产业紧缺人才薪 酬津贴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中小企业发展专项资金示范 奖</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青年创新创业人才扶持培育 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142,958.53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补贴奖励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142,958.53</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天河区新增规模以上软件企 业支持补贴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高企备案奖励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思明区质量技术专项奖品牌 奖励兑现</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年厦门优质品牌奖励金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重点企业租金补贴、高企落户 和研发投入支持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67,300.00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省级科技创新券补助资金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66,000.00</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49,794.00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厦门市思明区人民政府鹭江 街道办事处扶持资金款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49,794.00</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2"/>
              <w:jc w:val="left"/>
              <w:rPr>
                <w:rFonts w:ascii="宋体" w:hAnsi="宋体" w:cs="宋体" w:eastAsia="宋体" w:hint="default"/>
                <w:sz w:val="18"/>
                <w:szCs w:val="18"/>
              </w:rPr>
            </w:pPr>
            <w:r>
              <w:rPr>
                <w:rFonts w:ascii="宋体" w:hAnsi="宋体" w:cs="宋体" w:eastAsia="宋体" w:hint="default"/>
                <w:sz w:val="18"/>
                <w:szCs w:val="18"/>
              </w:rPr>
              <w:t>厦门市《企业知识产权管理规 范》认证费用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44,000.00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30,012.42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招工招才奖励</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30,012.42</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行政补贴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146,669.54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其他零星项目</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146,669.54</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5"/>
              <w:ind w:left="24" w:right="0"/>
              <w:jc w:val="left"/>
              <w:rPr>
                <w:rFonts w:ascii="宋体" w:hAnsi="宋体" w:cs="宋体" w:eastAsia="宋体" w:hint="default"/>
                <w:sz w:val="20"/>
                <w:szCs w:val="20"/>
              </w:rPr>
            </w:pPr>
            <w:r>
              <w:rPr>
                <w:rFonts w:ascii="宋体" w:hAnsi="宋体" w:cs="宋体" w:eastAsia="宋体" w:hint="default"/>
                <w:b/>
                <w:bCs/>
                <w:sz w:val="20"/>
                <w:szCs w:val="20"/>
              </w:rPr>
              <w:t>合计</w:t>
            </w:r>
            <w:r>
              <w:rPr>
                <w:rFonts w:ascii="宋体" w:hAnsi="宋体" w:cs="宋体" w:eastAsia="宋体" w:hint="default"/>
                <w:sz w:val="20"/>
                <w:szCs w:val="20"/>
              </w:rPr>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39,871,133.58</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20,743,657.92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）政府补助退回情况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pStyle w:val="BodyText"/>
        <w:spacing w:line="240" w:lineRule="auto" w:before="39"/>
        <w:ind w:right="1133"/>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85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八、合并范围的变动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、非同一控制下企业合并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6074" w:hanging="361"/>
        <w:jc w:val="left"/>
      </w:pPr>
      <w:r>
        <w:rPr/>
        <w:t>合并成本公允价值的确定方法、或有对价及其变动的说明： 无</w:t>
      </w:r>
    </w:p>
    <w:p>
      <w:pPr>
        <w:pStyle w:val="BodyText"/>
        <w:spacing w:line="360" w:lineRule="auto" w:before="29"/>
        <w:ind w:left="513" w:right="8594" w:hanging="361"/>
        <w:jc w:val="left"/>
      </w:pPr>
      <w:r>
        <w:rPr/>
        <w:t>大额商誉形成的主要原因： 无</w:t>
      </w:r>
    </w:p>
    <w:p>
      <w:pPr>
        <w:pStyle w:val="BodyText"/>
        <w:spacing w:line="357" w:lineRule="auto" w:before="27"/>
        <w:ind w:left="513" w:right="9854" w:hanging="361"/>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7514" w:hanging="361"/>
        <w:jc w:val="left"/>
      </w:pPr>
      <w:r>
        <w:rPr/>
        <w:t>可辨认资产、负债公允价值的确定方法： 无</w:t>
      </w:r>
    </w:p>
    <w:p>
      <w:pPr>
        <w:pStyle w:val="BodyText"/>
        <w:spacing w:line="360" w:lineRule="auto" w:before="29"/>
        <w:ind w:left="513" w:right="7514" w:hanging="361"/>
        <w:jc w:val="left"/>
      </w:pPr>
      <w:r>
        <w:rPr/>
        <w:t>企业合并中承担的被购买方的或有负债： 无</w:t>
      </w:r>
    </w:p>
    <w:p>
      <w:pPr>
        <w:pStyle w:val="BodyText"/>
        <w:spacing w:line="357" w:lineRule="auto" w:before="27"/>
        <w:ind w:left="513" w:right="9854" w:hanging="361"/>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是否存在通过多次交易分步实现企业合并且在报告期内取得控制权的交易</w:t>
      </w:r>
    </w:p>
    <w:p>
      <w:pPr>
        <w:pStyle w:val="BodyText"/>
        <w:spacing w:line="240" w:lineRule="auto" w:before="117"/>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94" w:right="10211"/>
        <w:jc w:val="center"/>
      </w:pPr>
      <w:r>
        <w:rPr/>
        <w:t>无</w:t>
      </w:r>
    </w:p>
    <w:p>
      <w:pPr>
        <w:spacing w:after="0" w:line="240" w:lineRule="auto"/>
        <w:jc w:val="center"/>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8594"/>
        <w:jc w:val="left"/>
      </w:pPr>
      <w:r>
        <w:rPr/>
        <w:t>或有对价及其变动的说明： 无</w:t>
      </w:r>
    </w:p>
    <w:p>
      <w:pPr>
        <w:pStyle w:val="BodyText"/>
        <w:spacing w:line="360" w:lineRule="auto" w:before="2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7514"/>
        <w:jc w:val="left"/>
      </w:pPr>
      <w:r>
        <w:rPr/>
        <w:t>企业合并中承担的被合并方的或有负债： 无</w:t>
      </w:r>
    </w:p>
    <w:p>
      <w:pPr>
        <w:pStyle w:val="BodyText"/>
        <w:spacing w:line="357" w:lineRule="auto" w:before="27"/>
        <w:ind w:right="9854"/>
        <w:jc w:val="left"/>
      </w:pPr>
      <w:r>
        <w:rPr/>
        <w:t>其他说明： 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、反向购买</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8" w:footer="974" w:top="1060" w:bottom="1160" w:left="980" w:right="0"/>
        </w:sectPr>
      </w:pPr>
    </w:p>
    <w:p>
      <w:pPr>
        <w:pStyle w:val="BodyText"/>
        <w:spacing w:line="240" w:lineRule="auto" w:before="44"/>
        <w:ind w:right="-20"/>
        <w:jc w:val="left"/>
      </w:pPr>
      <w:r>
        <w:rPr/>
        <w:t>是否存在单次处置对子公司投资即丧失控制权的情形</w:t>
      </w:r>
    </w:p>
    <w:p>
      <w:pPr>
        <w:pStyle w:val="BodyText"/>
        <w:spacing w:line="240" w:lineRule="auto" w:before="117"/>
        <w:ind w:right="-2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4293" w:space="4536"/>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4"/>
        <w:gridCol w:w="737"/>
        <w:gridCol w:w="735"/>
        <w:gridCol w:w="737"/>
        <w:gridCol w:w="734"/>
        <w:gridCol w:w="735"/>
        <w:gridCol w:w="734"/>
        <w:gridCol w:w="737"/>
        <w:gridCol w:w="737"/>
        <w:gridCol w:w="737"/>
        <w:gridCol w:w="734"/>
        <w:gridCol w:w="737"/>
      </w:tblGrid>
      <w:tr>
        <w:trPr>
          <w:trHeight w:val="3836" w:hRule="exact"/>
        </w:trPr>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81"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置价款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股权处 置比例</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93" w:right="89"/>
              <w:jc w:val="left"/>
              <w:rPr>
                <w:rFonts w:ascii="宋体" w:hAnsi="宋体" w:cs="宋体" w:eastAsia="宋体" w:hint="default"/>
                <w:sz w:val="18"/>
                <w:szCs w:val="18"/>
              </w:rPr>
            </w:pPr>
            <w:r>
              <w:rPr>
                <w:rFonts w:ascii="宋体" w:hAnsi="宋体" w:cs="宋体" w:eastAsia="宋体" w:hint="default"/>
                <w:sz w:val="18"/>
                <w:szCs w:val="18"/>
              </w:rPr>
              <w:t>股权处 置方式</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丧失控 制权的 时点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93" w:right="89"/>
              <w:jc w:val="both"/>
              <w:rPr>
                <w:rFonts w:ascii="宋体" w:hAnsi="宋体" w:cs="宋体" w:eastAsia="宋体" w:hint="default"/>
                <w:sz w:val="18"/>
                <w:szCs w:val="18"/>
              </w:rPr>
            </w:pPr>
            <w:r>
              <w:rPr>
                <w:rFonts w:ascii="宋体" w:hAnsi="宋体" w:cs="宋体" w:eastAsia="宋体" w:hint="default"/>
                <w:sz w:val="18"/>
                <w:szCs w:val="18"/>
              </w:rPr>
              <w:t>丧失控 制权时 点的确 定依据</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3" w:right="89"/>
              <w:jc w:val="center"/>
              <w:rPr>
                <w:rFonts w:ascii="宋体" w:hAnsi="宋体" w:cs="宋体" w:eastAsia="宋体" w:hint="default"/>
                <w:sz w:val="18"/>
                <w:szCs w:val="18"/>
              </w:rPr>
            </w:pPr>
            <w:r>
              <w:rPr>
                <w:rFonts w:ascii="宋体" w:hAnsi="宋体" w:cs="宋体" w:eastAsia="宋体" w:hint="default"/>
                <w:sz w:val="18"/>
                <w:szCs w:val="18"/>
              </w:rPr>
              <w:t>处置价 款与处 置投资 对应的 合并财 务报表 层面享 有该子 公司净 资产份 额的差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丧失控 制权之 日剩余 股权的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账面价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93" w:right="91"/>
              <w:jc w:val="center"/>
              <w:rPr>
                <w:rFonts w:ascii="宋体" w:hAnsi="宋体" w:cs="宋体" w:eastAsia="宋体" w:hint="default"/>
                <w:sz w:val="18"/>
                <w:szCs w:val="18"/>
              </w:rPr>
            </w:pPr>
            <w:r>
              <w:rPr>
                <w:rFonts w:ascii="宋体" w:hAnsi="宋体" w:cs="宋体" w:eastAsia="宋体" w:hint="default"/>
                <w:sz w:val="18"/>
                <w:szCs w:val="18"/>
              </w:rPr>
              <w:t>丧失控 制权之 日剩余 股权的 公允价 值</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6" w:lineRule="auto"/>
              <w:ind w:left="93" w:right="92"/>
              <w:jc w:val="center"/>
              <w:rPr>
                <w:rFonts w:ascii="宋体" w:hAnsi="宋体" w:cs="宋体" w:eastAsia="宋体" w:hint="default"/>
                <w:sz w:val="18"/>
                <w:szCs w:val="18"/>
              </w:rPr>
            </w:pPr>
            <w:r>
              <w:rPr>
                <w:rFonts w:ascii="宋体" w:hAnsi="宋体" w:cs="宋体" w:eastAsia="宋体" w:hint="default"/>
                <w:sz w:val="18"/>
                <w:szCs w:val="18"/>
              </w:rPr>
              <w:t>按照公 允价值 重新计 量剩余 股权产 生的利 得或损 失</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丧失控 制权之 日剩余 股权公 允价值 的确定 方法及 主要假 设</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与原子 公司股 权投资 相关的 其他综 合收益 转入投 资损益 的金额</w:t>
            </w:r>
          </w:p>
        </w:tc>
      </w:tr>
      <w:tr>
        <w:trPr>
          <w:trHeight w:val="713"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商业保 理</w:t>
            </w:r>
          </w:p>
        </w:tc>
        <w:tc>
          <w:tcPr>
            <w:tcW w:w="73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left="66" w:right="0"/>
              <w:jc w:val="center"/>
              <w:rPr>
                <w:rFonts w:ascii="Times New Roman" w:hAnsi="Times New Roman" w:cs="Times New Roman" w:eastAsia="Times New Roman" w:hint="default"/>
                <w:sz w:val="18"/>
                <w:szCs w:val="18"/>
              </w:rPr>
            </w:pPr>
            <w:r>
              <w:rPr>
                <w:rFonts w:ascii="Times New Roman"/>
                <w:sz w:val="18"/>
              </w:rPr>
              <w:t>113,911,</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218.38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100.00%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58"/>
              <w:jc w:val="left"/>
              <w:rPr>
                <w:rFonts w:ascii="宋体" w:hAnsi="宋体" w:cs="宋体" w:eastAsia="宋体" w:hint="default"/>
                <w:sz w:val="18"/>
                <w:szCs w:val="18"/>
              </w:rPr>
            </w:pPr>
            <w:r>
              <w:rPr>
                <w:rFonts w:ascii="宋体" w:hAnsi="宋体" w:cs="宋体" w:eastAsia="宋体" w:hint="default"/>
                <w:sz w:val="18"/>
                <w:szCs w:val="18"/>
              </w:rPr>
              <w:t>工商变 更日</w:t>
            </w:r>
          </w:p>
        </w:tc>
        <w:tc>
          <w:tcPr>
            <w:tcW w:w="7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3,730,76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5.47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5"/>
        <w:gridCol w:w="737"/>
        <w:gridCol w:w="734"/>
        <w:gridCol w:w="735"/>
        <w:gridCol w:w="734"/>
        <w:gridCol w:w="737"/>
        <w:gridCol w:w="737"/>
        <w:gridCol w:w="737"/>
        <w:gridCol w:w="734"/>
        <w:gridCol w:w="737"/>
      </w:tblGrid>
      <w:tr>
        <w:trPr>
          <w:trHeight w:val="363" w:hRule="exact"/>
        </w:trPr>
        <w:tc>
          <w:tcPr>
            <w:tcW w:w="737" w:type="dxa"/>
            <w:tcBorders>
              <w:top w:val="single" w:sz="4" w:space="0" w:color="000000"/>
              <w:left w:val="single" w:sz="4" w:space="0" w:color="000000"/>
              <w:bottom w:val="single" w:sz="4" w:space="0" w:color="000000"/>
              <w:right w:val="single" w:sz="4" w:space="0" w:color="000000"/>
            </w:tcBorders>
          </w:tcPr>
          <w:p>
            <w:pPr/>
          </w:p>
        </w:tc>
        <w:tc>
          <w:tcPr>
            <w:tcW w:w="734" w:type="dxa"/>
            <w:vMerge w:val="restart"/>
            <w:tcBorders>
              <w:top w:val="single" w:sz="4" w:space="0" w:color="000000"/>
              <w:left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vMerge w:val="restart"/>
            <w:tcBorders>
              <w:top w:val="single" w:sz="4" w:space="0" w:color="000000"/>
              <w:left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百路源</w:t>
            </w:r>
          </w:p>
        </w:tc>
        <w:tc>
          <w:tcPr>
            <w:tcW w:w="734" w:type="dxa"/>
            <w:vMerge/>
            <w:tcBorders>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80.00%</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转让</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工商变 更日</w:t>
            </w:r>
          </w:p>
        </w:tc>
        <w:tc>
          <w:tcPr>
            <w:tcW w:w="735" w:type="dxa"/>
            <w:vMerge/>
            <w:tcBorders>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1,183,44</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7.16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1,183,44</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7.16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158"/>
              <w:jc w:val="left"/>
              <w:rPr>
                <w:rFonts w:ascii="宋体" w:hAnsi="宋体" w:cs="宋体" w:eastAsia="宋体" w:hint="default"/>
                <w:sz w:val="18"/>
                <w:szCs w:val="18"/>
              </w:rPr>
            </w:pPr>
            <w:r>
              <w:rPr>
                <w:rFonts w:ascii="宋体" w:hAnsi="宋体" w:cs="宋体" w:eastAsia="宋体" w:hint="default"/>
                <w:sz w:val="18"/>
                <w:szCs w:val="18"/>
              </w:rPr>
              <w:t>账面净 资产</w:t>
            </w:r>
          </w:p>
        </w:tc>
        <w:tc>
          <w:tcPr>
            <w:tcW w:w="73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t>其他说明：</w:t>
      </w:r>
    </w:p>
    <w:p>
      <w:pPr>
        <w:pStyle w:val="BodyText"/>
        <w:spacing w:line="360" w:lineRule="auto" w:before="117"/>
        <w:ind w:right="4994"/>
        <w:jc w:val="left"/>
      </w:pPr>
      <w:r>
        <w:rPr>
          <w:rFonts w:ascii="宋体" w:hAnsi="宋体" w:cs="宋体" w:eastAsia="宋体" w:hint="default"/>
          <w:spacing w:val="90"/>
        </w:rPr>
        <w:t> </w:t>
      </w:r>
      <w:r>
        <w:rPr>
          <w:rFonts w:ascii="宋体" w:hAnsi="宋体" w:cs="宋体" w:eastAsia="宋体" w:hint="default"/>
        </w:rPr>
        <w:t>  </w:t>
      </w:r>
      <w:r>
        <w:rPr/>
        <w:t>百路源系商业保理公司之控股子公司。 是否存在通过多次交易分步处置对子公司投资且在本期丧失控制权的情形</w:t>
      </w:r>
    </w:p>
    <w:p>
      <w:pPr>
        <w:pStyle w:val="BodyText"/>
        <w:spacing w:line="240" w:lineRule="auto" w:before="25"/>
        <w:ind w:right="1133"/>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、其他原因的合并范围变动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说明其他原因导致的合并范围变动（如，新设子公司、清算子公司等）及其相关情况：</w:t>
      </w:r>
    </w:p>
    <w:p>
      <w:pPr>
        <w:pStyle w:val="BodyText"/>
        <w:spacing w:line="300" w:lineRule="auto" w:before="115"/>
        <w:ind w:left="635" w:right="1133"/>
        <w:jc w:val="left"/>
      </w:pPr>
      <w:r>
        <w:rPr/>
        <w:t>本报告期内新设子公司</w:t>
      </w:r>
      <w:r>
        <w:rPr>
          <w:rFonts w:ascii="Times New Roman" w:hAnsi="Times New Roman" w:cs="Times New Roman" w:eastAsia="Times New Roman" w:hint="default"/>
        </w:rPr>
        <w:t>9</w:t>
      </w:r>
      <w:r>
        <w:rPr/>
        <w:t>家，参见本附注九、在其他主体中的权益。 由控股子公司民生科技于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9</w:t>
      </w:r>
      <w:r>
        <w:rPr/>
        <w:t>日注册成立的控股孙公司北京易联众民生科技有限公司，注册资本</w:t>
      </w:r>
      <w:r>
        <w:rPr>
          <w:rFonts w:ascii="Times New Roman" w:hAnsi="Times New Roman" w:cs="Times New Roman" w:eastAsia="Times New Roman" w:hint="default"/>
        </w:rPr>
        <w:t>500</w:t>
      </w:r>
      <w:r>
        <w:rPr/>
        <w:t>万元。截</w:t>
      </w:r>
    </w:p>
    <w:p>
      <w:pPr>
        <w:pStyle w:val="BodyText"/>
        <w:spacing w:line="300" w:lineRule="auto" w:before="13"/>
        <w:ind w:left="635" w:right="0" w:hanging="483"/>
        <w:jc w:val="left"/>
        <w:rPr>
          <w:rFonts w:ascii="Times New Roman" w:hAnsi="Times New Roman" w:cs="Times New Roman" w:eastAsia="Times New Roman" w:hint="default"/>
        </w:rPr>
      </w:pPr>
      <w:r>
        <w:rPr/>
        <w:t>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日，民生科技尚未支付投资款，北京易联众民生科技有限公司也尚未开展生产经营活动。 由本公司于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27</w:t>
      </w:r>
      <w:r>
        <w:rPr/>
        <w:t>日注册成立的控股子公司吉林易联旭信息技术有限公司，注册资本</w:t>
      </w:r>
      <w:r>
        <w:rPr>
          <w:rFonts w:ascii="Times New Roman" w:hAnsi="Times New Roman" w:cs="Times New Roman" w:eastAsia="Times New Roman" w:hint="default"/>
        </w:rPr>
        <w:t>2,000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p>
    <w:p>
      <w:pPr>
        <w:pStyle w:val="BodyText"/>
        <w:spacing w:line="300" w:lineRule="auto" w:before="13"/>
        <w:ind w:left="635" w:right="1133" w:hanging="483"/>
        <w:jc w:val="left"/>
      </w:pPr>
      <w:r>
        <w:rPr/>
        <w:t>月</w:t>
      </w:r>
      <w:r>
        <w:rPr>
          <w:rFonts w:ascii="Times New Roman" w:hAnsi="Times New Roman" w:cs="Times New Roman" w:eastAsia="Times New Roman" w:hint="default"/>
        </w:rPr>
        <w:t>31</w:t>
      </w:r>
      <w:r>
        <w:rPr/>
        <w:t>日，本公司尚未支付投资款，吉林易联旭信息技术有限公司也尚未开展生产经营活动。 由本公司于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日注册成立的控股子公司山东易联众网络科技有限公司，注册资本</w:t>
      </w:r>
      <w:r>
        <w:rPr>
          <w:rFonts w:ascii="Times New Roman" w:hAnsi="Times New Roman" w:cs="Times New Roman" w:eastAsia="Times New Roman" w:hint="default"/>
        </w:rPr>
        <w:t>500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p>
    <w:p>
      <w:pPr>
        <w:pStyle w:val="BodyText"/>
        <w:spacing w:line="300" w:lineRule="auto" w:before="13"/>
        <w:ind w:left="635" w:right="1133" w:hanging="483"/>
        <w:jc w:val="left"/>
        <w:rPr>
          <w:rFonts w:ascii="Times New Roman" w:hAnsi="Times New Roman" w:cs="Times New Roman" w:eastAsia="Times New Roman" w:hint="default"/>
        </w:rPr>
      </w:pPr>
      <w:r>
        <w:rPr>
          <w:rFonts w:ascii="Times New Roman" w:hAnsi="Times New Roman" w:cs="Times New Roman" w:eastAsia="Times New Roman" w:hint="default"/>
        </w:rPr>
        <w:t>31</w:t>
      </w:r>
      <w:r>
        <w:rPr/>
        <w:t>日，本公司尚未支付投资款，山东易联众网络科技有限公司也尚未开展生产经营活动。 由本公司于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19</w:t>
      </w:r>
      <w:r>
        <w:rPr/>
        <w:t>日注册成立的控股子公司河南易联众盈信息技术有限公司，注册资本</w:t>
      </w:r>
      <w:r>
        <w:rPr>
          <w:rFonts w:ascii="Times New Roman" w:hAnsi="Times New Roman" w:cs="Times New Roman" w:eastAsia="Times New Roman" w:hint="default"/>
        </w:rPr>
        <w:t>3,000</w:t>
      </w:r>
      <w:r>
        <w:rPr/>
        <w:t>万元，截止</w:t>
      </w:r>
      <w:r>
        <w:rPr>
          <w:rFonts w:ascii="Times New Roman" w:hAnsi="Times New Roman" w:cs="Times New Roman" w:eastAsia="Times New Roman" w:hint="default"/>
        </w:rPr>
        <w:t>2019</w:t>
      </w:r>
    </w:p>
    <w:p>
      <w:pPr>
        <w:pStyle w:val="BodyText"/>
        <w:spacing w:line="300" w:lineRule="auto" w:before="13"/>
        <w:ind w:left="635" w:right="1133" w:hanging="483"/>
        <w:jc w:val="left"/>
        <w:rPr>
          <w:rFonts w:ascii="Times New Roman" w:hAnsi="Times New Roman" w:cs="Times New Roman" w:eastAsia="Times New Roman" w:hint="default"/>
        </w:rPr>
      </w:pP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日，本公司尚未支付投资款，河南易联众盈信息技术有限公司也尚未开展生产经营活动。</w:t>
      </w:r>
      <w:r>
        <w:rPr>
          <w:rFonts w:ascii="宋体" w:hAnsi="宋体" w:cs="宋体" w:eastAsia="宋体" w:hint="default"/>
        </w:rPr>
        <w:t> </w:t>
      </w:r>
      <w:r>
        <w:rPr/>
        <w:t>由本公司于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9</w:t>
      </w:r>
      <w:r>
        <w:rPr/>
        <w:t>日注册成立的控股子公司北京珩泰科技发展有限公司，注册资本</w:t>
      </w:r>
      <w:r>
        <w:rPr>
          <w:rFonts w:ascii="Times New Roman" w:hAnsi="Times New Roman" w:cs="Times New Roman" w:eastAsia="Times New Roman" w:hint="default"/>
        </w:rPr>
        <w:t>300</w:t>
      </w:r>
      <w:r>
        <w:rPr/>
        <w:t>万元，截止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p>
    <w:p>
      <w:pPr>
        <w:pStyle w:val="BodyText"/>
        <w:spacing w:line="316" w:lineRule="auto" w:before="13"/>
        <w:ind w:left="635" w:right="4094" w:hanging="483"/>
        <w:jc w:val="left"/>
      </w:pPr>
      <w:r>
        <w:rPr/>
        <w:t>日，本公司尚未支付投资款，北京珩泰科技发展有限公司也尚未开展生产经营活动。 本公司于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17</w:t>
      </w:r>
      <w:r>
        <w:rPr/>
        <w:t>日注销子公司易思达公司。</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、在子公司中的权益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3"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福建软件开发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z w:val="18"/>
                <w:szCs w:val="18"/>
              </w:rPr>
              <w:t>软件开发及应用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33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南宁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70"/>
              <w:jc w:val="both"/>
              <w:rPr>
                <w:rFonts w:ascii="宋体" w:hAnsi="宋体" w:cs="宋体" w:eastAsia="宋体" w:hint="default"/>
                <w:sz w:val="18"/>
                <w:szCs w:val="18"/>
              </w:rPr>
            </w:pPr>
            <w:r>
              <w:rPr>
                <w:rFonts w:ascii="宋体" w:hAnsi="宋体" w:cs="宋体" w:eastAsia="宋体" w:hint="default"/>
                <w:sz w:val="18"/>
                <w:szCs w:val="18"/>
              </w:rPr>
              <w:t>智能卡、银行卡 研发生产、软件 开发及应用系统 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互联网销售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长春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金融控股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宁夏易联众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银川</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医疗控股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4"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沈阳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保险经纪</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网络科技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6" w:right="0"/>
              <w:jc w:val="left"/>
              <w:rPr>
                <w:rFonts w:ascii="宋体" w:hAnsi="宋体" w:cs="宋体" w:eastAsia="宋体" w:hint="default"/>
                <w:sz w:val="18"/>
                <w:szCs w:val="18"/>
              </w:rPr>
            </w:pPr>
            <w:r>
              <w:rPr>
                <w:rFonts w:ascii="宋体" w:hAnsi="宋体" w:cs="宋体" w:eastAsia="宋体" w:hint="default"/>
                <w:sz w:val="18"/>
                <w:szCs w:val="18"/>
              </w:rPr>
              <w:t>软件开发及应用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易方科技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三明易联众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人力资源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人才中介、职业 中介、劳务派遣</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340"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海口</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智能卡、银行卡 研发生产、软件 开发及应用系统 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80.00%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3" w:right="71"/>
              <w:jc w:val="left"/>
              <w:rPr>
                <w:rFonts w:ascii="宋体" w:hAnsi="宋体" w:cs="宋体" w:eastAsia="宋体" w:hint="default"/>
                <w:sz w:val="18"/>
                <w:szCs w:val="18"/>
              </w:rPr>
            </w:pPr>
            <w:r>
              <w:rPr>
                <w:rFonts w:ascii="宋体" w:hAnsi="宋体" w:cs="宋体" w:eastAsia="宋体" w:hint="default"/>
                <w:sz w:val="18"/>
                <w:szCs w:val="18"/>
              </w:rPr>
              <w:t>非同一控制下企 业合并</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应用系统集成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山西民生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北京智康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技术开发推广、 销售计算机软件 及辅助设备</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安徽民生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医卫信息</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长青科技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易达迅</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教育</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通达易</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71"/>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安徽易惠</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山西无感付</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欣贝康</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医学研究和试 验、医疗器械销 售</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三明易就医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三明</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三明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401"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湖南鑫卫</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长沙</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6" w:right="0"/>
              <w:jc w:val="left"/>
              <w:rPr>
                <w:rFonts w:ascii="宋体" w:hAnsi="宋体" w:cs="宋体" w:eastAsia="宋体" w:hint="default"/>
                <w:sz w:val="18"/>
                <w:szCs w:val="18"/>
              </w:rPr>
            </w:pPr>
            <w:r>
              <w:rPr>
                <w:rFonts w:ascii="宋体" w:hAnsi="宋体" w:cs="宋体" w:eastAsia="宋体" w:hint="default"/>
                <w:sz w:val="18"/>
                <w:szCs w:val="18"/>
              </w:rPr>
              <w:t>软件开发及应用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363" w:hRule="exact"/>
        </w:trPr>
        <w:tc>
          <w:tcPr>
            <w:tcW w:w="1371"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6"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陕西金纳</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咸阳</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咸阳</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安徽科技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合肥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山西惠民</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太原</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福州灵医</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北京民生</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6" w:right="70"/>
              <w:jc w:val="left"/>
              <w:rPr>
                <w:rFonts w:ascii="宋体" w:hAnsi="宋体" w:cs="宋体" w:eastAsia="宋体" w:hint="default"/>
                <w:sz w:val="18"/>
                <w:szCs w:val="18"/>
              </w:rPr>
            </w:pPr>
            <w:r>
              <w:rPr>
                <w:rFonts w:ascii="宋体" w:hAnsi="宋体" w:cs="宋体" w:eastAsia="宋体" w:hint="default"/>
                <w:sz w:val="18"/>
                <w:szCs w:val="18"/>
              </w:rPr>
              <w:t>技术推广和应用 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吉林易联旭</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吉林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山东网络科技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济南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河南易联众盈</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郑州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北京珩泰</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技术推广和应用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设立或投资</w:t>
            </w:r>
          </w:p>
        </w:tc>
      </w:tr>
    </w:tbl>
    <w:p>
      <w:pPr>
        <w:pStyle w:val="BodyText"/>
        <w:spacing w:line="360" w:lineRule="auto" w:before="51"/>
        <w:ind w:right="6974"/>
        <w:jc w:val="left"/>
      </w:pPr>
      <w:r>
        <w:rPr/>
        <w:t>在子公司的持股比例不同于表决权比例的说明： 无</w:t>
      </w:r>
    </w:p>
    <w:p>
      <w:pPr>
        <w:pStyle w:val="BodyText"/>
        <w:spacing w:line="357" w:lineRule="auto" w:before="27"/>
        <w:ind w:right="2834"/>
        <w:jc w:val="left"/>
      </w:pPr>
      <w:r>
        <w:rPr/>
        <w:t>持有半数或以下表决权但仍控制被投资单位、以及持有半数以上表决权但不控制被投资单位的依据： 无</w:t>
      </w:r>
    </w:p>
    <w:p>
      <w:pPr>
        <w:pStyle w:val="BodyText"/>
        <w:spacing w:line="240" w:lineRule="auto" w:before="29"/>
        <w:ind w:right="1133"/>
        <w:jc w:val="left"/>
      </w:pPr>
      <w:r>
        <w:rPr/>
        <w:t>对于纳入合并范围的重要的结构化主体，控制的依据：</w:t>
      </w:r>
    </w:p>
    <w:p>
      <w:pPr>
        <w:spacing w:line="240" w:lineRule="auto" w:before="0"/>
        <w:rPr>
          <w:rFonts w:ascii="宋体" w:hAnsi="宋体" w:cs="宋体" w:eastAsia="宋体" w:hint="default"/>
          <w:sz w:val="15"/>
          <w:szCs w:val="15"/>
        </w:rPr>
      </w:pPr>
    </w:p>
    <w:p>
      <w:pPr>
        <w:pStyle w:val="BodyText"/>
        <w:spacing w:line="309" w:lineRule="auto"/>
        <w:ind w:right="1131" w:firstLine="480"/>
        <w:jc w:val="both"/>
      </w:pPr>
      <w:r>
        <w:rPr/>
        <w:t>本公司对福州灵医、吉林易联旭、北京珩泰的持股比例未超过</w:t>
      </w:r>
      <w:r>
        <w:rPr>
          <w:rFonts w:ascii="Times New Roman" w:hAnsi="Times New Roman" w:cs="Times New Roman" w:eastAsia="Times New Roman" w:hint="default"/>
        </w:rPr>
        <w:t>50%</w:t>
      </w:r>
      <w:r>
        <w:rPr/>
        <w:t>，但由于本公司拥有对上述公司的权利，通过参与 </w:t>
      </w:r>
      <w:r>
        <w:rPr>
          <w:spacing w:val="-2"/>
        </w:rPr>
        <w:t>上述公司的相关活动而享有可变回报，并且有能力运用对上述公司的权利影响其回报金额，能够对上述公司实施控制，故将</w:t>
      </w:r>
      <w:r>
        <w:rPr>
          <w:spacing w:val="-63"/>
        </w:rPr>
        <w:t> </w:t>
      </w:r>
      <w:r>
        <w:rPr>
          <w:spacing w:val="-63"/>
        </w:rPr>
      </w:r>
      <w:r>
        <w:rPr/>
        <w:t>其纳入合并范围。</w:t>
      </w:r>
    </w:p>
    <w:p>
      <w:pPr>
        <w:pStyle w:val="BodyText"/>
        <w:spacing w:line="357" w:lineRule="auto" w:before="65"/>
        <w:ind w:right="7694"/>
        <w:jc w:val="left"/>
      </w:pPr>
      <w:r>
        <w:rPr/>
        <w:t>确定公司是代理人还是委托人的依据： 无</w:t>
      </w:r>
    </w:p>
    <w:p>
      <w:pPr>
        <w:pStyle w:val="BodyText"/>
        <w:spacing w:line="357" w:lineRule="auto" w:before="29"/>
        <w:ind w:right="985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）重要的非全资子公司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504"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772" w:right="48"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592" w:right="48"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2,149,331.16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935" w:right="0"/>
              <w:jc w:val="left"/>
              <w:rPr>
                <w:rFonts w:ascii="Times New Roman" w:hAnsi="Times New Roman" w:cs="Times New Roman" w:eastAsia="Times New Roman" w:hint="default"/>
                <w:sz w:val="18"/>
                <w:szCs w:val="18"/>
              </w:rPr>
            </w:pPr>
            <w:r>
              <w:rPr>
                <w:rFonts w:ascii="Times New Roman"/>
                <w:sz w:val="18"/>
              </w:rPr>
              <w:t>1,050,000.00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7,155,527.98</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6,312,594.76</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16,200,361.30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6"/>
        <w:gridCol w:w="1913"/>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12,017,447.21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3,281,250.00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25,981,629.60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35.75%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4,331,023.40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2,145,000.00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13,676,333.12</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3,942,913.41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9,484,760.60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14,811,956.47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3,150,000.00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24,659,737.19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医卫信息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32.50%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2,424,325.44</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6,206,828.30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45,989,591.85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9,801,250.00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103,365,178.09</w:t>
            </w:r>
          </w:p>
        </w:tc>
      </w:tr>
    </w:tbl>
    <w:p>
      <w:pPr>
        <w:pStyle w:val="BodyText"/>
        <w:spacing w:line="357" w:lineRule="auto" w:before="51"/>
        <w:ind w:right="6434"/>
        <w:jc w:val="left"/>
      </w:pPr>
      <w:r>
        <w:rPr/>
        <w:t>子公司少数股东的持股比例不同于表决权比例的说明： 无</w:t>
      </w:r>
    </w:p>
    <w:p>
      <w:pPr>
        <w:pStyle w:val="BodyText"/>
        <w:spacing w:line="360" w:lineRule="auto" w:before="29"/>
        <w:ind w:right="9854"/>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7"/>
        <w:gridCol w:w="734"/>
        <w:gridCol w:w="737"/>
        <w:gridCol w:w="737"/>
        <w:gridCol w:w="734"/>
        <w:gridCol w:w="737"/>
        <w:gridCol w:w="735"/>
        <w:gridCol w:w="734"/>
        <w:gridCol w:w="734"/>
        <w:gridCol w:w="737"/>
        <w:gridCol w:w="737"/>
        <w:gridCol w:w="734"/>
        <w:gridCol w:w="737"/>
      </w:tblGrid>
      <w:tr>
        <w:trPr>
          <w:trHeight w:val="403" w:hRule="exact"/>
        </w:trPr>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89"/>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3" w:hRule="exact"/>
        </w:trPr>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91"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89"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2"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82" w:right="89" w:hanging="89"/>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716"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智能科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44,547,0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45.41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582,864.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45,129,9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09.44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24,685,5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43.78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24,685,5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43.78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38,278,9</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25.15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244,140.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38,523,0</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65.84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21,219,6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46.36</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21,219,6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46.36</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民生科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78,542,8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61.88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9,401,02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2.85</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87,943,8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84.73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39,664,3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35.63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39,664,3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35.63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50,118,7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20.06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5,643,06</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8.40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55,761,7</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88.46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26,346,5</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54.29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26,346,5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54.29</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易惠科 技</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1" w:right="0"/>
              <w:jc w:val="center"/>
              <w:rPr>
                <w:rFonts w:ascii="Times New Roman" w:hAnsi="Times New Roman" w:cs="Times New Roman" w:eastAsia="Times New Roman" w:hint="default"/>
                <w:sz w:val="18"/>
                <w:szCs w:val="18"/>
              </w:rPr>
            </w:pPr>
            <w:r>
              <w:rPr>
                <w:rFonts w:ascii="Times New Roman"/>
                <w:sz w:val="18"/>
              </w:rPr>
              <w:t>156,473,</w:t>
            </w:r>
          </w:p>
          <w:p>
            <w:pPr>
              <w:pStyle w:val="TableParagraph"/>
              <w:spacing w:line="240" w:lineRule="auto" w:before="105"/>
              <w:ind w:left="187" w:right="0"/>
              <w:jc w:val="center"/>
              <w:rPr>
                <w:rFonts w:ascii="Times New Roman" w:hAnsi="Times New Roman" w:cs="Times New Roman" w:eastAsia="Times New Roman" w:hint="default"/>
                <w:sz w:val="18"/>
                <w:szCs w:val="18"/>
              </w:rPr>
            </w:pPr>
            <w:r>
              <w:rPr>
                <w:rFonts w:ascii="Times New Roman"/>
                <w:sz w:val="18"/>
              </w:rPr>
              <w:t>235.22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6,204,35</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 w:right="0"/>
              <w:jc w:val="center"/>
              <w:rPr>
                <w:rFonts w:ascii="Times New Roman" w:hAnsi="Times New Roman" w:cs="Times New Roman" w:eastAsia="Times New Roman" w:hint="default"/>
                <w:sz w:val="18"/>
                <w:szCs w:val="18"/>
              </w:rPr>
            </w:pPr>
            <w:r>
              <w:rPr>
                <w:rFonts w:ascii="Times New Roman"/>
                <w:sz w:val="18"/>
              </w:rPr>
              <w:t>162,677,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592.08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82,036,1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34.77</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82,036,1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34.77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89,000,3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02.30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3,865,16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1.24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92,865,4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63.54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50,076,6</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77.70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50,076,6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77.70</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医疗信 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65,339,3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43.66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3,351,02</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8.39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68,690,3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72.05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30,506,2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49.56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30,506,2</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49.56</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45,832,3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71.40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1,994,48</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9.14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47,826,8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60.54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16,069,5</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97.50</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16,069,5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97.50</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广州睿 图</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40,191,3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97.26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4,685,02</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1.71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44,876,4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18.97</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17,777,1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02.98</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17,777,1</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02.98</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left"/>
              <w:rPr>
                <w:rFonts w:ascii="Times New Roman" w:hAnsi="Times New Roman" w:cs="Times New Roman" w:eastAsia="Times New Roman" w:hint="default"/>
                <w:sz w:val="18"/>
                <w:szCs w:val="18"/>
              </w:rPr>
            </w:pPr>
            <w:r>
              <w:rPr>
                <w:rFonts w:ascii="Times New Roman"/>
                <w:sz w:val="18"/>
              </w:rPr>
              <w:t>20,511,3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07.03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1,498,07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3.46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22,009,3</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80.49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9,675,53</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1.39</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9,675,53</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1.39</w:t>
            </w:r>
          </w:p>
        </w:tc>
      </w:tr>
      <w:tr>
        <w:trPr>
          <w:trHeight w:val="713"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1" w:right="0"/>
              <w:jc w:val="center"/>
              <w:rPr>
                <w:rFonts w:ascii="Times New Roman" w:hAnsi="Times New Roman" w:cs="Times New Roman" w:eastAsia="Times New Roman" w:hint="default"/>
                <w:sz w:val="18"/>
                <w:szCs w:val="18"/>
              </w:rPr>
            </w:pPr>
            <w:r>
              <w:rPr>
                <w:rFonts w:ascii="Times New Roman"/>
                <w:sz w:val="18"/>
              </w:rPr>
              <w:t>102,000,</w:t>
            </w:r>
          </w:p>
          <w:p>
            <w:pPr>
              <w:pStyle w:val="TableParagraph"/>
              <w:spacing w:line="240" w:lineRule="auto" w:before="102"/>
              <w:ind w:left="187" w:right="0"/>
              <w:jc w:val="center"/>
              <w:rPr>
                <w:rFonts w:ascii="Times New Roman" w:hAnsi="Times New Roman" w:cs="Times New Roman" w:eastAsia="Times New Roman" w:hint="default"/>
                <w:sz w:val="18"/>
                <w:szCs w:val="18"/>
              </w:rPr>
            </w:pPr>
            <w:r>
              <w:rPr>
                <w:rFonts w:ascii="Times New Roman"/>
                <w:sz w:val="18"/>
              </w:rPr>
              <w:t>701.82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14,228,5</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22.53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5" w:right="0"/>
              <w:jc w:val="center"/>
              <w:rPr>
                <w:rFonts w:ascii="Times New Roman" w:hAnsi="Times New Roman" w:cs="Times New Roman" w:eastAsia="Times New Roman" w:hint="default"/>
                <w:sz w:val="18"/>
                <w:szCs w:val="18"/>
              </w:rPr>
            </w:pPr>
            <w:r>
              <w:rPr>
                <w:rFonts w:ascii="Times New Roman"/>
                <w:sz w:val="18"/>
              </w:rPr>
              <w:t>116,229,</w:t>
            </w:r>
          </w:p>
          <w:p>
            <w:pPr>
              <w:pStyle w:val="TableParagraph"/>
              <w:spacing w:line="240" w:lineRule="auto" w:before="102"/>
              <w:ind w:left="184" w:right="0"/>
              <w:jc w:val="center"/>
              <w:rPr>
                <w:rFonts w:ascii="Times New Roman" w:hAnsi="Times New Roman" w:cs="Times New Roman" w:eastAsia="Times New Roman" w:hint="default"/>
                <w:sz w:val="18"/>
                <w:szCs w:val="18"/>
              </w:rPr>
            </w:pPr>
            <w:r>
              <w:rPr>
                <w:rFonts w:ascii="Times New Roman"/>
                <w:sz w:val="18"/>
              </w:rPr>
              <w:t>224.35</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45,772,8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32.39</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45,772,8</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32.39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57,040,0</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39.02</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5,055,87</w:t>
            </w:r>
          </w:p>
          <w:p>
            <w:pPr>
              <w:pStyle w:val="TableParagraph"/>
              <w:spacing w:line="240" w:lineRule="auto" w:before="102"/>
              <w:ind w:left="388" w:right="0"/>
              <w:jc w:val="left"/>
              <w:rPr>
                <w:rFonts w:ascii="Times New Roman" w:hAnsi="Times New Roman" w:cs="Times New Roman" w:eastAsia="Times New Roman" w:hint="default"/>
                <w:sz w:val="18"/>
                <w:szCs w:val="18"/>
              </w:rPr>
            </w:pPr>
            <w:r>
              <w:rPr>
                <w:rFonts w:ascii="Times New Roman"/>
                <w:sz w:val="18"/>
              </w:rPr>
              <w:t>4.97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62,095,9</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13.99</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4" w:right="0"/>
              <w:jc w:val="left"/>
              <w:rPr>
                <w:rFonts w:ascii="Times New Roman" w:hAnsi="Times New Roman" w:cs="Times New Roman" w:eastAsia="Times New Roman" w:hint="default"/>
                <w:sz w:val="18"/>
                <w:szCs w:val="18"/>
              </w:rPr>
            </w:pPr>
            <w:r>
              <w:rPr>
                <w:rFonts w:ascii="Times New Roman"/>
                <w:sz w:val="18"/>
              </w:rPr>
              <w:t>24,959,3</w:t>
            </w:r>
          </w:p>
          <w:p>
            <w:pPr>
              <w:pStyle w:val="TableParagraph"/>
              <w:spacing w:line="240" w:lineRule="auto" w:before="102"/>
              <w:ind w:left="300" w:right="0"/>
              <w:jc w:val="left"/>
              <w:rPr>
                <w:rFonts w:ascii="Times New Roman" w:hAnsi="Times New Roman" w:cs="Times New Roman" w:eastAsia="Times New Roman" w:hint="default"/>
                <w:sz w:val="18"/>
                <w:szCs w:val="18"/>
              </w:rPr>
            </w:pPr>
            <w:r>
              <w:rPr>
                <w:rFonts w:ascii="Times New Roman"/>
                <w:sz w:val="18"/>
              </w:rPr>
              <w:t>97.65</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2" w:right="0"/>
              <w:jc w:val="left"/>
              <w:rPr>
                <w:rFonts w:ascii="Times New Roman" w:hAnsi="Times New Roman" w:cs="Times New Roman" w:eastAsia="Times New Roman" w:hint="default"/>
                <w:sz w:val="18"/>
                <w:szCs w:val="18"/>
              </w:rPr>
            </w:pPr>
            <w:r>
              <w:rPr>
                <w:rFonts w:ascii="Times New Roman"/>
                <w:sz w:val="18"/>
              </w:rPr>
              <w:t>24,959,3</w:t>
            </w:r>
          </w:p>
          <w:p>
            <w:pPr>
              <w:pStyle w:val="TableParagraph"/>
              <w:spacing w:line="240" w:lineRule="auto" w:before="102"/>
              <w:ind w:left="297" w:right="0"/>
              <w:jc w:val="left"/>
              <w:rPr>
                <w:rFonts w:ascii="Times New Roman" w:hAnsi="Times New Roman" w:cs="Times New Roman" w:eastAsia="Times New Roman" w:hint="default"/>
                <w:sz w:val="18"/>
                <w:szCs w:val="18"/>
              </w:rPr>
            </w:pPr>
            <w:r>
              <w:rPr>
                <w:rFonts w:ascii="Times New Roman"/>
                <w:sz w:val="18"/>
              </w:rPr>
              <w:t>97.65</w:t>
            </w:r>
          </w:p>
        </w:tc>
      </w:tr>
      <w:tr>
        <w:trPr>
          <w:trHeight w:val="715" w:hRule="exact"/>
        </w:trPr>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61"/>
              <w:jc w:val="left"/>
              <w:rPr>
                <w:rFonts w:ascii="宋体" w:hAnsi="宋体" w:cs="宋体" w:eastAsia="宋体" w:hint="default"/>
                <w:sz w:val="18"/>
                <w:szCs w:val="18"/>
              </w:rPr>
            </w:pPr>
            <w:r>
              <w:rPr>
                <w:rFonts w:ascii="宋体" w:hAnsi="宋体" w:cs="宋体" w:eastAsia="宋体" w:hint="default"/>
                <w:sz w:val="18"/>
                <w:szCs w:val="18"/>
              </w:rPr>
              <w:t>医卫信 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18,696,8</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48.63</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7,582,57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0.86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26,279,4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19.49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7,741,07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6.13</w:t>
            </w:r>
          </w:p>
        </w:tc>
        <w:tc>
          <w:tcPr>
            <w:tcW w:w="737"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7,741,07</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6.13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13,224,2</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59.69</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1,738,40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0.27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1" w:right="0"/>
              <w:jc w:val="left"/>
              <w:rPr>
                <w:rFonts w:ascii="Times New Roman" w:hAnsi="Times New Roman" w:cs="Times New Roman" w:eastAsia="Times New Roman" w:hint="default"/>
                <w:sz w:val="18"/>
                <w:szCs w:val="18"/>
              </w:rPr>
            </w:pPr>
            <w:r>
              <w:rPr>
                <w:rFonts w:ascii="Times New Roman"/>
                <w:sz w:val="18"/>
              </w:rPr>
              <w:t>14,962,6</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59.96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 w:right="0"/>
              <w:jc w:val="left"/>
              <w:rPr>
                <w:rFonts w:ascii="Times New Roman" w:hAnsi="Times New Roman" w:cs="Times New Roman" w:eastAsia="Times New Roman" w:hint="default"/>
                <w:sz w:val="18"/>
                <w:szCs w:val="18"/>
              </w:rPr>
            </w:pPr>
            <w:r>
              <w:rPr>
                <w:rFonts w:ascii="Times New Roman"/>
                <w:sz w:val="18"/>
              </w:rPr>
              <w:t>3,424,96</w:t>
            </w:r>
          </w:p>
          <w:p>
            <w:pPr>
              <w:pStyle w:val="TableParagraph"/>
              <w:spacing w:line="240" w:lineRule="auto" w:before="105"/>
              <w:ind w:left="391" w:right="0"/>
              <w:jc w:val="left"/>
              <w:rPr>
                <w:rFonts w:ascii="Times New Roman" w:hAnsi="Times New Roman" w:cs="Times New Roman" w:eastAsia="Times New Roman" w:hint="default"/>
                <w:sz w:val="18"/>
                <w:szCs w:val="18"/>
              </w:rPr>
            </w:pPr>
            <w:r>
              <w:rPr>
                <w:rFonts w:ascii="Times New Roman"/>
                <w:sz w:val="18"/>
              </w:rPr>
              <w:t>7.61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2" w:right="0"/>
              <w:jc w:val="left"/>
              <w:rPr>
                <w:rFonts w:ascii="Times New Roman" w:hAnsi="Times New Roman" w:cs="Times New Roman" w:eastAsia="Times New Roman" w:hint="default"/>
                <w:sz w:val="18"/>
                <w:szCs w:val="18"/>
              </w:rPr>
            </w:pPr>
            <w:r>
              <w:rPr>
                <w:rFonts w:ascii="Times New Roman"/>
                <w:sz w:val="18"/>
              </w:rPr>
              <w:t>3,424,96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7.61</w:t>
            </w:r>
          </w:p>
        </w:tc>
      </w:tr>
    </w:tbl>
    <w:p>
      <w:pPr>
        <w:pStyle w:val="BodyText"/>
        <w:spacing w:line="240" w:lineRule="auto" w:before="51"/>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403"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7"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4"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6" w:right="74"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9" w:right="75"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37" w:right="75" w:hanging="361"/>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59" w:right="74"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37,030,566.4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6,140,946.18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6,140,946.18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14,460,310.2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42,689,986.1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5,064,664.05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5,064,664.05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2,442,030.73</w:t>
            </w:r>
          </w:p>
        </w:tc>
      </w:tr>
      <w:tr>
        <w:trPr>
          <w:trHeight w:val="40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2" w:right="0"/>
              <w:jc w:val="center"/>
              <w:rPr>
                <w:rFonts w:ascii="Times New Roman" w:hAnsi="Times New Roman" w:cs="Times New Roman" w:eastAsia="Times New Roman" w:hint="default"/>
                <w:sz w:val="18"/>
                <w:szCs w:val="18"/>
              </w:rPr>
            </w:pPr>
            <w:r>
              <w:rPr>
                <w:rFonts w:ascii="Times New Roman"/>
                <w:sz w:val="18"/>
              </w:rPr>
              <w:t>91,500,801.9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59" w:right="0"/>
              <w:jc w:val="center"/>
              <w:rPr>
                <w:rFonts w:ascii="Times New Roman" w:hAnsi="Times New Roman" w:cs="Times New Roman" w:eastAsia="Times New Roman" w:hint="default"/>
                <w:sz w:val="18"/>
                <w:szCs w:val="18"/>
              </w:rPr>
            </w:pPr>
            <w:r>
              <w:rPr>
                <w:rFonts w:ascii="Times New Roman"/>
                <w:sz w:val="18"/>
              </w:rPr>
              <w:t>18,829,314.9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18,829,314.9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88" w:right="0"/>
              <w:jc w:val="left"/>
              <w:rPr>
                <w:rFonts w:ascii="Times New Roman" w:hAnsi="Times New Roman" w:cs="Times New Roman" w:eastAsia="Times New Roman" w:hint="default"/>
                <w:sz w:val="18"/>
                <w:szCs w:val="18"/>
              </w:rPr>
            </w:pPr>
            <w:r>
              <w:rPr>
                <w:rFonts w:ascii="Times New Roman"/>
                <w:sz w:val="18"/>
              </w:rPr>
              <w:t>20,952,100.0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4" w:right="0"/>
              <w:jc w:val="center"/>
              <w:rPr>
                <w:rFonts w:ascii="Times New Roman" w:hAnsi="Times New Roman" w:cs="Times New Roman" w:eastAsia="Times New Roman" w:hint="default"/>
                <w:sz w:val="18"/>
                <w:szCs w:val="18"/>
              </w:rPr>
            </w:pPr>
            <w:r>
              <w:rPr>
                <w:rFonts w:ascii="Times New Roman"/>
                <w:sz w:val="18"/>
              </w:rPr>
              <w:t>68,410,697.4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64" w:right="0"/>
              <w:jc w:val="center"/>
              <w:rPr>
                <w:rFonts w:ascii="Times New Roman" w:hAnsi="Times New Roman" w:cs="Times New Roman" w:eastAsia="Times New Roman" w:hint="default"/>
                <w:sz w:val="18"/>
                <w:szCs w:val="18"/>
              </w:rPr>
            </w:pPr>
            <w:r>
              <w:rPr>
                <w:rFonts w:ascii="Times New Roman"/>
                <w:sz w:val="18"/>
              </w:rPr>
              <w:t>12,835,312.0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20"/>
              <w:jc w:val="right"/>
              <w:rPr>
                <w:rFonts w:ascii="Times New Roman" w:hAnsi="Times New Roman" w:cs="Times New Roman" w:eastAsia="Times New Roman" w:hint="default"/>
                <w:sz w:val="18"/>
                <w:szCs w:val="18"/>
              </w:rPr>
            </w:pPr>
            <w:r>
              <w:rPr>
                <w:rFonts w:ascii="Times New Roman"/>
                <w:spacing w:val="-1"/>
                <w:sz w:val="18"/>
              </w:rPr>
              <w:t>12,835,312.0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5,770,495.48</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061"/>
        <w:gridCol w:w="1061"/>
        <w:gridCol w:w="1064"/>
        <w:gridCol w:w="1063"/>
        <w:gridCol w:w="1066"/>
        <w:gridCol w:w="1063"/>
        <w:gridCol w:w="1063"/>
        <w:gridCol w:w="1064"/>
        <w:gridCol w:w="1066"/>
      </w:tblGrid>
      <w:tr>
        <w:trPr>
          <w:trHeight w:val="363" w:hRule="exact"/>
        </w:trPr>
        <w:tc>
          <w:tcPr>
            <w:tcW w:w="1061"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3"/>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1</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180,633,275.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39,727,671.4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39,727,671.4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13,926,712.9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89,680,974.1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15,458,405.6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15,458,405.6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20,203,620.0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医疗信息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79,400,689.5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11,826,859.4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11,826,859.4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14,353,285.1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42,759,423.6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10,421,246.9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10,421,246.9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56,493.11</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广州睿图</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43,922,349.8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11,265,466.8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11,265,466.8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7,427,767.57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28,375,512.8</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6,581,663.13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6,581,663.13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1,265,234.48</w:t>
            </w:r>
          </w:p>
        </w:tc>
      </w:tr>
      <w:tr>
        <w:trPr>
          <w:trHeight w:val="715"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保睿通</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122,069,216.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42,319,875.6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42,319,875.6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30,515,051.5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54,420,212.5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8</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19,136,516.3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19,136,516.3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-4,729,977.33</w:t>
            </w:r>
          </w:p>
        </w:tc>
      </w:tr>
      <w:tr>
        <w:trPr>
          <w:trHeight w:val="713"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医卫信息</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26,765,816.2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7,000,651.01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7,000,651.01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5,086,791.16</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14,541,243.1</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1,537,692.35</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1,537,692.35</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-749,462.72</w:t>
            </w:r>
          </w:p>
        </w:tc>
      </w:tr>
    </w:tbl>
    <w:p>
      <w:pPr>
        <w:pStyle w:val="BodyText"/>
        <w:spacing w:line="240" w:lineRule="auto" w:before="51"/>
        <w:ind w:right="1133"/>
        <w:jc w:val="left"/>
      </w:pPr>
      <w:r>
        <w:rPr/>
        <w:t>其他说明：</w:t>
      </w:r>
    </w:p>
    <w:p>
      <w:pPr>
        <w:pStyle w:val="BodyText"/>
        <w:spacing w:line="300" w:lineRule="auto" w:before="117"/>
        <w:ind w:left="635" w:right="1377"/>
        <w:jc w:val="both"/>
      </w:pPr>
      <w:r>
        <w:rPr/>
        <w:t>说明</w:t>
      </w:r>
      <w:r>
        <w:rPr>
          <w:rFonts w:ascii="Times New Roman" w:hAnsi="Times New Roman" w:cs="Times New Roman" w:eastAsia="Times New Roman" w:hint="default"/>
        </w:rPr>
        <w:t>1</w:t>
      </w:r>
      <w:r>
        <w:rPr/>
        <w:t>：民生科技的主要财务信息来自其合并报表，包含孙公司人力资源公司、安徽民生公司以及山西民生公司； 说明</w:t>
      </w:r>
      <w:r>
        <w:rPr>
          <w:rFonts w:ascii="Times New Roman" w:hAnsi="Times New Roman" w:cs="Times New Roman" w:eastAsia="Times New Roman" w:hint="default"/>
        </w:rPr>
        <w:t>2</w:t>
      </w:r>
      <w:r>
        <w:rPr/>
        <w:t>：易惠科技的主要财务信息来自其合并报表，包含孙公司民生通公司、安徽易惠公司以及山西无感付公司； 说明</w:t>
      </w:r>
      <w:r>
        <w:rPr>
          <w:rFonts w:ascii="Times New Roman" w:hAnsi="Times New Roman" w:cs="Times New Roman" w:eastAsia="Times New Roman" w:hint="default"/>
        </w:rPr>
        <w:t>3</w:t>
      </w:r>
      <w:r>
        <w:rPr/>
        <w:t>：医疗信息的主要财务信息来自其合并报表，包含孙公司三明易就医、福州灵医。</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right="9854"/>
        <w:jc w:val="left"/>
      </w:pPr>
      <w:r>
        <w:rPr/>
        <w:t>无 其他说明：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left="635" w:right="3671"/>
        <w:jc w:val="left"/>
      </w:pPr>
      <w:r>
        <w:rPr/>
        <w:t>说明</w:t>
      </w:r>
      <w:r>
        <w:rPr>
          <w:rFonts w:ascii="Times New Roman" w:hAnsi="Times New Roman" w:cs="Times New Roman" w:eastAsia="Times New Roman" w:hint="default"/>
        </w:rPr>
        <w:t>1</w:t>
      </w:r>
      <w:r>
        <w:rPr/>
        <w:t>：本公司以现金购买子公司广东易联众少数股权，持股比例由</w:t>
      </w:r>
      <w:r>
        <w:rPr>
          <w:rFonts w:ascii="Times New Roman" w:hAnsi="Times New Roman" w:cs="Times New Roman" w:eastAsia="Times New Roman" w:hint="default"/>
        </w:rPr>
        <w:t>60%</w:t>
      </w:r>
      <w:r>
        <w:rPr/>
        <w:t>增至</w:t>
      </w:r>
      <w:r>
        <w:rPr>
          <w:rFonts w:ascii="Times New Roman" w:hAnsi="Times New Roman" w:cs="Times New Roman" w:eastAsia="Times New Roman" w:hint="default"/>
        </w:rPr>
        <w:t>100%</w:t>
      </w:r>
      <w:r>
        <w:rPr/>
        <w:t>。</w:t>
      </w:r>
      <w:r>
        <w:rPr>
          <w:spacing w:val="-87"/>
        </w:rPr>
        <w:t> </w:t>
      </w:r>
      <w:r>
        <w:rPr/>
        <w:t>说明</w:t>
      </w:r>
      <w:r>
        <w:rPr>
          <w:rFonts w:ascii="Times New Roman" w:hAnsi="Times New Roman" w:cs="Times New Roman" w:eastAsia="Times New Roman" w:hint="default"/>
        </w:rPr>
        <w:t>2</w:t>
      </w:r>
      <w:r>
        <w:rPr/>
        <w:t>：本公司以现金购买子公司海南易联众少数股权，持股比例由</w:t>
      </w:r>
      <w:r>
        <w:rPr>
          <w:rFonts w:ascii="Times New Roman" w:hAnsi="Times New Roman" w:cs="Times New Roman" w:eastAsia="Times New Roman" w:hint="default"/>
        </w:rPr>
        <w:t>60%</w:t>
      </w:r>
      <w:r>
        <w:rPr/>
        <w:t>增至</w:t>
      </w:r>
      <w:r>
        <w:rPr>
          <w:rFonts w:ascii="Times New Roman" w:hAnsi="Times New Roman" w:cs="Times New Roman" w:eastAsia="Times New Roman" w:hint="default"/>
        </w:rPr>
        <w:t>80%</w:t>
      </w:r>
      <w:r>
        <w:rPr/>
        <w:t>。</w:t>
      </w:r>
    </w:p>
    <w:p>
      <w:pPr>
        <w:spacing w:line="240" w:lineRule="auto" w:before="2"/>
        <w:rPr>
          <w:rFonts w:ascii="宋体" w:hAnsi="宋体" w:cs="宋体" w:eastAsia="宋体" w:hint="default"/>
          <w:sz w:val="22"/>
          <w:szCs w:val="22"/>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广东易联众</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海南易联众</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415,427.09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415,427.09</w:t>
            </w:r>
          </w:p>
        </w:tc>
      </w:tr>
      <w:tr>
        <w:trPr>
          <w:trHeight w:val="716"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3,385,338.14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287,039.33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r>
        <w:rPr/>
        <w:pict>
          <v:shape style="position:absolute;margin-left:392.950012pt;margin-top:552.675964pt;width:73.850pt;height:50.95pt;mso-position-horizontal-relative:page;mso-position-vertical-relative:page;z-index:-1326376" type="#_x0000_t202" filled="false" stroked="false">
            <v:textbox inset="0,0,0,0">
              <w:txbxContent>
                <w:p>
                  <w:pPr>
                    <w:spacing w:line="240" w:lineRule="auto" w:before="0"/>
                    <w:rPr>
                      <w:rFonts w:ascii="宋体" w:hAnsi="宋体" w:cs="宋体" w:eastAsia="宋体" w:hint="default"/>
                      <w:b/>
                      <w:bCs/>
                      <w:sz w:val="18"/>
                      <w:szCs w:val="18"/>
                    </w:rPr>
                  </w:pPr>
                </w:p>
                <w:p>
                  <w:pPr>
                    <w:pStyle w:val="BodyText"/>
                    <w:spacing w:line="240" w:lineRule="auto" w:before="128"/>
                    <w:ind w:left="0" w:right="0"/>
                    <w:jc w:val="left"/>
                  </w:pPr>
                  <w:r>
                    <w:rPr/>
                    <w:t>）</w:t>
                  </w:r>
                </w:p>
              </w:txbxContent>
            </v:textbox>
            <w10:wrap type="none"/>
          </v:shape>
        </w:pict>
      </w:r>
    </w:p>
    <w:tbl>
      <w:tblPr>
        <w:tblW w:w="0" w:type="auto"/>
        <w:jc w:val="left"/>
        <w:tblInd w:w="14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885,338.14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-128,387.76</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885,338.14</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-128,387.76</w:t>
            </w:r>
          </w:p>
        </w:tc>
      </w:tr>
    </w:tbl>
    <w:p>
      <w:pPr>
        <w:pStyle w:val="BodyText"/>
        <w:spacing w:line="357" w:lineRule="auto" w:before="51"/>
        <w:ind w:right="10034"/>
        <w:jc w:val="left"/>
      </w:pPr>
      <w:r>
        <w:rPr/>
        <w:t>其他说明 无</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401" w:hRule="exact"/>
        </w:trPr>
        <w:tc>
          <w:tcPr>
            <w:tcW w:w="13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4" w:lineRule="auto"/>
              <w:ind w:left="322" w:right="48" w:hanging="272"/>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2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47"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1"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北京尚洋易捷信 息技术股份有限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软件研发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31.14%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黑龙江易联众信 息工程技术有限 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哈尔滨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百川通信息技术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成都</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互联网支付、电 子商务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5"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厦门易联众金融 技术服务股份有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both"/>
              <w:rPr>
                <w:rFonts w:ascii="宋体" w:hAnsi="宋体" w:cs="宋体" w:eastAsia="宋体" w:hint="default"/>
                <w:sz w:val="18"/>
                <w:szCs w:val="18"/>
              </w:rPr>
            </w:pPr>
            <w:r>
              <w:rPr>
                <w:rFonts w:ascii="宋体" w:hAnsi="宋体" w:cs="宋体" w:eastAsia="宋体" w:hint="default"/>
                <w:sz w:val="18"/>
                <w:szCs w:val="18"/>
              </w:rPr>
              <w:t>金融信息技术外 包、金融业务流 程外包</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both"/>
              <w:rPr>
                <w:rFonts w:ascii="宋体" w:hAnsi="宋体" w:cs="宋体" w:eastAsia="宋体" w:hint="default"/>
                <w:sz w:val="18"/>
                <w:szCs w:val="18"/>
              </w:rPr>
            </w:pPr>
            <w:r>
              <w:rPr>
                <w:rFonts w:ascii="宋体" w:hAnsi="宋体" w:cs="宋体" w:eastAsia="宋体" w:hint="default"/>
                <w:sz w:val="18"/>
                <w:szCs w:val="18"/>
              </w:rPr>
              <w:t>福建易联众基因 检测分析技术有 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6" w:right="0"/>
              <w:jc w:val="left"/>
              <w:rPr>
                <w:rFonts w:ascii="宋体" w:hAnsi="宋体" w:cs="宋体" w:eastAsia="宋体" w:hint="default"/>
                <w:sz w:val="18"/>
                <w:szCs w:val="18"/>
              </w:rPr>
            </w:pPr>
            <w:r>
              <w:rPr>
                <w:rFonts w:ascii="宋体" w:hAnsi="宋体" w:cs="宋体" w:eastAsia="宋体" w:hint="default"/>
                <w:sz w:val="18"/>
                <w:szCs w:val="18"/>
              </w:rPr>
              <w:t>基因检测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广州桔叶信息科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8.57%</w:t>
            </w:r>
            <w:r>
              <w:rPr>
                <w:rFonts w:ascii="宋体" w:hAnsi="宋体" w:cs="宋体" w:eastAsia="宋体" w:hint="default"/>
                <w:sz w:val="18"/>
                <w:szCs w:val="18"/>
              </w:rPr>
              <w:t>（说明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8"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广东易联众民生 信息技术有限公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广州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软件开发及应用 系统集成</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64.60%</w:t>
            </w:r>
            <w:r>
              <w:rPr>
                <w:rFonts w:ascii="宋体" w:hAnsi="宋体" w:cs="宋体" w:eastAsia="宋体" w:hint="default"/>
                <w:sz w:val="18"/>
                <w:szCs w:val="18"/>
              </w:rPr>
              <w:t>（说明</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1018" w:lineRule="exact"/>
              <w:ind w:right="-51"/>
              <w:jc w:val="left"/>
              <w:rPr>
                <w:rFonts w:ascii="宋体" w:hAnsi="宋体" w:cs="宋体" w:eastAsia="宋体" w:hint="default"/>
                <w:sz w:val="20"/>
                <w:szCs w:val="20"/>
              </w:rPr>
            </w:pPr>
            <w:r>
              <w:rPr>
                <w:rFonts w:ascii="宋体" w:hAnsi="宋体" w:cs="宋体" w:eastAsia="宋体" w:hint="default"/>
                <w:position w:val="-19"/>
                <w:sz w:val="20"/>
                <w:szCs w:val="20"/>
              </w:rPr>
              <w:pict>
                <v:group style="width:67.850pt;height:50.95pt;mso-position-horizontal-relative:char;mso-position-vertical-relative:line" coordorigin="0,0" coordsize="1357,1019">
                  <v:group style="position:absolute;left:0;top:0;width:1357;height:1019" coordorigin="0,0" coordsize="1357,1019">
                    <v:shape style="position:absolute;left:0;top:0;width:1357;height:1019" coordorigin="0,0" coordsize="1357,1019" path="m0,1018l1356,1018,1356,0,0,0,0,1018xe" filled="true" fillcolor="#ffffff" stroked="false">
                      <v:path arrowok="t"/>
                      <v:fill type="solid"/>
                    </v:shape>
                  </v:group>
                  <v:group style="position:absolute;left:24;top:312;width:1311;height:394" coordorigin="24,312" coordsize="1311,394">
                    <v:shape style="position:absolute;left:24;top:312;width:1311;height:394" coordorigin="24,312" coordsize="1311,394" path="m24,706l1335,706,1335,312,24,312,24,706xe" filled="true" fillcolor="#ffffff" stroked="false">
                      <v:path arrowok="t"/>
                      <v:fill type="solid"/>
                    </v:shape>
                  </v:group>
                </v:group>
              </w:pict>
            </w:r>
            <w:r>
              <w:rPr>
                <w:rFonts w:ascii="宋体" w:hAnsi="宋体" w:cs="宋体" w:eastAsia="宋体" w:hint="default"/>
                <w:position w:val="-19"/>
                <w:sz w:val="20"/>
                <w:szCs w:val="20"/>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海保人寿保险股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海南</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保险业</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both"/>
              <w:rPr>
                <w:rFonts w:ascii="宋体" w:hAnsi="宋体" w:cs="宋体" w:eastAsia="宋体" w:hint="default"/>
                <w:sz w:val="18"/>
                <w:szCs w:val="18"/>
              </w:rPr>
            </w:pPr>
            <w:r>
              <w:rPr>
                <w:rFonts w:ascii="宋体" w:hAnsi="宋体" w:cs="宋体" w:eastAsia="宋体" w:hint="default"/>
                <w:sz w:val="18"/>
                <w:szCs w:val="18"/>
              </w:rPr>
              <w:t>福建省星民易付 多卡融合信息科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福建医联康护信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19.23%</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6"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4"/>
              <w:jc w:val="left"/>
              <w:rPr>
                <w:rFonts w:ascii="宋体" w:hAnsi="宋体" w:cs="宋体" w:eastAsia="宋体" w:hint="default"/>
                <w:sz w:val="18"/>
                <w:szCs w:val="18"/>
              </w:rPr>
            </w:pPr>
            <w:r>
              <w:rPr>
                <w:rFonts w:ascii="宋体" w:hAnsi="宋体" w:cs="宋体" w:eastAsia="宋体" w:hint="default"/>
                <w:sz w:val="18"/>
                <w:szCs w:val="18"/>
              </w:rPr>
              <w:t>厦门麟腾网络科 技有限公司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371"/>
        <w:gridCol w:w="1369"/>
        <w:gridCol w:w="1366"/>
        <w:gridCol w:w="1368"/>
        <w:gridCol w:w="1368"/>
        <w:gridCol w:w="1366"/>
        <w:gridCol w:w="1366"/>
      </w:tblGrid>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易宿（厦门）信 息技术有限公司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1027"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75"/>
              <w:jc w:val="both"/>
              <w:rPr>
                <w:rFonts w:ascii="宋体" w:hAnsi="宋体" w:cs="宋体" w:eastAsia="宋体" w:hint="default"/>
                <w:sz w:val="18"/>
                <w:szCs w:val="18"/>
              </w:rPr>
            </w:pPr>
            <w:r>
              <w:rPr>
                <w:rFonts w:ascii="宋体" w:hAnsi="宋体" w:cs="宋体" w:eastAsia="宋体" w:hint="default"/>
                <w:sz w:val="18"/>
                <w:szCs w:val="18"/>
              </w:rPr>
              <w:t>易联众（福建） 医疗器械有限公 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6" w:right="0"/>
              <w:jc w:val="left"/>
              <w:rPr>
                <w:rFonts w:ascii="宋体" w:hAnsi="宋体" w:cs="宋体" w:eastAsia="宋体" w:hint="default"/>
                <w:sz w:val="18"/>
                <w:szCs w:val="18"/>
              </w:rPr>
            </w:pPr>
            <w:r>
              <w:rPr>
                <w:rFonts w:ascii="宋体" w:hAnsi="宋体" w:cs="宋体" w:eastAsia="宋体" w:hint="default"/>
                <w:sz w:val="18"/>
                <w:szCs w:val="18"/>
              </w:rPr>
              <w:t>医疗器械销售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0"/>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临沂市民卡数据 服务有限公司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临沂</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软件和信息技术 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403" w:hRule="exact"/>
        </w:trPr>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百路源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湖州</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商务服务</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r>
    </w:tbl>
    <w:p>
      <w:pPr>
        <w:pStyle w:val="BodyText"/>
        <w:spacing w:line="357" w:lineRule="auto" w:before="51"/>
        <w:ind w:left="635" w:right="0" w:hanging="483"/>
        <w:jc w:val="left"/>
      </w:pPr>
      <w:r>
        <w:rPr/>
        <w:t>在合营企业或联营企业的持股比例不同于表决权比例的说明： </w:t>
      </w:r>
      <w:r>
        <w:rPr>
          <w:spacing w:val="-1"/>
        </w:rPr>
        <w:t>说明</w:t>
      </w:r>
      <w:r>
        <w:rPr>
          <w:rFonts w:ascii="Times New Roman" w:hAnsi="Times New Roman" w:cs="Times New Roman" w:eastAsia="Times New Roman" w:hint="default"/>
          <w:spacing w:val="-1"/>
        </w:rPr>
        <w:t>1</w:t>
      </w:r>
      <w:r>
        <w:rPr>
          <w:spacing w:val="-1"/>
        </w:rPr>
        <w:t>：根据广州桔叶的章程规定，被投资单位的重大事项（包括修改公司章程、合并分立解散清算、增资或减资等）</w:t>
      </w:r>
    </w:p>
    <w:p>
      <w:pPr>
        <w:pStyle w:val="BodyText"/>
        <w:spacing w:line="214" w:lineRule="exact"/>
        <w:ind w:right="0"/>
        <w:jc w:val="left"/>
      </w:pPr>
      <w:r>
        <w:rPr/>
        <w:t>需征得本公司的书面同意，董事会</w:t>
      </w:r>
      <w:r>
        <w:rPr>
          <w:rFonts w:ascii="Times New Roman" w:hAnsi="Times New Roman" w:cs="Times New Roman" w:eastAsia="Times New Roman" w:hint="default"/>
        </w:rPr>
        <w:t>9</w:t>
      </w:r>
      <w:r>
        <w:rPr/>
        <w:t>席中本公司占有</w:t>
      </w:r>
      <w:r>
        <w:rPr>
          <w:rFonts w:ascii="Times New Roman" w:hAnsi="Times New Roman" w:cs="Times New Roman" w:eastAsia="Times New Roman" w:hint="default"/>
        </w:rPr>
        <w:t>1</w:t>
      </w:r>
      <w:r>
        <w:rPr/>
        <w:t>席。本公司判断可以对广州桔叶施加重大影响，因此采用权益法核算。</w:t>
      </w:r>
    </w:p>
    <w:p>
      <w:pPr>
        <w:pStyle w:val="BodyText"/>
        <w:spacing w:line="300" w:lineRule="auto" w:before="63"/>
        <w:ind w:right="1129" w:firstLine="482"/>
        <w:jc w:val="both"/>
      </w:pPr>
      <w:r>
        <w:rPr>
          <w:spacing w:val="-1"/>
        </w:rPr>
        <w:t>说明</w:t>
      </w:r>
      <w:r>
        <w:rPr>
          <w:rFonts w:ascii="Times New Roman" w:hAnsi="Times New Roman" w:cs="Times New Roman" w:eastAsia="Times New Roman" w:hint="default"/>
          <w:spacing w:val="-1"/>
        </w:rPr>
        <w:t>2</w:t>
      </w:r>
      <w:r>
        <w:rPr>
          <w:spacing w:val="-1"/>
        </w:rPr>
        <w:t>：根据广东民生公司章程规定，公司设董事会，由</w:t>
      </w:r>
      <w:r>
        <w:rPr>
          <w:rFonts w:ascii="Times New Roman" w:hAnsi="Times New Roman" w:cs="Times New Roman" w:eastAsia="Times New Roman" w:hint="default"/>
          <w:spacing w:val="-1"/>
        </w:rPr>
        <w:t>5</w:t>
      </w:r>
      <w:r>
        <w:rPr>
          <w:spacing w:val="-1"/>
        </w:rPr>
        <w:t>名董事组成，其中本公司委派三名董事及董事长人选，合作</w:t>
      </w:r>
      <w:r>
        <w:rPr/>
        <w:t> 方广东妙联网信息科技服务有限公司委派两名董事及副董事长人选。董事会议事方式：决议经</w:t>
      </w:r>
      <w:r>
        <w:rPr>
          <w:rFonts w:ascii="Times New Roman" w:hAnsi="Times New Roman" w:cs="Times New Roman" w:eastAsia="Times New Roman" w:hint="default"/>
        </w:rPr>
        <w:t>2/3</w:t>
      </w:r>
      <w:r>
        <w:rPr/>
        <w:t>以上董事通过。本公司判</w:t>
      </w:r>
      <w:r>
        <w:rPr>
          <w:spacing w:val="-46"/>
        </w:rPr>
        <w:t> </w:t>
      </w:r>
      <w:r>
        <w:rPr>
          <w:spacing w:val="-46"/>
        </w:rPr>
      </w:r>
      <w:r>
        <w:rPr/>
        <w:t>断无法控制广东民生，因此采用权益法核算，不纳入合并报表范围。</w:t>
      </w:r>
    </w:p>
    <w:p>
      <w:pPr>
        <w:spacing w:line="240" w:lineRule="auto" w:before="0"/>
        <w:rPr>
          <w:rFonts w:ascii="宋体" w:hAnsi="宋体" w:cs="宋体" w:eastAsia="宋体" w:hint="default"/>
          <w:sz w:val="18"/>
          <w:szCs w:val="18"/>
        </w:rPr>
      </w:pPr>
    </w:p>
    <w:p>
      <w:pPr>
        <w:pStyle w:val="BodyText"/>
        <w:spacing w:line="340" w:lineRule="auto" w:before="148"/>
        <w:ind w:left="513" w:right="3348" w:hanging="361"/>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 无</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513" w:right="10034" w:hanging="361"/>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年度</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对联营企业权益投资的账面价值</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384,385,995.38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380,972,704.91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2"/>
                <w:sz w:val="18"/>
              </w:rPr>
              <w:t>-11,027,118.48</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533,655.37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743,192.72</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1,159,187.06</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-10,283,925.76</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1,692,842.43</w:t>
            </w:r>
          </w:p>
        </w:tc>
      </w:tr>
    </w:tbl>
    <w:p>
      <w:pPr>
        <w:pStyle w:val="BodyText"/>
        <w:spacing w:line="360" w:lineRule="auto" w:before="51"/>
        <w:ind w:left="513" w:right="10034" w:hanging="361"/>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1"/>
        <w:gridCol w:w="2396"/>
      </w:tblGrid>
      <w:tr>
        <w:trPr>
          <w:trHeight w:val="71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累积未确认前期累计的损失</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50" w:right="20" w:hanging="627"/>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r>
        <w:trPr>
          <w:trHeight w:val="716"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厦门易联众金融技术服务股 份有限公司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-1,471,271.84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-6,467,263.82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-7,938,535.65</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5"/>
              <w:jc w:val="left"/>
              <w:rPr>
                <w:rFonts w:ascii="宋体" w:hAnsi="宋体" w:cs="宋体" w:eastAsia="宋体" w:hint="default"/>
                <w:sz w:val="18"/>
                <w:szCs w:val="18"/>
              </w:rPr>
            </w:pPr>
            <w:r>
              <w:rPr>
                <w:rFonts w:ascii="宋体" w:hAnsi="宋体" w:cs="宋体" w:eastAsia="宋体" w:hint="default"/>
                <w:sz w:val="18"/>
                <w:szCs w:val="18"/>
              </w:rPr>
              <w:t>福建易联众基因检测分析技 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-385,578.85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-250,730.81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-636,309.66</w:t>
            </w:r>
          </w:p>
        </w:tc>
      </w:tr>
    </w:tbl>
    <w:p>
      <w:pPr>
        <w:pStyle w:val="BodyText"/>
        <w:spacing w:line="360" w:lineRule="auto" w:before="51"/>
        <w:ind w:left="513" w:right="10034" w:hanging="361"/>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94" w:right="10211"/>
        <w:jc w:val="center"/>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、重要的共同经营</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5534" w:hanging="361"/>
        <w:jc w:val="left"/>
      </w:pPr>
      <w:r>
        <w:rPr/>
        <w:t>在共同经营中的持股比例或享有的份额不同于表决权比例的说明： 无</w:t>
      </w:r>
    </w:p>
    <w:p>
      <w:pPr>
        <w:pStyle w:val="BodyText"/>
        <w:spacing w:line="357" w:lineRule="auto" w:before="27"/>
        <w:ind w:left="513" w:right="6794" w:hanging="361"/>
        <w:jc w:val="left"/>
      </w:pPr>
      <w:r>
        <w:rPr/>
        <w:t>共同经营为单独主体的，分类为共同经营的依据： 无</w:t>
      </w:r>
    </w:p>
    <w:p>
      <w:pPr>
        <w:pStyle w:val="BodyText"/>
        <w:spacing w:line="360" w:lineRule="auto" w:before="29"/>
        <w:ind w:left="513" w:right="10034" w:hanging="361"/>
        <w:jc w:val="left"/>
      </w:pPr>
      <w:r>
        <w:rPr/>
        <w:t>其他说明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left="513" w:right="6614" w:hanging="361"/>
        <w:jc w:val="left"/>
      </w:pPr>
      <w:r>
        <w:rPr/>
        <w:t>未纳入合并财务报表范围的结构化主体的相关说明： 无</w:t>
      </w:r>
    </w:p>
    <w:p>
      <w:pPr>
        <w:spacing w:line="240" w:lineRule="auto" w:before="2"/>
        <w:rPr>
          <w:rFonts w:ascii="宋体" w:hAnsi="宋体" w:cs="宋体" w:eastAsia="宋体" w:hint="default"/>
          <w:sz w:val="20"/>
          <w:szCs w:val="20"/>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494" w:right="10211"/>
        <w:jc w:val="center"/>
      </w:pPr>
      <w:r>
        <w:rPr/>
        <w:t>无</w:t>
      </w:r>
    </w:p>
    <w:p>
      <w:pPr>
        <w:spacing w:after="0" w:line="240" w:lineRule="auto"/>
        <w:jc w:val="center"/>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2" w:firstLine="480"/>
        <w:jc w:val="both"/>
      </w:pPr>
      <w:r>
        <w:rPr>
          <w:spacing w:val="-1"/>
        </w:rPr>
        <w:t>本公司与金融工具相关的风险源于本公司在经营过程中所确认的各类金融资产和金融负债，包括：信用风险、流动性</w:t>
      </w:r>
      <w:r>
        <w:rPr/>
        <w:t> 风险和市场风险。</w:t>
      </w:r>
    </w:p>
    <w:p>
      <w:pPr>
        <w:pStyle w:val="BodyText"/>
        <w:spacing w:line="316" w:lineRule="auto" w:before="19"/>
        <w:ind w:right="1131" w:firstLine="480"/>
        <w:jc w:val="both"/>
      </w:pPr>
      <w:r>
        <w:rPr>
          <w:spacing w:val="-1"/>
        </w:rPr>
        <w:t>本公司与金融工具相关的各类风险的管理目标和政策的制定由本公司管理层负责。经营管理层通过职能部门负责日常</w:t>
      </w:r>
      <w:r>
        <w:rPr/>
        <w:t> </w:t>
      </w:r>
      <w:r>
        <w:rPr>
          <w:spacing w:val="-2"/>
        </w:rPr>
        <w:t>的风险管理（例如本公司信用管理部对公司发生的赊销业务进行逐笔进行审核）。本公司内部审计部门对公司风险管理的政</w:t>
      </w:r>
      <w:r>
        <w:rPr>
          <w:spacing w:val="-66"/>
        </w:rPr>
        <w:t> </w:t>
      </w:r>
      <w:r>
        <w:rPr>
          <w:spacing w:val="-66"/>
        </w:rPr>
      </w:r>
      <w:r>
        <w:rPr/>
        <w:t>策和程序的执行情况进行日常监督，并且将有关发现及时报告给本公司审计委员会。</w:t>
      </w:r>
    </w:p>
    <w:p>
      <w:pPr>
        <w:pStyle w:val="BodyText"/>
        <w:spacing w:line="316" w:lineRule="auto" w:before="19"/>
        <w:ind w:right="1132" w:firstLine="480"/>
        <w:jc w:val="both"/>
      </w:pPr>
      <w:r>
        <w:rPr>
          <w:spacing w:val="-1"/>
        </w:rPr>
        <w:t>本公司风险管理的总体目标是在不过度影响公司竞争力和应变力的情况下，制定尽可能降低各类与金融工具相关风险</w:t>
      </w:r>
      <w:r>
        <w:rPr/>
        <w:t> 的风险管理政策。</w:t>
      </w:r>
    </w:p>
    <w:p>
      <w:pPr>
        <w:pStyle w:val="BodyText"/>
        <w:spacing w:line="300" w:lineRule="auto" w:before="19"/>
        <w:ind w:left="633" w:right="1133"/>
        <w:jc w:val="left"/>
      </w:pPr>
      <w:r>
        <w:rPr>
          <w:rFonts w:ascii="Times New Roman" w:hAnsi="Times New Roman" w:cs="Times New Roman" w:eastAsia="Times New Roman" w:hint="default"/>
        </w:rPr>
        <w:t>1.</w:t>
      </w:r>
      <w:r>
        <w:rPr/>
        <w:t>信用风险 </w:t>
      </w:r>
      <w:r>
        <w:rPr>
          <w:spacing w:val="-1"/>
        </w:rPr>
        <w:t>信用风险，是指金融工具的一方未能履行义务从而导致另一方发生财务损失的风险。本公司的信用风险主要产生于货</w:t>
      </w:r>
    </w:p>
    <w:p>
      <w:pPr>
        <w:pStyle w:val="BodyText"/>
        <w:spacing w:line="316" w:lineRule="auto" w:before="32"/>
        <w:ind w:right="1131"/>
        <w:jc w:val="both"/>
      </w:pPr>
      <w:r>
        <w:rPr>
          <w:spacing w:val="-2"/>
        </w:rPr>
        <w:t>币资金、应收账款、其他应收款以及长期应收款等，这些金融资产的信用风险源自交易对手违约，最大的风险敞口等于这些</w:t>
      </w:r>
      <w:r>
        <w:rPr>
          <w:spacing w:val="-64"/>
        </w:rPr>
        <w:t> </w:t>
      </w:r>
      <w:r>
        <w:rPr>
          <w:spacing w:val="-64"/>
        </w:rPr>
      </w:r>
      <w:r>
        <w:rPr/>
        <w:t>工具的账面金额。</w:t>
      </w:r>
    </w:p>
    <w:p>
      <w:pPr>
        <w:pStyle w:val="BodyText"/>
        <w:spacing w:line="316" w:lineRule="auto" w:before="19"/>
        <w:ind w:right="1135" w:firstLine="480"/>
        <w:jc w:val="both"/>
      </w:pPr>
      <w:r>
        <w:rPr>
          <w:spacing w:val="-1"/>
        </w:rPr>
        <w:t>本公司货币资金主要存放于商业银行等金融机构，本公司认为这些商业银行具备较高信誉和资产状况，存在较低的信</w:t>
      </w:r>
      <w:r>
        <w:rPr/>
        <w:t> 用风险。</w:t>
      </w:r>
    </w:p>
    <w:p>
      <w:pPr>
        <w:pStyle w:val="BodyText"/>
        <w:spacing w:line="316" w:lineRule="auto" w:before="19"/>
        <w:ind w:right="0" w:firstLine="480"/>
        <w:jc w:val="left"/>
      </w:pPr>
      <w:r>
        <w:rPr>
          <w:spacing w:val="-3"/>
        </w:rPr>
        <w:t>对于应收账款、其他应收款及长期应收款，本公司设定相关政策以控制信用风险敞口。本公司基于对客户的财务状况、</w:t>
      </w:r>
      <w:r>
        <w:rPr/>
        <w:t> </w:t>
      </w:r>
      <w:r>
        <w:rPr>
          <w:spacing w:val="-2"/>
        </w:rPr>
        <w:t>从第三方获取担保的可能性、信用记录及其他因素诸如目前市场状况等评估客户的信用资质并设置相应信用期。本公司会定</w:t>
      </w:r>
      <w:r>
        <w:rPr>
          <w:spacing w:val="-63"/>
        </w:rPr>
        <w:t> </w:t>
      </w:r>
      <w:r>
        <w:rPr>
          <w:spacing w:val="-63"/>
        </w:rPr>
      </w:r>
      <w:r>
        <w:rPr>
          <w:spacing w:val="-2"/>
        </w:rPr>
        <w:t>期对客户信用记录进行监控，对于信用记录不良的客户，本公司会采用书面催款、缩短信用期或取消信用期等方式，以确保</w:t>
      </w:r>
      <w:r>
        <w:rPr>
          <w:spacing w:val="-65"/>
        </w:rPr>
        <w:t> </w:t>
      </w:r>
      <w:r>
        <w:rPr>
          <w:spacing w:val="-65"/>
        </w:rPr>
      </w:r>
      <w:r>
        <w:rPr/>
        <w:t>本公司的整体信用风险在可控的范围内。</w:t>
      </w:r>
    </w:p>
    <w:p>
      <w:pPr>
        <w:pStyle w:val="BodyText"/>
        <w:spacing w:line="300" w:lineRule="auto" w:before="19"/>
        <w:ind w:left="633" w:right="0"/>
        <w:jc w:val="left"/>
      </w:pPr>
      <w:r>
        <w:rPr>
          <w:rFonts w:ascii="Times New Roman" w:hAnsi="Times New Roman" w:cs="Times New Roman" w:eastAsia="Times New Roman" w:hint="default"/>
        </w:rPr>
        <w:t>(1)</w:t>
      </w:r>
      <w:r>
        <w:rPr/>
        <w:t>信用风险显著增加判断标准</w:t>
      </w:r>
      <w:r>
        <w:rPr>
          <w:w w:val="99"/>
        </w:rPr>
        <w:t> </w:t>
      </w:r>
      <w:r>
        <w:rPr>
          <w:spacing w:val="-1"/>
        </w:rPr>
        <w:t>本公司在每个资产负债表日评估相关金融工具的信用风险自初始确认后是否已显著增加。在确定信用风险自初始确认</w:t>
      </w:r>
    </w:p>
    <w:p>
      <w:pPr>
        <w:pStyle w:val="BodyText"/>
        <w:spacing w:line="316" w:lineRule="auto" w:before="32"/>
        <w:ind w:right="1131"/>
        <w:jc w:val="both"/>
      </w:pPr>
      <w:r>
        <w:rPr>
          <w:spacing w:val="-2"/>
        </w:rPr>
        <w:t>后是否显著增加时，本公司考虑在无须付出不必要的额外成本或努力即可获得合理且有依据的信息，包括基于本公司历史数</w:t>
      </w:r>
      <w:r>
        <w:rPr>
          <w:spacing w:val="-64"/>
        </w:rPr>
        <w:t> </w:t>
      </w:r>
      <w:r>
        <w:rPr>
          <w:spacing w:val="-64"/>
        </w:rPr>
      </w:r>
      <w:r>
        <w:rPr>
          <w:spacing w:val="-2"/>
        </w:rPr>
        <w:t>据的定性和定量分析、外部信用风险评级以及前瞻性信息。本公司以单项金融工具或者具有相似信用风险特征的金融工具组</w:t>
      </w:r>
      <w:r>
        <w:rPr>
          <w:spacing w:val="-63"/>
        </w:rPr>
        <w:t> </w:t>
      </w:r>
      <w:r>
        <w:rPr>
          <w:spacing w:val="-63"/>
        </w:rPr>
      </w:r>
      <w:r>
        <w:rPr>
          <w:spacing w:val="-2"/>
        </w:rPr>
        <w:t>合为基础，通过比较金融工具在资产负债表日发生违约的风险与在初始确认日发生违约的风险，以确定金融工具预计存续期</w:t>
      </w:r>
      <w:r>
        <w:rPr>
          <w:spacing w:val="-64"/>
        </w:rPr>
        <w:t> </w:t>
      </w:r>
      <w:r>
        <w:rPr>
          <w:spacing w:val="-64"/>
        </w:rPr>
      </w:r>
      <w:r>
        <w:rPr/>
        <w:t>内发生违约风险的变化情况。</w:t>
      </w:r>
    </w:p>
    <w:p>
      <w:pPr>
        <w:pStyle w:val="BodyText"/>
        <w:spacing w:line="316" w:lineRule="auto" w:before="19"/>
        <w:ind w:right="1132" w:firstLine="480"/>
        <w:jc w:val="both"/>
      </w:pPr>
      <w:r>
        <w:rPr>
          <w:spacing w:val="-1"/>
        </w:rPr>
        <w:t>当触发以下一个或多个定量、定性标准时，本公司认为金融工具的信用风险已发生显著增加：定量标准主要为报告日</w:t>
      </w:r>
      <w:r>
        <w:rPr/>
        <w:t> </w:t>
      </w:r>
      <w:r>
        <w:rPr>
          <w:spacing w:val="-2"/>
        </w:rPr>
        <w:t>剩余存续期违约概率较初始确认时上升超过一定比例；定性标准为主要债务人经营或财务情况出现重大不利变化、预警客户</w:t>
      </w:r>
      <w:r>
        <w:rPr>
          <w:spacing w:val="-64"/>
        </w:rPr>
        <w:t> </w:t>
      </w:r>
      <w:r>
        <w:rPr>
          <w:spacing w:val="-64"/>
        </w:rPr>
      </w:r>
      <w:r>
        <w:rPr/>
        <w:t>清单等。</w:t>
      </w:r>
    </w:p>
    <w:p>
      <w:pPr>
        <w:pStyle w:val="BodyText"/>
        <w:spacing w:line="300" w:lineRule="auto" w:before="19"/>
        <w:ind w:left="633" w:right="0"/>
        <w:jc w:val="left"/>
      </w:pPr>
      <w:r>
        <w:rPr>
          <w:rFonts w:ascii="Times New Roman" w:hAnsi="Times New Roman" w:cs="Times New Roman" w:eastAsia="Times New Roman" w:hint="default"/>
        </w:rPr>
        <w:t>(2)</w:t>
      </w:r>
      <w:r>
        <w:rPr/>
        <w:t>已发生信用减值资产的定义</w:t>
      </w:r>
      <w:r>
        <w:rPr>
          <w:w w:val="99"/>
        </w:rPr>
        <w:t> </w:t>
      </w:r>
      <w:r>
        <w:rPr>
          <w:spacing w:val="-2"/>
        </w:rPr>
        <w:t>为确定是否发生信用减值，本公司所采用的界定标准，与内部针对相关金融工具的信用风险管理目标保持一致</w:t>
      </w:r>
      <w:r>
        <w:rPr>
          <w:rFonts w:ascii="Times New Roman" w:hAnsi="Times New Roman" w:cs="Times New Roman" w:eastAsia="Times New Roman" w:hint="default"/>
          <w:spacing w:val="-2"/>
        </w:rPr>
        <w:t>,</w:t>
      </w:r>
      <w:r>
        <w:rPr>
          <w:spacing w:val="-2"/>
        </w:rPr>
        <w:t>同时考</w:t>
      </w:r>
    </w:p>
    <w:p>
      <w:pPr>
        <w:pStyle w:val="BodyText"/>
        <w:spacing w:line="316" w:lineRule="auto" w:before="13"/>
        <w:ind w:left="633" w:right="1093" w:hanging="481"/>
        <w:jc w:val="left"/>
      </w:pPr>
      <w:r>
        <w:rPr/>
        <w:t>虑定量、定性指标。 本公司评估债务人是否发生信用减值时，主要考虑以下因素：发行方或债务人发生重大财务困难；债务人违反合同，</w:t>
      </w:r>
    </w:p>
    <w:p>
      <w:pPr>
        <w:pStyle w:val="BodyText"/>
        <w:spacing w:line="316" w:lineRule="auto" w:before="19"/>
        <w:ind w:right="1130"/>
        <w:jc w:val="both"/>
      </w:pPr>
      <w:r>
        <w:rPr>
          <w:spacing w:val="-2"/>
        </w:rPr>
        <w:t>如偿付利息或本金违约或逾期等；债权人出于与债务人财务困难有关的经济或合同考虑，给予债务人在任何其他情况下都不</w:t>
      </w:r>
      <w:r>
        <w:rPr>
          <w:spacing w:val="-64"/>
        </w:rPr>
        <w:t> </w:t>
      </w:r>
      <w:r>
        <w:rPr>
          <w:spacing w:val="-64"/>
        </w:rPr>
      </w:r>
      <w:r>
        <w:rPr>
          <w:spacing w:val="-2"/>
        </w:rPr>
        <w:t>会做出的让步；债务人很可能破产或进行其他财务重组；发行方或债务人财务困难导致该金融资产的活跃市场消失；以大幅</w:t>
      </w:r>
      <w:r>
        <w:rPr>
          <w:spacing w:val="-63"/>
        </w:rPr>
        <w:t> </w:t>
      </w:r>
      <w:r>
        <w:rPr>
          <w:spacing w:val="-63"/>
        </w:rPr>
      </w:r>
      <w:r>
        <w:rPr/>
        <w:t>折扣购买或源生一项金融资产，该折扣反映了发生信用损失的事实。</w:t>
      </w:r>
    </w:p>
    <w:p>
      <w:pPr>
        <w:pStyle w:val="BodyText"/>
        <w:spacing w:line="309" w:lineRule="auto" w:before="16"/>
        <w:ind w:left="633" w:right="1119"/>
        <w:jc w:val="left"/>
      </w:pPr>
      <w:r>
        <w:rPr/>
        <w:t>金融资产发生信用减值，有可能是多个事件的共同作用所致，未必是可单独识别的事件所致。 </w:t>
      </w:r>
      <w:r>
        <w:rPr>
          <w:rFonts w:ascii="Times New Roman" w:hAnsi="Times New Roman" w:cs="Times New Roman" w:eastAsia="Times New Roman" w:hint="default"/>
        </w:rPr>
        <w:t>(3)</w:t>
      </w:r>
      <w:r>
        <w:rPr/>
        <w:t>预期信用损失计量的参数 </w:t>
      </w:r>
      <w:r>
        <w:rPr>
          <w:spacing w:val="-1"/>
        </w:rPr>
        <w:t>根据信用风险是否发生显著增加以及是否已发生信用减值，本公司对不同的资产分别以</w:t>
      </w:r>
      <w:r>
        <w:rPr>
          <w:rFonts w:ascii="Times New Roman" w:hAnsi="Times New Roman" w:cs="Times New Roman" w:eastAsia="Times New Roman" w:hint="default"/>
          <w:spacing w:val="-1"/>
        </w:rPr>
        <w:t>12</w:t>
      </w:r>
      <w:r>
        <w:rPr>
          <w:spacing w:val="-1"/>
        </w:rPr>
        <w:t>个月或整个存续期的预期信</w:t>
      </w:r>
    </w:p>
    <w:p>
      <w:pPr>
        <w:pStyle w:val="BodyText"/>
        <w:spacing w:line="309" w:lineRule="auto" w:before="5"/>
        <w:ind w:right="1129"/>
        <w:jc w:val="both"/>
      </w:pPr>
      <w:r>
        <w:rPr>
          <w:spacing w:val="-2"/>
        </w:rPr>
        <w:t>用损失计量减值准备。预期信用损失计量的关键参数包括违约概率、违约损失率和违约风险敞口。本公司考虑历史统计数据</w:t>
      </w:r>
      <w:r>
        <w:rPr>
          <w:spacing w:val="-63"/>
        </w:rPr>
        <w:t> </w:t>
      </w:r>
      <w:r>
        <w:rPr>
          <w:spacing w:val="-63"/>
        </w:rPr>
      </w:r>
      <w:r>
        <w:rPr>
          <w:rFonts w:ascii="Times New Roman" w:hAnsi="Times New Roman" w:cs="Times New Roman" w:eastAsia="Times New Roman" w:hint="default"/>
          <w:spacing w:val="-1"/>
        </w:rPr>
        <w:t>(</w:t>
      </w:r>
      <w:r>
        <w:rPr>
          <w:spacing w:val="-1"/>
        </w:rPr>
        <w:t>如交易对手评级、担保方式及抵质押物类别、还款方式等</w:t>
      </w:r>
      <w:r>
        <w:rPr>
          <w:rFonts w:ascii="Times New Roman" w:hAnsi="Times New Roman" w:cs="Times New Roman" w:eastAsia="Times New Roman" w:hint="default"/>
          <w:spacing w:val="-1"/>
        </w:rPr>
        <w:t>)</w:t>
      </w:r>
      <w:r>
        <w:rPr>
          <w:spacing w:val="-1"/>
        </w:rPr>
        <w:t>的定量分析及前瞻性信息，建立违约概率、违约损失率及违约风</w:t>
      </w:r>
      <w:r>
        <w:rPr>
          <w:spacing w:val="-55"/>
        </w:rPr>
        <w:t> </w:t>
      </w:r>
      <w:r>
        <w:rPr>
          <w:spacing w:val="-55"/>
        </w:rPr>
      </w:r>
      <w:r>
        <w:rPr/>
        <w:t>险敞口模型。</w:t>
      </w:r>
    </w:p>
    <w:p>
      <w:pPr>
        <w:pStyle w:val="BodyText"/>
        <w:spacing w:line="319" w:lineRule="auto" w:before="24"/>
        <w:ind w:left="633" w:right="3253"/>
        <w:jc w:val="left"/>
      </w:pPr>
      <w:r>
        <w:rPr/>
        <w:t>相关定义如下： 违约概率是指债务人在未来</w:t>
      </w:r>
      <w:r>
        <w:rPr>
          <w:rFonts w:ascii="Times New Roman" w:hAnsi="Times New Roman" w:cs="Times New Roman" w:eastAsia="Times New Roman" w:hint="default"/>
        </w:rPr>
        <w:t>12</w:t>
      </w:r>
      <w:r>
        <w:rPr/>
        <w:t>个月或在整个剩余存续期，无法履行其偿付义务的可能性。</w:t>
      </w:r>
    </w:p>
    <w:p>
      <w:pPr>
        <w:pStyle w:val="BodyText"/>
        <w:spacing w:line="233" w:lineRule="exact"/>
        <w:ind w:left="633" w:right="0"/>
        <w:jc w:val="left"/>
      </w:pPr>
      <w:r>
        <w:rPr/>
        <w:t>违约损失率是指本公司对违约风险暴露发生损失程度作出的预期。根据交易对手的类型、追索的方式和优先级，以及</w:t>
      </w:r>
    </w:p>
    <w:p>
      <w:pPr>
        <w:spacing w:after="0" w:line="233" w:lineRule="exact"/>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300" w:lineRule="auto" w:before="44"/>
        <w:ind w:right="0"/>
        <w:jc w:val="left"/>
      </w:pPr>
      <w:r>
        <w:rPr>
          <w:spacing w:val="-2"/>
        </w:rPr>
        <w:t>担保品的不同，违约损失率也有所不同。违约损失率为违约发生时风险敞口损失的百分比，以未来</w:t>
      </w:r>
      <w:r>
        <w:rPr>
          <w:rFonts w:ascii="Times New Roman" w:hAnsi="Times New Roman" w:cs="Times New Roman" w:eastAsia="Times New Roman" w:hint="default"/>
          <w:spacing w:val="-2"/>
        </w:rPr>
        <w:t>12</w:t>
      </w:r>
      <w:r>
        <w:rPr>
          <w:spacing w:val="-2"/>
        </w:rPr>
        <w:t>个月内或整个存续期为</w:t>
      </w:r>
      <w:r>
        <w:rPr>
          <w:spacing w:val="-60"/>
        </w:rPr>
        <w:t> </w:t>
      </w:r>
      <w:r>
        <w:rPr>
          <w:spacing w:val="-60"/>
        </w:rPr>
      </w:r>
      <w:r>
        <w:rPr/>
        <w:t>基准进行计算；</w:t>
      </w:r>
    </w:p>
    <w:p>
      <w:pPr>
        <w:pStyle w:val="BodyText"/>
        <w:spacing w:line="309" w:lineRule="auto" w:before="31"/>
        <w:ind w:right="1129" w:firstLine="480"/>
        <w:jc w:val="both"/>
      </w:pPr>
      <w:r>
        <w:rPr>
          <w:spacing w:val="-1"/>
        </w:rPr>
        <w:t>违约风险敞口是指，在未来</w:t>
      </w:r>
      <w:r>
        <w:rPr>
          <w:rFonts w:ascii="Times New Roman" w:hAnsi="Times New Roman" w:cs="Times New Roman" w:eastAsia="Times New Roman" w:hint="default"/>
          <w:spacing w:val="-1"/>
        </w:rPr>
        <w:t>12</w:t>
      </w:r>
      <w:r>
        <w:rPr>
          <w:spacing w:val="-1"/>
        </w:rPr>
        <w:t>个月或在整个剩余存续期中，在违约发生时，本公司应被偿付的金额。前瞻性信息信用</w:t>
      </w:r>
      <w:r>
        <w:rPr/>
        <w:t> </w:t>
      </w:r>
      <w:r>
        <w:rPr>
          <w:spacing w:val="-2"/>
        </w:rPr>
        <w:t>风险显著增加的评估及预期信用损失的计算均涉及前瞻性信息。本公司通过进行历史数据分析，识别出影响各业务类型信用</w:t>
      </w:r>
      <w:r>
        <w:rPr>
          <w:spacing w:val="-64"/>
        </w:rPr>
        <w:t> </w:t>
      </w:r>
      <w:r>
        <w:rPr>
          <w:spacing w:val="-64"/>
        </w:rPr>
      </w:r>
      <w:r>
        <w:rPr/>
        <w:t>风险及预期信用损失的关键经济指标。</w:t>
      </w:r>
    </w:p>
    <w:p>
      <w:pPr>
        <w:pStyle w:val="BodyText"/>
        <w:spacing w:line="316" w:lineRule="auto" w:before="24"/>
        <w:ind w:right="1132" w:firstLine="480"/>
        <w:jc w:val="both"/>
      </w:pPr>
      <w:r>
        <w:rPr>
          <w:spacing w:val="-1"/>
        </w:rPr>
        <w:t>本公司所承受的最大信用风险敞口为资产负债表中每项金融资产的账面金额。本公司没有提供任何其他可能令本公司</w:t>
      </w:r>
      <w:r>
        <w:rPr/>
        <w:t> 承受信用风险的担保。</w:t>
      </w:r>
    </w:p>
    <w:p>
      <w:pPr>
        <w:pStyle w:val="BodyText"/>
        <w:spacing w:line="300" w:lineRule="auto" w:before="19"/>
        <w:ind w:right="1128" w:firstLine="480"/>
        <w:jc w:val="both"/>
      </w:pPr>
      <w:r>
        <w:rPr>
          <w:spacing w:val="-1"/>
        </w:rPr>
        <w:t>本公司应收账款中，前五大客户的应收账款占本公司应收账款总额的</w:t>
      </w:r>
      <w:r>
        <w:rPr>
          <w:rFonts w:ascii="Times New Roman" w:hAnsi="Times New Roman" w:cs="Times New Roman" w:eastAsia="Times New Roman" w:hint="default"/>
          <w:spacing w:val="-1"/>
        </w:rPr>
        <w:t>23.44%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39.19%</w:t>
      </w:r>
      <w:r>
        <w:rPr>
          <w:spacing w:val="-1"/>
        </w:rPr>
        <w:t>）；本公司其他应收款</w:t>
      </w:r>
      <w:r>
        <w:rPr/>
        <w:t> 中，欠款金额前五大公司的其他应收款占本公司其他应收款总额的</w:t>
      </w:r>
      <w:r>
        <w:rPr>
          <w:rFonts w:ascii="Times New Roman" w:hAnsi="Times New Roman" w:cs="Times New Roman" w:eastAsia="Times New Roman" w:hint="default"/>
        </w:rPr>
        <w:t>36.90</w:t>
      </w:r>
      <w:r>
        <w:rPr>
          <w:rFonts w:ascii="Times New Roman" w:hAnsi="Times New Roman" w:cs="Times New Roman" w:eastAsia="Times New Roman" w:hint="default"/>
          <w:spacing w:val="-3"/>
        </w:rPr>
        <w:t> </w:t>
      </w:r>
      <w:r>
        <w:rPr>
          <w:rFonts w:ascii="Times New Roman" w:hAnsi="Times New Roman" w:cs="Times New Roman" w:eastAsia="Times New Roman" w:hint="default"/>
        </w:rPr>
        <w:t>%</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28.51%</w:t>
      </w:r>
      <w:r>
        <w:rPr/>
        <w:t>）。</w:t>
      </w:r>
    </w:p>
    <w:p>
      <w:pPr>
        <w:pStyle w:val="BodyText"/>
        <w:spacing w:line="316" w:lineRule="auto" w:before="13"/>
        <w:ind w:left="633" w:right="1133" w:hanging="481"/>
        <w:jc w:val="left"/>
      </w:pPr>
      <w:r>
        <w:rPr>
          <w:rFonts w:ascii="宋体" w:hAnsi="宋体" w:cs="宋体" w:eastAsia="宋体" w:hint="default"/>
          <w:spacing w:val="90"/>
        </w:rPr>
        <w:t>  </w:t>
      </w:r>
      <w:r>
        <w:rPr>
          <w:rFonts w:ascii="宋体" w:hAnsi="宋体" w:cs="宋体" w:eastAsia="宋体" w:hint="default"/>
        </w:rPr>
        <w:t>  2.</w:t>
      </w:r>
      <w:r>
        <w:rPr/>
        <w:t>流动性风险 </w:t>
      </w:r>
      <w:r>
        <w:rPr>
          <w:spacing w:val="-1"/>
        </w:rPr>
        <w:t>流动性风险，是指企业在履行以交付现金或其他金融资产的方式结算的义务时发生资金短缺的风险。本公司统筹负责</w:t>
      </w:r>
    </w:p>
    <w:p>
      <w:pPr>
        <w:pStyle w:val="BodyText"/>
        <w:spacing w:line="316" w:lineRule="auto" w:before="19"/>
        <w:ind w:right="0"/>
        <w:jc w:val="left"/>
      </w:pPr>
      <w:r>
        <w:rPr>
          <w:spacing w:val="-2"/>
        </w:rPr>
        <w:t>公司内各子公司的现金管理工作，包括现金盈余的短期投资和筹措贷款以应付预计现金需求。本公司的政策是定期监控短期</w:t>
      </w:r>
      <w:r>
        <w:rPr>
          <w:spacing w:val="-64"/>
        </w:rPr>
        <w:t> </w:t>
      </w:r>
      <w:r>
        <w:rPr>
          <w:spacing w:val="-64"/>
        </w:rPr>
      </w:r>
      <w:r>
        <w:rPr/>
        <w:t>和长期的流动资金需求，以及是否符合借款协议的规定，以确保维持充裕的现金储备和可供随时变现的有价证券。</w:t>
      </w:r>
    </w:p>
    <w:p>
      <w:pPr>
        <w:pStyle w:val="BodyText"/>
        <w:spacing w:line="240" w:lineRule="auto" w:before="19"/>
        <w:ind w:left="633" w:right="0"/>
        <w:jc w:val="left"/>
      </w:pPr>
      <w:r>
        <w:rPr/>
        <w:t>本公司通过经营业务产生的资金及银行借款来筹措营运资金。于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日，本公司尚未使用的银行借款额度为</w:t>
      </w:r>
    </w:p>
    <w:p>
      <w:pPr>
        <w:pStyle w:val="BodyText"/>
        <w:spacing w:line="300" w:lineRule="auto" w:before="63"/>
        <w:ind w:left="633" w:right="5953" w:hanging="481"/>
        <w:jc w:val="left"/>
      </w:pPr>
      <w:r>
        <w:rPr>
          <w:rFonts w:ascii="Times New Roman" w:hAnsi="Times New Roman" w:cs="Times New Roman" w:eastAsia="Times New Roman" w:hint="default"/>
        </w:rPr>
        <w:t>8,120.00</w:t>
      </w:r>
      <w:r>
        <w:rPr/>
        <w:t>万元（</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31,900.00</w:t>
      </w:r>
      <w:r>
        <w:rPr/>
        <w:t>万元）。 截止</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日，本公司金融负债到期期限如下：</w:t>
      </w:r>
    </w:p>
    <w:p>
      <w:pPr>
        <w:pStyle w:val="BodyText"/>
        <w:spacing w:line="240" w:lineRule="auto" w:before="13"/>
        <w:ind w:left="0" w:right="1371"/>
        <w:jc w:val="right"/>
      </w:pPr>
      <w:r>
        <w:rPr/>
        <w:t>单位：万元</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733"/>
        <w:gridCol w:w="1275"/>
        <w:gridCol w:w="1416"/>
        <w:gridCol w:w="852"/>
        <w:gridCol w:w="1274"/>
        <w:gridCol w:w="1198"/>
        <w:gridCol w:w="1097"/>
      </w:tblGrid>
      <w:tr>
        <w:trPr>
          <w:trHeight w:val="341" w:hRule="exact"/>
        </w:trPr>
        <w:tc>
          <w:tcPr>
            <w:tcW w:w="1733" w:type="dxa"/>
            <w:vMerge w:val="restart"/>
            <w:tcBorders>
              <w:top w:val="single" w:sz="4" w:space="0" w:color="000000"/>
              <w:left w:val="single" w:sz="4" w:space="0" w:color="000000"/>
              <w:right w:val="single" w:sz="4" w:space="0" w:color="000000"/>
            </w:tcBorders>
          </w:tcPr>
          <w:p>
            <w:pPr>
              <w:pStyle w:val="TableParagraph"/>
              <w:spacing w:line="240" w:lineRule="auto" w:before="20"/>
              <w:ind w:left="50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7113"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3" w:hRule="exact"/>
        </w:trPr>
        <w:tc>
          <w:tcPr>
            <w:tcW w:w="1733"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个月内</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1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4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7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364"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8,042.93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17,000.00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25,042.93</w:t>
            </w:r>
          </w:p>
        </w:tc>
      </w:tr>
      <w:tr>
        <w:trPr>
          <w:trHeight w:val="344"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7,737.24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21,057.09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28,794.33</w:t>
            </w:r>
          </w:p>
        </w:tc>
      </w:tr>
      <w:tr>
        <w:trPr>
          <w:trHeight w:val="34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2,824.37</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1,873.27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4,697.64</w:t>
            </w:r>
          </w:p>
        </w:tc>
      </w:tr>
      <w:tr>
        <w:trPr>
          <w:trHeight w:val="655"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94"/>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138.31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120.00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pacing w:val="-1"/>
                <w:sz w:val="18"/>
              </w:rPr>
              <w:t>258.31</w:t>
            </w:r>
          </w:p>
        </w:tc>
      </w:tr>
      <w:tr>
        <w:trPr>
          <w:trHeight w:val="341"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2,040.00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2,040.00</w:t>
            </w:r>
          </w:p>
        </w:tc>
      </w:tr>
      <w:tr>
        <w:trPr>
          <w:trHeight w:val="343" w:hRule="exact"/>
        </w:trPr>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18,742.85</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40,050.36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w w:val="95"/>
                <w:sz w:val="18"/>
              </w:rPr>
              <w:t>2,040.00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3"/>
              <w:jc w:val="right"/>
              <w:rPr>
                <w:rFonts w:ascii="宋体" w:hAnsi="宋体" w:cs="宋体" w:eastAsia="宋体" w:hint="default"/>
                <w:sz w:val="18"/>
                <w:szCs w:val="18"/>
              </w:rPr>
            </w:pPr>
            <w:r>
              <w:rPr>
                <w:rFonts w:ascii="宋体" w:hAnsi="宋体" w:cs="宋体" w:eastAsia="宋体" w:hint="default"/>
                <w:sz w:val="18"/>
                <w:szCs w:val="18"/>
              </w:rPr>
              <w:t>－</w:t>
            </w:r>
          </w:p>
        </w:tc>
        <w:tc>
          <w:tcPr>
            <w:tcW w:w="10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0"/>
              <w:jc w:val="right"/>
              <w:rPr>
                <w:rFonts w:ascii="Times New Roman" w:hAnsi="Times New Roman" w:cs="Times New Roman" w:eastAsia="Times New Roman" w:hint="default"/>
                <w:sz w:val="18"/>
                <w:szCs w:val="18"/>
              </w:rPr>
            </w:pPr>
            <w:r>
              <w:rPr>
                <w:rFonts w:ascii="Times New Roman"/>
                <w:spacing w:val="-1"/>
                <w:sz w:val="18"/>
              </w:rPr>
              <w:t>60,833.21</w:t>
            </w:r>
          </w:p>
        </w:tc>
      </w:tr>
    </w:tbl>
    <w:p>
      <w:pPr>
        <w:pStyle w:val="BodyText"/>
        <w:spacing w:line="240" w:lineRule="auto" w:before="10"/>
        <w:ind w:left="633" w:right="1133"/>
        <w:jc w:val="left"/>
      </w:pPr>
      <w:r>
        <w:rPr/>
        <w:t>（续上表）</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2184"/>
        <w:gridCol w:w="1275"/>
        <w:gridCol w:w="1325"/>
        <w:gridCol w:w="948"/>
        <w:gridCol w:w="1258"/>
        <w:gridCol w:w="785"/>
        <w:gridCol w:w="1070"/>
      </w:tblGrid>
      <w:tr>
        <w:trPr>
          <w:trHeight w:val="343" w:hRule="exact"/>
        </w:trPr>
        <w:tc>
          <w:tcPr>
            <w:tcW w:w="2184" w:type="dxa"/>
            <w:vMerge w:val="restart"/>
            <w:tcBorders>
              <w:top w:val="single" w:sz="4" w:space="0" w:color="000000"/>
              <w:left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3"/>
                <w:sz w:val="18"/>
                <w:szCs w:val="18"/>
              </w:rPr>
              <w:t> </w:t>
            </w:r>
            <w:r>
              <w:rPr>
                <w:rFonts w:ascii="宋体" w:hAnsi="宋体" w:cs="宋体" w:eastAsia="宋体" w:hint="default"/>
                <w:sz w:val="18"/>
                <w:szCs w:val="18"/>
              </w:rPr>
              <w:t>目</w:t>
            </w:r>
          </w:p>
        </w:tc>
        <w:tc>
          <w:tcPr>
            <w:tcW w:w="6662"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r>
      <w:tr>
        <w:trPr>
          <w:trHeight w:val="341" w:hRule="exact"/>
        </w:trPr>
        <w:tc>
          <w:tcPr>
            <w:tcW w:w="2184" w:type="dxa"/>
            <w:vMerge/>
            <w:tcBorders>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个月内</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个月</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年</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1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宋体" w:hAnsi="宋体" w:cs="宋体" w:eastAsia="宋体" w:hint="default"/>
                <w:sz w:val="18"/>
                <w:szCs w:val="18"/>
              </w:rPr>
              <w:t>年</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35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43"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10,450.00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18,000.00</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28,450.00</w:t>
            </w:r>
          </w:p>
        </w:tc>
      </w:tr>
      <w:tr>
        <w:trPr>
          <w:trHeight w:val="34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w w:val="95"/>
                <w:sz w:val="18"/>
              </w:rPr>
              <w:t>7,693.10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2"/>
              <w:jc w:val="right"/>
              <w:rPr>
                <w:rFonts w:ascii="Times New Roman" w:hAnsi="Times New Roman" w:cs="Times New Roman" w:eastAsia="Times New Roman" w:hint="default"/>
                <w:sz w:val="18"/>
                <w:szCs w:val="18"/>
              </w:rPr>
            </w:pPr>
            <w:r>
              <w:rPr>
                <w:rFonts w:ascii="Times New Roman"/>
                <w:spacing w:val="-1"/>
                <w:sz w:val="18"/>
              </w:rPr>
              <w:t>14,919.53</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3"/>
              <w:ind w:right="0"/>
              <w:jc w:val="right"/>
              <w:rPr>
                <w:rFonts w:ascii="Times New Roman" w:hAnsi="Times New Roman" w:cs="Times New Roman" w:eastAsia="Times New Roman" w:hint="default"/>
                <w:sz w:val="18"/>
                <w:szCs w:val="18"/>
              </w:rPr>
            </w:pPr>
            <w:r>
              <w:rPr>
                <w:rFonts w:ascii="Times New Roman"/>
                <w:spacing w:val="-1"/>
                <w:sz w:val="18"/>
              </w:rPr>
              <w:t>22,612.63</w:t>
            </w:r>
          </w:p>
        </w:tc>
      </w:tr>
      <w:tr>
        <w:trPr>
          <w:trHeight w:val="343"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52.26</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2,052.26</w:t>
            </w:r>
          </w:p>
        </w:tc>
      </w:tr>
      <w:tr>
        <w:trPr>
          <w:trHeight w:val="34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1,732.04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2,643.95</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4,375.99</w:t>
            </w:r>
          </w:p>
        </w:tc>
      </w:tr>
      <w:tr>
        <w:trPr>
          <w:trHeight w:val="343"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207.14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207.14</w:t>
            </w:r>
          </w:p>
        </w:tc>
      </w:tr>
      <w:tr>
        <w:trPr>
          <w:trHeight w:val="341"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22.14</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30,022.14</w:t>
            </w:r>
          </w:p>
        </w:tc>
      </w:tr>
      <w:tr>
        <w:trPr>
          <w:trHeight w:val="343" w:hRule="exact"/>
        </w:trPr>
        <w:tc>
          <w:tcPr>
            <w:tcW w:w="2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20,134.54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35,585.62</w:t>
            </w:r>
          </w:p>
        </w:tc>
        <w:tc>
          <w:tcPr>
            <w:tcW w:w="9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w:t>
            </w:r>
          </w:p>
        </w:tc>
        <w:tc>
          <w:tcPr>
            <w:tcW w:w="1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32,000.00</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2"/>
              <w:jc w:val="right"/>
              <w:rPr>
                <w:rFonts w:ascii="宋体" w:hAnsi="宋体" w:cs="宋体" w:eastAsia="宋体" w:hint="default"/>
                <w:sz w:val="18"/>
                <w:szCs w:val="18"/>
              </w:rPr>
            </w:pPr>
            <w:r>
              <w:rPr>
                <w:rFonts w:ascii="宋体" w:hAnsi="宋体" w:cs="宋体" w:eastAsia="宋体" w:hint="default"/>
                <w:sz w:val="18"/>
                <w:szCs w:val="18"/>
              </w:rPr>
              <w:t>－</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87,720.16</w:t>
            </w:r>
          </w:p>
        </w:tc>
      </w:tr>
    </w:tbl>
    <w:p>
      <w:pPr>
        <w:pStyle w:val="BodyText"/>
        <w:spacing w:line="240" w:lineRule="auto" w:before="10"/>
        <w:ind w:right="1133"/>
        <w:jc w:val="left"/>
      </w:pPr>
      <w:r>
        <w:rPr>
          <w:rFonts w:ascii="宋体" w:hAnsi="宋体" w:cs="宋体" w:eastAsia="宋体" w:hint="default"/>
          <w:spacing w:val="90"/>
        </w:rPr>
        <w:t>  </w:t>
      </w:r>
      <w:r>
        <w:rPr>
          <w:rFonts w:ascii="宋体" w:hAnsi="宋体" w:cs="宋体" w:eastAsia="宋体" w:hint="default"/>
        </w:rPr>
        <w:t>  3.</w:t>
      </w:r>
      <w:r>
        <w:rPr/>
        <w:t>市场风险</w:t>
      </w:r>
    </w:p>
    <w:p>
      <w:pPr>
        <w:pStyle w:val="BodyText"/>
        <w:spacing w:line="316" w:lineRule="auto" w:before="76"/>
        <w:ind w:left="633" w:right="0"/>
        <w:jc w:val="left"/>
      </w:pPr>
      <w:r>
        <w:rPr>
          <w:spacing w:val="-3"/>
        </w:rPr>
        <w:t>金融工具的市场风险，是指金融工具的公允价值或未来现金流量因市场价格变动而发生波动的风险，主要是利率风险。</w:t>
      </w:r>
      <w:r>
        <w:rPr>
          <w:spacing w:val="-46"/>
        </w:rPr>
        <w:t> </w:t>
      </w:r>
      <w:r>
        <w:rPr>
          <w:spacing w:val="-46"/>
        </w:rPr>
      </w:r>
      <w:r>
        <w:rPr/>
        <w:t>本公司的利率风险主要产生于长期银行借款。浮动利率的金融负债使本公司面临现金流量利率风险，固定利率的金融</w:t>
      </w:r>
    </w:p>
    <w:p>
      <w:pPr>
        <w:pStyle w:val="BodyText"/>
        <w:spacing w:line="319" w:lineRule="auto" w:before="19"/>
        <w:ind w:left="633" w:right="0" w:hanging="481"/>
        <w:jc w:val="left"/>
      </w:pPr>
      <w:r>
        <w:rPr/>
        <w:t>负债使本公司面临公允价值利率风险。本公司根据当时的市场环境来决定固定利率及浮动利率合同的相对比例。 </w:t>
      </w:r>
      <w:r>
        <w:rPr>
          <w:spacing w:val="-1"/>
        </w:rPr>
        <w:t>本公司总部财务部门持续监控集团利率水平。利率上升会增加新增带息债务的成本以及本公司尚未付清的以浮动利率</w:t>
      </w:r>
    </w:p>
    <w:p>
      <w:pPr>
        <w:pStyle w:val="BodyText"/>
        <w:spacing w:line="240" w:lineRule="auto" w:before="17"/>
        <w:ind w:right="1133"/>
        <w:jc w:val="left"/>
      </w:pPr>
      <w:r>
        <w:rPr/>
        <w:t>计息的带息债务的利息支出，并对本公司的财务业绩产生重大的不利影响，管理层会依据最新的市场状况及时做出调整。</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6"/>
      </w:tblGrid>
      <w:tr>
        <w:trPr>
          <w:trHeight w:val="401"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7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715"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3" w:right="101" w:hanging="721"/>
              <w:jc w:val="left"/>
              <w:rPr>
                <w:rFonts w:ascii="宋体" w:hAnsi="宋体" w:cs="宋体" w:eastAsia="宋体" w:hint="default"/>
                <w:sz w:val="18"/>
                <w:szCs w:val="18"/>
              </w:rPr>
            </w:pPr>
            <w:r>
              <w:rPr>
                <w:rFonts w:ascii="宋体" w:hAnsi="宋体" w:cs="宋体" w:eastAsia="宋体" w:hint="default"/>
                <w:sz w:val="18"/>
                <w:szCs w:val="18"/>
              </w:rPr>
              <w:t>第一层次公允价值计 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8"/>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716"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z w:val="18"/>
                <w:szCs w:val="18"/>
              </w:rPr>
              <w:t> 量</w:t>
            </w: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8" w:right="0"/>
              <w:jc w:val="left"/>
              <w:rPr>
                <w:rFonts w:ascii="Times New Roman" w:hAnsi="Times New Roman" w:cs="Times New Roman" w:eastAsia="Times New Roman" w:hint="default"/>
                <w:sz w:val="18"/>
                <w:szCs w:val="18"/>
              </w:rPr>
            </w:pPr>
            <w:r>
              <w:rPr>
                <w:rFonts w:ascii="Times New Roman"/>
                <w:sz w:val="18"/>
              </w:rPr>
              <w:t>1,000,000.00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rPr>
          <w:rFonts w:ascii="宋体" w:hAnsi="宋体" w:cs="宋体" w:eastAsia="宋体" w:hint="default"/>
        </w:rPr>
      </w:pPr>
      <w:r>
        <w:rPr/>
        <w:t>无</w:t>
      </w:r>
      <w:r>
        <w:rPr>
          <w:rFonts w:ascii="宋体" w:hAnsi="宋体" w:cs="宋体" w:eastAsia="宋体" w:hint="default"/>
        </w:rPr>
        <w:t> </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4"/>
          <w:szCs w:val="14"/>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513" w:right="1133"/>
        <w:jc w:val="left"/>
        <w:rPr>
          <w:rFonts w:ascii="宋体" w:hAnsi="宋体" w:cs="宋体" w:eastAsia="宋体" w:hint="default"/>
        </w:rPr>
      </w:pPr>
      <w:r>
        <w:rPr/>
        <w:t>无</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rPr>
          <w:rFonts w:ascii="宋体" w:hAnsi="宋体" w:cs="宋体" w:eastAsia="宋体" w:hint="default"/>
        </w:rPr>
      </w:pPr>
      <w:r>
        <w:rPr/>
        <w:t>无</w:t>
      </w:r>
      <w:r>
        <w:rPr>
          <w:rFonts w:ascii="宋体" w:hAnsi="宋体" w:cs="宋体" w:eastAsia="宋体" w:hint="default"/>
        </w:rPr>
        <w:t> </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1133"/>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公允价值计量结果所属的层次，由对公允价值计量整体而言具有重要意义的输入值所属的最低层次决定：</w:t>
      </w:r>
    </w:p>
    <w:p>
      <w:pPr>
        <w:pStyle w:val="BodyText"/>
        <w:spacing w:line="316" w:lineRule="auto" w:before="76"/>
        <w:ind w:left="513" w:right="1133" w:hanging="361"/>
        <w:jc w:val="left"/>
        <w:rPr>
          <w:rFonts w:ascii="宋体" w:hAnsi="宋体" w:cs="宋体" w:eastAsia="宋体" w:hint="default"/>
        </w:rPr>
      </w:pPr>
      <w:r>
        <w:rPr>
          <w:rFonts w:ascii="宋体" w:hAnsi="宋体" w:cs="宋体" w:eastAsia="宋体" w:hint="default"/>
          <w:spacing w:val="90"/>
        </w:rPr>
        <w:t> </w:t>
      </w:r>
      <w:r>
        <w:rPr>
          <w:rFonts w:ascii="宋体" w:hAnsi="宋体" w:cs="宋体" w:eastAsia="宋体" w:hint="default"/>
        </w:rPr>
        <w:t>  </w:t>
      </w:r>
      <w:r>
        <w:rPr/>
        <w:t>第一层次：相同资产或负债在活跃市场上未经调整的报价。 第二层次：除第一层次输入值外相关资产或负债直接或间接可观察的输入值。</w:t>
      </w:r>
      <w:r>
        <w:rPr>
          <w:rFonts w:ascii="宋体" w:hAnsi="宋体" w:cs="宋体" w:eastAsia="宋体" w:hint="default"/>
        </w:rPr>
        <w:t> </w:t>
      </w:r>
      <w:r>
        <w:rPr/>
        <w:t>第三层次：相关资产或负债的不可观察输入值。</w:t>
      </w:r>
      <w:r>
        <w:rPr>
          <w:rFonts w:ascii="宋体" w:hAnsi="宋体" w:cs="宋体" w:eastAsia="宋体" w:hint="default"/>
        </w:rPr>
        <w:t> </w:t>
      </w:r>
    </w:p>
    <w:p>
      <w:pPr>
        <w:pStyle w:val="BodyText"/>
        <w:spacing w:line="240" w:lineRule="auto" w:before="19"/>
        <w:ind w:left="513" w:right="1133"/>
        <w:jc w:val="left"/>
      </w:pPr>
      <w:r>
        <w:rPr>
          <w:rFonts w:ascii="Times New Roman" w:hAnsi="Times New Roman" w:cs="Times New Roman" w:eastAsia="Times New Roman" w:hint="default"/>
        </w:rPr>
        <w:t>2019 </w:t>
      </w:r>
      <w:r>
        <w:rPr/>
        <w:t>年</w:t>
      </w:r>
      <w:r>
        <w:rPr>
          <w:spacing w:val="-49"/>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日，以公允价值计量的资产和负债的公允价值</w:t>
      </w:r>
    </w:p>
    <w:p>
      <w:pPr>
        <w:spacing w:line="240" w:lineRule="auto" w:before="13"/>
        <w:rPr>
          <w:rFonts w:ascii="宋体" w:hAnsi="宋体" w:cs="宋体" w:eastAsia="宋体" w:hint="default"/>
          <w:sz w:val="3"/>
          <w:szCs w:val="3"/>
        </w:rPr>
      </w:pPr>
    </w:p>
    <w:tbl>
      <w:tblPr>
        <w:tblW w:w="0" w:type="auto"/>
        <w:jc w:val="left"/>
        <w:tblInd w:w="525" w:type="dxa"/>
        <w:tblLayout w:type="fixed"/>
        <w:tblCellMar>
          <w:top w:w="0" w:type="dxa"/>
          <w:left w:w="0" w:type="dxa"/>
          <w:bottom w:w="0" w:type="dxa"/>
          <w:right w:w="0" w:type="dxa"/>
        </w:tblCellMar>
        <w:tblLook w:val="01E0"/>
      </w:tblPr>
      <w:tblGrid>
        <w:gridCol w:w="3615"/>
        <w:gridCol w:w="1311"/>
        <w:gridCol w:w="1313"/>
        <w:gridCol w:w="1311"/>
        <w:gridCol w:w="1310"/>
      </w:tblGrid>
      <w:tr>
        <w:trPr>
          <w:trHeight w:val="403" w:hRule="exact"/>
        </w:trPr>
        <w:tc>
          <w:tcPr>
            <w:tcW w:w="3615" w:type="dxa"/>
            <w:vMerge w:val="restart"/>
            <w:tcBorders>
              <w:top w:val="single" w:sz="8" w:space="0" w:color="000000"/>
              <w:left w:val="nil" w:sz="6" w:space="0" w:color="auto"/>
              <w:right w:val="single" w:sz="2"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82"/>
              <w:jc w:val="center"/>
              <w:rPr>
                <w:rFonts w:ascii="宋体" w:hAnsi="宋体" w:cs="宋体" w:eastAsia="宋体" w:hint="default"/>
                <w:sz w:val="18"/>
                <w:szCs w:val="18"/>
              </w:rPr>
            </w:pPr>
            <w:r>
              <w:rPr>
                <w:rFonts w:ascii="宋体" w:hAnsi="宋体" w:cs="宋体" w:eastAsia="宋体" w:hint="default"/>
                <w:sz w:val="18"/>
                <w:szCs w:val="18"/>
              </w:rPr>
              <w:t>项 </w:t>
            </w:r>
            <w:r>
              <w:rPr>
                <w:rFonts w:ascii="宋体" w:hAnsi="宋体" w:cs="宋体" w:eastAsia="宋体" w:hint="default"/>
                <w:spacing w:val="2"/>
                <w:sz w:val="18"/>
                <w:szCs w:val="18"/>
              </w:rPr>
              <w:t> </w:t>
            </w:r>
            <w:r>
              <w:rPr>
                <w:rFonts w:ascii="宋体" w:hAnsi="宋体" w:cs="宋体" w:eastAsia="宋体" w:hint="default"/>
                <w:sz w:val="18"/>
                <w:szCs w:val="18"/>
              </w:rPr>
              <w:t>目</w:t>
            </w:r>
          </w:p>
        </w:tc>
        <w:tc>
          <w:tcPr>
            <w:tcW w:w="5245" w:type="dxa"/>
            <w:gridSpan w:val="4"/>
            <w:tcBorders>
              <w:top w:val="single" w:sz="8" w:space="0" w:color="000000"/>
              <w:left w:val="single" w:sz="2" w:space="0" w:color="000000"/>
              <w:bottom w:val="single" w:sz="2" w:space="0" w:color="000000"/>
              <w:right w:val="nil" w:sz="6" w:space="0" w:color="auto"/>
            </w:tcBorders>
          </w:tcPr>
          <w:p>
            <w:pPr>
              <w:pStyle w:val="TableParagraph"/>
              <w:spacing w:line="240" w:lineRule="auto" w:before="51"/>
              <w:ind w:left="146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日公允价值</w:t>
            </w:r>
          </w:p>
        </w:tc>
      </w:tr>
      <w:tr>
        <w:trPr>
          <w:trHeight w:val="710" w:hRule="exact"/>
        </w:trPr>
        <w:tc>
          <w:tcPr>
            <w:tcW w:w="3615" w:type="dxa"/>
            <w:vMerge/>
            <w:tcBorders>
              <w:left w:val="nil" w:sz="6" w:space="0" w:color="auto"/>
              <w:bottom w:val="single" w:sz="2" w:space="0" w:color="000000"/>
              <w:right w:val="single" w:sz="2" w:space="0" w:color="000000"/>
            </w:tcBorders>
          </w:tcPr>
          <w:p>
            <w:pP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40" w:right="165" w:hanging="180"/>
              <w:jc w:val="left"/>
              <w:rPr>
                <w:rFonts w:ascii="宋体" w:hAnsi="宋体" w:cs="宋体" w:eastAsia="宋体" w:hint="default"/>
                <w:sz w:val="18"/>
                <w:szCs w:val="18"/>
              </w:rPr>
            </w:pPr>
            <w:r>
              <w:rPr>
                <w:rFonts w:ascii="宋体" w:hAnsi="宋体" w:cs="宋体" w:eastAsia="宋体" w:hint="default"/>
                <w:sz w:val="18"/>
                <w:szCs w:val="18"/>
              </w:rPr>
              <w:t>第一层次公允 价值计量</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42" w:right="163" w:hanging="180"/>
              <w:jc w:val="left"/>
              <w:rPr>
                <w:rFonts w:ascii="宋体" w:hAnsi="宋体" w:cs="宋体" w:eastAsia="宋体" w:hint="default"/>
                <w:sz w:val="18"/>
                <w:szCs w:val="18"/>
              </w:rPr>
            </w:pPr>
            <w:r>
              <w:rPr>
                <w:rFonts w:ascii="宋体" w:hAnsi="宋体" w:cs="宋体" w:eastAsia="宋体" w:hint="default"/>
                <w:sz w:val="18"/>
                <w:szCs w:val="18"/>
              </w:rPr>
              <w:t>第二层次公允 价值计量</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316" w:lineRule="auto" w:before="51"/>
              <w:ind w:left="240" w:right="164" w:hanging="180"/>
              <w:jc w:val="left"/>
              <w:rPr>
                <w:rFonts w:ascii="宋体" w:hAnsi="宋体" w:cs="宋体" w:eastAsia="宋体" w:hint="default"/>
                <w:sz w:val="18"/>
                <w:szCs w:val="18"/>
              </w:rPr>
            </w:pPr>
            <w:r>
              <w:rPr>
                <w:rFonts w:ascii="宋体" w:hAnsi="宋体" w:cs="宋体" w:eastAsia="宋体" w:hint="default"/>
                <w:sz w:val="18"/>
                <w:szCs w:val="18"/>
              </w:rPr>
              <w:t>第三层次公允 价值计量</w:t>
            </w: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397" w:hRule="exact"/>
        </w:trPr>
        <w:tc>
          <w:tcPr>
            <w:tcW w:w="3615" w:type="dxa"/>
            <w:tcBorders>
              <w:top w:val="single" w:sz="2" w:space="0" w:color="000000"/>
              <w:left w:val="nil" w:sz="6" w:space="0" w:color="auto"/>
              <w:bottom w:val="single" w:sz="2" w:space="0" w:color="000000"/>
              <w:right w:val="single" w:sz="2" w:space="0" w:color="000000"/>
            </w:tcBorders>
          </w:tcPr>
          <w:p>
            <w:pPr>
              <w:pStyle w:val="TableParagraph"/>
              <w:spacing w:line="240" w:lineRule="auto" w:before="52"/>
              <w:ind w:left="16" w:right="0"/>
              <w:jc w:val="left"/>
              <w:rPr>
                <w:rFonts w:ascii="宋体" w:hAnsi="宋体" w:cs="宋体" w:eastAsia="宋体" w:hint="default"/>
                <w:sz w:val="18"/>
                <w:szCs w:val="18"/>
              </w:rPr>
            </w:pPr>
            <w:r>
              <w:rPr>
                <w:rFonts w:ascii="宋体" w:hAnsi="宋体" w:cs="宋体" w:eastAsia="宋体" w:hint="default"/>
                <w:sz w:val="18"/>
                <w:szCs w:val="18"/>
              </w:rPr>
              <w:t>（一）其他权益工具投资</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31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311"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310" w:type="dxa"/>
            <w:tcBorders>
              <w:top w:val="single" w:sz="2" w:space="0" w:color="000000"/>
              <w:left w:val="single" w:sz="2" w:space="0" w:color="000000"/>
              <w:bottom w:val="single" w:sz="2" w:space="0" w:color="000000"/>
              <w:right w:val="nil" w:sz="6" w:space="0" w:color="auto"/>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6" w:hRule="exact"/>
        </w:trPr>
        <w:tc>
          <w:tcPr>
            <w:tcW w:w="3615" w:type="dxa"/>
            <w:tcBorders>
              <w:top w:val="single" w:sz="2" w:space="0" w:color="000000"/>
              <w:left w:val="nil" w:sz="6" w:space="0" w:color="auto"/>
              <w:bottom w:val="single" w:sz="8" w:space="0" w:color="000000"/>
              <w:right w:val="single" w:sz="2"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（二）其他非流动金融资产</w:t>
            </w:r>
          </w:p>
        </w:tc>
        <w:tc>
          <w:tcPr>
            <w:tcW w:w="1311"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31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51"/>
              <w:ind w:right="101"/>
              <w:jc w:val="right"/>
              <w:rPr>
                <w:rFonts w:ascii="宋体" w:hAnsi="宋体" w:cs="宋体" w:eastAsia="宋体" w:hint="default"/>
                <w:sz w:val="18"/>
                <w:szCs w:val="18"/>
              </w:rPr>
            </w:pPr>
            <w:r>
              <w:rPr>
                <w:rFonts w:ascii="宋体" w:hAnsi="宋体" w:cs="宋体" w:eastAsia="宋体" w:hint="default"/>
                <w:sz w:val="18"/>
                <w:szCs w:val="18"/>
              </w:rPr>
              <w:t>－</w:t>
            </w:r>
          </w:p>
        </w:tc>
        <w:tc>
          <w:tcPr>
            <w:tcW w:w="1311"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w:t>
            </w:r>
          </w:p>
        </w:tc>
        <w:tc>
          <w:tcPr>
            <w:tcW w:w="1310" w:type="dxa"/>
            <w:tcBorders>
              <w:top w:val="single" w:sz="2" w:space="0" w:color="000000"/>
              <w:left w:val="single" w:sz="2" w:space="0" w:color="000000"/>
              <w:bottom w:val="single" w:sz="8" w:space="0" w:color="000000"/>
              <w:right w:val="nil" w:sz="6" w:space="0" w:color="auto"/>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1,000,000.00</w:t>
            </w:r>
          </w:p>
        </w:tc>
      </w:tr>
    </w:tbl>
    <w:p>
      <w:pPr>
        <w:pStyle w:val="BodyText"/>
        <w:spacing w:line="316" w:lineRule="auto" w:before="10"/>
        <w:ind w:right="1034"/>
        <w:jc w:val="left"/>
      </w:pPr>
      <w:r>
        <w:rPr>
          <w:rFonts w:ascii="宋体" w:hAnsi="宋体" w:cs="宋体" w:eastAsia="宋体" w:hint="default"/>
          <w:spacing w:val="90"/>
        </w:rPr>
        <w:t> </w:t>
      </w:r>
      <w:r>
        <w:rPr>
          <w:rFonts w:ascii="宋体" w:hAnsi="宋体" w:cs="宋体" w:eastAsia="宋体" w:hint="default"/>
        </w:rPr>
        <w:t>  </w:t>
      </w:r>
      <w:r>
        <w:rPr/>
        <w:t>对于在活跃市场上交易的金融工具，本公司以其活跃市场报价确定其公允价值；对于不在活跃市场上交易的金融工具， </w:t>
      </w:r>
      <w:r>
        <w:rPr>
          <w:spacing w:val="-2"/>
        </w:rPr>
        <w:t>本公司采用估值技术确定其公允价值。所使用的估值模型主要为现金流量折现模型和市场可比公司模型等。估值技术的输入</w:t>
      </w:r>
      <w:r>
        <w:rPr>
          <w:spacing w:val="-64"/>
        </w:rPr>
        <w:t> </w:t>
      </w:r>
      <w:r>
        <w:rPr>
          <w:spacing w:val="-64"/>
        </w:rPr>
      </w:r>
      <w:r>
        <w:rPr/>
        <w:t>值主要包括无风险利率、基准利率、汇率、信用点差、流动性溢价、缺乏流动性折扣等。</w:t>
      </w:r>
    </w:p>
    <w:p>
      <w:pPr>
        <w:spacing w:line="240" w:lineRule="auto" w:before="11"/>
        <w:rPr>
          <w:rFonts w:ascii="宋体" w:hAnsi="宋体" w:cs="宋体" w:eastAsia="宋体" w:hint="default"/>
          <w:sz w:val="20"/>
          <w:szCs w:val="20"/>
        </w:rPr>
      </w:pPr>
    </w:p>
    <w:p>
      <w:pPr>
        <w:spacing w:line="506" w:lineRule="auto" w:before="0"/>
        <w:ind w:left="152" w:right="8104" w:firstLine="0"/>
        <w:jc w:val="left"/>
        <w:rPr>
          <w:rFonts w:ascii="宋体" w:hAnsi="宋体" w:cs="宋体" w:eastAsia="宋体" w:hint="default"/>
          <w:sz w:val="18"/>
          <w:szCs w:val="18"/>
        </w:rPr>
      </w:pPr>
      <w:r>
        <w:rPr/>
        <w:pict>
          <v:shape style="position:absolute;margin-left:56.400002pt;margin-top:80.75563pt;width:443.05pt;height:82.9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56"/>
                    <w:gridCol w:w="5058"/>
                    <w:gridCol w:w="1633"/>
                  </w:tblGrid>
                  <w:tr>
                    <w:trPr>
                      <w:trHeight w:val="341"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624" w:right="0"/>
                          <w:jc w:val="left"/>
                          <w:rPr>
                            <w:rFonts w:ascii="宋体" w:hAnsi="宋体" w:cs="宋体" w:eastAsia="宋体" w:hint="default"/>
                            <w:sz w:val="18"/>
                            <w:szCs w:val="18"/>
                          </w:rPr>
                        </w:pPr>
                        <w:r>
                          <w:rPr>
                            <w:rFonts w:ascii="宋体" w:hAnsi="宋体" w:cs="宋体" w:eastAsia="宋体" w:hint="default"/>
                            <w:sz w:val="18"/>
                            <w:szCs w:val="18"/>
                          </w:rPr>
                          <w:t>关联方名称</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类型</w:t>
                        </w:r>
                      </w:p>
                    </w:tc>
                  </w:tr>
                  <w:tr>
                    <w:trPr>
                      <w:trHeight w:val="343"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pacing w:val="-1"/>
                            <w:sz w:val="18"/>
                            <w:szCs w:val="18"/>
                          </w:rPr>
                          <w:t>本公司控股股东、实际控制人、董事长，持有本公司</w:t>
                        </w:r>
                        <w:r>
                          <w:rPr>
                            <w:rFonts w:ascii="Times New Roman" w:hAnsi="Times New Roman" w:cs="Times New Roman" w:eastAsia="Times New Roman" w:hint="default"/>
                            <w:spacing w:val="-1"/>
                            <w:sz w:val="18"/>
                            <w:szCs w:val="18"/>
                          </w:rPr>
                          <w:t>16.21%</w:t>
                        </w:r>
                        <w:r>
                          <w:rPr>
                            <w:rFonts w:ascii="宋体" w:hAnsi="宋体" w:cs="宋体" w:eastAsia="宋体" w:hint="default"/>
                            <w:spacing w:val="-1"/>
                            <w:sz w:val="18"/>
                            <w:szCs w:val="18"/>
                          </w:rPr>
                          <w:t>股权</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自然人</w:t>
                        </w:r>
                      </w:p>
                    </w:tc>
                  </w:tr>
                  <w:tr>
                    <w:trPr>
                      <w:trHeight w:val="965" w:hRule="exact"/>
                    </w:trPr>
                    <w:tc>
                      <w:tcPr>
                        <w:tcW w:w="21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厦门麟真贸易有限公司</w:t>
                        </w:r>
                      </w:p>
                    </w:tc>
                    <w:tc>
                      <w:tcPr>
                        <w:tcW w:w="505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20"/>
                          <w:ind w:left="4" w:right="0"/>
                          <w:jc w:val="left"/>
                          <w:rPr>
                            <w:rFonts w:ascii="宋体" w:hAnsi="宋体" w:cs="宋体" w:eastAsia="宋体" w:hint="default"/>
                            <w:sz w:val="18"/>
                            <w:szCs w:val="18"/>
                          </w:rPr>
                        </w:pPr>
                        <w:r>
                          <w:rPr>
                            <w:rFonts w:ascii="宋体" w:hAnsi="宋体" w:cs="宋体" w:eastAsia="宋体" w:hint="default"/>
                            <w:spacing w:val="-3"/>
                            <w:sz w:val="18"/>
                            <w:szCs w:val="18"/>
                          </w:rPr>
                          <w:t>张曦为该公司实际控制人并持股</w:t>
                        </w:r>
                        <w:r>
                          <w:rPr>
                            <w:rFonts w:ascii="Times New Roman" w:hAnsi="Times New Roman" w:cs="Times New Roman" w:eastAsia="Times New Roman" w:hint="default"/>
                            <w:spacing w:val="-3"/>
                            <w:sz w:val="18"/>
                            <w:szCs w:val="18"/>
                          </w:rPr>
                          <w:t>100%</w:t>
                        </w:r>
                        <w:r>
                          <w:rPr>
                            <w:rFonts w:ascii="宋体" w:hAnsi="宋体" w:cs="宋体" w:eastAsia="宋体" w:hint="default"/>
                            <w:spacing w:val="-3"/>
                            <w:sz w:val="18"/>
                            <w:szCs w:val="18"/>
                          </w:rPr>
                          <w:t>，为张曦一致行动人，截止</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日，厦门麟真持有本公司</w:t>
                        </w:r>
                        <w:r>
                          <w:rPr>
                            <w:rFonts w:ascii="Times New Roman" w:hAnsi="Times New Roman" w:cs="Times New Roman" w:eastAsia="Times New Roman" w:hint="default"/>
                            <w:sz w:val="18"/>
                            <w:szCs w:val="18"/>
                          </w:rPr>
                          <w:t>9.25%</w:t>
                        </w:r>
                        <w:r>
                          <w:rPr>
                            <w:rFonts w:ascii="宋体" w:hAnsi="宋体" w:cs="宋体" w:eastAsia="宋体" w:hint="default"/>
                            <w:sz w:val="18"/>
                            <w:szCs w:val="18"/>
                          </w:rPr>
                          <w:t>股权，截止财务报 告批准报出日，厦门麟真持有本公司</w:t>
                        </w:r>
                        <w:r>
                          <w:rPr>
                            <w:rFonts w:ascii="Times New Roman" w:hAnsi="Times New Roman" w:cs="Times New Roman" w:eastAsia="Times New Roman" w:hint="default"/>
                            <w:sz w:val="18"/>
                            <w:szCs w:val="18"/>
                          </w:rPr>
                          <w:t>3.81%</w:t>
                        </w:r>
                        <w:r>
                          <w:rPr>
                            <w:rFonts w:ascii="宋体" w:hAnsi="宋体" w:cs="宋体" w:eastAsia="宋体" w:hint="default"/>
                            <w:sz w:val="18"/>
                            <w:szCs w:val="18"/>
                          </w:rPr>
                          <w:t>的股权。</w:t>
                        </w:r>
                      </w:p>
                    </w:tc>
                    <w:tc>
                      <w:tcPr>
                        <w:tcW w:w="1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r>
                </w:tbl>
                <w:p>
                  <w:pPr/>
                </w:p>
              </w:txbxContent>
            </v:textbox>
            <w10:wrap type="none"/>
          </v:shape>
        </w:pict>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b/>
          <w:bCs/>
          <w:w w:val="100"/>
          <w:sz w:val="21"/>
          <w:szCs w:val="21"/>
        </w:rPr>
        <w:t> </w:t>
      </w:r>
      <w:r>
        <w:rPr>
          <w:rFonts w:ascii="宋体" w:hAnsi="宋体" w:cs="宋体" w:eastAsia="宋体" w:hint="default"/>
          <w:sz w:val="18"/>
          <w:szCs w:val="18"/>
        </w:rPr>
        <w:t>本企业的母公司情况的说明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360" w:lineRule="auto" w:before="44"/>
        <w:ind w:right="8594"/>
        <w:jc w:val="left"/>
      </w:pPr>
      <w:r>
        <w:rPr/>
        <w:t>本企业最终控制方是张曦。 其他说明：</w:t>
      </w:r>
    </w:p>
    <w:p>
      <w:pPr>
        <w:pStyle w:val="BodyText"/>
        <w:spacing w:line="319" w:lineRule="auto" w:before="25"/>
        <w:ind w:right="0"/>
        <w:jc w:val="left"/>
      </w:pPr>
      <w:r>
        <w:rPr>
          <w:rFonts w:ascii="宋体" w:hAnsi="宋体" w:cs="宋体" w:eastAsia="宋体" w:hint="default"/>
          <w:spacing w:val="90"/>
        </w:rPr>
        <w:t> </w:t>
      </w:r>
      <w:r>
        <w:rPr>
          <w:rFonts w:ascii="宋体" w:hAnsi="宋体" w:cs="宋体" w:eastAsia="宋体" w:hint="default"/>
        </w:rPr>
        <w:t>  </w:t>
      </w:r>
      <w:r>
        <w:rPr>
          <w:spacing w:val="-2"/>
        </w:rPr>
        <w:t>关联方的认定标准：一方控制、共同控制另一方或对另一方施加重大影响，以及两方或两方以上同受一方控制、共同控</w:t>
      </w:r>
      <w:r>
        <w:rPr/>
        <w:t> 制的构成关联方。</w:t>
      </w:r>
    </w:p>
    <w:p>
      <w:pPr>
        <w:spacing w:line="240" w:lineRule="auto" w:before="6"/>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本企业子公司的情况详见附注九、在其他主体中的权益。</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2294"/>
        <w:jc w:val="left"/>
      </w:pPr>
      <w:r>
        <w:rPr/>
        <w:t>本企业重要的合营或联营企业详见附注九、在其他主体中的权益。 本期与本公司发生关联方交易，或前期与本公司发生关联方交易形成余额的其他合营或联营企业情况如下： 其他说明</w:t>
      </w:r>
    </w:p>
    <w:p>
      <w:pPr>
        <w:pStyle w:val="BodyText"/>
        <w:spacing w:line="240" w:lineRule="auto" w:before="25"/>
        <w:ind w:right="1133"/>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9"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池梅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公司实际控制人张曦的配偶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北京乐图物业服务有限公司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实际控制人原控股的企业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实际控制人原控股的企业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实际控制人原控股的企业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厦门银据空间地理信息有限公司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福建实邑科技信息股份有限公司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火山鸣泉生态科技有限公司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厦门骏豪酒店管理有限公司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实际控制人亲属原控股的企业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厦门骏豪投资有限公司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实际控制人亲属控股的企业</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乌镇互联网医药（桐乡）有限公司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与持有本公司股权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以上的股东微医集团受同一主体控制</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挂号网（杭州）科技有限公司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与持有本公司股权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以上的股东微医集团受同一主体控制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山西医联康护科技有限公司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本公司联营企业医联信息控股的企业</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河南微医互联网医院有限公司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与持有本公司股权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以上的股东微医集团受同一主体控制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微医集团（浙江）有限公司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持有本公司股权</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山东微医泰山慢病互联网医院有限公司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与持有本公司股权</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以上的股东微医集团受同一主体控制</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厦门建德开发有限公司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实际控制人亲属原控制的企业（说明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漳浦县三星旅业发展有限公司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根据上市规则实质重于形式原则认定为关联方（说明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易联众麟腾（厦门）科技有限公司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本公司联营企业厦门麟腾控股的企业</w:t>
            </w:r>
          </w:p>
        </w:tc>
      </w:tr>
    </w:tbl>
    <w:p>
      <w:pPr>
        <w:pStyle w:val="BodyText"/>
        <w:spacing w:line="240" w:lineRule="auto" w:before="51"/>
        <w:ind w:right="1133"/>
        <w:jc w:val="left"/>
      </w:pPr>
      <w:r>
        <w:rPr/>
        <w:t>其他说明</w:t>
      </w:r>
    </w:p>
    <w:p>
      <w:pPr>
        <w:spacing w:line="240" w:lineRule="auto" w:before="3"/>
        <w:rPr>
          <w:rFonts w:ascii="宋体" w:hAnsi="宋体" w:cs="宋体" w:eastAsia="宋体" w:hint="default"/>
          <w:sz w:val="15"/>
          <w:szCs w:val="15"/>
        </w:rPr>
      </w:pPr>
    </w:p>
    <w:p>
      <w:pPr>
        <w:pStyle w:val="BodyText"/>
        <w:spacing w:line="240" w:lineRule="auto"/>
        <w:ind w:right="0"/>
        <w:jc w:val="left"/>
      </w:pPr>
      <w:r>
        <w:rPr>
          <w:rFonts w:ascii="宋体" w:hAnsi="宋体" w:cs="宋体" w:eastAsia="宋体" w:hint="default"/>
          <w:sz w:val="24"/>
          <w:szCs w:val="24"/>
        </w:rPr>
        <w:t>   </w:t>
      </w:r>
      <w:r>
        <w:rPr/>
        <w:t>说明</w:t>
      </w:r>
      <w:r>
        <w:rPr>
          <w:rFonts w:ascii="Times New Roman" w:hAnsi="Times New Roman" w:cs="Times New Roman" w:eastAsia="Times New Roman" w:hint="default"/>
        </w:rPr>
        <w:t>1</w:t>
      </w:r>
      <w:r>
        <w:rPr/>
        <w:t>：厦门建德开发有限公司（以下简称“厦门建德”）系实际控制人亲属原控制的企业，已于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月转让全部股</w:t>
      </w:r>
    </w:p>
    <w:p>
      <w:pPr>
        <w:pStyle w:val="BodyText"/>
        <w:spacing w:line="300" w:lineRule="auto" w:before="60"/>
        <w:ind w:left="513" w:right="0" w:hanging="361"/>
        <w:jc w:val="left"/>
      </w:pPr>
      <w:r>
        <w:rPr/>
        <w:t>权，并卸任高管职位，根据《深圳证券交易所创业板股票上市规则》，解除关联关系后</w:t>
      </w:r>
      <w:r>
        <w:rPr>
          <w:rFonts w:ascii="Times New Roman" w:hAnsi="Times New Roman" w:cs="Times New Roman" w:eastAsia="Times New Roman" w:hint="default"/>
        </w:rPr>
        <w:t>12</w:t>
      </w:r>
      <w:r>
        <w:rPr/>
        <w:t>个月内，仍认定为关联方。 </w:t>
      </w:r>
      <w:r>
        <w:rPr>
          <w:spacing w:val="-2"/>
        </w:rPr>
        <w:t>说明</w:t>
      </w:r>
      <w:r>
        <w:rPr>
          <w:rFonts w:ascii="Times New Roman" w:hAnsi="Times New Roman" w:cs="Times New Roman" w:eastAsia="Times New Roman" w:hint="default"/>
          <w:spacing w:val="-2"/>
        </w:rPr>
        <w:t>2</w:t>
      </w:r>
      <w:r>
        <w:rPr>
          <w:spacing w:val="-2"/>
        </w:rPr>
        <w:t>：漳浦县三星旅业发展有限公司（以下简称“漳浦三星”）系子公司融资租赁公司的客户，</w:t>
      </w:r>
      <w:r>
        <w:rPr>
          <w:rFonts w:ascii="宋体" w:hAnsi="宋体" w:cs="宋体" w:eastAsia="宋体" w:hint="default"/>
          <w:spacing w:val="-2"/>
        </w:rPr>
        <w:t>2017</w:t>
      </w:r>
      <w:r>
        <w:rPr>
          <w:spacing w:val="-2"/>
        </w:rPr>
        <w:t>年</w:t>
      </w:r>
      <w:r>
        <w:rPr>
          <w:rFonts w:ascii="宋体" w:hAnsi="宋体" w:cs="宋体" w:eastAsia="宋体" w:hint="default"/>
          <w:spacing w:val="-2"/>
        </w:rPr>
        <w:t>5</w:t>
      </w:r>
      <w:r>
        <w:rPr>
          <w:spacing w:val="-2"/>
        </w:rPr>
        <w:t>月双方开始开</w:t>
      </w:r>
    </w:p>
    <w:p>
      <w:pPr>
        <w:pStyle w:val="BodyText"/>
        <w:spacing w:line="319" w:lineRule="auto" w:before="13"/>
        <w:ind w:right="1133"/>
        <w:jc w:val="left"/>
        <w:rPr>
          <w:rFonts w:ascii="宋体" w:hAnsi="宋体" w:cs="宋体" w:eastAsia="宋体" w:hint="default"/>
        </w:rPr>
      </w:pPr>
      <w:r>
        <w:rPr>
          <w:spacing w:val="-2"/>
        </w:rPr>
        <w:t>展融资租赁业务。根据漳浦三星提供的资料，</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25</w:t>
      </w:r>
      <w:r>
        <w:rPr>
          <w:spacing w:val="-2"/>
        </w:rPr>
        <w:t>日本公司之关联方厦门建德转入漳浦三星</w:t>
      </w:r>
      <w:r>
        <w:rPr>
          <w:rFonts w:ascii="宋体" w:hAnsi="宋体" w:cs="宋体" w:eastAsia="宋体" w:hint="default"/>
          <w:spacing w:val="-2"/>
        </w:rPr>
        <w:t>6,000.00</w:t>
      </w:r>
      <w:r>
        <w:rPr>
          <w:spacing w:val="-2"/>
        </w:rPr>
        <w:t>万元，</w:t>
      </w:r>
      <w:r>
        <w:rPr>
          <w:rFonts w:ascii="宋体" w:hAnsi="宋体" w:cs="宋体" w:eastAsia="宋体" w:hint="default"/>
          <w:spacing w:val="-2"/>
        </w:rPr>
        <w:t>2019</w:t>
      </w:r>
      <w:r>
        <w:rPr>
          <w:spacing w:val="-2"/>
        </w:rPr>
        <w:t>年</w:t>
      </w:r>
      <w:r>
        <w:rPr>
          <w:rFonts w:ascii="宋体" w:hAnsi="宋体" w:cs="宋体" w:eastAsia="宋体" w:hint="default"/>
          <w:spacing w:val="-2"/>
        </w:rPr>
        <w:t>4</w:t>
      </w:r>
      <w:r>
        <w:rPr>
          <w:rFonts w:ascii="宋体" w:hAnsi="宋体" w:cs="宋体" w:eastAsia="宋体" w:hint="default"/>
          <w:spacing w:val="-51"/>
        </w:rPr>
        <w:t> </w:t>
      </w:r>
      <w:r>
        <w:rPr/>
        <w:t>月</w:t>
      </w:r>
      <w:r>
        <w:rPr>
          <w:rFonts w:ascii="宋体" w:hAnsi="宋体" w:cs="宋体" w:eastAsia="宋体" w:hint="default"/>
        </w:rPr>
        <w:t>28</w:t>
      </w:r>
      <w:r>
        <w:rPr/>
        <w:t>日漳浦三星将</w:t>
      </w:r>
      <w:r>
        <w:rPr>
          <w:rFonts w:ascii="宋体" w:hAnsi="宋体" w:cs="宋体" w:eastAsia="宋体" w:hint="default"/>
        </w:rPr>
        <w:t>6,000.00</w:t>
      </w:r>
      <w:r>
        <w:rPr/>
        <w:t>万元归还至厦门建德。</w:t>
      </w:r>
      <w:r>
        <w:rPr>
          <w:rFonts w:ascii="宋体" w:hAnsi="宋体" w:cs="宋体" w:eastAsia="宋体" w:hint="default"/>
        </w:rPr>
        <w:t> </w:t>
      </w:r>
    </w:p>
    <w:p>
      <w:pPr>
        <w:pStyle w:val="BodyText"/>
        <w:spacing w:line="300" w:lineRule="auto" w:before="17"/>
        <w:ind w:right="1131" w:firstLine="360"/>
        <w:jc w:val="both"/>
        <w:rPr>
          <w:rFonts w:ascii="宋体" w:hAnsi="宋体" w:cs="宋体" w:eastAsia="宋体" w:hint="default"/>
        </w:rPr>
      </w:pP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12</w:t>
      </w:r>
      <w:r>
        <w:rPr>
          <w:spacing w:val="-2"/>
        </w:rPr>
        <w:t>月，实际控制人亲属控制的厦门骏豪投资有限公司与福建省旅游发展公司下属福建福旅联信基金管理有限公司</w:t>
      </w:r>
      <w:r>
        <w:rPr/>
        <w:t> </w:t>
      </w:r>
      <w:r>
        <w:rPr>
          <w:spacing w:val="-2"/>
        </w:rPr>
        <w:t>签订《关于漳浦县火山岛度假村项目投资基金的发起人协议暨投资框架协议》，双方共同发起</w:t>
      </w:r>
      <w:r>
        <w:rPr>
          <w:rFonts w:ascii="Times New Roman" w:hAnsi="Times New Roman" w:cs="Times New Roman" w:eastAsia="Times New Roman" w:hint="default"/>
          <w:spacing w:val="-2"/>
        </w:rPr>
        <w:t>“</w:t>
      </w:r>
      <w:r>
        <w:rPr>
          <w:spacing w:val="-2"/>
        </w:rPr>
        <w:t>火山岛项目投资</w:t>
      </w:r>
      <w:r>
        <w:rPr>
          <w:rFonts w:ascii="Times New Roman" w:hAnsi="Times New Roman" w:cs="Times New Roman" w:eastAsia="Times New Roman" w:hint="default"/>
          <w:spacing w:val="-2"/>
        </w:rPr>
        <w:t>”</w:t>
      </w:r>
      <w:r>
        <w:rPr>
          <w:spacing w:val="-2"/>
        </w:rPr>
        <w:t>基金（暂定</w:t>
      </w:r>
      <w:r>
        <w:rPr>
          <w:spacing w:val="-45"/>
        </w:rPr>
        <w:t> </w:t>
      </w:r>
      <w:r>
        <w:rPr>
          <w:spacing w:val="-45"/>
        </w:rPr>
      </w:r>
      <w:r>
        <w:rPr/>
        <w:t>名），拟收购漳浦三星</w:t>
      </w:r>
      <w:r>
        <w:rPr>
          <w:rFonts w:ascii="Times New Roman" w:hAnsi="Times New Roman" w:cs="Times New Roman" w:eastAsia="Times New Roman" w:hint="default"/>
        </w:rPr>
        <w:t>100%</w:t>
      </w:r>
      <w:r>
        <w:rPr/>
        <w:t>股权并后续增资。</w:t>
      </w:r>
      <w:r>
        <w:rPr>
          <w:rFonts w:ascii="宋体" w:hAnsi="宋体" w:cs="宋体" w:eastAsia="宋体" w:hint="default"/>
        </w:rPr>
        <w:t> </w:t>
      </w:r>
    </w:p>
    <w:p>
      <w:pPr>
        <w:pStyle w:val="BodyText"/>
        <w:spacing w:line="316" w:lineRule="auto" w:before="13"/>
        <w:ind w:right="1128" w:firstLine="360"/>
        <w:jc w:val="both"/>
      </w:pPr>
      <w:r>
        <w:rPr/>
        <w:t>鉴于上述协议安排及资金往来，本公司出于谨慎考虑，根据《深圳证券交易所创业板股票上市规则》第</w:t>
      </w:r>
      <w:r>
        <w:rPr>
          <w:rFonts w:ascii="宋体" w:hAnsi="宋体" w:cs="宋体" w:eastAsia="宋体" w:hint="default"/>
        </w:rPr>
        <w:t>10.1.6</w:t>
      </w:r>
      <w:r>
        <w:rPr/>
        <w:t>条</w:t>
      </w:r>
      <w:r>
        <w:rPr>
          <w:spacing w:val="8"/>
        </w:rPr>
        <w:t> </w:t>
      </w:r>
      <w:r>
        <w:rPr>
          <w:rFonts w:ascii="宋体" w:hAnsi="宋体" w:cs="宋体" w:eastAsia="宋体" w:hint="default"/>
          <w:spacing w:val="8"/>
        </w:rPr>
      </w:r>
      <w:r>
        <w:rPr/>
        <w:t>的规 定及第</w:t>
      </w:r>
      <w:r>
        <w:rPr>
          <w:rFonts w:ascii="宋体" w:hAnsi="宋体" w:cs="宋体" w:eastAsia="宋体" w:hint="default"/>
        </w:rPr>
        <w:t>10.1.3</w:t>
      </w:r>
      <w:r>
        <w:rPr/>
        <w:t>条第（五）项实质重于形式的原则，认定漳浦三星为关联方，本公司与漳浦三星本年交易作为关联交易。</w:t>
      </w:r>
    </w:p>
    <w:p>
      <w:pPr>
        <w:spacing w:line="240" w:lineRule="auto" w:before="8"/>
        <w:rPr>
          <w:rFonts w:ascii="宋体" w:hAnsi="宋体" w:cs="宋体" w:eastAsia="宋体" w:hint="default"/>
          <w:sz w:val="22"/>
          <w:szCs w:val="22"/>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、关联交易情况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748" w:footer="974" w:top="1060" w:bottom="1160" w:left="980" w:right="0"/>
        </w:sectPr>
      </w:pPr>
    </w:p>
    <w:p>
      <w:pPr>
        <w:spacing w:line="240" w:lineRule="auto" w:before="10"/>
        <w:rPr>
          <w:rFonts w:ascii="宋体" w:hAnsi="宋体" w:cs="宋体" w:eastAsia="宋体" w:hint="default"/>
          <w:sz w:val="25"/>
          <w:szCs w:val="25"/>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41"/>
        <w:gridCol w:w="1455"/>
        <w:gridCol w:w="1452"/>
        <w:gridCol w:w="1709"/>
        <w:gridCol w:w="1707"/>
        <w:gridCol w:w="1706"/>
      </w:tblGrid>
      <w:tr>
        <w:trPr>
          <w:trHeight w:val="401" w:hRule="exact"/>
        </w:trPr>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北京乐图物业服务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办公物业费</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299,083.32</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300,910.67</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北京尚洋易捷信息 技术股份有限公司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377,358.48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北京喜盟资产管理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办公物业费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120,885.06</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福建实邑科技信息 股份有限公司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1,525,678.37</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260,538.80</w:t>
            </w:r>
          </w:p>
        </w:tc>
      </w:tr>
      <w:tr>
        <w:trPr>
          <w:trHeight w:val="1027"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both"/>
              <w:rPr>
                <w:rFonts w:ascii="宋体" w:hAnsi="宋体" w:cs="宋体" w:eastAsia="宋体" w:hint="default"/>
                <w:sz w:val="18"/>
                <w:szCs w:val="18"/>
              </w:rPr>
            </w:pPr>
            <w:r>
              <w:rPr>
                <w:rFonts w:ascii="宋体" w:hAnsi="宋体" w:cs="宋体" w:eastAsia="宋体" w:hint="default"/>
                <w:sz w:val="18"/>
                <w:szCs w:val="18"/>
              </w:rPr>
              <w:t>福建易联众基因检 测分析技术有限公 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53,962.28</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5,660.38</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3,676,795.71</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12,449,165.45</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广东易联众民生信 息技术有限公司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120,849.04</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4,634,436.01</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广州桔叶信息科技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9,525.02</w:t>
            </w: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厦门骏豪酒店管理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酒店服务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583,783.08</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717,530.01</w:t>
            </w: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405,341.59</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火山鸣泉生态科技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4,000.00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乌镇互联网医药</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（桐乡）有限公司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8,490.56</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65"/>
              <w:jc w:val="left"/>
              <w:rPr>
                <w:rFonts w:ascii="宋体" w:hAnsi="宋体" w:cs="宋体" w:eastAsia="宋体" w:hint="default"/>
                <w:sz w:val="18"/>
                <w:szCs w:val="18"/>
              </w:rPr>
            </w:pPr>
            <w:r>
              <w:rPr>
                <w:rFonts w:ascii="宋体" w:hAnsi="宋体" w:cs="宋体" w:eastAsia="宋体" w:hint="default"/>
                <w:sz w:val="18"/>
                <w:szCs w:val="18"/>
              </w:rPr>
              <w:t>山西医联康护科技 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2,708,362.80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25"/>
              <w:jc w:val="left"/>
              <w:rPr>
                <w:rFonts w:ascii="宋体" w:hAnsi="宋体" w:cs="宋体" w:eastAsia="宋体" w:hint="default"/>
                <w:sz w:val="18"/>
                <w:szCs w:val="18"/>
              </w:rPr>
            </w:pPr>
            <w:r>
              <w:rPr>
                <w:rFonts w:ascii="宋体" w:hAnsi="宋体" w:cs="宋体" w:eastAsia="宋体" w:hint="default"/>
                <w:sz w:val="18"/>
                <w:szCs w:val="18"/>
              </w:rPr>
              <w:t>易联众麟腾 科技有限公司</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p>
            <w:pPr>
              <w:pStyle w:val="TableParagraph"/>
              <w:spacing w:line="705" w:lineRule="exact"/>
              <w:ind w:right="-51"/>
              <w:jc w:val="left"/>
              <w:rPr>
                <w:rFonts w:ascii="宋体" w:hAnsi="宋体" w:cs="宋体" w:eastAsia="宋体" w:hint="default"/>
                <w:sz w:val="20"/>
                <w:szCs w:val="20"/>
              </w:rPr>
            </w:pPr>
            <w:r>
              <w:rPr>
                <w:rFonts w:ascii="宋体" w:hAnsi="宋体" w:cs="宋体" w:eastAsia="宋体" w:hint="default"/>
                <w:position w:val="-13"/>
                <w:sz w:val="20"/>
                <w:szCs w:val="20"/>
              </w:rPr>
              <w:pict>
                <v:group style="width:72.3pt;height:35.3pt;mso-position-horizontal-relative:char;mso-position-vertical-relative:line" coordorigin="0,0" coordsize="1446,706">
                  <v:group style="position:absolute;left:0;top:0;width:1446;height:706" coordorigin="0,0" coordsize="1446,706">
                    <v:shape style="position:absolute;left:0;top:0;width:1446;height:706" coordorigin="0,0" coordsize="1446,706" path="m0,706l1445,706,1445,0,0,0,0,706xe" filled="true" fillcolor="#ffffff" stroked="false">
                      <v:path arrowok="t"/>
                      <v:fill type="solid"/>
                    </v:shape>
                  </v:group>
                  <v:group style="position:absolute;left:24;top:156;width:1398;height:394" coordorigin="24,156" coordsize="1398,394">
                    <v:shape style="position:absolute;left:24;top:156;width:1398;height:394" coordorigin="24,156" coordsize="1398,394" path="m24,550l1421,550,1421,156,24,156,24,550xe" filled="true" fillcolor="#ffffff" stroked="false">
                      <v:path arrowok="t"/>
                      <v:fill type="solid"/>
                    </v:shape>
                  </v:group>
                </v:group>
              </w:pict>
            </w:r>
            <w:r>
              <w:rPr>
                <w:rFonts w:ascii="宋体" w:hAnsi="宋体" w:cs="宋体" w:eastAsia="宋体" w:hint="default"/>
                <w:position w:val="-13"/>
                <w:sz w:val="20"/>
                <w:szCs w:val="20"/>
              </w:rPr>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1,886,792.40</w:t>
            </w:r>
          </w:p>
        </w:tc>
        <w:tc>
          <w:tcPr>
            <w:tcW w:w="1709" w:type="dxa"/>
            <w:tcBorders>
              <w:top w:val="single" w:sz="4" w:space="0" w:color="000000"/>
              <w:left w:val="single" w:sz="4" w:space="0" w:color="000000"/>
              <w:bottom w:val="single" w:sz="4" w:space="0" w:color="000000"/>
              <w:right w:val="single" w:sz="4" w:space="0" w:color="000000"/>
            </w:tcBorders>
          </w:tcPr>
          <w:p>
            <w:pPr/>
          </w:p>
        </w:tc>
        <w:tc>
          <w:tcPr>
            <w:tcW w:w="1707"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1133"/>
        <w:jc w:val="left"/>
      </w:pPr>
      <w:r>
        <w:rPr/>
        <w:pict>
          <v:shape style="position:absolute;margin-left:100.803001pt;margin-top:-35.778282pt;width:105.4pt;height:35.3pt;mso-position-horizontal-relative:page;mso-position-vertical-relative:paragraph;z-index:-1326304" type="#_x0000_t202" filled="false" stroked="false">
            <v:textbox inset="0,0,0,0">
              <w:txbxContent>
                <w:p>
                  <w:pPr>
                    <w:pStyle w:val="BodyText"/>
                    <w:spacing w:line="240" w:lineRule="auto" w:before="51"/>
                    <w:ind w:left="0" w:right="0"/>
                    <w:jc w:val="left"/>
                  </w:pPr>
                  <w:r>
                    <w:rPr/>
                    <w:t>（厦门）</w:t>
                  </w:r>
                </w:p>
              </w:txbxContent>
            </v:textbox>
            <w10:wrap type="none"/>
          </v:shape>
        </w:pict>
      </w: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401"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6"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福建实邑科技信息股份有限公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8"/>
        <w:gridCol w:w="2259"/>
        <w:gridCol w:w="2259"/>
        <w:gridCol w:w="2655"/>
      </w:tblGrid>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福建易联众基因检测分析技术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19,516.20</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福建医联康护信息技术有限公 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4,540,798.81</w:t>
            </w: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5,415,543.56</w:t>
            </w: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厦门易联众金融技术服务股份 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6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353,989.71</w:t>
            </w:r>
          </w:p>
        </w:tc>
      </w:tr>
      <w:tr>
        <w:trPr>
          <w:trHeight w:val="715"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2"/>
              <w:jc w:val="left"/>
              <w:rPr>
                <w:rFonts w:ascii="宋体" w:hAnsi="宋体" w:cs="宋体" w:eastAsia="宋体" w:hint="default"/>
                <w:sz w:val="18"/>
                <w:szCs w:val="18"/>
              </w:rPr>
            </w:pPr>
            <w:r>
              <w:rPr>
                <w:rFonts w:ascii="宋体" w:hAnsi="宋体" w:cs="宋体" w:eastAsia="宋体" w:hint="default"/>
                <w:sz w:val="18"/>
                <w:szCs w:val="18"/>
              </w:rPr>
              <w:t>北京尚洋易捷信息技术股份有 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42,477.88</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22"/>
              <w:jc w:val="left"/>
              <w:rPr>
                <w:rFonts w:ascii="宋体" w:hAnsi="宋体" w:cs="宋体" w:eastAsia="宋体" w:hint="default"/>
                <w:sz w:val="18"/>
                <w:szCs w:val="18"/>
              </w:rPr>
            </w:pPr>
            <w:r>
              <w:rPr>
                <w:rFonts w:ascii="宋体" w:hAnsi="宋体" w:cs="宋体" w:eastAsia="宋体" w:hint="default"/>
                <w:sz w:val="18"/>
                <w:szCs w:val="18"/>
              </w:rPr>
              <w:t>广东易联众民生信息技术有限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333,152.36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海保人寿保险股份有限公司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3,663,654.76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挂号网（杭州）科技有限公司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2,867,924.52</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山西医联康护科技有限公司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2,046,902.66</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河南微医互联网医院有限公司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584,070.80</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微医集团（浙江）有限公司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4,460,176.99</w:t>
            </w:r>
          </w:p>
        </w:tc>
        <w:tc>
          <w:tcPr>
            <w:tcW w:w="265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漳浦县三星旅业发展有限公司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融资租赁服务</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6,841,673.42</w:t>
            </w:r>
          </w:p>
        </w:tc>
        <w:tc>
          <w:tcPr>
            <w:tcW w:w="265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513" w:right="7334" w:hanging="361"/>
        <w:jc w:val="left"/>
      </w:pPr>
      <w:r>
        <w:rPr/>
        <w:t>购销商品、提供和接受劳务的关联交易说明 无</w:t>
      </w:r>
    </w:p>
    <w:p>
      <w:pPr>
        <w:spacing w:line="240" w:lineRule="auto" w:before="4"/>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3"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71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2"/>
              <w:jc w:val="left"/>
              <w:rPr>
                <w:rFonts w:ascii="宋体" w:hAnsi="宋体" w:cs="宋体" w:eastAsia="宋体" w:hint="default"/>
                <w:sz w:val="18"/>
                <w:szCs w:val="18"/>
              </w:rPr>
            </w:pPr>
            <w:r>
              <w:rPr>
                <w:rFonts w:ascii="宋体" w:hAnsi="宋体" w:cs="宋体" w:eastAsia="宋体" w:hint="default"/>
                <w:sz w:val="18"/>
                <w:szCs w:val="18"/>
              </w:rPr>
              <w:t>福建医联康护信息技术有限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50" w:right="0"/>
              <w:jc w:val="left"/>
              <w:rPr>
                <w:rFonts w:ascii="Times New Roman" w:hAnsi="Times New Roman" w:cs="Times New Roman" w:eastAsia="Times New Roman" w:hint="default"/>
                <w:sz w:val="18"/>
                <w:szCs w:val="18"/>
              </w:rPr>
            </w:pPr>
            <w:r>
              <w:rPr>
                <w:rFonts w:ascii="Times New Roman"/>
                <w:sz w:val="18"/>
              </w:rPr>
              <w:t>273,090.36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242,746.97</w:t>
            </w:r>
          </w:p>
        </w:tc>
      </w:tr>
      <w:tr>
        <w:trPr>
          <w:trHeight w:val="715"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92"/>
              <w:jc w:val="left"/>
              <w:rPr>
                <w:rFonts w:ascii="宋体" w:hAnsi="宋体" w:cs="宋体" w:eastAsia="宋体" w:hint="default"/>
                <w:sz w:val="18"/>
                <w:szCs w:val="18"/>
              </w:rPr>
            </w:pPr>
            <w:r>
              <w:rPr>
                <w:rFonts w:ascii="宋体" w:hAnsi="宋体" w:cs="宋体" w:eastAsia="宋体" w:hint="default"/>
                <w:sz w:val="18"/>
                <w:szCs w:val="18"/>
              </w:rPr>
              <w:t>福建医联康护信息技术有限 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车辆租赁</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4,415.09</w:t>
            </w:r>
          </w:p>
        </w:tc>
      </w:tr>
    </w:tbl>
    <w:p>
      <w:pPr>
        <w:pStyle w:val="BodyText"/>
        <w:spacing w:line="240" w:lineRule="auto" w:before="51"/>
        <w:ind w:right="1133"/>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北京京发置业有限公司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车位</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12,005.73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w w:val="95"/>
                <w:sz w:val="18"/>
              </w:rPr>
              <w:t>11,657.15</w:t>
            </w:r>
          </w:p>
        </w:tc>
      </w:tr>
      <w:tr>
        <w:trPr>
          <w:trHeight w:val="404"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北京喜盟资产管理有限公司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2,339,183.04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2,782,019.85</w:t>
            </w: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厦门银据空间地理信息有限</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办公场所</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436,730.55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724,317.33</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9134"/>
        <w:jc w:val="left"/>
      </w:pPr>
      <w:r>
        <w:rPr/>
        <w:t>关联租赁情况说明 以上均为经营租赁。</w:t>
      </w:r>
    </w:p>
    <w:p>
      <w:pPr>
        <w:spacing w:line="240" w:lineRule="auto" w:before="3"/>
        <w:rPr>
          <w:rFonts w:ascii="宋体" w:hAnsi="宋体" w:cs="宋体" w:eastAsia="宋体" w:hint="default"/>
          <w:sz w:val="20"/>
          <w:szCs w:val="20"/>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8" w:footer="974" w:top="1060" w:bottom="1160" w:left="980" w:right="0"/>
        </w:sectPr>
      </w:pPr>
    </w:p>
    <w:p>
      <w:pPr>
        <w:pStyle w:val="BodyText"/>
        <w:spacing w:line="240" w:lineRule="auto" w:before="44"/>
        <w:ind w:right="-20"/>
        <w:jc w:val="left"/>
      </w:pPr>
      <w:r>
        <w:rPr/>
        <w:t>本公司作为担保方</w:t>
      </w:r>
    </w:p>
    <w:p>
      <w:pPr>
        <w:pStyle w:val="BodyText"/>
        <w:spacing w:line="357" w:lineRule="auto" w:before="117"/>
        <w:ind w:right="-20"/>
        <w:jc w:val="left"/>
      </w:pPr>
      <w:r>
        <w:rPr>
          <w:rFonts w:ascii="宋体" w:hAnsi="宋体" w:cs="宋体" w:eastAsia="宋体" w:hint="default"/>
          <w:spacing w:val="90"/>
        </w:rPr>
        <w:t> </w:t>
      </w:r>
      <w:r>
        <w:rPr>
          <w:rFonts w:ascii="宋体" w:hAnsi="宋体" w:cs="宋体" w:eastAsia="宋体" w:hint="default"/>
        </w:rPr>
        <w:t>  </w:t>
      </w:r>
      <w:r>
        <w:rPr/>
        <w:t>无 本公司作为被担保方</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8"/>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1773" w:space="705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福州易联众、张曦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57"/>
              <w:jc w:val="left"/>
              <w:rPr>
                <w:rFonts w:ascii="宋体" w:hAnsi="宋体" w:cs="宋体" w:eastAsia="宋体" w:hint="default"/>
                <w:sz w:val="18"/>
                <w:szCs w:val="18"/>
              </w:rPr>
            </w:pPr>
            <w:r>
              <w:rPr>
                <w:rFonts w:ascii="宋体" w:hAnsi="宋体" w:cs="宋体" w:eastAsia="宋体" w:hint="default"/>
                <w:sz w:val="18"/>
                <w:szCs w:val="18"/>
              </w:rPr>
              <w:t>北京京发置业有限公 司、张曦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57"/>
              <w:jc w:val="left"/>
              <w:rPr>
                <w:rFonts w:ascii="宋体" w:hAnsi="宋体" w:cs="宋体" w:eastAsia="宋体" w:hint="default"/>
                <w:sz w:val="18"/>
                <w:szCs w:val="18"/>
              </w:rPr>
            </w:pPr>
            <w:r>
              <w:rPr>
                <w:rFonts w:ascii="宋体" w:hAnsi="宋体" w:cs="宋体" w:eastAsia="宋体" w:hint="default"/>
                <w:sz w:val="18"/>
                <w:szCs w:val="18"/>
              </w:rPr>
              <w:t>厦门建德开发有限公 司、张曦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张曦</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50,000,000.00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360" w:lineRule="auto" w:before="51"/>
        <w:ind w:left="513" w:right="9314" w:hanging="361"/>
        <w:jc w:val="left"/>
      </w:pPr>
      <w:r>
        <w:rPr/>
        <w:t>关联担保情况说明 无</w:t>
      </w:r>
    </w:p>
    <w:p>
      <w:pPr>
        <w:spacing w:line="240" w:lineRule="auto" w:before="12"/>
        <w:rPr>
          <w:rFonts w:ascii="宋体" w:hAnsi="宋体" w:cs="宋体" w:eastAsia="宋体" w:hint="default"/>
          <w:sz w:val="19"/>
          <w:szCs w:val="19"/>
        </w:rPr>
      </w:pPr>
    </w:p>
    <w:p>
      <w:pPr>
        <w:pStyle w:val="Heading3"/>
        <w:spacing w:line="240" w:lineRule="auto"/>
        <w:ind w:right="1133"/>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百川通信息技术有限公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34,200,000.00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尚未偿还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不计息</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百川通信息技术有限公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尚未偿还</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不计息</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7</w:t>
      </w:r>
      <w:r>
        <w:rPr/>
        <w:t>）关键管理人员报酬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after="0" w:line="240" w:lineRule="auto"/>
        <w:jc w:val="right"/>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9,910,000.00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9,166,500.00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04" w:lineRule="auto"/>
        <w:ind w:right="1127" w:firstLine="480"/>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月，本公司之子公司融资租赁公司与漳浦三星签订《融资租赁合同（回租）》，约定漳浦三星将其合法拥有 </w:t>
      </w:r>
      <w:r>
        <w:rPr>
          <w:spacing w:val="-2"/>
        </w:rPr>
        <w:t>所有权并有权处分的资产（简称租赁物，包括漳州火山岛自然生态风景区内的博物馆及附属物、房车等资产）转让给融资租</w:t>
      </w:r>
      <w:r>
        <w:rPr>
          <w:spacing w:val="-64"/>
        </w:rPr>
        <w:t> </w:t>
      </w:r>
      <w:r>
        <w:rPr>
          <w:spacing w:val="-64"/>
        </w:rPr>
      </w:r>
      <w:r>
        <w:rPr>
          <w:spacing w:val="-2"/>
        </w:rPr>
        <w:t>赁公司，再由融资租赁公司出租给漳浦三星。租赁本金为人民币</w:t>
      </w:r>
      <w:r>
        <w:rPr>
          <w:rFonts w:ascii="Times New Roman" w:hAnsi="Times New Roman" w:cs="Times New Roman" w:eastAsia="Times New Roman" w:hint="default"/>
          <w:spacing w:val="-2"/>
        </w:rPr>
        <w:t>6,000</w:t>
      </w:r>
      <w:r>
        <w:rPr>
          <w:spacing w:val="-2"/>
        </w:rPr>
        <w:t>万元，期限</w:t>
      </w:r>
      <w:r>
        <w:rPr>
          <w:rFonts w:ascii="Times New Roman" w:hAnsi="Times New Roman" w:cs="Times New Roman" w:eastAsia="Times New Roman" w:hint="default"/>
          <w:spacing w:val="-2"/>
        </w:rPr>
        <w:t>1</w:t>
      </w:r>
      <w:r>
        <w:rPr>
          <w:spacing w:val="-2"/>
        </w:rPr>
        <w:t>年，租赁利率为</w:t>
      </w:r>
      <w:r>
        <w:rPr>
          <w:rFonts w:ascii="Times New Roman" w:hAnsi="Times New Roman" w:cs="Times New Roman" w:eastAsia="Times New Roman" w:hint="default"/>
          <w:spacing w:val="-2"/>
        </w:rPr>
        <w:t>12%/</w:t>
      </w:r>
      <w:r>
        <w:rPr>
          <w:spacing w:val="-2"/>
        </w:rPr>
        <w:t>年，按季付息，到期</w:t>
      </w:r>
      <w:r>
        <w:rPr>
          <w:spacing w:val="-39"/>
        </w:rPr>
        <w:t> </w:t>
      </w:r>
      <w:r>
        <w:rPr>
          <w:spacing w:val="-39"/>
        </w:rPr>
      </w:r>
      <w:r>
        <w:rPr>
          <w:spacing w:val="-2"/>
        </w:rPr>
        <w:t>一次还本。融资租赁公司于</w:t>
      </w:r>
      <w:r>
        <w:rPr>
          <w:rFonts w:ascii="Times New Roman" w:hAnsi="Times New Roman" w:cs="Times New Roman" w:eastAsia="Times New Roman" w:hint="default"/>
          <w:spacing w:val="-2"/>
        </w:rPr>
        <w:t>2019</w:t>
      </w:r>
      <w:r>
        <w:rPr>
          <w:spacing w:val="-2"/>
        </w:rPr>
        <w:t>年度确认融资服务收入</w:t>
      </w:r>
      <w:r>
        <w:rPr>
          <w:rFonts w:ascii="Times New Roman" w:hAnsi="Times New Roman" w:cs="Times New Roman" w:eastAsia="Times New Roman" w:hint="default"/>
          <w:spacing w:val="-2"/>
        </w:rPr>
        <w:t>6,841,673.42</w:t>
      </w:r>
      <w:r>
        <w:rPr>
          <w:spacing w:val="-2"/>
        </w:rPr>
        <w:t>元，期末应收融资租赁款余额为</w:t>
      </w:r>
      <w:r>
        <w:rPr>
          <w:rFonts w:ascii="Times New Roman" w:hAnsi="Times New Roman" w:cs="Times New Roman" w:eastAsia="Times New Roman" w:hint="default"/>
          <w:spacing w:val="-2"/>
        </w:rPr>
        <w:t>64,985,069.73</w:t>
      </w:r>
      <w:r>
        <w:rPr>
          <w:spacing w:val="-2"/>
        </w:rPr>
        <w:t>元，截止财</w:t>
      </w:r>
      <w:r>
        <w:rPr>
          <w:spacing w:val="-42"/>
        </w:rPr>
        <w:t> </w:t>
      </w:r>
      <w:r>
        <w:rPr>
          <w:spacing w:val="-42"/>
        </w:rPr>
      </w:r>
      <w:r>
        <w:rPr/>
        <w:t>务报告日已收回。</w:t>
      </w:r>
    </w:p>
    <w:p>
      <w:pPr>
        <w:spacing w:line="240" w:lineRule="auto" w:before="4"/>
        <w:rPr>
          <w:rFonts w:ascii="宋体" w:hAnsi="宋体" w:cs="宋体" w:eastAsia="宋体" w:hint="default"/>
          <w:sz w:val="23"/>
          <w:szCs w:val="23"/>
        </w:rPr>
      </w:pPr>
    </w:p>
    <w:p>
      <w:pPr>
        <w:pStyle w:val="Heading3"/>
        <w:spacing w:line="240" w:lineRule="auto"/>
        <w:ind w:right="1133"/>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）应收项目</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北京尚洋易捷信息 技术股份有限公司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95,330.19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33,124.50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14,892.50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4,656,034.16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340,668.00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5,556,011.50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453,792.31</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广东易联众民生信 息技术有限公司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222,727.27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26,136.36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厦门易联众金融技 术服务股份有限公 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375,228.85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3,177.93</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20"/>
              <w:jc w:val="left"/>
              <w:rPr>
                <w:rFonts w:ascii="宋体" w:hAnsi="宋体" w:cs="宋体" w:eastAsia="宋体" w:hint="default"/>
                <w:sz w:val="18"/>
                <w:szCs w:val="18"/>
              </w:rPr>
            </w:pPr>
            <w:r>
              <w:rPr>
                <w:rFonts w:ascii="宋体" w:hAnsi="宋体" w:cs="宋体" w:eastAsia="宋体" w:hint="default"/>
                <w:spacing w:val="-10"/>
                <w:sz w:val="18"/>
                <w:szCs w:val="18"/>
              </w:rPr>
              <w:t>挂号网（杭州）科技</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8"/>
              <w:jc w:val="left"/>
              <w:rPr>
                <w:rFonts w:ascii="宋体" w:hAnsi="宋体" w:cs="宋体" w:eastAsia="宋体" w:hint="default"/>
                <w:sz w:val="18"/>
                <w:szCs w:val="18"/>
              </w:rPr>
            </w:pPr>
            <w:r>
              <w:rPr>
                <w:rFonts w:ascii="宋体" w:hAnsi="宋体" w:cs="宋体" w:eastAsia="宋体" w:hint="default"/>
                <w:sz w:val="18"/>
                <w:szCs w:val="18"/>
              </w:rPr>
              <w:t>河南微医互联网医 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山西医联康护科技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2,313,000.00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115,650.00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微医集团（浙江）有</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5,040,000.00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252,000.00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3"/>
              <w:ind w:left="24" w:right="118"/>
              <w:jc w:val="left"/>
              <w:rPr>
                <w:rFonts w:ascii="宋体" w:hAnsi="宋体" w:cs="宋体" w:eastAsia="宋体" w:hint="default"/>
                <w:sz w:val="18"/>
                <w:szCs w:val="18"/>
              </w:rPr>
            </w:pPr>
            <w:r>
              <w:rPr>
                <w:rFonts w:ascii="宋体" w:hAnsi="宋体" w:cs="宋体" w:eastAsia="宋体" w:hint="default"/>
                <w:sz w:val="18"/>
                <w:szCs w:val="18"/>
              </w:rPr>
              <w:t>漳浦县三星旅业发 展有限公司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64,985,069.73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2,668,695.65</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北京乐图物业服务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3,080.00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北京喜盟资产管理</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832,486.14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83,248.61</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山西医联康护科技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66,801.50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6,680.15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66,801.50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3,340.08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易联众（福州）医疗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服务有限公司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220,484.16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11,024.21</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易联众（福州）医疗</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17,111.52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855.58</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0"/>
              <w:jc w:val="left"/>
              <w:rPr>
                <w:rFonts w:ascii="宋体" w:hAnsi="宋体" w:cs="宋体" w:eastAsia="宋体" w:hint="default"/>
                <w:sz w:val="18"/>
                <w:szCs w:val="18"/>
              </w:rPr>
            </w:pPr>
            <w:r>
              <w:rPr>
                <w:rFonts w:ascii="宋体" w:hAnsi="宋体" w:cs="宋体" w:eastAsia="宋体" w:hint="default"/>
                <w:spacing w:val="-10"/>
                <w:sz w:val="18"/>
                <w:szCs w:val="18"/>
              </w:rPr>
              <w:t>易联众（厦门）医生</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64,912.12</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4,362.70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22,341.86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1,117.09</w:t>
            </w: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18"/>
              <w:jc w:val="both"/>
              <w:rPr>
                <w:rFonts w:ascii="宋体" w:hAnsi="宋体" w:cs="宋体" w:eastAsia="宋体" w:hint="default"/>
                <w:sz w:val="18"/>
                <w:szCs w:val="18"/>
              </w:rPr>
            </w:pPr>
            <w:r>
              <w:rPr>
                <w:rFonts w:ascii="宋体" w:hAnsi="宋体" w:cs="宋体" w:eastAsia="宋体" w:hint="default"/>
                <w:sz w:val="18"/>
                <w:szCs w:val="18"/>
              </w:rPr>
              <w:t>福建易联众基因检 测分析技术有限公 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93,774.06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4,688.70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2,113.18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105.66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北京乐图物业服务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1,952.06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50,534.88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北京喜盟资产管理 有限公司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232,637.73</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福建易联众基因检 测分析技术有限公 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471,698.00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福建医联康护信息 技术有限公司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328,183.86</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180,491.68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北京京发置业有限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3,685.70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6,480.00</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left"/>
              <w:rPr>
                <w:rFonts w:ascii="宋体" w:hAnsi="宋体" w:cs="宋体" w:eastAsia="宋体" w:hint="default"/>
                <w:sz w:val="18"/>
                <w:szCs w:val="18"/>
              </w:rPr>
            </w:pPr>
            <w:r>
              <w:rPr>
                <w:rFonts w:ascii="宋体" w:hAnsi="宋体" w:cs="宋体" w:eastAsia="宋体" w:hint="default"/>
                <w:sz w:val="18"/>
                <w:szCs w:val="18"/>
              </w:rPr>
              <w:t>厦门银据空间地理 信息有限公司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145,403.81</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23,036.19</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）应付项目</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403"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福建医联康护信息技术有限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5,350,095.25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16,619,397.07</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广东易联众民生信息技术有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1,437,702.31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2,147,183.66</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厦门银据空间地理信息有限 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137,640.67</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北京尚洋易捷信息技术股份</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280,000.00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1"/>
        <w:gridCol w:w="2393"/>
        <w:gridCol w:w="2393"/>
        <w:gridCol w:w="2393"/>
      </w:tblGrid>
      <w:tr>
        <w:trPr>
          <w:trHeight w:val="363" w:hRule="exact"/>
        </w:trPr>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福建实邑科技信息股份有限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64,078.04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山东微医泰山慢病互联网医 院有限公司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580,000.00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广东易联众民生信息技术有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28,000.00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百川通信息技术有限公司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36,100,000.00</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福建实邑科技信息股份有限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201,900.00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97"/>
              <w:jc w:val="left"/>
              <w:rPr>
                <w:rFonts w:ascii="宋体" w:hAnsi="宋体" w:cs="宋体" w:eastAsia="宋体" w:hint="default"/>
                <w:sz w:val="18"/>
                <w:szCs w:val="18"/>
              </w:rPr>
            </w:pPr>
            <w:r>
              <w:rPr>
                <w:rFonts w:ascii="宋体" w:hAnsi="宋体" w:cs="宋体" w:eastAsia="宋体" w:hint="default"/>
                <w:sz w:val="18"/>
                <w:szCs w:val="18"/>
              </w:rPr>
              <w:t>福建医联康护信息技术有限 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十三、股份支付</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1"/>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7"/>
        <w:rPr>
          <w:rFonts w:ascii="宋体" w:hAnsi="宋体" w:cs="宋体" w:eastAsia="宋体" w:hint="default"/>
          <w:b/>
          <w:bCs/>
          <w:sz w:val="26"/>
          <w:szCs w:val="26"/>
        </w:rPr>
      </w:pPr>
    </w:p>
    <w:p>
      <w:pPr>
        <w:spacing w:line="547" w:lineRule="auto" w:before="0"/>
        <w:ind w:left="152" w:right="792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、股份支付的修改、终止情况</w:t>
      </w:r>
      <w:r>
        <w:rPr>
          <w:rFonts w:ascii="宋体" w:hAnsi="宋体" w:cs="宋体" w:eastAsia="宋体" w:hint="default"/>
          <w:b/>
          <w:bCs/>
          <w:spacing w:val="-93"/>
          <w:sz w:val="21"/>
          <w:szCs w:val="21"/>
        </w:rPr>
        <w:t> </w:t>
      </w:r>
      <w:r>
        <w:rPr>
          <w:rFonts w:ascii="宋体" w:hAnsi="宋体" w:cs="宋体" w:eastAsia="宋体" w:hint="default"/>
          <w:b/>
          <w:bCs/>
          <w:spacing w:val="-93"/>
          <w:sz w:val="21"/>
          <w:szCs w:val="21"/>
        </w:rPr>
      </w:r>
      <w:r>
        <w:rPr>
          <w:rFonts w:ascii="宋体" w:hAnsi="宋体" w:cs="宋体" w:eastAsia="宋体" w:hint="default"/>
          <w:sz w:val="18"/>
          <w:szCs w:val="18"/>
        </w:rPr>
        <w:t>无</w:t>
      </w:r>
    </w:p>
    <w:p>
      <w:pPr>
        <w:pStyle w:val="Heading3"/>
        <w:spacing w:line="240" w:lineRule="auto" w:before="123"/>
        <w:ind w:right="1133"/>
        <w:jc w:val="left"/>
        <w:rPr>
          <w:b w:val="0"/>
          <w:bCs w:val="0"/>
        </w:rPr>
      </w:pPr>
      <w:r>
        <w:rPr>
          <w:rFonts w:ascii="Times New Roman" w:hAnsi="Times New Roman" w:cs="Times New Roman" w:eastAsia="Times New Roman" w:hint="default"/>
        </w:rPr>
        <w:t>5</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spacing w:line="506" w:lineRule="auto" w:before="26"/>
        <w:ind w:left="152" w:right="8345" w:firstLine="0"/>
        <w:jc w:val="left"/>
        <w:rPr>
          <w:rFonts w:ascii="宋体" w:hAnsi="宋体" w:cs="宋体" w:eastAsia="宋体" w:hint="default"/>
          <w:sz w:val="18"/>
          <w:szCs w:val="18"/>
        </w:rPr>
      </w:pP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b/>
          <w:bCs/>
          <w:spacing w:val="-103"/>
          <w:sz w:val="21"/>
          <w:szCs w:val="21"/>
        </w:rPr>
        <w:t> </w:t>
      </w:r>
      <w:r>
        <w:rPr>
          <w:rFonts w:ascii="宋体" w:hAnsi="宋体" w:cs="宋体" w:eastAsia="宋体" w:hint="default"/>
          <w:sz w:val="18"/>
          <w:szCs w:val="18"/>
        </w:rPr>
        <w:t>资产负债表日存在的重要承诺</w:t>
      </w:r>
    </w:p>
    <w:p>
      <w:pPr>
        <w:pStyle w:val="BodyText"/>
        <w:spacing w:line="235" w:lineRule="exact"/>
        <w:ind w:right="1133"/>
        <w:jc w:val="left"/>
      </w:pPr>
      <w:r>
        <w:rPr>
          <w:rFonts w:ascii="宋体" w:hAnsi="宋体" w:cs="宋体" w:eastAsia="宋体" w:hint="default"/>
          <w:spacing w:val="90"/>
        </w:rPr>
        <w:t> </w:t>
      </w:r>
      <w:r>
        <w:rPr>
          <w:rFonts w:ascii="宋体" w:hAnsi="宋体" w:cs="宋体" w:eastAsia="宋体" w:hint="default"/>
        </w:rPr>
        <w:t>  </w:t>
      </w:r>
      <w:r>
        <w:rPr/>
        <w:t>（</w:t>
      </w:r>
      <w:r>
        <w:rPr>
          <w:rFonts w:ascii="宋体" w:hAnsi="宋体" w:cs="宋体" w:eastAsia="宋体" w:hint="default"/>
        </w:rPr>
        <w:t>1</w:t>
      </w:r>
      <w:r>
        <w:rPr/>
        <w:t>）经营租赁承诺</w:t>
      </w:r>
    </w:p>
    <w:p>
      <w:pPr>
        <w:spacing w:line="240" w:lineRule="auto" w:before="6"/>
        <w:rPr>
          <w:rFonts w:ascii="宋体" w:hAnsi="宋体" w:cs="宋体" w:eastAsia="宋体" w:hint="default"/>
          <w:sz w:val="11"/>
          <w:szCs w:val="11"/>
        </w:rPr>
      </w:pPr>
    </w:p>
    <w:p>
      <w:pPr>
        <w:pStyle w:val="BodyText"/>
        <w:spacing w:line="240" w:lineRule="auto" w:before="44"/>
        <w:ind w:left="0" w:right="1551"/>
        <w:jc w:val="right"/>
      </w:pPr>
      <w:r>
        <w:rPr/>
        <w:t>单位：万元</w:t>
      </w:r>
    </w:p>
    <w:p>
      <w:pPr>
        <w:spacing w:line="240" w:lineRule="auto" w:before="0"/>
        <w:rPr>
          <w:rFonts w:ascii="宋体" w:hAnsi="宋体" w:cs="宋体" w:eastAsia="宋体" w:hint="default"/>
          <w:sz w:val="5"/>
          <w:szCs w:val="5"/>
        </w:rPr>
      </w:pPr>
    </w:p>
    <w:tbl>
      <w:tblPr>
        <w:tblW w:w="0" w:type="auto"/>
        <w:jc w:val="left"/>
        <w:tblInd w:w="544" w:type="dxa"/>
        <w:tblLayout w:type="fixed"/>
        <w:tblCellMar>
          <w:top w:w="0" w:type="dxa"/>
          <w:left w:w="0" w:type="dxa"/>
          <w:bottom w:w="0" w:type="dxa"/>
          <w:right w:w="0" w:type="dxa"/>
        </w:tblCellMar>
        <w:tblLook w:val="01E0"/>
      </w:tblPr>
      <w:tblGrid>
        <w:gridCol w:w="4705"/>
        <w:gridCol w:w="2076"/>
        <w:gridCol w:w="2065"/>
      </w:tblGrid>
      <w:tr>
        <w:trPr>
          <w:trHeight w:val="343"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907" w:right="0"/>
              <w:jc w:val="left"/>
              <w:rPr>
                <w:rFonts w:ascii="宋体" w:hAnsi="宋体" w:cs="宋体" w:eastAsia="宋体" w:hint="default"/>
                <w:sz w:val="18"/>
                <w:szCs w:val="18"/>
              </w:rPr>
            </w:pPr>
            <w:r>
              <w:rPr>
                <w:rFonts w:ascii="宋体" w:hAnsi="宋体" w:cs="宋体" w:eastAsia="宋体" w:hint="default"/>
                <w:sz w:val="18"/>
                <w:szCs w:val="18"/>
              </w:rPr>
              <w:t>不可撤销经营租赁的最低租赁付款额</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9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1</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w:t>
            </w:r>
          </w:p>
        </w:tc>
      </w:tr>
      <w:tr>
        <w:trPr>
          <w:trHeight w:val="341"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573.45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855.33</w:t>
            </w:r>
          </w:p>
        </w:tc>
      </w:tr>
      <w:tr>
        <w:trPr>
          <w:trHeight w:val="344"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383.85</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784.11</w:t>
            </w:r>
          </w:p>
        </w:tc>
      </w:tr>
      <w:tr>
        <w:trPr>
          <w:trHeight w:val="341"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资产负债表日后第</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190.26</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pacing w:val="-1"/>
                <w:sz w:val="18"/>
              </w:rPr>
              <w:t>522.71</w:t>
            </w:r>
          </w:p>
        </w:tc>
      </w:tr>
      <w:tr>
        <w:trPr>
          <w:trHeight w:val="343"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以后年度</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26.11</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30.66</w:t>
            </w:r>
          </w:p>
        </w:tc>
      </w:tr>
      <w:tr>
        <w:trPr>
          <w:trHeight w:val="341" w:hRule="exact"/>
        </w:trPr>
        <w:tc>
          <w:tcPr>
            <w:tcW w:w="47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合</w:t>
            </w:r>
            <w:r>
              <w:rPr>
                <w:rFonts w:ascii="宋体" w:hAnsi="宋体" w:cs="宋体" w:eastAsia="宋体" w:hint="default"/>
                <w:spacing w:val="-18"/>
                <w:sz w:val="18"/>
                <w:szCs w:val="18"/>
              </w:rPr>
              <w:t> </w:t>
            </w:r>
            <w:r>
              <w:rPr>
                <w:rFonts w:ascii="宋体" w:hAnsi="宋体" w:cs="宋体" w:eastAsia="宋体" w:hint="default"/>
                <w:sz w:val="18"/>
                <w:szCs w:val="18"/>
              </w:rPr>
              <w:t>计</w:t>
            </w:r>
          </w:p>
        </w:tc>
        <w:tc>
          <w:tcPr>
            <w:tcW w:w="2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1,173.67</w:t>
            </w:r>
          </w:p>
        </w:tc>
        <w:tc>
          <w:tcPr>
            <w:tcW w:w="20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w w:val="95"/>
                <w:sz w:val="18"/>
              </w:rPr>
              <w:t>2,192.81</w:t>
            </w:r>
          </w:p>
        </w:tc>
      </w:tr>
    </w:tbl>
    <w:p>
      <w:pPr>
        <w:spacing w:line="240" w:lineRule="auto" w:before="8"/>
        <w:rPr>
          <w:rFonts w:ascii="宋体" w:hAnsi="宋体" w:cs="宋体" w:eastAsia="宋体" w:hint="default"/>
          <w:sz w:val="6"/>
          <w:szCs w:val="6"/>
        </w:rPr>
      </w:pPr>
    </w:p>
    <w:p>
      <w:pPr>
        <w:pStyle w:val="BodyText"/>
        <w:spacing w:line="240" w:lineRule="auto" w:before="44"/>
        <w:ind w:left="633" w:right="1133"/>
        <w:jc w:val="left"/>
      </w:pPr>
      <w:r>
        <w:rPr/>
        <w:t>（</w:t>
      </w:r>
      <w:r>
        <w:rPr>
          <w:rFonts w:ascii="Times New Roman" w:hAnsi="Times New Roman" w:cs="Times New Roman" w:eastAsia="Times New Roman" w:hint="default"/>
        </w:rPr>
        <w:t>2</w:t>
      </w: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日，本公司不存在其他应披露的承诺事项。</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5"/>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sz w:val="24"/>
          <w:szCs w:val="24"/>
        </w:rPr>
        <w:t>    </w:t>
      </w:r>
      <w:r>
        <w:rPr>
          <w:rFonts w:ascii="宋体" w:hAnsi="宋体" w:cs="宋体" w:eastAsia="宋体" w:hint="default"/>
          <w:sz w:val="18"/>
          <w:szCs w:val="18"/>
        </w:rPr>
        <w:t>开具保函</w:t>
      </w:r>
    </w:p>
    <w:p>
      <w:pPr>
        <w:spacing w:line="240" w:lineRule="auto" w:before="0"/>
        <w:rPr>
          <w:rFonts w:ascii="宋体" w:hAnsi="宋体" w:cs="宋体" w:eastAsia="宋体" w:hint="default"/>
          <w:sz w:val="5"/>
          <w:szCs w:val="5"/>
        </w:rPr>
      </w:pPr>
    </w:p>
    <w:tbl>
      <w:tblPr>
        <w:tblW w:w="0" w:type="auto"/>
        <w:jc w:val="left"/>
        <w:tblInd w:w="148" w:type="dxa"/>
        <w:tblLayout w:type="fixed"/>
        <w:tblCellMar>
          <w:top w:w="0" w:type="dxa"/>
          <w:left w:w="0" w:type="dxa"/>
          <w:bottom w:w="0" w:type="dxa"/>
          <w:right w:w="0" w:type="dxa"/>
        </w:tblCellMar>
        <w:tblLook w:val="01E0"/>
      </w:tblPr>
      <w:tblGrid>
        <w:gridCol w:w="1877"/>
        <w:gridCol w:w="728"/>
        <w:gridCol w:w="1577"/>
        <w:gridCol w:w="833"/>
        <w:gridCol w:w="1150"/>
        <w:gridCol w:w="974"/>
        <w:gridCol w:w="1006"/>
        <w:gridCol w:w="1037"/>
      </w:tblGrid>
      <w:tr>
        <w:trPr>
          <w:trHeight w:val="967"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出具保函银行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271" w:right="86" w:hanging="180"/>
              <w:jc w:val="left"/>
              <w:rPr>
                <w:rFonts w:ascii="宋体" w:hAnsi="宋体" w:cs="宋体" w:eastAsia="宋体" w:hint="default"/>
                <w:sz w:val="18"/>
                <w:szCs w:val="18"/>
              </w:rPr>
            </w:pPr>
            <w:r>
              <w:rPr>
                <w:rFonts w:ascii="宋体" w:hAnsi="宋体" w:cs="宋体" w:eastAsia="宋体" w:hint="default"/>
                <w:sz w:val="18"/>
                <w:szCs w:val="18"/>
              </w:rPr>
              <w:t>被担保 人</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13" w:right="0"/>
              <w:jc w:val="left"/>
              <w:rPr>
                <w:rFonts w:ascii="宋体" w:hAnsi="宋体" w:cs="宋体" w:eastAsia="宋体" w:hint="default"/>
                <w:sz w:val="18"/>
                <w:szCs w:val="18"/>
              </w:rPr>
            </w:pPr>
            <w:r>
              <w:rPr>
                <w:rFonts w:ascii="宋体" w:hAnsi="宋体" w:cs="宋体" w:eastAsia="宋体" w:hint="default"/>
                <w:sz w:val="18"/>
                <w:szCs w:val="18"/>
              </w:rPr>
              <w:t>受益人</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86" w:right="0"/>
              <w:jc w:val="left"/>
              <w:rPr>
                <w:rFonts w:ascii="宋体" w:hAnsi="宋体" w:cs="宋体" w:eastAsia="宋体" w:hint="default"/>
                <w:sz w:val="18"/>
                <w:szCs w:val="18"/>
              </w:rPr>
            </w:pPr>
            <w:r>
              <w:rPr>
                <w:rFonts w:ascii="宋体" w:hAnsi="宋体" w:cs="宋体" w:eastAsia="宋体" w:hint="default"/>
                <w:sz w:val="18"/>
                <w:szCs w:val="18"/>
              </w:rPr>
              <w:t>保函金额</w:t>
            </w:r>
          </w:p>
          <w:p>
            <w:pPr>
              <w:pStyle w:val="TableParagraph"/>
              <w:spacing w:line="240" w:lineRule="auto" w:before="76"/>
              <w:ind w:left="50"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209" w:right="0"/>
              <w:jc w:val="left"/>
              <w:rPr>
                <w:rFonts w:ascii="宋体" w:hAnsi="宋体" w:cs="宋体" w:eastAsia="宋体" w:hint="default"/>
                <w:sz w:val="18"/>
                <w:szCs w:val="18"/>
              </w:rPr>
            </w:pPr>
            <w:r>
              <w:rPr>
                <w:rFonts w:ascii="宋体" w:hAnsi="宋体" w:cs="宋体" w:eastAsia="宋体" w:hint="default"/>
                <w:sz w:val="18"/>
                <w:szCs w:val="18"/>
              </w:rPr>
              <w:t>有效期起</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33" w:right="29" w:firstLine="69"/>
              <w:jc w:val="center"/>
              <w:rPr>
                <w:rFonts w:ascii="宋体" w:hAnsi="宋体" w:cs="宋体" w:eastAsia="宋体" w:hint="default"/>
                <w:sz w:val="18"/>
                <w:szCs w:val="18"/>
              </w:rPr>
            </w:pPr>
            <w:r>
              <w:rPr>
                <w:rFonts w:ascii="宋体" w:hAnsi="宋体" w:cs="宋体" w:eastAsia="宋体" w:hint="default"/>
                <w:sz w:val="18"/>
                <w:szCs w:val="18"/>
              </w:rPr>
              <w:t>保函保证 金金额（万 元）</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36" w:right="0"/>
              <w:jc w:val="left"/>
              <w:rPr>
                <w:rFonts w:ascii="宋体" w:hAnsi="宋体" w:cs="宋体" w:eastAsia="宋体" w:hint="default"/>
                <w:sz w:val="18"/>
                <w:szCs w:val="18"/>
              </w:rPr>
            </w:pPr>
            <w:r>
              <w:rPr>
                <w:rFonts w:ascii="宋体" w:hAnsi="宋体" w:cs="宋体" w:eastAsia="宋体" w:hint="default"/>
                <w:sz w:val="18"/>
                <w:szCs w:val="18"/>
              </w:rPr>
              <w:t>有效期止</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153" w:right="0"/>
              <w:jc w:val="left"/>
              <w:rPr>
                <w:rFonts w:ascii="宋体" w:hAnsi="宋体" w:cs="宋体" w:eastAsia="宋体" w:hint="default"/>
                <w:sz w:val="18"/>
                <w:szCs w:val="18"/>
              </w:rPr>
            </w:pPr>
            <w:r>
              <w:rPr>
                <w:rFonts w:ascii="宋体" w:hAnsi="宋体" w:cs="宋体" w:eastAsia="宋体" w:hint="default"/>
                <w:sz w:val="18"/>
                <w:szCs w:val="18"/>
              </w:rPr>
              <w:t>保证类型</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海南省人事劳动保 障信息中心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9.42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2016.11.29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0.94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2019.11.28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厦门市卫生和计划 生育委员会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39.88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2017.3.13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2020.3.13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厦门市卫生和计划 生育委员会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2017.3.16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0.29</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2019.9.16</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6"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3"/>
              <w:ind w:left="7" w:right="58"/>
              <w:jc w:val="left"/>
              <w:rPr>
                <w:rFonts w:ascii="宋体" w:hAnsi="宋体" w:cs="宋体" w:eastAsia="宋体" w:hint="default"/>
                <w:sz w:val="18"/>
                <w:szCs w:val="18"/>
              </w:rPr>
            </w:pPr>
            <w:r>
              <w:rPr>
                <w:rFonts w:ascii="宋体" w:hAnsi="宋体" w:cs="宋体" w:eastAsia="宋体" w:hint="default"/>
                <w:sz w:val="18"/>
                <w:szCs w:val="18"/>
              </w:rPr>
              <w:t>中国工商银行股份有限 公司厦门东区支行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3"/>
              <w:ind w:left="7" w:right="119"/>
              <w:jc w:val="left"/>
              <w:rPr>
                <w:rFonts w:ascii="宋体" w:hAnsi="宋体" w:cs="宋体" w:eastAsia="宋体" w:hint="default"/>
                <w:sz w:val="18"/>
                <w:szCs w:val="18"/>
              </w:rPr>
            </w:pPr>
            <w:r>
              <w:rPr>
                <w:rFonts w:ascii="宋体" w:hAnsi="宋体" w:cs="宋体" w:eastAsia="宋体" w:hint="default"/>
                <w:sz w:val="18"/>
                <w:szCs w:val="18"/>
              </w:rPr>
              <w:t>广西医大开元埌东 医院有限责任公司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245.25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w w:val="95"/>
                <w:sz w:val="18"/>
              </w:rPr>
              <w:t>2017.10.24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2"/>
              <w:jc w:val="right"/>
              <w:rPr>
                <w:rFonts w:ascii="Times New Roman" w:hAnsi="Times New Roman" w:cs="Times New Roman" w:eastAsia="Times New Roman" w:hint="default"/>
                <w:sz w:val="18"/>
                <w:szCs w:val="18"/>
              </w:rPr>
            </w:pPr>
            <w:r>
              <w:rPr>
                <w:rFonts w:ascii="Times New Roman"/>
                <w:spacing w:val="-1"/>
                <w:sz w:val="18"/>
              </w:rPr>
              <w:t>245.25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5"/>
              <w:ind w:right="3"/>
              <w:jc w:val="right"/>
              <w:rPr>
                <w:rFonts w:ascii="Times New Roman" w:hAnsi="Times New Roman" w:cs="Times New Roman" w:eastAsia="Times New Roman" w:hint="default"/>
                <w:sz w:val="18"/>
                <w:szCs w:val="18"/>
              </w:rPr>
            </w:pPr>
            <w:r>
              <w:rPr>
                <w:rFonts w:ascii="Times New Roman"/>
                <w:spacing w:val="-1"/>
                <w:sz w:val="18"/>
              </w:rPr>
              <w:t>2019.4.24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3"/>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中国工商银行股份有限 公司厦门东区支行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广西医大开元埌东 医院有限责任公司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245.25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2017.10.24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245.25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2020.10.24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厦门市卫生和计划 生育委员会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14.53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2017.12.22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14.53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z w:val="18"/>
              </w:rPr>
              <w:t>2021.1.4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广东省人力资源和 社会保障厅</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2017.12.26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1.62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z w:val="18"/>
              </w:rPr>
              <w:t>2019.1.4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福建省星云大数据 应用服务有限公司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116.55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2018.9.20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116.55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2021.9.30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人力资源和社会保 障部</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2018.11.28</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13.80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2022.12.30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34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right="50"/>
              <w:jc w:val="center"/>
              <w:rPr>
                <w:rFonts w:ascii="宋体" w:hAnsi="宋体" w:cs="宋体" w:eastAsia="宋体" w:hint="default"/>
                <w:sz w:val="18"/>
                <w:szCs w:val="18"/>
              </w:rPr>
            </w:pPr>
            <w:r>
              <w:rPr>
                <w:rFonts w:ascii="宋体" w:hAnsi="宋体" w:cs="宋体" w:eastAsia="宋体" w:hint="default"/>
                <w:sz w:val="18"/>
                <w:szCs w:val="18"/>
              </w:rPr>
              <w:t>招商银行股份有限公司</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厦门市健康医疗大</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15.83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2018.11.27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15.83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2020.10.31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bl>
    <w:p>
      <w:pPr>
        <w:spacing w:after="0" w:line="240" w:lineRule="auto"/>
        <w:jc w:val="left"/>
        <w:rPr>
          <w:rFonts w:ascii="宋体" w:hAnsi="宋体" w:cs="宋体" w:eastAsia="宋体"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877"/>
        <w:gridCol w:w="728"/>
        <w:gridCol w:w="1577"/>
        <w:gridCol w:w="833"/>
        <w:gridCol w:w="1150"/>
        <w:gridCol w:w="974"/>
        <w:gridCol w:w="1006"/>
        <w:gridCol w:w="1037"/>
      </w:tblGrid>
      <w:tr>
        <w:trPr>
          <w:trHeight w:val="341"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厦门分行</w:t>
            </w:r>
          </w:p>
        </w:tc>
        <w:tc>
          <w:tcPr>
            <w:tcW w:w="72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数据管理中心</w:t>
            </w:r>
          </w:p>
        </w:tc>
        <w:tc>
          <w:tcPr>
            <w:tcW w:w="833" w:type="dxa"/>
            <w:tcBorders>
              <w:top w:val="single" w:sz="4" w:space="0" w:color="000000"/>
              <w:left w:val="single" w:sz="4" w:space="0" w:color="000000"/>
              <w:bottom w:val="single" w:sz="4" w:space="0" w:color="000000"/>
              <w:right w:val="single" w:sz="4" w:space="0" w:color="000000"/>
            </w:tcBorders>
          </w:tcPr>
          <w:p>
            <w:pPr/>
          </w:p>
        </w:tc>
        <w:tc>
          <w:tcPr>
            <w:tcW w:w="115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
        </w:tc>
        <w:tc>
          <w:tcPr>
            <w:tcW w:w="100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人力资源和社会保 障部劳动关系司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4.50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2017.12.25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4.50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2018.5.18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吉林省人力资源社 会保障厅</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61.40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2019.1.21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61.40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2021.1.21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广东省职业技能鉴 定指导中心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2.32</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2019.1.10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2.32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2021.1.10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吉林省人力资源和 社会保障厅</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2019.3.14</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15.80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2021.10.14</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6"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温州市人力资源和 社会保障局</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5.94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z w:val="18"/>
              </w:rPr>
              <w:t>2019.5.7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5.94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2022.6.30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人力资源社会保障 部</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2019.6.11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2022.6.11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福建海峡银行股份 有限公司</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152.78</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2019.6.20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152.78</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2021.6.20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厦门市卫生和计划 生育委员会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2019.9.29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4.80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2021.9.30</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人力资源和社会保 障部</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51.00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2019.9.12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51.00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3"/>
              <w:jc w:val="right"/>
              <w:rPr>
                <w:rFonts w:ascii="Times New Roman" w:hAnsi="Times New Roman" w:cs="Times New Roman" w:eastAsia="Times New Roman" w:hint="default"/>
                <w:sz w:val="18"/>
                <w:szCs w:val="18"/>
              </w:rPr>
            </w:pPr>
            <w:r>
              <w:rPr>
                <w:rFonts w:ascii="Times New Roman"/>
                <w:spacing w:val="-1"/>
                <w:sz w:val="18"/>
              </w:rPr>
              <w:t>2023.9.13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人力资源和社会保 障部</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9.80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2019.9.12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9.80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2023.9.13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厦门市卫生健康委 员会</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16.90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2019.11.21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1"/>
              <w:jc w:val="right"/>
              <w:rPr>
                <w:rFonts w:ascii="Times New Roman" w:hAnsi="Times New Roman" w:cs="Times New Roman" w:eastAsia="Times New Roman" w:hint="default"/>
                <w:sz w:val="18"/>
                <w:szCs w:val="18"/>
              </w:rPr>
            </w:pPr>
            <w:r>
              <w:rPr>
                <w:rFonts w:ascii="Times New Roman"/>
                <w:sz w:val="18"/>
              </w:rPr>
              <w:t>16.90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2020.11.7</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厦门市健康医疗大 数据中心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10.56</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2019.12.17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right"/>
              <w:rPr>
                <w:rFonts w:ascii="Times New Roman" w:hAnsi="Times New Roman" w:cs="Times New Roman" w:eastAsia="Times New Roman" w:hint="default"/>
                <w:sz w:val="18"/>
                <w:szCs w:val="18"/>
              </w:rPr>
            </w:pPr>
            <w:r>
              <w:rPr>
                <w:rFonts w:ascii="Times New Roman"/>
                <w:sz w:val="18"/>
              </w:rPr>
              <w:t>10.56</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2021.12.13</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招商银行股份有限公司 厦门分行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北京大学第一医院</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6.33</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2019.12.12</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6.33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2020.12.12</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兴业银行股份有限公司 厦门东区支行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70"/>
              <w:jc w:val="left"/>
              <w:rPr>
                <w:rFonts w:ascii="宋体" w:hAnsi="宋体" w:cs="宋体" w:eastAsia="宋体" w:hint="default"/>
                <w:sz w:val="18"/>
                <w:szCs w:val="18"/>
              </w:rPr>
            </w:pPr>
            <w:r>
              <w:rPr>
                <w:rFonts w:ascii="宋体" w:hAnsi="宋体" w:cs="宋体" w:eastAsia="宋体" w:hint="default"/>
                <w:sz w:val="18"/>
                <w:szCs w:val="18"/>
              </w:rPr>
              <w:t>民生科 技</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人力资源和社会保 障部信息中心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4.45</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2017.12.26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4.45</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3"/>
              <w:jc w:val="right"/>
              <w:rPr>
                <w:rFonts w:ascii="Times New Roman" w:hAnsi="Times New Roman" w:cs="Times New Roman" w:eastAsia="Times New Roman" w:hint="default"/>
                <w:sz w:val="18"/>
                <w:szCs w:val="18"/>
              </w:rPr>
            </w:pPr>
            <w:r>
              <w:rPr>
                <w:rFonts w:ascii="Times New Roman"/>
                <w:spacing w:val="-1"/>
                <w:sz w:val="18"/>
              </w:rPr>
              <w:t>2020.3.31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6"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兴业银行股份有限公司 厦门东区支行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170"/>
              <w:jc w:val="left"/>
              <w:rPr>
                <w:rFonts w:ascii="宋体" w:hAnsi="宋体" w:cs="宋体" w:eastAsia="宋体" w:hint="default"/>
                <w:sz w:val="18"/>
                <w:szCs w:val="18"/>
              </w:rPr>
            </w:pPr>
            <w:r>
              <w:rPr>
                <w:rFonts w:ascii="宋体" w:hAnsi="宋体" w:cs="宋体" w:eastAsia="宋体" w:hint="default"/>
                <w:sz w:val="18"/>
                <w:szCs w:val="18"/>
              </w:rPr>
              <w:t>民生科 技</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人力资源和社会保 障部信息中心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z w:val="18"/>
              </w:rPr>
              <w:t>2019.9.6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2019.12.31</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履约保函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58"/>
              <w:jc w:val="left"/>
              <w:rPr>
                <w:rFonts w:ascii="宋体" w:hAnsi="宋体" w:cs="宋体" w:eastAsia="宋体" w:hint="default"/>
                <w:sz w:val="18"/>
                <w:szCs w:val="18"/>
              </w:rPr>
            </w:pPr>
            <w:r>
              <w:rPr>
                <w:rFonts w:ascii="宋体" w:hAnsi="宋体" w:cs="宋体" w:eastAsia="宋体" w:hint="default"/>
                <w:sz w:val="18"/>
                <w:szCs w:val="18"/>
              </w:rPr>
              <w:t>招待银行股份有限公司 福州分行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70"/>
              <w:jc w:val="left"/>
              <w:rPr>
                <w:rFonts w:ascii="宋体" w:hAnsi="宋体" w:cs="宋体" w:eastAsia="宋体" w:hint="default"/>
                <w:sz w:val="18"/>
                <w:szCs w:val="18"/>
              </w:rPr>
            </w:pPr>
            <w:r>
              <w:rPr>
                <w:rFonts w:ascii="宋体" w:hAnsi="宋体" w:cs="宋体" w:eastAsia="宋体" w:hint="default"/>
                <w:sz w:val="18"/>
                <w:szCs w:val="18"/>
              </w:rPr>
              <w:t>医卫信 息</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19"/>
              <w:jc w:val="left"/>
              <w:rPr>
                <w:rFonts w:ascii="宋体" w:hAnsi="宋体" w:cs="宋体" w:eastAsia="宋体" w:hint="default"/>
                <w:sz w:val="18"/>
                <w:szCs w:val="18"/>
              </w:rPr>
            </w:pPr>
            <w:r>
              <w:rPr>
                <w:rFonts w:ascii="宋体" w:hAnsi="宋体" w:cs="宋体" w:eastAsia="宋体" w:hint="default"/>
                <w:sz w:val="18"/>
                <w:szCs w:val="18"/>
              </w:rPr>
              <w:t>厦门市医疗急救中 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2.04</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w w:val="95"/>
                <w:sz w:val="18"/>
              </w:rPr>
              <w:t>2019.12.10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2.04</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2021.2.28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5"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58"/>
              <w:jc w:val="left"/>
              <w:rPr>
                <w:rFonts w:ascii="宋体" w:hAnsi="宋体" w:cs="宋体" w:eastAsia="宋体" w:hint="default"/>
                <w:sz w:val="18"/>
                <w:szCs w:val="18"/>
              </w:rPr>
            </w:pPr>
            <w:r>
              <w:rPr>
                <w:rFonts w:ascii="宋体" w:hAnsi="宋体" w:cs="宋体" w:eastAsia="宋体" w:hint="default"/>
                <w:sz w:val="18"/>
                <w:szCs w:val="18"/>
              </w:rPr>
              <w:t>招待银行股份有限公司 福州分行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70"/>
              <w:jc w:val="left"/>
              <w:rPr>
                <w:rFonts w:ascii="宋体" w:hAnsi="宋体" w:cs="宋体" w:eastAsia="宋体" w:hint="default"/>
                <w:sz w:val="18"/>
                <w:szCs w:val="18"/>
              </w:rPr>
            </w:pPr>
            <w:r>
              <w:rPr>
                <w:rFonts w:ascii="宋体" w:hAnsi="宋体" w:cs="宋体" w:eastAsia="宋体" w:hint="default"/>
                <w:sz w:val="18"/>
                <w:szCs w:val="18"/>
              </w:rPr>
              <w:t>医卫信 息</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2"/>
              <w:ind w:left="7" w:right="119"/>
              <w:jc w:val="left"/>
              <w:rPr>
                <w:rFonts w:ascii="宋体" w:hAnsi="宋体" w:cs="宋体" w:eastAsia="宋体" w:hint="default"/>
                <w:sz w:val="18"/>
                <w:szCs w:val="18"/>
              </w:rPr>
            </w:pPr>
            <w:r>
              <w:rPr>
                <w:rFonts w:ascii="宋体" w:hAnsi="宋体" w:cs="宋体" w:eastAsia="宋体" w:hint="default"/>
                <w:sz w:val="18"/>
                <w:szCs w:val="18"/>
              </w:rPr>
              <w:t>厦门市医疗急救中 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6.11</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2019.12.10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6.11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spacing w:val="-1"/>
                <w:sz w:val="18"/>
              </w:rPr>
              <w:t>2020.2.28</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65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0"/>
              <w:jc w:val="left"/>
              <w:rPr>
                <w:rFonts w:ascii="宋体" w:hAnsi="宋体" w:cs="宋体" w:eastAsia="宋体" w:hint="default"/>
                <w:sz w:val="18"/>
                <w:szCs w:val="18"/>
              </w:rPr>
            </w:pPr>
            <w:r>
              <w:rPr>
                <w:rFonts w:ascii="宋体" w:hAnsi="宋体" w:cs="宋体" w:eastAsia="宋体" w:hint="default"/>
                <w:spacing w:val="5"/>
                <w:sz w:val="18"/>
                <w:szCs w:val="18"/>
              </w:rPr>
              <w:t>中国农业银行股份有限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公司软件园支行</w:t>
            </w:r>
          </w:p>
        </w:tc>
        <w:tc>
          <w:tcPr>
            <w:tcW w:w="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2"/>
              <w:jc w:val="left"/>
              <w:rPr>
                <w:rFonts w:ascii="宋体" w:hAnsi="宋体" w:cs="宋体" w:eastAsia="宋体" w:hint="default"/>
                <w:sz w:val="18"/>
                <w:szCs w:val="18"/>
              </w:rPr>
            </w:pPr>
            <w:r>
              <w:rPr>
                <w:rFonts w:ascii="宋体" w:hAnsi="宋体" w:cs="宋体" w:eastAsia="宋体" w:hint="default"/>
                <w:spacing w:val="42"/>
                <w:sz w:val="18"/>
                <w:szCs w:val="18"/>
              </w:rPr>
              <w:t>纵达</w:t>
            </w:r>
            <w:r>
              <w:rPr>
                <w:rFonts w:ascii="宋体" w:hAnsi="宋体" w:cs="宋体" w:eastAsia="宋体" w:hint="default"/>
                <w:spacing w:val="-6"/>
                <w:sz w:val="18"/>
                <w:szCs w:val="18"/>
              </w:rPr>
              <w:t> </w:t>
            </w:r>
            <w:r>
              <w:rPr>
                <w:rFonts w:ascii="宋体" w:hAnsi="宋体" w:cs="宋体" w:eastAsia="宋体" w:hint="default"/>
                <w:sz w:val="18"/>
                <w:szCs w:val="18"/>
              </w:rPr>
              <w:t>科</w:t>
            </w:r>
            <w:r>
              <w:rPr>
                <w:rFonts w:ascii="宋体" w:hAnsi="宋体" w:cs="宋体" w:eastAsia="宋体" w:hint="default"/>
                <w:sz w:val="18"/>
                <w:szCs w:val="18"/>
              </w:rPr>
              <w:t> 技</w:t>
            </w:r>
          </w:p>
        </w:tc>
        <w:tc>
          <w:tcPr>
            <w:tcW w:w="15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0"/>
              <w:ind w:left="7" w:right="-15"/>
              <w:jc w:val="left"/>
              <w:rPr>
                <w:rFonts w:ascii="宋体" w:hAnsi="宋体" w:cs="宋体" w:eastAsia="宋体" w:hint="default"/>
                <w:sz w:val="18"/>
                <w:szCs w:val="18"/>
              </w:rPr>
            </w:pPr>
            <w:r>
              <w:rPr>
                <w:rFonts w:ascii="宋体" w:hAnsi="宋体" w:cs="宋体" w:eastAsia="宋体" w:hint="default"/>
                <w:spacing w:val="14"/>
                <w:sz w:val="18"/>
                <w:szCs w:val="18"/>
              </w:rPr>
              <w:t>厦门市健康医疗大</w:t>
            </w:r>
            <w:r>
              <w:rPr>
                <w:rFonts w:ascii="宋体" w:hAnsi="宋体" w:cs="宋体" w:eastAsia="宋体" w:hint="default"/>
                <w:spacing w:val="-74"/>
                <w:sz w:val="18"/>
                <w:szCs w:val="18"/>
              </w:rPr>
              <w:t> </w:t>
            </w:r>
            <w:r>
              <w:rPr>
                <w:rFonts w:ascii="宋体" w:hAnsi="宋体" w:cs="宋体" w:eastAsia="宋体" w:hint="default"/>
                <w:sz w:val="18"/>
                <w:szCs w:val="18"/>
              </w:rPr>
              <w:t>数据管理中心</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9.90</w:t>
            </w:r>
          </w:p>
        </w:tc>
        <w:tc>
          <w:tcPr>
            <w:tcW w:w="11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2019.12.9</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4"/>
              <w:jc w:val="right"/>
              <w:rPr>
                <w:rFonts w:ascii="Times New Roman" w:hAnsi="Times New Roman" w:cs="Times New Roman" w:eastAsia="Times New Roman" w:hint="default"/>
                <w:sz w:val="18"/>
                <w:szCs w:val="18"/>
              </w:rPr>
            </w:pPr>
            <w:r>
              <w:rPr>
                <w:rFonts w:ascii="Times New Roman"/>
                <w:spacing w:val="-1"/>
                <w:sz w:val="18"/>
              </w:rPr>
              <w:t>9.90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2"/>
              <w:jc w:val="right"/>
              <w:rPr>
                <w:rFonts w:ascii="Times New Roman" w:hAnsi="Times New Roman" w:cs="Times New Roman" w:eastAsia="Times New Roman" w:hint="default"/>
                <w:sz w:val="18"/>
                <w:szCs w:val="18"/>
              </w:rPr>
            </w:pPr>
            <w:r>
              <w:rPr>
                <w:rFonts w:ascii="Times New Roman"/>
                <w:spacing w:val="-1"/>
                <w:sz w:val="18"/>
              </w:rPr>
              <w:t>2020.12.9</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7" w:right="0"/>
              <w:jc w:val="left"/>
              <w:rPr>
                <w:rFonts w:ascii="宋体" w:hAnsi="宋体" w:cs="宋体" w:eastAsia="宋体" w:hint="default"/>
                <w:sz w:val="18"/>
                <w:szCs w:val="18"/>
              </w:rPr>
            </w:pPr>
            <w:r>
              <w:rPr>
                <w:rFonts w:ascii="宋体" w:hAnsi="宋体" w:cs="宋体" w:eastAsia="宋体" w:hint="default"/>
                <w:sz w:val="18"/>
                <w:szCs w:val="18"/>
              </w:rPr>
              <w:t>质量保函</w:t>
            </w:r>
          </w:p>
        </w:tc>
      </w:tr>
      <w:tr>
        <w:trPr>
          <w:trHeight w:val="343" w:hRule="exact"/>
        </w:trPr>
        <w:tc>
          <w:tcPr>
            <w:tcW w:w="1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2"/>
              <w:ind w:left="5"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728"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1,075.66</w:t>
            </w:r>
          </w:p>
        </w:tc>
        <w:tc>
          <w:tcPr>
            <w:tcW w:w="1150" w:type="dxa"/>
            <w:tcBorders>
              <w:top w:val="single" w:sz="4" w:space="0" w:color="000000"/>
              <w:left w:val="single" w:sz="4" w:space="0" w:color="000000"/>
              <w:bottom w:val="single" w:sz="4" w:space="0" w:color="000000"/>
              <w:right w:val="single" w:sz="4" w:space="0" w:color="000000"/>
            </w:tcBorders>
          </w:tcPr>
          <w:p>
            <w:pP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
              <w:jc w:val="right"/>
              <w:rPr>
                <w:rFonts w:ascii="Times New Roman" w:hAnsi="Times New Roman" w:cs="Times New Roman" w:eastAsia="Times New Roman" w:hint="default"/>
                <w:sz w:val="18"/>
                <w:szCs w:val="18"/>
              </w:rPr>
            </w:pPr>
            <w:r>
              <w:rPr>
                <w:rFonts w:ascii="Times New Roman"/>
                <w:w w:val="95"/>
                <w:sz w:val="18"/>
              </w:rPr>
              <w:t>1,028.69</w:t>
            </w:r>
          </w:p>
        </w:tc>
        <w:tc>
          <w:tcPr>
            <w:tcW w:w="1006" w:type="dxa"/>
            <w:tcBorders>
              <w:top w:val="single" w:sz="4" w:space="0" w:color="000000"/>
              <w:left w:val="single" w:sz="4" w:space="0" w:color="000000"/>
              <w:bottom w:val="single" w:sz="4" w:space="0" w:color="000000"/>
              <w:right w:val="single" w:sz="4" w:space="0" w:color="000000"/>
            </w:tcBorders>
          </w:tcPr>
          <w:p>
            <w:pPr/>
          </w:p>
        </w:tc>
        <w:tc>
          <w:tcPr>
            <w:tcW w:w="103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8"/>
        <w:rPr>
          <w:rFonts w:ascii="宋体" w:hAnsi="宋体" w:cs="宋体" w:eastAsia="宋体" w:hint="default"/>
          <w:sz w:val="6"/>
          <w:szCs w:val="6"/>
        </w:rPr>
      </w:pPr>
    </w:p>
    <w:p>
      <w:pPr>
        <w:pStyle w:val="BodyText"/>
        <w:spacing w:line="300" w:lineRule="auto" w:before="44"/>
        <w:ind w:right="0" w:firstLine="480"/>
        <w:jc w:val="left"/>
      </w:pPr>
      <w:r>
        <w:rPr>
          <w:spacing w:val="-1"/>
        </w:rPr>
        <w:t>说明：上表列示的保函保证金与本附注七、</w:t>
      </w:r>
      <w:r>
        <w:rPr>
          <w:rFonts w:ascii="Times New Roman" w:hAnsi="Times New Roman" w:cs="Times New Roman" w:eastAsia="Times New Roman" w:hint="default"/>
          <w:spacing w:val="-1"/>
        </w:rPr>
        <w:t>81</w:t>
      </w:r>
      <w:r>
        <w:rPr>
          <w:spacing w:val="-1"/>
        </w:rPr>
        <w:t>所披露的受限资金中的保函保证金存在差异，系披露的受限资金包含保</w:t>
      </w:r>
      <w:r>
        <w:rPr/>
        <w:t> 函保证金的利息。</w:t>
      </w:r>
    </w:p>
    <w:p>
      <w:pPr>
        <w:spacing w:after="0" w:line="30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公司不存在需要披露的重要或有事项。</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、重要的非调整事项</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、利润分配情况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2,150,000.00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w:t>
      </w:r>
      <w:r>
        <w:rPr>
          <w:spacing w:val="-64"/>
        </w:rPr>
        <w:t> </w:t>
      </w:r>
      <w:r>
        <w:rPr/>
        <w:t>其他资产负债表日后事项说明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w:t>
      </w:r>
      <w:r>
        <w:rPr>
          <w:rFonts w:ascii="宋体" w:hAnsi="宋体" w:cs="宋体" w:eastAsia="宋体" w:hint="default"/>
        </w:rPr>
        <w:t>1</w:t>
      </w:r>
      <w:r>
        <w:rPr/>
        <w:t>）期后处置子公司</w:t>
      </w:r>
    </w:p>
    <w:p>
      <w:pPr>
        <w:pStyle w:val="BodyText"/>
        <w:spacing w:line="300" w:lineRule="auto" w:before="76"/>
        <w:ind w:right="1118" w:firstLine="360"/>
        <w:jc w:val="left"/>
      </w:pP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w:t>
      </w:r>
      <w:r>
        <w:rPr>
          <w:spacing w:val="-35"/>
        </w:rPr>
        <w:t>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月，本公司将持有的北京智康</w:t>
      </w:r>
      <w:r>
        <w:rPr>
          <w:spacing w:val="-18"/>
        </w:rPr>
        <w:t> </w:t>
      </w:r>
      <w:r>
        <w:rPr>
          <w:rFonts w:ascii="Times New Roman" w:hAnsi="Times New Roman" w:cs="Times New Roman" w:eastAsia="Times New Roman" w:hint="default"/>
        </w:rPr>
        <w:t>65%</w:t>
      </w:r>
      <w:r>
        <w:rPr/>
        <w:t>股权以人民币</w:t>
      </w:r>
      <w:r>
        <w:rPr>
          <w:spacing w:val="-35"/>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元的价格转让给北京睿讯信息技术有限公司。本次股权转 让后，本公司不再持有北京智康股权，也不再将北京智康纳入合并报表范围。</w:t>
      </w:r>
    </w:p>
    <w:p>
      <w:pPr>
        <w:pStyle w:val="BodyText"/>
        <w:spacing w:line="240" w:lineRule="auto" w:before="31"/>
        <w:ind w:left="513" w:right="1133"/>
        <w:jc w:val="left"/>
      </w:pPr>
      <w:r>
        <w:rPr/>
        <w:t>（</w:t>
      </w:r>
      <w:r>
        <w:rPr>
          <w:rFonts w:ascii="宋体" w:hAnsi="宋体" w:cs="宋体" w:eastAsia="宋体" w:hint="default"/>
        </w:rPr>
        <w:t>2</w:t>
      </w:r>
      <w:r>
        <w:rPr/>
        <w:t>）期后设立子公司</w:t>
      </w:r>
    </w:p>
    <w:p>
      <w:pPr>
        <w:pStyle w:val="BodyText"/>
        <w:spacing w:line="240" w:lineRule="auto" w:before="76"/>
        <w:ind w:left="513" w:right="0"/>
        <w:jc w:val="left"/>
      </w:pPr>
      <w:r>
        <w:rPr/>
        <w:t>公司于</w:t>
      </w:r>
      <w:r>
        <w:rPr>
          <w:spacing w:val="-46"/>
        </w:rPr>
        <w:t> </w:t>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t>年</w:t>
      </w:r>
      <w:r>
        <w:rPr>
          <w:spacing w:val="-48"/>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8"/>
        </w:rPr>
        <w:t> </w:t>
      </w:r>
      <w:r>
        <w:rPr>
          <w:rFonts w:ascii="Times New Roman" w:hAnsi="Times New Roman" w:cs="Times New Roman" w:eastAsia="Times New Roman" w:hint="default"/>
        </w:rPr>
        <w:t>25</w:t>
      </w:r>
      <w:r>
        <w:rPr>
          <w:rFonts w:ascii="Times New Roman" w:hAnsi="Times New Roman" w:cs="Times New Roman" w:eastAsia="Times New Roman" w:hint="default"/>
          <w:spacing w:val="-9"/>
        </w:rPr>
        <w:t> </w:t>
      </w:r>
      <w:r>
        <w:rPr/>
        <w:t>日设立厦门万势顺易科技有限公司，注册资本</w:t>
      </w:r>
      <w:r>
        <w:rPr>
          <w:spacing w:val="-45"/>
        </w:rPr>
        <w:t> </w:t>
      </w:r>
      <w:r>
        <w:rPr>
          <w:rFonts w:ascii="Times New Roman" w:hAnsi="Times New Roman" w:cs="Times New Roman" w:eastAsia="Times New Roman" w:hint="default"/>
        </w:rPr>
        <w:t>320</w:t>
      </w:r>
      <w:r>
        <w:rPr>
          <w:rFonts w:ascii="Times New Roman" w:hAnsi="Times New Roman" w:cs="Times New Roman" w:eastAsia="Times New Roman" w:hint="default"/>
          <w:spacing w:val="-9"/>
        </w:rPr>
        <w:t> </w:t>
      </w:r>
      <w:r>
        <w:rPr/>
        <w:t>万元，本公司认缴出资</w:t>
      </w:r>
      <w:r>
        <w:rPr>
          <w:spacing w:val="-45"/>
        </w:rPr>
        <w:t> </w:t>
      </w:r>
      <w:r>
        <w:rPr>
          <w:rFonts w:ascii="Times New Roman" w:hAnsi="Times New Roman" w:cs="Times New Roman" w:eastAsia="Times New Roman" w:hint="default"/>
        </w:rPr>
        <w:t>208</w:t>
      </w:r>
      <w:r>
        <w:rPr>
          <w:rFonts w:ascii="Times New Roman" w:hAnsi="Times New Roman" w:cs="Times New Roman" w:eastAsia="Times New Roman" w:hint="default"/>
          <w:spacing w:val="-9"/>
        </w:rPr>
        <w:t> </w:t>
      </w:r>
      <w:r>
        <w:rPr/>
        <w:t>万元，持股</w:t>
      </w:r>
      <w:r>
        <w:rPr>
          <w:spacing w:val="-46"/>
        </w:rPr>
        <w:t> </w:t>
      </w:r>
      <w:r>
        <w:rPr>
          <w:rFonts w:ascii="Times New Roman" w:hAnsi="Times New Roman" w:cs="Times New Roman" w:eastAsia="Times New Roman" w:hint="default"/>
        </w:rPr>
        <w:t>65%</w:t>
      </w:r>
      <w:r>
        <w:rPr/>
        <w:t>。</w:t>
      </w:r>
    </w:p>
    <w:p>
      <w:pPr>
        <w:pStyle w:val="BodyText"/>
        <w:spacing w:line="240" w:lineRule="auto" w:before="63"/>
        <w:ind w:right="1133"/>
        <w:jc w:val="left"/>
      </w:pPr>
      <w:r>
        <w:rPr/>
        <w:t>本公司在董事会中占</w:t>
      </w:r>
      <w:r>
        <w:rPr>
          <w:spacing w:val="-44"/>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t>席（总</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席），可以达到控制。</w:t>
      </w:r>
    </w:p>
    <w:p>
      <w:pPr>
        <w:pStyle w:val="BodyText"/>
        <w:spacing w:line="240" w:lineRule="auto" w:before="63"/>
        <w:ind w:left="513" w:right="0"/>
        <w:jc w:val="left"/>
        <w:rPr>
          <w:rFonts w:ascii="Times New Roman" w:hAnsi="Times New Roman" w:cs="Times New Roman" w:eastAsia="Times New Roman" w:hint="default"/>
        </w:rPr>
      </w:pPr>
      <w:r>
        <w:rPr/>
        <w:t>本公司于</w:t>
      </w:r>
      <w:r>
        <w:rPr>
          <w:spacing w:val="-47"/>
        </w:rPr>
        <w:t> </w:t>
      </w:r>
      <w:r>
        <w:rPr>
          <w:rFonts w:ascii="Times New Roman" w:hAnsi="Times New Roman" w:cs="Times New Roman" w:eastAsia="Times New Roman" w:hint="default"/>
        </w:rPr>
        <w:t>2020</w:t>
      </w:r>
      <w:r>
        <w:rPr>
          <w:rFonts w:ascii="Times New Roman" w:hAnsi="Times New Roman" w:cs="Times New Roman" w:eastAsia="Times New Roman" w:hint="default"/>
          <w:spacing w:val="-9"/>
        </w:rPr>
        <w:t> </w:t>
      </w:r>
      <w:r>
        <w:rPr/>
        <w:t>年</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9"/>
        </w:rPr>
        <w:t> </w:t>
      </w:r>
      <w:r>
        <w:rPr/>
        <w:t>月</w:t>
      </w:r>
      <w:r>
        <w:rPr>
          <w:spacing w:val="-49"/>
        </w:rPr>
        <w:t> </w:t>
      </w:r>
      <w:r>
        <w:rPr>
          <w:rFonts w:ascii="Times New Roman" w:hAnsi="Times New Roman" w:cs="Times New Roman" w:eastAsia="Times New Roman" w:hint="default"/>
        </w:rPr>
        <w:t>6</w:t>
      </w:r>
      <w:r>
        <w:rPr>
          <w:rFonts w:ascii="Times New Roman" w:hAnsi="Times New Roman" w:cs="Times New Roman" w:eastAsia="Times New Roman" w:hint="default"/>
          <w:spacing w:val="-9"/>
        </w:rPr>
        <w:t> </w:t>
      </w:r>
      <w:r>
        <w:rPr/>
        <w:t>日设立山西易联众医疗信息系统有限公司，注册资本</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9"/>
        </w:rPr>
        <w:t> </w:t>
      </w:r>
      <w:r>
        <w:rPr/>
        <w:t>万，由子公司医疗信息认缴出资</w:t>
      </w:r>
      <w:r>
        <w:rPr>
          <w:spacing w:val="-46"/>
        </w:rPr>
        <w:t> </w:t>
      </w:r>
      <w:r>
        <w:rPr>
          <w:rFonts w:ascii="Times New Roman" w:hAnsi="Times New Roman" w:cs="Times New Roman" w:eastAsia="Times New Roman" w:hint="default"/>
        </w:rPr>
        <w:t>510</w:t>
      </w:r>
    </w:p>
    <w:p>
      <w:pPr>
        <w:pStyle w:val="BodyText"/>
        <w:spacing w:line="240" w:lineRule="auto" w:before="63"/>
        <w:ind w:right="1133"/>
        <w:jc w:val="left"/>
      </w:pPr>
      <w:r>
        <w:rPr/>
        <w:t>万，持股</w:t>
      </w:r>
      <w:r>
        <w:rPr>
          <w:spacing w:val="-46"/>
        </w:rPr>
        <w:t> </w:t>
      </w:r>
      <w:r>
        <w:rPr>
          <w:rFonts w:ascii="Times New Roman" w:hAnsi="Times New Roman" w:cs="Times New Roman" w:eastAsia="Times New Roman" w:hint="default"/>
        </w:rPr>
        <w:t>51%</w:t>
      </w:r>
      <w:r>
        <w:rPr/>
        <w:t>，子公司山西惠民出资</w:t>
      </w:r>
      <w:r>
        <w:rPr>
          <w:spacing w:val="-46"/>
        </w:rPr>
        <w:t> </w:t>
      </w:r>
      <w:r>
        <w:rPr>
          <w:rFonts w:ascii="Times New Roman" w:hAnsi="Times New Roman" w:cs="Times New Roman" w:eastAsia="Times New Roman" w:hint="default"/>
        </w:rPr>
        <w:t>440</w:t>
      </w:r>
      <w:r>
        <w:rPr>
          <w:rFonts w:ascii="Times New Roman" w:hAnsi="Times New Roman" w:cs="Times New Roman" w:eastAsia="Times New Roman" w:hint="default"/>
          <w:spacing w:val="-9"/>
        </w:rPr>
        <w:t> </w:t>
      </w:r>
      <w:r>
        <w:rPr/>
        <w:t>万，持股</w:t>
      </w:r>
      <w:r>
        <w:rPr>
          <w:spacing w:val="-47"/>
        </w:rPr>
        <w:t> </w:t>
      </w:r>
      <w:r>
        <w:rPr>
          <w:rFonts w:ascii="Times New Roman" w:hAnsi="Times New Roman" w:cs="Times New Roman" w:eastAsia="Times New Roman" w:hint="default"/>
        </w:rPr>
        <w:t>44%</w:t>
      </w:r>
      <w:r>
        <w:rPr/>
        <w:t>。</w:t>
      </w:r>
    </w:p>
    <w:p>
      <w:pPr>
        <w:pStyle w:val="BodyText"/>
        <w:spacing w:line="240" w:lineRule="auto" w:before="63"/>
        <w:ind w:left="513" w:right="1133"/>
        <w:jc w:val="left"/>
      </w:pPr>
      <w:r>
        <w:rPr/>
        <w:t>（</w:t>
      </w:r>
      <w:r>
        <w:rPr>
          <w:rFonts w:ascii="宋体" w:hAnsi="宋体" w:cs="宋体" w:eastAsia="宋体" w:hint="default"/>
        </w:rPr>
        <w:t>3</w:t>
      </w:r>
      <w:r>
        <w:rPr/>
        <w:t>）疫情影响</w:t>
      </w:r>
    </w:p>
    <w:p>
      <w:pPr>
        <w:pStyle w:val="BodyText"/>
        <w:spacing w:line="309" w:lineRule="auto" w:before="76"/>
        <w:ind w:right="1128" w:firstLine="360"/>
        <w:jc w:val="both"/>
      </w:pPr>
      <w:r>
        <w:rPr/>
        <w:t>受新冠疫情影响，本公司部分项目招标计划推迟、项目实施延后，影响项目完成进度，因此</w:t>
      </w:r>
      <w:r>
        <w:rPr>
          <w:spacing w:val="-32"/>
        </w:rPr>
        <w:t> </w:t>
      </w:r>
      <w:r>
        <w:rPr>
          <w:rFonts w:ascii="Times New Roman" w:hAnsi="Times New Roman" w:cs="Times New Roman" w:eastAsia="Times New Roman" w:hint="default"/>
        </w:rPr>
        <w:t>2020</w:t>
      </w:r>
      <w:r>
        <w:rPr>
          <w:rFonts w:ascii="Times New Roman" w:hAnsi="Times New Roman" w:cs="Times New Roman" w:eastAsia="Times New Roman" w:hint="default"/>
          <w:spacing w:val="-3"/>
        </w:rPr>
        <w:t> </w:t>
      </w:r>
      <w:r>
        <w:rPr/>
        <w:t>年第一季度营业收入 </w:t>
      </w:r>
      <w:r>
        <w:rPr>
          <w:spacing w:val="-2"/>
        </w:rPr>
        <w:t>较上年同期相比有所下降。本公司持续密切关注新冠疫情的发展情况，并评估和积极应对其对公司财务状况、经营成果等方</w:t>
      </w:r>
      <w:r>
        <w:rPr>
          <w:spacing w:val="-63"/>
        </w:rPr>
        <w:t> </w:t>
      </w:r>
      <w:r>
        <w:rPr>
          <w:spacing w:val="-63"/>
        </w:rPr>
      </w:r>
      <w:r>
        <w:rPr/>
        <w:t>面的影响，截止财务报告日，尚未发现重大不利影响。</w:t>
      </w:r>
    </w:p>
    <w:p>
      <w:pPr>
        <w:spacing w:after="0" w:line="309" w:lineRule="auto"/>
        <w:jc w:val="both"/>
        <w:sectPr>
          <w:pgSz w:w="11910" w:h="16840"/>
          <w:pgMar w:header="748" w:footer="974"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1133"/>
        <w:jc w:val="left"/>
        <w:rPr>
          <w:b w:val="0"/>
          <w:bCs w:val="0"/>
        </w:rPr>
      </w:pPr>
      <w:r>
        <w:rPr/>
        <w:t>十六、其他重要事项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、前期会计差错更正</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2</w:t>
      </w:r>
      <w:r>
        <w:rPr/>
        <w:t>）其他资产置换</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、年金计划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5</w:t>
      </w:r>
      <w:r>
        <w:rPr/>
        <w:t>、终止经营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1133"/>
        <w:jc w:val="left"/>
      </w:pPr>
      <w:r>
        <w:rPr/>
        <w:t>其他说明</w:t>
      </w:r>
    </w:p>
    <w:p>
      <w:pPr>
        <w:pStyle w:val="BodyText"/>
        <w:spacing w:line="240" w:lineRule="auto" w:before="117"/>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33" w:firstLine="482"/>
        <w:jc w:val="both"/>
      </w:pPr>
      <w:r>
        <w:rPr>
          <w:spacing w:val="-2"/>
        </w:rPr>
        <w:t>根据本公司的内部组织结构、管理要求及内部报告制度，本公司的经营业务按地区、产品</w:t>
      </w:r>
      <w:r>
        <w:rPr>
          <w:rFonts w:ascii="Times New Roman" w:hAnsi="Times New Roman" w:cs="Times New Roman" w:eastAsia="Times New Roman" w:hint="default"/>
          <w:spacing w:val="-2"/>
        </w:rPr>
        <w:t>/</w:t>
      </w:r>
      <w:r>
        <w:rPr>
          <w:spacing w:val="-2"/>
        </w:rPr>
        <w:t>服务类别划分。这些报告分</w:t>
      </w:r>
      <w:r>
        <w:rPr/>
        <w:t> </w:t>
      </w:r>
      <w:r>
        <w:rPr>
          <w:spacing w:val="-2"/>
        </w:rPr>
        <w:t>部是以公司日常内部管理要求的财务信息为基础确定的。集团的管理层定期评价这些报告分部的经营成果，以决定向其分配</w:t>
      </w:r>
      <w:r>
        <w:rPr>
          <w:spacing w:val="-64"/>
        </w:rPr>
        <w:t> </w:t>
      </w:r>
      <w:r>
        <w:rPr>
          <w:spacing w:val="-64"/>
        </w:rPr>
      </w:r>
      <w:r>
        <w:rPr/>
        <w:t>资源及评价其业绩。</w:t>
      </w:r>
    </w:p>
    <w:p>
      <w:pPr>
        <w:pStyle w:val="BodyText"/>
        <w:spacing w:line="319" w:lineRule="auto" w:before="24"/>
        <w:ind w:right="1129" w:firstLine="482"/>
        <w:jc w:val="both"/>
      </w:pPr>
      <w:r>
        <w:rPr>
          <w:spacing w:val="-1"/>
        </w:rPr>
        <w:t>由于本公司仅于一个地域内经营业务，收入主要来自中国境内，其主要资产亦位于中国境内，由本公司管理层统一管</w:t>
      </w:r>
      <w:r>
        <w:rPr/>
        <w:t> 理和调配，本公司主要业务和产品存在一定同质性，且基于管理团队的统一性，本公司无需披露分部数据。</w:t>
      </w:r>
    </w:p>
    <w:p>
      <w:pPr>
        <w:spacing w:after="0" w:line="319" w:lineRule="auto"/>
        <w:jc w:val="both"/>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85"/>
        <w:ind w:right="1133"/>
        <w:jc w:val="left"/>
        <w:rPr>
          <w:b w:val="0"/>
          <w:bCs w:val="0"/>
        </w:rPr>
      </w:pPr>
      <w:r>
        <w:rPr/>
        <w:t>（</w:t>
      </w:r>
      <w:r>
        <w:rPr>
          <w:rFonts w:ascii="Times New Roman" w:hAnsi="Times New Roman" w:cs="Times New Roman" w:eastAsia="Times New Roman" w:hint="default"/>
        </w:rPr>
        <w:t>2</w:t>
      </w:r>
      <w:r>
        <w:rPr/>
        <w:t>）报告分部的财务信息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6"/>
          <w:szCs w:val="26"/>
        </w:rPr>
      </w:pPr>
    </w:p>
    <w:p>
      <w:pPr>
        <w:spacing w:before="0"/>
        <w:ind w:left="152" w:right="1133" w:firstLine="0"/>
        <w:jc w:val="left"/>
        <w:rPr>
          <w:rFonts w:ascii="宋体" w:hAnsi="宋体" w:cs="宋体" w:eastAsia="宋体" w:hint="default"/>
          <w:sz w:val="18"/>
          <w:szCs w:val="18"/>
        </w:rPr>
      </w:pPr>
      <w:r>
        <w:rPr>
          <w:rFonts w:ascii="宋体" w:hAnsi="宋体" w:cs="宋体" w:eastAsia="宋体" w:hint="default"/>
          <w:b/>
          <w:bCs/>
          <w:w w:val="99"/>
          <w:sz w:val="21"/>
          <w:szCs w:val="21"/>
        </w:rPr>
        <w:t> </w:t>
      </w:r>
      <w:r>
        <w:rPr>
          <w:rFonts w:ascii="宋体" w:hAnsi="宋体" w:cs="宋体" w:eastAsia="宋体" w:hint="default"/>
          <w:b/>
          <w:bCs/>
          <w:sz w:val="21"/>
          <w:szCs w:val="21"/>
        </w:rPr>
        <w:t> </w:t>
      </w:r>
      <w:r>
        <w:rPr>
          <w:rFonts w:ascii="宋体" w:hAnsi="宋体" w:cs="宋体" w:eastAsia="宋体" w:hint="default"/>
          <w:w w:val="100"/>
          <w:sz w:val="21"/>
          <w:szCs w:val="21"/>
        </w:rPr>
        <w:t> </w:t>
      </w:r>
      <w:r>
        <w:rPr>
          <w:rFonts w:ascii="宋体" w:hAnsi="宋体" w:cs="宋体" w:eastAsia="宋体" w:hint="default"/>
          <w:sz w:val="21"/>
          <w:szCs w:val="21"/>
        </w:rPr>
        <w:t> </w:t>
      </w:r>
      <w:r>
        <w:rPr>
          <w:rFonts w:ascii="宋体" w:hAnsi="宋体" w:cs="宋体" w:eastAsia="宋体" w:hint="default"/>
          <w:sz w:val="18"/>
          <w:szCs w:val="18"/>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4"/>
        <w:rPr>
          <w:rFonts w:ascii="宋体" w:hAnsi="宋体" w:cs="宋体" w:eastAsia="宋体" w:hint="default"/>
          <w:sz w:val="25"/>
          <w:szCs w:val="25"/>
        </w:rPr>
      </w:pPr>
    </w:p>
    <w:p>
      <w:pPr>
        <w:pStyle w:val="Heading2"/>
        <w:spacing w:line="240" w:lineRule="auto"/>
        <w:ind w:right="1133"/>
        <w:jc w:val="left"/>
        <w:rPr>
          <w:b w:val="0"/>
          <w:bCs w:val="0"/>
        </w:rPr>
      </w:pP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）应收账款分类披露</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2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8"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6"/>
              <w:jc w:val="righ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39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59"/>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307,727,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255.65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40,030,4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26.46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267,696,8</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29.19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238,935,5</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36.32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40,815,34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17.08%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198,120,19</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3.91</w:t>
            </w: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销售货款及提 供服务款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0" w:right="0"/>
              <w:jc w:val="center"/>
              <w:rPr>
                <w:rFonts w:ascii="Times New Roman" w:hAnsi="Times New Roman" w:cs="Times New Roman" w:eastAsia="Times New Roman" w:hint="default"/>
                <w:sz w:val="18"/>
                <w:szCs w:val="18"/>
              </w:rPr>
            </w:pPr>
            <w:r>
              <w:rPr>
                <w:rFonts w:ascii="Times New Roman"/>
                <w:sz w:val="18"/>
              </w:rPr>
              <w:t>242,807,</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008.60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78.90%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8" w:right="0"/>
              <w:jc w:val="left"/>
              <w:rPr>
                <w:rFonts w:ascii="Times New Roman" w:hAnsi="Times New Roman" w:cs="Times New Roman" w:eastAsia="Times New Roman" w:hint="default"/>
                <w:sz w:val="18"/>
                <w:szCs w:val="18"/>
              </w:rPr>
            </w:pPr>
            <w:r>
              <w:rPr>
                <w:rFonts w:ascii="Times New Roman"/>
                <w:sz w:val="18"/>
              </w:rPr>
              <w:t>40,030,4</w:t>
            </w:r>
          </w:p>
          <w:p>
            <w:pPr>
              <w:pStyle w:val="TableParagraph"/>
              <w:spacing w:line="240" w:lineRule="auto" w:before="102"/>
              <w:ind w:left="323" w:right="0"/>
              <w:jc w:val="left"/>
              <w:rPr>
                <w:rFonts w:ascii="Times New Roman" w:hAnsi="Times New Roman" w:cs="Times New Roman" w:eastAsia="Times New Roman" w:hint="default"/>
                <w:sz w:val="18"/>
                <w:szCs w:val="18"/>
              </w:rPr>
            </w:pPr>
            <w:r>
              <w:rPr>
                <w:rFonts w:ascii="Times New Roman"/>
                <w:sz w:val="18"/>
              </w:rPr>
              <w:t>26.46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16.49%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202,776,5</w:t>
            </w:r>
          </w:p>
          <w:p>
            <w:pPr>
              <w:pStyle w:val="TableParagraph"/>
              <w:spacing w:line="240" w:lineRule="auto" w:before="102"/>
              <w:ind w:left="350" w:right="0"/>
              <w:jc w:val="left"/>
              <w:rPr>
                <w:rFonts w:ascii="Times New Roman" w:hAnsi="Times New Roman" w:cs="Times New Roman" w:eastAsia="Times New Roman" w:hint="default"/>
                <w:sz w:val="18"/>
                <w:szCs w:val="18"/>
              </w:rPr>
            </w:pPr>
            <w:r>
              <w:rPr>
                <w:rFonts w:ascii="Times New Roman"/>
                <w:sz w:val="18"/>
              </w:rPr>
              <w:t>82.14</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207,064,0</w:t>
            </w:r>
          </w:p>
          <w:p>
            <w:pPr>
              <w:pStyle w:val="TableParagraph"/>
              <w:spacing w:line="240" w:lineRule="auto" w:before="102"/>
              <w:ind w:left="338" w:right="0"/>
              <w:jc w:val="left"/>
              <w:rPr>
                <w:rFonts w:ascii="Times New Roman" w:hAnsi="Times New Roman" w:cs="Times New Roman" w:eastAsia="Times New Roman" w:hint="default"/>
                <w:sz w:val="18"/>
                <w:szCs w:val="18"/>
              </w:rPr>
            </w:pPr>
            <w:r>
              <w:rPr>
                <w:rFonts w:ascii="Times New Roman"/>
                <w:sz w:val="18"/>
              </w:rPr>
              <w:t>10.34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86.66%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40,815,34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2.41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19.71%</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left"/>
              <w:rPr>
                <w:rFonts w:ascii="Times New Roman" w:hAnsi="Times New Roman" w:cs="Times New Roman" w:eastAsia="Times New Roman" w:hint="default"/>
                <w:sz w:val="18"/>
                <w:szCs w:val="18"/>
              </w:rPr>
            </w:pPr>
            <w:r>
              <w:rPr>
                <w:rFonts w:ascii="Times New Roman"/>
                <w:sz w:val="18"/>
              </w:rPr>
              <w:t>166,248,66</w:t>
            </w:r>
          </w:p>
          <w:p>
            <w:pPr>
              <w:pStyle w:val="TableParagraph"/>
              <w:spacing w:line="240" w:lineRule="auto" w:before="102"/>
              <w:ind w:left="585" w:right="0"/>
              <w:jc w:val="left"/>
              <w:rPr>
                <w:rFonts w:ascii="Times New Roman" w:hAnsi="Times New Roman" w:cs="Times New Roman" w:eastAsia="Times New Roman" w:hint="default"/>
                <w:sz w:val="18"/>
                <w:szCs w:val="18"/>
              </w:rPr>
            </w:pPr>
            <w:r>
              <w:rPr>
                <w:rFonts w:ascii="Times New Roman"/>
                <w:sz w:val="18"/>
              </w:rPr>
              <w:t>7.93</w:t>
            </w:r>
          </w:p>
        </w:tc>
      </w:tr>
      <w:tr>
        <w:trPr>
          <w:trHeight w:val="716"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组合</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合并范围内关 联方款项</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0" w:right="0"/>
              <w:jc w:val="left"/>
              <w:rPr>
                <w:rFonts w:ascii="Times New Roman" w:hAnsi="Times New Roman" w:cs="Times New Roman" w:eastAsia="Times New Roman" w:hint="default"/>
                <w:sz w:val="18"/>
                <w:szCs w:val="18"/>
              </w:rPr>
            </w:pPr>
            <w:r>
              <w:rPr>
                <w:rFonts w:ascii="Times New Roman"/>
                <w:sz w:val="18"/>
              </w:rPr>
              <w:t>64,920,2</w:t>
            </w:r>
          </w:p>
          <w:p>
            <w:pPr>
              <w:pStyle w:val="TableParagraph"/>
              <w:spacing w:line="240" w:lineRule="auto" w:before="105"/>
              <w:ind w:left="326" w:right="0"/>
              <w:jc w:val="left"/>
              <w:rPr>
                <w:rFonts w:ascii="Times New Roman" w:hAnsi="Times New Roman" w:cs="Times New Roman" w:eastAsia="Times New Roman" w:hint="default"/>
                <w:sz w:val="18"/>
                <w:szCs w:val="18"/>
              </w:rPr>
            </w:pPr>
            <w:r>
              <w:rPr>
                <w:rFonts w:ascii="Times New Roman"/>
                <w:sz w:val="18"/>
              </w:rPr>
              <w:t>47.05</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1" w:right="0"/>
              <w:jc w:val="center"/>
              <w:rPr>
                <w:rFonts w:ascii="Times New Roman" w:hAnsi="Times New Roman" w:cs="Times New Roman" w:eastAsia="Times New Roman" w:hint="default"/>
                <w:sz w:val="18"/>
                <w:szCs w:val="18"/>
              </w:rPr>
            </w:pPr>
            <w:r>
              <w:rPr>
                <w:rFonts w:ascii="Times New Roman"/>
                <w:sz w:val="18"/>
              </w:rPr>
              <w:t>21.10%</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5" w:right="0"/>
              <w:jc w:val="left"/>
              <w:rPr>
                <w:rFonts w:ascii="Times New Roman" w:hAnsi="Times New Roman" w:cs="Times New Roman" w:eastAsia="Times New Roman" w:hint="default"/>
                <w:sz w:val="18"/>
                <w:szCs w:val="18"/>
              </w:rPr>
            </w:pPr>
            <w:r>
              <w:rPr>
                <w:rFonts w:ascii="Times New Roman"/>
                <w:sz w:val="18"/>
              </w:rPr>
              <w:t>64,920,24</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7.05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31,871,52</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5.98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13.34%</w:t>
            </w: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31,871,525.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0" w:right="0"/>
              <w:jc w:val="center"/>
              <w:rPr>
                <w:rFonts w:ascii="Times New Roman" w:hAnsi="Times New Roman" w:cs="Times New Roman" w:eastAsia="Times New Roman" w:hint="default"/>
                <w:sz w:val="18"/>
                <w:szCs w:val="18"/>
              </w:rPr>
            </w:pPr>
            <w:r>
              <w:rPr>
                <w:rFonts w:ascii="Times New Roman"/>
                <w:sz w:val="18"/>
              </w:rPr>
              <w:t>307,727,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100.00%</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77" w:right="0"/>
              <w:jc w:val="center"/>
              <w:rPr>
                <w:rFonts w:ascii="Times New Roman" w:hAnsi="Times New Roman" w:cs="Times New Roman" w:eastAsia="Times New Roman" w:hint="default"/>
                <w:sz w:val="18"/>
                <w:szCs w:val="18"/>
              </w:rPr>
            </w:pPr>
            <w:r>
              <w:rPr>
                <w:rFonts w:ascii="Times New Roman"/>
                <w:sz w:val="18"/>
              </w:rPr>
              <w:t>40,030,4</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13.01%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5" w:right="0"/>
              <w:jc w:val="left"/>
              <w:rPr>
                <w:rFonts w:ascii="Times New Roman" w:hAnsi="Times New Roman" w:cs="Times New Roman" w:eastAsia="Times New Roman" w:hint="default"/>
                <w:sz w:val="18"/>
                <w:szCs w:val="18"/>
              </w:rPr>
            </w:pPr>
            <w:r>
              <w:rPr>
                <w:rFonts w:ascii="Times New Roman"/>
                <w:sz w:val="18"/>
              </w:rPr>
              <w:t>267,696,8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238,935,5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1" w:right="0"/>
              <w:jc w:val="center"/>
              <w:rPr>
                <w:rFonts w:ascii="Times New Roman" w:hAnsi="Times New Roman" w:cs="Times New Roman" w:eastAsia="Times New Roman" w:hint="default"/>
                <w:sz w:val="18"/>
                <w:szCs w:val="18"/>
              </w:rPr>
            </w:pPr>
            <w:r>
              <w:rPr>
                <w:rFonts w:ascii="Times New Roman"/>
                <w:sz w:val="18"/>
              </w:rPr>
              <w:t>40,815,34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17.08%</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8" w:right="0"/>
              <w:jc w:val="left"/>
              <w:rPr>
                <w:rFonts w:ascii="Times New Roman" w:hAnsi="Times New Roman" w:cs="Times New Roman" w:eastAsia="Times New Roman" w:hint="default"/>
                <w:sz w:val="18"/>
                <w:szCs w:val="18"/>
              </w:rPr>
            </w:pPr>
            <w:r>
              <w:rPr>
                <w:rFonts w:ascii="Times New Roman"/>
                <w:sz w:val="18"/>
              </w:rPr>
              <w:t>198,120,19</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4"/>
        <w:gridCol w:w="763"/>
        <w:gridCol w:w="764"/>
        <w:gridCol w:w="761"/>
        <w:gridCol w:w="763"/>
        <w:gridCol w:w="790"/>
        <w:gridCol w:w="775"/>
        <w:gridCol w:w="797"/>
        <w:gridCol w:w="800"/>
        <w:gridCol w:w="790"/>
        <w:gridCol w:w="934"/>
      </w:tblGrid>
      <w:tr>
        <w:trPr>
          <w:trHeight w:val="363"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7" w:right="0"/>
              <w:jc w:val="left"/>
              <w:rPr>
                <w:rFonts w:ascii="Times New Roman" w:hAnsi="Times New Roman" w:cs="Times New Roman" w:eastAsia="Times New Roman" w:hint="default"/>
                <w:sz w:val="18"/>
                <w:szCs w:val="18"/>
              </w:rPr>
            </w:pPr>
            <w:r>
              <w:rPr>
                <w:rFonts w:ascii="Times New Roman"/>
                <w:sz w:val="18"/>
              </w:rPr>
              <w:t>255.65</w:t>
            </w: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23" w:right="0"/>
              <w:jc w:val="left"/>
              <w:rPr>
                <w:rFonts w:ascii="Times New Roman" w:hAnsi="Times New Roman" w:cs="Times New Roman" w:eastAsia="Times New Roman" w:hint="default"/>
                <w:sz w:val="18"/>
                <w:szCs w:val="18"/>
              </w:rPr>
            </w:pPr>
            <w:r>
              <w:rPr>
                <w:rFonts w:ascii="Times New Roman"/>
                <w:sz w:val="18"/>
              </w:rPr>
              <w:t>26.46</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0" w:right="0"/>
              <w:jc w:val="left"/>
              <w:rPr>
                <w:rFonts w:ascii="Times New Roman" w:hAnsi="Times New Roman" w:cs="Times New Roman" w:eastAsia="Times New Roman" w:hint="default"/>
                <w:sz w:val="18"/>
                <w:szCs w:val="18"/>
              </w:rPr>
            </w:pPr>
            <w:r>
              <w:rPr>
                <w:rFonts w:ascii="Times New Roman"/>
                <w:sz w:val="18"/>
              </w:rPr>
              <w:t>29.19</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38" w:right="0"/>
              <w:jc w:val="left"/>
              <w:rPr>
                <w:rFonts w:ascii="Times New Roman" w:hAnsi="Times New Roman" w:cs="Times New Roman" w:eastAsia="Times New Roman" w:hint="default"/>
                <w:sz w:val="18"/>
                <w:szCs w:val="18"/>
              </w:rPr>
            </w:pPr>
            <w:r>
              <w:rPr>
                <w:rFonts w:ascii="Times New Roman"/>
                <w:sz w:val="18"/>
              </w:rPr>
              <w:t>36.32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Times New Roman" w:hAnsi="Times New Roman" w:cs="Times New Roman" w:eastAsia="Times New Roman" w:hint="default"/>
                <w:sz w:val="18"/>
                <w:szCs w:val="18"/>
              </w:rPr>
            </w:pPr>
            <w:r>
              <w:rPr>
                <w:rFonts w:ascii="Times New Roman"/>
                <w:sz w:val="18"/>
              </w:rPr>
              <w:t>2.41</w:t>
            </w:r>
          </w:p>
        </w:tc>
        <w:tc>
          <w:tcPr>
            <w:tcW w:w="79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585" w:right="0"/>
              <w:jc w:val="left"/>
              <w:rPr>
                <w:rFonts w:ascii="Times New Roman" w:hAnsi="Times New Roman" w:cs="Times New Roman" w:eastAsia="Times New Roman" w:hint="default"/>
                <w:sz w:val="18"/>
                <w:szCs w:val="18"/>
              </w:rPr>
            </w:pPr>
            <w:r>
              <w:rPr>
                <w:rFonts w:ascii="Times New Roman"/>
                <w:sz w:val="18"/>
              </w:rPr>
              <w:t>3.91</w:t>
            </w:r>
          </w:p>
        </w:tc>
      </w:tr>
    </w:tbl>
    <w:p>
      <w:pPr>
        <w:pStyle w:val="BodyText"/>
        <w:spacing w:line="240" w:lineRule="auto" w:before="51"/>
        <w:ind w:right="1133"/>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2"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1133"/>
        <w:jc w:val="left"/>
        <w:rPr>
          <w:rFonts w:ascii="Times New Roman" w:hAnsi="Times New Roman" w:cs="Times New Roman" w:eastAsia="Times New Roman" w:hint="default"/>
        </w:rPr>
      </w:pPr>
      <w:r>
        <w:rPr/>
        <w:t>按组合计提坏账准备：</w:t>
      </w:r>
      <w:r>
        <w:rPr>
          <w:rFonts w:ascii="Times New Roman" w:hAnsi="Times New Roman" w:cs="Times New Roman" w:eastAsia="Times New Roman" w:hint="default"/>
        </w:rPr>
        <w:t>40,030,426.46</w:t>
      </w:r>
    </w:p>
    <w:p>
      <w:pPr>
        <w:pStyle w:val="BodyText"/>
        <w:spacing w:line="240" w:lineRule="auto" w:before="101"/>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178,096,989.61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13,570,990.61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7.62%</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40,063,982.36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8,481,545.07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21.17%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9,277,688.22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4,051,566.45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43.67%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3,384,894.76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2,617,539.12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77.33%</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2,509,786.60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2,368,485.61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94.37%</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9,473,667.05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8,940,299.60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94.37%</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242,807,008.60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40,030,426.46</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357" w:lineRule="auto" w:before="51"/>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1"/>
          <w:szCs w:val="21"/>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2133" w:space="6696"/>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6"/>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52"/>
        <w:ind w:right="1754"/>
        <w:jc w:val="left"/>
      </w:pPr>
      <w:r>
        <w:rPr/>
        <w:t>确定该组合依据的说明： 如是按照预期信用损失一般模型计提应收账款坏账准备，请参照其他应收款的披露方式披露坏账准备的相关信息：</w:t>
      </w:r>
    </w:p>
    <w:p>
      <w:pPr>
        <w:pStyle w:val="BodyText"/>
        <w:spacing w:line="338" w:lineRule="auto" w:before="29"/>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pStyle w:val="BodyText"/>
        <w:spacing w:line="240" w:lineRule="auto" w:before="4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2"/>
              <w:jc w:val="right"/>
              <w:rPr>
                <w:rFonts w:ascii="Times New Roman" w:hAnsi="Times New Roman" w:cs="Times New Roman" w:eastAsia="Times New Roman" w:hint="default"/>
                <w:sz w:val="18"/>
                <w:szCs w:val="18"/>
              </w:rPr>
            </w:pPr>
            <w:r>
              <w:rPr>
                <w:rFonts w:ascii="Times New Roman"/>
                <w:spacing w:val="-1"/>
                <w:sz w:val="18"/>
              </w:rPr>
              <w:t>217,458,484.03</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53,328,275.87</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17,269,149.34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19,671,346.41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3,384,894.76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2,509,786.60</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13,776,665.05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307,727,255.65</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right="1133"/>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应收账款坏账准 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40,815,342.41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12,499,527.42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13,284,443.37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40,030,426.46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40,815,342.41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12,499,527.42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13,284,443.37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40,030,426.46</w:t>
            </w:r>
          </w:p>
        </w:tc>
      </w:tr>
    </w:tbl>
    <w:p>
      <w:pPr>
        <w:pStyle w:val="BodyText"/>
        <w:spacing w:line="240" w:lineRule="auto" w:before="52"/>
        <w:ind w:right="1133"/>
        <w:jc w:val="left"/>
      </w:pPr>
      <w:r>
        <w:rPr/>
        <w:t>其中本期坏账准备收回或转回金额重要的：</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983"/>
        <w:gridCol w:w="4587"/>
      </w:tblGrid>
      <w:tr>
        <w:trPr>
          <w:trHeight w:val="401" w:hRule="exact"/>
        </w:trPr>
        <w:tc>
          <w:tcPr>
            <w:tcW w:w="4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13,284,443.37</w:t>
            </w:r>
          </w:p>
        </w:tc>
      </w:tr>
    </w:tbl>
    <w:p>
      <w:pPr>
        <w:pStyle w:val="BodyText"/>
        <w:spacing w:line="240" w:lineRule="auto" w:before="51"/>
        <w:ind w:right="1133"/>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6"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08"/>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32" w:right="79" w:hanging="449"/>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both"/>
              <w:rPr>
                <w:rFonts w:ascii="宋体" w:hAnsi="宋体" w:cs="宋体" w:eastAsia="宋体" w:hint="default"/>
                <w:sz w:val="18"/>
                <w:szCs w:val="18"/>
              </w:rPr>
            </w:pPr>
            <w:r>
              <w:rPr>
                <w:rFonts w:ascii="宋体" w:hAnsi="宋体" w:cs="宋体" w:eastAsia="宋体" w:hint="default"/>
                <w:sz w:val="18"/>
                <w:szCs w:val="18"/>
              </w:rPr>
              <w:t>广西壮族自治区人力 资源和社会保障信息 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5"/>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pacing w:val="-7"/>
                <w:sz w:val="18"/>
                <w:szCs w:val="18"/>
              </w:rPr>
              <w:t>董事会、监事会审批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both"/>
              <w:rPr>
                <w:rFonts w:ascii="宋体" w:hAnsi="宋体" w:cs="宋体" w:eastAsia="宋体" w:hint="default"/>
                <w:sz w:val="18"/>
                <w:szCs w:val="18"/>
              </w:rPr>
            </w:pPr>
            <w:r>
              <w:rPr>
                <w:rFonts w:ascii="宋体" w:hAnsi="宋体" w:cs="宋体" w:eastAsia="宋体" w:hint="default"/>
                <w:sz w:val="18"/>
                <w:szCs w:val="18"/>
              </w:rPr>
              <w:t>中国建设银行股份有 限公司广西壮族自治 区分行</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2,425,948.00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35"/>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 w:right="0"/>
              <w:jc w:val="center"/>
              <w:rPr>
                <w:rFonts w:ascii="宋体" w:hAnsi="宋体" w:cs="宋体" w:eastAsia="宋体" w:hint="default"/>
                <w:sz w:val="18"/>
                <w:szCs w:val="18"/>
              </w:rPr>
            </w:pPr>
            <w:r>
              <w:rPr>
                <w:rFonts w:ascii="宋体" w:hAnsi="宋体" w:cs="宋体" w:eastAsia="宋体" w:hint="default"/>
                <w:spacing w:val="-7"/>
                <w:sz w:val="18"/>
                <w:szCs w:val="18"/>
              </w:rPr>
              <w:t>董事会、监事会审批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其他零星客户</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6,358,495.37</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35"/>
              <w:jc w:val="right"/>
              <w:rPr>
                <w:rFonts w:ascii="宋体" w:hAnsi="宋体" w:cs="宋体" w:eastAsia="宋体" w:hint="default"/>
                <w:sz w:val="18"/>
                <w:szCs w:val="18"/>
              </w:rPr>
            </w:pPr>
            <w:r>
              <w:rPr>
                <w:rFonts w:ascii="宋体" w:hAnsi="宋体" w:cs="宋体" w:eastAsia="宋体" w:hint="default"/>
                <w:sz w:val="18"/>
                <w:szCs w:val="18"/>
              </w:rPr>
              <w:t>款项无法收回</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pacing w:val="-7"/>
                <w:sz w:val="18"/>
                <w:szCs w:val="18"/>
              </w:rPr>
              <w:t>董事会、监事会审批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13,284,443.37</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1133"/>
        <w:jc w:val="left"/>
      </w:pPr>
      <w:r>
        <w:rPr/>
        <w:t>应收账款核销说明：</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921" w:right="111"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山西易联众信息技术有限公 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28,253,755.35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合肥市卫生健康委员会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22,767,000.00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z w:val="18"/>
              </w:rPr>
              <w:t>7.40%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1,734,845.40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广西医大开元埌东医院有限</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17,131,140.00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5.57%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4,352,991.34</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4" w:right="0"/>
              <w:jc w:val="left"/>
              <w:rPr>
                <w:rFonts w:ascii="宋体" w:hAnsi="宋体" w:cs="宋体" w:eastAsia="宋体" w:hint="default"/>
                <w:sz w:val="18"/>
                <w:szCs w:val="18"/>
              </w:rPr>
            </w:pPr>
            <w:r>
              <w:rPr>
                <w:rFonts w:ascii="宋体" w:hAnsi="宋体" w:cs="宋体" w:eastAsia="宋体" w:hint="default"/>
                <w:sz w:val="18"/>
                <w:szCs w:val="18"/>
              </w:rPr>
              <w:t>责任公司</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福建易联众软件系统开发有 限公司</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16,444,692.00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5.34%</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97"/>
              <w:jc w:val="left"/>
              <w:rPr>
                <w:rFonts w:ascii="宋体" w:hAnsi="宋体" w:cs="宋体" w:eastAsia="宋体" w:hint="default"/>
                <w:sz w:val="18"/>
                <w:szCs w:val="18"/>
              </w:rPr>
            </w:pPr>
            <w:r>
              <w:rPr>
                <w:rFonts w:ascii="宋体" w:hAnsi="宋体" w:cs="宋体" w:eastAsia="宋体" w:hint="default"/>
                <w:sz w:val="18"/>
                <w:szCs w:val="18"/>
              </w:rPr>
              <w:t>中国工商银行股份有限公司 泉州分行</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11,994,911.79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548" w:right="0"/>
              <w:jc w:val="left"/>
              <w:rPr>
                <w:rFonts w:ascii="Times New Roman" w:hAnsi="Times New Roman" w:cs="Times New Roman" w:eastAsia="Times New Roman" w:hint="default"/>
                <w:sz w:val="18"/>
                <w:szCs w:val="18"/>
              </w:rPr>
            </w:pPr>
            <w:r>
              <w:rPr>
                <w:rFonts w:ascii="Times New Roman"/>
                <w:sz w:val="18"/>
              </w:rPr>
              <w:t>914,012.28</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96,591,499.14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31.39%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本年本公司无因金融资产转移而终止确认的应收账款情况。</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5714"/>
        <w:jc w:val="left"/>
      </w:pPr>
      <w:r>
        <w:rPr/>
        <w:t>本年本公司无转移应收账款且继续涉入形成的资产、负债金额。 其他说明：</w:t>
      </w:r>
    </w:p>
    <w:p>
      <w:pPr>
        <w:pStyle w:val="BodyText"/>
        <w:spacing w:line="240" w:lineRule="auto" w:before="25"/>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41,159,239.12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38,415,544.14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41,159,239.12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38,415,544.14</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）应收利息分类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2</w:t>
      </w:r>
      <w:r>
        <w:rPr/>
        <w:t>）重要逾期利息</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其他说明：无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）应收股利分类</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）重要的账龄超过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宋体" w:hAnsi="宋体" w:cs="宋体" w:eastAsia="宋体" w:hint="default"/>
          <w:spacing w:val="90"/>
        </w:rPr>
        <w:t> </w:t>
      </w:r>
      <w:r>
        <w:rPr>
          <w:rFonts w:ascii="宋体" w:hAnsi="宋体" w:cs="宋体" w:eastAsia="宋体" w:hint="default"/>
        </w:rPr>
        <w:t>  </w:t>
      </w:r>
      <w:r>
        <w:rPr/>
        <w:t>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3</w:t>
      </w:r>
      <w:r>
        <w:rPr/>
        <w:t>）坏账准备计提情况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其他说明：</w:t>
      </w:r>
    </w:p>
    <w:p>
      <w:pPr>
        <w:spacing w:line="240" w:lineRule="auto" w:before="1"/>
        <w:rPr>
          <w:rFonts w:ascii="宋体" w:hAnsi="宋体" w:cs="宋体" w:eastAsia="宋体" w:hint="default"/>
          <w:sz w:val="21"/>
          <w:szCs w:val="21"/>
        </w:rPr>
      </w:pPr>
    </w:p>
    <w:p>
      <w:pPr>
        <w:pStyle w:val="Heading3"/>
        <w:spacing w:line="240" w:lineRule="auto"/>
        <w:ind w:right="1133"/>
        <w:jc w:val="left"/>
        <w:rPr>
          <w:b w:val="0"/>
          <w:bCs w:val="0"/>
        </w:rPr>
      </w:pP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）其他应收款按款项性质分类情况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18,712.33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20,647.05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14,561,429.86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12,731,786.08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合并范围内关联往来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22,664,977.49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28,963,732.21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6,911,218.38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1,610,731.21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842,127.01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45,767,069.27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42,558,292.35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）坏账准备计提情况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652"/>
        <w:gridCol w:w="2098"/>
        <w:gridCol w:w="2101"/>
        <w:gridCol w:w="180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0"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6"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549" w:right="50" w:hanging="49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个月预期信 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2"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left="4"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4,142,748.21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4,142,748.21</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4" w:right="3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 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465,081.94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465,081.94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4,607,830.15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4,607,830.15</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pStyle w:val="BodyText"/>
        <w:spacing w:line="240" w:lineRule="auto" w:before="51"/>
        <w:ind w:right="-20"/>
        <w:jc w:val="left"/>
      </w:pPr>
      <w:r>
        <w:rPr/>
        <w:t>损失准备本期变动金额重大的账面余额变动情况</w:t>
      </w:r>
    </w:p>
    <w:p>
      <w:pPr>
        <w:pStyle w:val="BodyText"/>
        <w:spacing w:line="340" w:lineRule="auto" w:before="115"/>
        <w:ind w:right="1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ind w:right="0"/>
        <w:jc w:val="left"/>
      </w:pPr>
      <w:r>
        <w:rPr/>
        <w:t>单位：</w:t>
      </w:r>
      <w:r>
        <w:rPr>
          <w:spacing w:val="1"/>
        </w:rPr>
        <w:t> </w:t>
      </w:r>
      <w:r>
        <w:rPr/>
        <w:t>元</w:t>
      </w:r>
    </w:p>
    <w:p>
      <w:pPr>
        <w:spacing w:after="0" w:line="240" w:lineRule="auto"/>
        <w:jc w:val="left"/>
        <w:sectPr>
          <w:type w:val="continuous"/>
          <w:pgSz w:w="11910" w:h="16840"/>
          <w:pgMar w:top="1060" w:bottom="1160" w:left="980" w:right="0"/>
          <w:cols w:num="2" w:equalWidth="0">
            <w:col w:w="3933" w:space="4896"/>
            <w:col w:w="2101"/>
          </w:cols>
        </w:sectPr>
      </w:pP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29,479,497.08</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3"/>
              <w:jc w:val="right"/>
              <w:rPr>
                <w:rFonts w:ascii="Times New Roman" w:hAnsi="Times New Roman" w:cs="Times New Roman" w:eastAsia="Times New Roman" w:hint="default"/>
                <w:sz w:val="18"/>
                <w:szCs w:val="18"/>
              </w:rPr>
            </w:pPr>
            <w:r>
              <w:rPr>
                <w:rFonts w:ascii="Times New Roman"/>
                <w:spacing w:val="-1"/>
                <w:sz w:val="18"/>
              </w:rPr>
              <w:t>11,337,417.60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1,207,347.46</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3,742,807.13</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507,214.00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512,551.24</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2,723,041.89</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45,767,069.27</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right="1133"/>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80"/>
        <w:gridCol w:w="1088"/>
        <w:gridCol w:w="1332"/>
        <w:gridCol w:w="1452"/>
        <w:gridCol w:w="1198"/>
        <w:gridCol w:w="134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2"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1"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05"/>
              <w:jc w:val="left"/>
              <w:rPr>
                <w:rFonts w:ascii="宋体" w:hAnsi="宋体" w:cs="宋体" w:eastAsia="宋体" w:hint="default"/>
                <w:sz w:val="18"/>
                <w:szCs w:val="18"/>
              </w:rPr>
            </w:pPr>
            <w:r>
              <w:rPr>
                <w:rFonts w:ascii="宋体" w:hAnsi="宋体" w:cs="宋体" w:eastAsia="宋体" w:hint="default"/>
                <w:sz w:val="18"/>
                <w:szCs w:val="18"/>
              </w:rPr>
              <w:t>其他应收款坏账准 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88" w:right="0"/>
              <w:jc w:val="center"/>
              <w:rPr>
                <w:rFonts w:ascii="Times New Roman" w:hAnsi="Times New Roman" w:cs="Times New Roman" w:eastAsia="Times New Roman" w:hint="default"/>
                <w:sz w:val="18"/>
                <w:szCs w:val="18"/>
              </w:rPr>
            </w:pPr>
            <w:r>
              <w:rPr>
                <w:rFonts w:ascii="Times New Roman"/>
                <w:sz w:val="18"/>
              </w:rPr>
              <w:t>4,142,748.21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465,081.94</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4,607,830.15</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8" w:right="0"/>
              <w:jc w:val="center"/>
              <w:rPr>
                <w:rFonts w:ascii="Times New Roman" w:hAnsi="Times New Roman" w:cs="Times New Roman" w:eastAsia="Times New Roman" w:hint="default"/>
                <w:sz w:val="18"/>
                <w:szCs w:val="18"/>
              </w:rPr>
            </w:pPr>
            <w:r>
              <w:rPr>
                <w:rFonts w:ascii="Times New Roman"/>
                <w:sz w:val="18"/>
              </w:rPr>
              <w:t>4,142,748.21</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9" w:right="0"/>
              <w:jc w:val="left"/>
              <w:rPr>
                <w:rFonts w:ascii="Times New Roman" w:hAnsi="Times New Roman" w:cs="Times New Roman" w:eastAsia="Times New Roman" w:hint="default"/>
                <w:sz w:val="18"/>
                <w:szCs w:val="18"/>
              </w:rPr>
            </w:pPr>
            <w:r>
              <w:rPr>
                <w:rFonts w:ascii="Times New Roman"/>
                <w:sz w:val="18"/>
              </w:rPr>
              <w:t>465,081.94</w:t>
            </w:r>
          </w:p>
        </w:tc>
        <w:tc>
          <w:tcPr>
            <w:tcW w:w="1452"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4,607,830.15</w:t>
            </w:r>
          </w:p>
        </w:tc>
      </w:tr>
    </w:tbl>
    <w:p>
      <w:pPr>
        <w:pStyle w:val="BodyText"/>
        <w:spacing w:line="240" w:lineRule="auto" w:before="51"/>
        <w:ind w:right="1133"/>
        <w:jc w:val="left"/>
      </w:pPr>
      <w:r>
        <w:rPr/>
        <w:t>其中本期坏账准备转回或收回金额重要的：无</w:t>
      </w:r>
    </w:p>
    <w:p>
      <w:pPr>
        <w:spacing w:line="240" w:lineRule="auto" w:before="11"/>
        <w:rPr>
          <w:rFonts w:ascii="宋体" w:hAnsi="宋体" w:cs="宋体" w:eastAsia="宋体" w:hint="default"/>
          <w:sz w:val="26"/>
          <w:szCs w:val="26"/>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）本期实际核销的其他应收款情况</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8054"/>
        <w:jc w:val="left"/>
      </w:pPr>
      <w:r>
        <w:rPr/>
        <w:t>其中重要的其他应收款核销情况： 其他应收款核销说明：无</w:t>
      </w:r>
    </w:p>
    <w:p>
      <w:pPr>
        <w:spacing w:line="240" w:lineRule="auto" w:before="12"/>
        <w:rPr>
          <w:rFonts w:ascii="宋体" w:hAnsi="宋体" w:cs="宋体" w:eastAsia="宋体" w:hint="default"/>
          <w:sz w:val="19"/>
          <w:szCs w:val="19"/>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685"/>
        <w:gridCol w:w="1551"/>
        <w:gridCol w:w="1553"/>
        <w:gridCol w:w="1551"/>
        <w:gridCol w:w="1616"/>
        <w:gridCol w:w="1615"/>
      </w:tblGrid>
      <w:tr>
        <w:trPr>
          <w:trHeight w:val="713" w:hRule="exact"/>
        </w:trPr>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8"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3"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79"/>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易联众健康医疗控股 有限公司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合并范围内关联方 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14,919,406.74</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32.60%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厦门欣亚锐商贸有限 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6,911,218.38</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345,560.92</w:t>
            </w:r>
          </w:p>
        </w:tc>
      </w:tr>
      <w:tr>
        <w:trPr>
          <w:trHeight w:val="71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9"/>
              <w:jc w:val="left"/>
              <w:rPr>
                <w:rFonts w:ascii="宋体" w:hAnsi="宋体" w:cs="宋体" w:eastAsia="宋体" w:hint="default"/>
                <w:sz w:val="18"/>
                <w:szCs w:val="18"/>
              </w:rPr>
            </w:pPr>
            <w:r>
              <w:rPr>
                <w:rFonts w:ascii="宋体" w:hAnsi="宋体" w:cs="宋体" w:eastAsia="宋体" w:hint="default"/>
                <w:sz w:val="18"/>
                <w:szCs w:val="18"/>
              </w:rPr>
              <w:t>易康吉保险经纪有限 责任公司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75"/>
              <w:jc w:val="left"/>
              <w:rPr>
                <w:rFonts w:ascii="宋体" w:hAnsi="宋体" w:cs="宋体" w:eastAsia="宋体" w:hint="default"/>
                <w:sz w:val="18"/>
                <w:szCs w:val="18"/>
              </w:rPr>
            </w:pPr>
            <w:r>
              <w:rPr>
                <w:rFonts w:ascii="宋体" w:hAnsi="宋体" w:cs="宋体" w:eastAsia="宋体" w:hint="default"/>
                <w:sz w:val="18"/>
                <w:szCs w:val="18"/>
              </w:rPr>
              <w:t>合并范围内关联方 往来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5,850,000.00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12.78%</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 w:right="29"/>
              <w:jc w:val="left"/>
              <w:rPr>
                <w:rFonts w:ascii="宋体" w:hAnsi="宋体" w:cs="宋体" w:eastAsia="宋体" w:hint="default"/>
                <w:sz w:val="18"/>
                <w:szCs w:val="18"/>
              </w:rPr>
            </w:pPr>
            <w:r>
              <w:rPr>
                <w:rFonts w:ascii="宋体" w:hAnsi="宋体" w:cs="宋体" w:eastAsia="宋体" w:hint="default"/>
                <w:sz w:val="18"/>
                <w:szCs w:val="18"/>
              </w:rPr>
              <w:t>安徽合肥公共资源交 易中心</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3,154,000.00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年以内</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253,900.00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2,900,100.00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6.89%</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302,705.00</w:t>
            </w:r>
          </w:p>
        </w:tc>
      </w:tr>
      <w:tr>
        <w:trPr>
          <w:trHeight w:val="403" w:hRule="exact"/>
        </w:trPr>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中机国际招标公司</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1,340,000.00</w:t>
            </w:r>
          </w:p>
        </w:tc>
        <w:tc>
          <w:tcPr>
            <w:tcW w:w="15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2.93%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67,000.00</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40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84" w:right="0"/>
              <w:jc w:val="left"/>
              <w:rPr>
                <w:rFonts w:ascii="Times New Roman" w:hAnsi="Times New Roman" w:cs="Times New Roman" w:eastAsia="Times New Roman" w:hint="default"/>
                <w:sz w:val="18"/>
                <w:szCs w:val="18"/>
              </w:rPr>
            </w:pPr>
            <w:r>
              <w:rPr>
                <w:rFonts w:ascii="Times New Roman"/>
                <w:sz w:val="18"/>
              </w:rPr>
              <w:t>32,174,625.12</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29" w:right="0"/>
              <w:jc w:val="left"/>
              <w:rPr>
                <w:rFonts w:ascii="Times New Roman" w:hAnsi="Times New Roman" w:cs="Times New Roman" w:eastAsia="Times New Roman" w:hint="default"/>
                <w:sz w:val="18"/>
                <w:szCs w:val="18"/>
              </w:rPr>
            </w:pPr>
            <w:r>
              <w:rPr>
                <w:rFonts w:ascii="Times New Roman"/>
                <w:sz w:val="18"/>
              </w:rPr>
              <w:t>70.30%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72" w:right="0"/>
              <w:jc w:val="left"/>
              <w:rPr>
                <w:rFonts w:ascii="Times New Roman" w:hAnsi="Times New Roman" w:cs="Times New Roman" w:eastAsia="Times New Roman" w:hint="default"/>
                <w:sz w:val="18"/>
                <w:szCs w:val="18"/>
              </w:rPr>
            </w:pPr>
            <w:r>
              <w:rPr>
                <w:rFonts w:ascii="Times New Roman"/>
                <w:sz w:val="18"/>
              </w:rPr>
              <w:t>715,265.92</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）涉及政府补助的应收款项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本年本公司无因金融资产转移而终止确认的其他应收款情况。</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360" w:lineRule="auto"/>
        <w:ind w:right="5534"/>
        <w:jc w:val="left"/>
      </w:pPr>
      <w:r>
        <w:rPr/>
        <w:t>本年本公司无转移其他应收款且继续涉入形成的资产、负债金额。 其他说明：</w:t>
      </w:r>
    </w:p>
    <w:p>
      <w:pPr>
        <w:pStyle w:val="BodyText"/>
        <w:spacing w:line="240" w:lineRule="auto" w:before="27"/>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533,691,227.09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529,791,227.09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608,851,800.00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608,851,800.00</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369,686,024.63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2,180,471.80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367,505,552.83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366,141,426.71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366,141,426.71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903,377,251.72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6,080,471.80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897,296,779.92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974,993,226.71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974,993,226.71</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1</w:t>
      </w:r>
      <w:r>
        <w:rPr/>
        <w:t>）对子公司投资</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18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166"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7"/>
              <w:ind w:left="278" w:right="96"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7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213"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97"/>
              <w:ind w:left="391" w:right="29" w:hanging="36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账面 价值</w:t>
            </w:r>
            <w:r>
              <w:rPr>
                <w:rFonts w:ascii="Times New Roman" w:hAnsi="Times New Roman" w:cs="Times New Roman" w:eastAsia="Times New Roman" w:hint="default"/>
                <w:sz w:val="18"/>
                <w:szCs w:val="18"/>
              </w:rPr>
              <w:t>)</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7"/>
              <w:ind w:left="422"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3" w:hRule="exact"/>
        </w:trPr>
        <w:tc>
          <w:tcPr>
            <w:tcW w:w="1268" w:type="dxa"/>
            <w:vMerge/>
            <w:tcBorders>
              <w:left w:val="single" w:sz="4" w:space="0" w:color="000000"/>
              <w:bottom w:val="single" w:sz="4" w:space="0" w:color="000000"/>
              <w:right w:val="single" w:sz="4" w:space="0" w:color="000000"/>
            </w:tcBorders>
            <w:shd w:val="clear" w:color="auto" w:fill="D2D2D2"/>
          </w:tcPr>
          <w:p>
            <w:pPr/>
          </w:p>
        </w:tc>
        <w:tc>
          <w:tcPr>
            <w:tcW w:w="1166" w:type="dxa"/>
            <w:vMerge/>
            <w:tcBorders>
              <w:left w:val="single" w:sz="4" w:space="0" w:color="000000"/>
              <w:bottom w:val="single" w:sz="4" w:space="0" w:color="000000"/>
              <w:right w:val="single" w:sz="4" w:space="0" w:color="000000"/>
            </w:tcBorders>
            <w:shd w:val="clear" w:color="auto" w:fill="D2D2D2"/>
          </w:tcPr>
          <w:p>
            <w:pP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9"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2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213"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福州易联众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山西易联众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10,545,600.00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10,545,600.00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安徽易联众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10,048,000.00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10,048,000.00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福建开发</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27,160,000.00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27,160,000.00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电子科技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10,200,000.00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广西易联众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湖南易联众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10,000,000.00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北京易联众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29,973,200.00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29,973,200.00</w:t>
            </w:r>
          </w:p>
        </w:tc>
        <w:tc>
          <w:tcPr>
            <w:tcW w:w="12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268"/>
        <w:gridCol w:w="1166"/>
        <w:gridCol w:w="1167"/>
        <w:gridCol w:w="1164"/>
        <w:gridCol w:w="1167"/>
        <w:gridCol w:w="1214"/>
        <w:gridCol w:w="1213"/>
        <w:gridCol w:w="1214"/>
      </w:tblGrid>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广东易联众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68" w:right="0"/>
              <w:jc w:val="center"/>
              <w:rPr>
                <w:rFonts w:ascii="Times New Roman" w:hAnsi="Times New Roman" w:cs="Times New Roman" w:eastAsia="Times New Roman" w:hint="default"/>
                <w:sz w:val="18"/>
                <w:szCs w:val="18"/>
              </w:rPr>
            </w:pPr>
            <w:r>
              <w:rPr>
                <w:rFonts w:ascii="Times New Roman"/>
                <w:sz w:val="18"/>
              </w:rPr>
              <w:t>6,000,000.00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2,500,000.00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陕西易联众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center"/>
              <w:rPr>
                <w:rFonts w:ascii="Times New Roman" w:hAnsi="Times New Roman" w:cs="Times New Roman" w:eastAsia="Times New Roman" w:hint="default"/>
                <w:sz w:val="18"/>
                <w:szCs w:val="18"/>
              </w:rPr>
            </w:pPr>
            <w:r>
              <w:rPr>
                <w:rFonts w:ascii="Times New Roman"/>
                <w:sz w:val="18"/>
              </w:rPr>
              <w:t>2,450,000.00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2,450,000.00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金融控股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9" w:right="0"/>
              <w:jc w:val="center"/>
              <w:rPr>
                <w:rFonts w:ascii="Times New Roman" w:hAnsi="Times New Roman" w:cs="Times New Roman" w:eastAsia="Times New Roman" w:hint="default"/>
                <w:sz w:val="18"/>
                <w:szCs w:val="18"/>
              </w:rPr>
            </w:pPr>
            <w:r>
              <w:rPr>
                <w:rFonts w:ascii="Times New Roman"/>
                <w:sz w:val="18"/>
              </w:rPr>
              <w:t>20,000,000.00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医疗控股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易康吉</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50,000,000.00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融资租赁</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170,000,000.0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170,000,000.00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易惠科技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14,625,000.00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4,875,000.00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19,500,000.00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智能科技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center"/>
              <w:rPr>
                <w:rFonts w:ascii="Times New Roman" w:hAnsi="Times New Roman" w:cs="Times New Roman" w:eastAsia="Times New Roman" w:hint="default"/>
                <w:sz w:val="18"/>
                <w:szCs w:val="18"/>
              </w:rPr>
            </w:pPr>
            <w:r>
              <w:rPr>
                <w:rFonts w:ascii="Times New Roman"/>
                <w:sz w:val="18"/>
              </w:rPr>
              <w:t>6,500,000.00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center"/>
              <w:rPr>
                <w:rFonts w:ascii="Times New Roman" w:hAnsi="Times New Roman" w:cs="Times New Roman" w:eastAsia="Times New Roman" w:hint="default"/>
                <w:sz w:val="18"/>
                <w:szCs w:val="18"/>
              </w:rPr>
            </w:pPr>
            <w:r>
              <w:rPr>
                <w:rFonts w:ascii="Times New Roman"/>
                <w:sz w:val="18"/>
              </w:rPr>
              <w:t>4,000,000.00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4,000,000.00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民生科技</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center"/>
              <w:rPr>
                <w:rFonts w:ascii="Times New Roman" w:hAnsi="Times New Roman" w:cs="Times New Roman" w:eastAsia="Times New Roman" w:hint="default"/>
                <w:sz w:val="18"/>
                <w:szCs w:val="18"/>
              </w:rPr>
            </w:pPr>
            <w:r>
              <w:rPr>
                <w:rFonts w:ascii="Times New Roman"/>
                <w:sz w:val="18"/>
              </w:rPr>
              <w:t>6,500,000.00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6,500,000.00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海南易联众</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79" w:right="0"/>
              <w:jc w:val="center"/>
              <w:rPr>
                <w:rFonts w:ascii="Times New Roman" w:hAnsi="Times New Roman" w:cs="Times New Roman" w:eastAsia="Times New Roman" w:hint="default"/>
                <w:sz w:val="18"/>
                <w:szCs w:val="18"/>
              </w:rPr>
            </w:pPr>
            <w:r>
              <w:rPr>
                <w:rFonts w:ascii="Times New Roman"/>
                <w:sz w:val="18"/>
              </w:rPr>
              <w:t>10,800,000.00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415,427.09</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11,215,427.09</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易达迅</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center"/>
              <w:rPr>
                <w:rFonts w:ascii="Times New Roman" w:hAnsi="Times New Roman" w:cs="Times New Roman" w:eastAsia="Times New Roman" w:hint="default"/>
                <w:sz w:val="18"/>
                <w:szCs w:val="18"/>
              </w:rPr>
            </w:pPr>
            <w:r>
              <w:rPr>
                <w:rFonts w:ascii="Times New Roman"/>
                <w:sz w:val="18"/>
              </w:rPr>
              <w:t>1,950,000.00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通达易</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68" w:right="0"/>
              <w:jc w:val="center"/>
              <w:rPr>
                <w:rFonts w:ascii="Times New Roman" w:hAnsi="Times New Roman" w:cs="Times New Roman" w:eastAsia="Times New Roman" w:hint="default"/>
                <w:sz w:val="18"/>
                <w:szCs w:val="18"/>
              </w:rPr>
            </w:pPr>
            <w:r>
              <w:rPr>
                <w:rFonts w:ascii="Times New Roman"/>
                <w:sz w:val="18"/>
              </w:rPr>
              <w:t>3,000,000.00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厦门纵达</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8" w:right="0"/>
              <w:jc w:val="center"/>
              <w:rPr>
                <w:rFonts w:ascii="Times New Roman" w:hAnsi="Times New Roman" w:cs="Times New Roman" w:eastAsia="Times New Roman" w:hint="default"/>
                <w:sz w:val="18"/>
                <w:szCs w:val="18"/>
              </w:rPr>
            </w:pPr>
            <w:r>
              <w:rPr>
                <w:rFonts w:ascii="Times New Roman"/>
                <w:sz w:val="18"/>
              </w:rPr>
              <w:t>5,100,000.00</w:t>
            </w:r>
          </w:p>
        </w:tc>
        <w:tc>
          <w:tcPr>
            <w:tcW w:w="1167"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北京智康</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3,900,000.00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7"/>
              <w:jc w:val="right"/>
              <w:rPr>
                <w:rFonts w:ascii="Times New Roman" w:hAnsi="Times New Roman" w:cs="Times New Roman" w:eastAsia="Times New Roman" w:hint="default"/>
                <w:sz w:val="18"/>
                <w:szCs w:val="18"/>
              </w:rPr>
            </w:pPr>
            <w:r>
              <w:rPr>
                <w:rFonts w:ascii="Times New Roman"/>
                <w:spacing w:val="-1"/>
                <w:sz w:val="18"/>
              </w:rPr>
              <w:t>3,900,000.00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3,900,000.00</w:t>
            </w: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湖南鑫卫</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1,020,000.00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1,020,000.00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山西惠民</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6,804,000.00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6,804,000.00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陕西金纳</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1,100,000.00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安徽科技</w:t>
            </w:r>
          </w:p>
        </w:tc>
        <w:tc>
          <w:tcPr>
            <w:tcW w:w="1166"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9"/>
              <w:jc w:val="right"/>
              <w:rPr>
                <w:rFonts w:ascii="Times New Roman" w:hAnsi="Times New Roman" w:cs="Times New Roman" w:eastAsia="Times New Roman" w:hint="default"/>
                <w:sz w:val="18"/>
                <w:szCs w:val="18"/>
              </w:rPr>
            </w:pPr>
            <w:r>
              <w:rPr>
                <w:rFonts w:ascii="Times New Roman"/>
                <w:spacing w:val="-1"/>
                <w:sz w:val="18"/>
              </w:rPr>
              <w:t>2,925,000.00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7" w:type="dxa"/>
            <w:tcBorders>
              <w:top w:val="single" w:sz="4" w:space="0" w:color="000000"/>
              <w:left w:val="single" w:sz="4" w:space="0" w:color="000000"/>
              <w:bottom w:val="single" w:sz="4" w:space="0" w:color="000000"/>
              <w:right w:val="single" w:sz="4" w:space="0" w:color="000000"/>
            </w:tcBorders>
          </w:tcPr>
          <w:p>
            <w:pP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2,925,000.00</w:t>
            </w:r>
          </w:p>
        </w:tc>
        <w:tc>
          <w:tcPr>
            <w:tcW w:w="121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608,851,800.0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24,839,427.09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100,000,000.0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w:t>
            </w:r>
          </w:p>
        </w:tc>
        <w:tc>
          <w:tcPr>
            <w:tcW w:w="11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3,900,000.00</w:t>
            </w:r>
          </w:p>
        </w:tc>
        <w:tc>
          <w:tcPr>
            <w:tcW w:w="1214"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529,791,227.09</w:t>
            </w:r>
          </w:p>
        </w:tc>
        <w:tc>
          <w:tcPr>
            <w:tcW w:w="12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3,900,000.00</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2</w:t>
      </w:r>
      <w:r>
        <w:rPr/>
        <w:t>）对联营、合营企业投资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07" w:lineRule="auto"/>
              <w:ind w:left="33" w:right="35"/>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期末余额 </w:t>
            </w:r>
            <w:r>
              <w:rPr>
                <w:rFonts w:ascii="Times New Roman" w:hAnsi="Times New Roman" w:cs="Times New Roman" w:eastAsia="Times New Roman" w:hint="default"/>
                <w:sz w:val="18"/>
                <w:szCs w:val="18"/>
              </w:rPr>
              <w:t>(</w:t>
            </w:r>
            <w:r>
              <w:rPr>
                <w:rFonts w:ascii="宋体" w:hAnsi="宋体" w:cs="宋体" w:eastAsia="宋体" w:hint="default"/>
                <w:sz w:val="18"/>
                <w:szCs w:val="18"/>
              </w:rPr>
              <w:t>账面价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5"/>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33" w:right="31"/>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4"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1"/>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4" w:lineRule="auto"/>
              <w:ind w:left="213" w:right="35"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5"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百川通信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36,802,40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-133,365.</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349,194.6</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36,319,84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349,194.6</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r>
    </w:tbl>
    <w:p>
      <w:pPr>
        <w:spacing w:after="0" w:line="240" w:lineRule="auto"/>
        <w:jc w:val="righ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797"/>
        <w:gridCol w:w="797"/>
        <w:gridCol w:w="797"/>
        <w:gridCol w:w="797"/>
        <w:gridCol w:w="799"/>
        <w:gridCol w:w="797"/>
        <w:gridCol w:w="800"/>
        <w:gridCol w:w="797"/>
        <w:gridCol w:w="799"/>
        <w:gridCol w:w="797"/>
        <w:gridCol w:w="799"/>
        <w:gridCol w:w="797"/>
      </w:tblGrid>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北京尚洋 易捷信息 技术股份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16,223,58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8.85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3,749,294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.98</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2,883,200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17,089,68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3.83</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福建省星 民易付多 卡融合信 息科技有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19"/>
              <w:jc w:val="right"/>
              <w:rPr>
                <w:rFonts w:ascii="Times New Roman" w:hAnsi="Times New Roman" w:cs="Times New Roman" w:eastAsia="Times New Roman" w:hint="default"/>
                <w:sz w:val="18"/>
                <w:szCs w:val="18"/>
              </w:rPr>
            </w:pPr>
            <w:r>
              <w:rPr>
                <w:rFonts w:ascii="Times New Roman"/>
                <w:spacing w:val="-1"/>
                <w:sz w:val="18"/>
              </w:rPr>
              <w:t>3,667,808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left="76" w:right="0"/>
              <w:jc w:val="left"/>
              <w:rPr>
                <w:rFonts w:ascii="Times New Roman" w:hAnsi="Times New Roman" w:cs="Times New Roman" w:eastAsia="Times New Roman" w:hint="default"/>
                <w:sz w:val="18"/>
                <w:szCs w:val="18"/>
              </w:rPr>
            </w:pPr>
            <w:r>
              <w:rPr>
                <w:rFonts w:ascii="Times New Roman"/>
                <w:sz w:val="18"/>
              </w:rPr>
              <w:t>-1,513,35</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2,154,453</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.64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福建易联 众基因检 测分析技 术有限公 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pacing w:val="-1"/>
                <w:sz w:val="18"/>
              </w:rPr>
              <w:t>281,431.4</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pacing w:val="-1"/>
                <w:sz w:val="18"/>
              </w:rPr>
              <w:t>-250,730.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81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30,700.64</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福建医联 康护信息 技术有限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12,008,87</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3.31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7,731,430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.33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1,633,940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17,374,24</w:t>
            </w:r>
          </w:p>
          <w:p>
            <w:pPr>
              <w:pStyle w:val="TableParagraph"/>
              <w:spacing w:line="240" w:lineRule="auto" w:before="102"/>
              <w:ind w:left="451" w:right="0"/>
              <w:jc w:val="left"/>
              <w:rPr>
                <w:rFonts w:ascii="Times New Roman" w:hAnsi="Times New Roman" w:cs="Times New Roman" w:eastAsia="Times New Roman" w:hint="default"/>
                <w:sz w:val="18"/>
                <w:szCs w:val="18"/>
              </w:rPr>
            </w:pPr>
            <w:r>
              <w:rPr>
                <w:rFonts w:ascii="Times New Roman"/>
                <w:sz w:val="18"/>
              </w:rPr>
              <w:t>4.51</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广东易联 众民生信 息技术有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206,091.9</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3,349,000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-1,558,49</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0.50</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1,996,601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.49</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广州桔叶 信息科技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6,618,908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-22,115.6</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1,572,500</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5,024,292</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1,572,500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r>
      <w:tr>
        <w:trPr>
          <w:trHeight w:val="1025"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41"/>
              <w:jc w:val="both"/>
              <w:rPr>
                <w:rFonts w:ascii="宋体" w:hAnsi="宋体" w:cs="宋体" w:eastAsia="宋体" w:hint="default"/>
                <w:sz w:val="18"/>
                <w:szCs w:val="18"/>
              </w:rPr>
            </w:pPr>
            <w:r>
              <w:rPr>
                <w:rFonts w:ascii="宋体" w:hAnsi="宋体" w:cs="宋体" w:eastAsia="宋体" w:hint="default"/>
                <w:sz w:val="18"/>
                <w:szCs w:val="18"/>
              </w:rPr>
              <w:t>海保人寿 保险股份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289,730,0</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90.96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-19,419,8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73.20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743,192.7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271,053,4</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10.48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黑龙江易 联众信息 工程技术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602,228.2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-121,099.</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21</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258,777.1</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222,351.8</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258,777.1</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8</w:t>
            </w:r>
          </w:p>
        </w:tc>
      </w:tr>
      <w:tr>
        <w:trPr>
          <w:trHeight w:val="1337"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易联众</w:t>
            </w:r>
          </w:p>
          <w:p>
            <w:pPr>
              <w:pStyle w:val="TableParagraph"/>
              <w:spacing w:line="316" w:lineRule="auto" w:before="76"/>
              <w:ind w:left="24" w:right="41"/>
              <w:jc w:val="both"/>
              <w:rPr>
                <w:rFonts w:ascii="宋体" w:hAnsi="宋体" w:cs="宋体" w:eastAsia="宋体" w:hint="default"/>
                <w:sz w:val="18"/>
                <w:szCs w:val="18"/>
              </w:rPr>
            </w:pPr>
            <w:r>
              <w:rPr>
                <w:rFonts w:ascii="宋体" w:hAnsi="宋体" w:cs="宋体" w:eastAsia="宋体" w:hint="default"/>
                <w:sz w:val="18"/>
                <w:szCs w:val="18"/>
              </w:rPr>
              <w:t>（福建） 医疗器械 有限公司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14,724,50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-1,746.52</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14,722,75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3.48</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4" w:right="41"/>
              <w:jc w:val="both"/>
              <w:rPr>
                <w:rFonts w:ascii="宋体" w:hAnsi="宋体" w:cs="宋体" w:eastAsia="宋体" w:hint="default"/>
                <w:sz w:val="18"/>
                <w:szCs w:val="18"/>
              </w:rPr>
            </w:pPr>
            <w:r>
              <w:rPr>
                <w:rFonts w:ascii="宋体" w:hAnsi="宋体" w:cs="宋体" w:eastAsia="宋体" w:hint="default"/>
                <w:sz w:val="18"/>
                <w:szCs w:val="18"/>
              </w:rPr>
              <w:t>临沂市民 卡数据服 务有限公 司</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1,470,000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0"/>
              <w:ind w:right="21"/>
              <w:jc w:val="right"/>
              <w:rPr>
                <w:rFonts w:ascii="Times New Roman" w:hAnsi="Times New Roman" w:cs="Times New Roman" w:eastAsia="Times New Roman" w:hint="default"/>
                <w:sz w:val="18"/>
                <w:szCs w:val="18"/>
              </w:rPr>
            </w:pPr>
            <w:r>
              <w:rPr>
                <w:rFonts w:ascii="Times New Roman"/>
                <w:spacing w:val="-1"/>
                <w:sz w:val="18"/>
              </w:rPr>
              <w:t>47,214.86</w:t>
            </w: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1,517,214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.86</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366,141,4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19,543,50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-11,492,8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743,192.7</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1,633,940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6,883,200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2,180,471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21"/>
              <w:jc w:val="right"/>
              <w:rPr>
                <w:rFonts w:ascii="Times New Roman" w:hAnsi="Times New Roman" w:cs="Times New Roman" w:eastAsia="Times New Roman" w:hint="default"/>
                <w:sz w:val="18"/>
                <w:szCs w:val="18"/>
              </w:rPr>
            </w:pPr>
            <w:r>
              <w:rPr>
                <w:rFonts w:ascii="Times New Roman"/>
                <w:spacing w:val="-1"/>
                <w:sz w:val="18"/>
              </w:rPr>
              <w:t>367,505,5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Times New Roman" w:hAnsi="Times New Roman" w:cs="Times New Roman" w:eastAsia="Times New Roman" w:hint="default"/>
                <w:sz w:val="18"/>
                <w:szCs w:val="18"/>
              </w:rPr>
            </w:pPr>
            <w:r>
              <w:rPr>
                <w:rFonts w:ascii="Times New Roman"/>
                <w:sz w:val="18"/>
              </w:rPr>
              <w:t>2,180,471</w:t>
            </w:r>
          </w:p>
        </w:tc>
      </w:tr>
    </w:tbl>
    <w:p>
      <w:pPr>
        <w:spacing w:after="0" w:line="240" w:lineRule="auto"/>
        <w:jc w:val="left"/>
        <w:rPr>
          <w:rFonts w:ascii="Times New Roman" w:hAnsi="Times New Roman" w:cs="Times New Roman" w:eastAsia="Times New Roman" w:hint="default"/>
          <w:sz w:val="18"/>
          <w:szCs w:val="18"/>
        </w:rPr>
        <w:sectPr>
          <w:pgSz w:w="11910" w:h="16840"/>
          <w:pgMar w:header="748" w:footer="974" w:top="106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36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9" w:right="0"/>
              <w:jc w:val="left"/>
              <w:rPr>
                <w:rFonts w:ascii="Times New Roman" w:hAnsi="Times New Roman" w:cs="Times New Roman" w:eastAsia="Times New Roman" w:hint="default"/>
                <w:sz w:val="18"/>
                <w:szCs w:val="18"/>
              </w:rPr>
            </w:pPr>
            <w:r>
              <w:rPr>
                <w:rFonts w:ascii="Times New Roman"/>
                <w:sz w:val="18"/>
              </w:rPr>
              <w:t>26.71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59" w:right="0"/>
              <w:jc w:val="left"/>
              <w:rPr>
                <w:rFonts w:ascii="Times New Roman" w:hAnsi="Times New Roman" w:cs="Times New Roman" w:eastAsia="Times New Roman" w:hint="default"/>
                <w:sz w:val="18"/>
                <w:szCs w:val="18"/>
              </w:rPr>
            </w:pPr>
            <w:r>
              <w:rPr>
                <w:rFonts w:ascii="Times New Roman"/>
                <w:sz w:val="18"/>
              </w:rPr>
              <w:t>35.67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18"/>
                <w:szCs w:val="18"/>
              </w:rPr>
            </w:pPr>
            <w:r>
              <w:rPr>
                <w:rFonts w:ascii="Times New Roman"/>
                <w:sz w:val="18"/>
              </w:rPr>
              <w:t>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60" w:right="0"/>
              <w:jc w:val="left"/>
              <w:rPr>
                <w:rFonts w:ascii="Times New Roman" w:hAnsi="Times New Roman" w:cs="Times New Roman" w:eastAsia="Times New Roman" w:hint="default"/>
                <w:sz w:val="18"/>
                <w:szCs w:val="18"/>
              </w:rPr>
            </w:pPr>
            <w:r>
              <w:rPr>
                <w:rFonts w:ascii="Times New Roman"/>
                <w:sz w:val="18"/>
              </w:rPr>
              <w:t>52.83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18"/>
              <w:jc w:val="right"/>
              <w:rPr>
                <w:rFonts w:ascii="Times New Roman" w:hAnsi="Times New Roman" w:cs="Times New Roman" w:eastAsia="Times New Roman" w:hint="default"/>
                <w:sz w:val="18"/>
                <w:szCs w:val="18"/>
              </w:rPr>
            </w:pPr>
            <w:r>
              <w:rPr>
                <w:rFonts w:ascii="Times New Roman"/>
                <w:sz w:val="18"/>
              </w:rPr>
              <w:t>.80</w:t>
            </w:r>
          </w:p>
        </w:tc>
      </w:tr>
      <w:tr>
        <w:trPr>
          <w:trHeight w:val="713"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366,141,4</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26.71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19,543,50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-11,492,8</w:t>
            </w:r>
          </w:p>
          <w:p>
            <w:pPr>
              <w:pStyle w:val="TableParagraph"/>
              <w:spacing w:line="240" w:lineRule="auto" w:before="105"/>
              <w:ind w:left="359" w:right="0"/>
              <w:jc w:val="left"/>
              <w:rPr>
                <w:rFonts w:ascii="Times New Roman" w:hAnsi="Times New Roman" w:cs="Times New Roman" w:eastAsia="Times New Roman" w:hint="default"/>
                <w:sz w:val="18"/>
                <w:szCs w:val="18"/>
              </w:rPr>
            </w:pPr>
            <w:r>
              <w:rPr>
                <w:rFonts w:ascii="Times New Roman"/>
                <w:sz w:val="18"/>
              </w:rPr>
              <w:t>35.67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743,192.7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1,633,940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6,883,200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2,180,471</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.80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367,505,5</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52.83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2,180,471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6"/>
        <w:ind w:right="1133"/>
        <w:jc w:val="left"/>
        <w:rPr>
          <w:b w:val="0"/>
          <w:bCs w:val="0"/>
        </w:rPr>
      </w:pP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4"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458,180,671.70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428,118,889.64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340,651,646.40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319,748,538.70</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4,921,868.65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1,334,870.72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4,260,057.55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1,495,077.44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463,102,540.35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429,453,760.36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344,911,703.95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321,243,616.14</w:t>
            </w:r>
          </w:p>
        </w:tc>
      </w:tr>
    </w:tbl>
    <w:p>
      <w:pPr>
        <w:pStyle w:val="BodyText"/>
        <w:spacing w:line="240" w:lineRule="auto" w:before="51"/>
        <w:ind w:right="1133"/>
        <w:jc w:val="left"/>
      </w:pPr>
      <w:r>
        <w:rPr/>
        <w:t>是否已执行新收入准则</w:t>
      </w:r>
    </w:p>
    <w:p>
      <w:pPr>
        <w:pStyle w:val="BodyText"/>
        <w:spacing w:line="340" w:lineRule="auto" w:before="115"/>
        <w:ind w:right="931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其他说明：</w:t>
      </w:r>
    </w:p>
    <w:p>
      <w:pPr>
        <w:spacing w:line="240" w:lineRule="auto" w:before="3"/>
        <w:rPr>
          <w:rFonts w:ascii="宋体" w:hAnsi="宋体" w:cs="宋体" w:eastAsia="宋体" w:hint="default"/>
          <w:sz w:val="21"/>
          <w:szCs w:val="21"/>
        </w:rPr>
      </w:pPr>
    </w:p>
    <w:p>
      <w:pPr>
        <w:pStyle w:val="Heading3"/>
        <w:spacing w:line="240" w:lineRule="auto"/>
        <w:ind w:right="1133"/>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-11,492,835.67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1,405,274.45</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13,911,218.38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-2,492,000.00</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49"/>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成本法核算的长期股权投资收益（子公司 分红）</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47,043,750.00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49,462,132.71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-1,086,725.55</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6</w:t>
      </w:r>
      <w:r>
        <w:rPr/>
        <w:t>、其他</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3"/>
        <w:rPr>
          <w:rFonts w:ascii="宋体" w:hAnsi="宋体" w:cs="宋体" w:eastAsia="宋体" w:hint="default"/>
          <w:sz w:val="25"/>
          <w:szCs w:val="25"/>
        </w:rPr>
      </w:pPr>
    </w:p>
    <w:p>
      <w:pPr>
        <w:pStyle w:val="Heading2"/>
        <w:spacing w:line="240" w:lineRule="auto"/>
        <w:ind w:right="1133"/>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1133"/>
        <w:jc w:val="left"/>
        <w:rPr>
          <w:b w:val="0"/>
          <w:bCs w:val="0"/>
        </w:rPr>
      </w:pPr>
      <w:r>
        <w:rPr>
          <w:rFonts w:ascii="Times New Roman" w:hAnsi="Times New Roman" w:cs="Times New Roman" w:eastAsia="Times New Roman" w:hint="default"/>
        </w:rPr>
        <w:t>1</w:t>
      </w:r>
      <w:r>
        <w:rPr/>
        <w:t>、当期非经常性损益明细表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3,765,649.29</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8" w:footer="974" w:top="1060" w:bottom="1160" w:left="980" w:right="0"/>
        </w:sectPr>
      </w:pPr>
    </w:p>
    <w:p>
      <w:pPr>
        <w:spacing w:line="240" w:lineRule="auto" w:before="4"/>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4"/>
        <w:gridCol w:w="3060"/>
        <w:gridCol w:w="3185"/>
      </w:tblGrid>
      <w:tr>
        <w:trPr>
          <w:trHeight w:val="102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4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22,590,933.63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2" w:right="50"/>
              <w:jc w:val="left"/>
              <w:rPr>
                <w:rFonts w:ascii="宋体" w:hAnsi="宋体" w:cs="宋体" w:eastAsia="宋体" w:hint="default"/>
                <w:sz w:val="18"/>
                <w:szCs w:val="18"/>
              </w:rPr>
            </w:pPr>
            <w:r>
              <w:rPr>
                <w:rFonts w:ascii="宋体" w:hAnsi="宋体" w:cs="宋体" w:eastAsia="宋体" w:hint="default"/>
                <w:sz w:val="18"/>
                <w:szCs w:val="18"/>
              </w:rPr>
              <w:t>单独进行减值测试的应收款项、合同资产 减值准备转回</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-26,368.95</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1"/>
              <w:jc w:val="right"/>
              <w:rPr>
                <w:rFonts w:ascii="Times New Roman" w:hAnsi="Times New Roman" w:cs="Times New Roman" w:eastAsia="Times New Roman" w:hint="default"/>
                <w:sz w:val="18"/>
                <w:szCs w:val="18"/>
              </w:rPr>
            </w:pPr>
            <w:r>
              <w:rPr>
                <w:rFonts w:ascii="Times New Roman"/>
                <w:spacing w:val="-1"/>
                <w:sz w:val="18"/>
              </w:rPr>
              <w:t>3,693,304.88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0"/>
                <w:sz w:val="18"/>
                <w:szCs w:val="18"/>
              </w:rPr>
              <w:t> </w:t>
            </w:r>
            <w:r>
              <w:rPr>
                <w:rFonts w:ascii="宋体" w:hAnsi="宋体" w:cs="宋体" w:eastAsia="宋体" w:hint="default"/>
                <w:sz w:val="18"/>
                <w:szCs w:val="18"/>
              </w:rPr>
              <w:t>  </w:t>
            </w:r>
            <w:r>
              <w:rPr>
                <w:rFonts w:ascii="宋体" w:hAnsi="宋体" w:cs="宋体" w:eastAsia="宋体" w:hint="default"/>
                <w:sz w:val="18"/>
                <w:szCs w:val="18"/>
              </w:rPr>
              <w:t>少数股东权益影响额</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3,986,253.87</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2"/>
              <w:jc w:val="right"/>
              <w:rPr>
                <w:rFonts w:ascii="Times New Roman" w:hAnsi="Times New Roman" w:cs="Times New Roman" w:eastAsia="Times New Roman" w:hint="default"/>
                <w:sz w:val="18"/>
                <w:szCs w:val="18"/>
              </w:rPr>
            </w:pPr>
            <w:r>
              <w:rPr>
                <w:rFonts w:ascii="Times New Roman"/>
                <w:spacing w:val="-1"/>
                <w:sz w:val="18"/>
              </w:rPr>
              <w:t>18,722,655.22</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2"/>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3"/>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3325"/>
        <w:gridCol w:w="3060"/>
        <w:gridCol w:w="3185"/>
      </w:tblGrid>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95"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软件增值税退税</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17,280,199.95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软件增值税退税为经常性发生的补助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个税手续费返还</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510,727.47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个税手续费返还为经常性发生事项</w:t>
            </w:r>
          </w:p>
        </w:tc>
      </w:tr>
      <w:tr>
        <w:trPr>
          <w:trHeight w:val="71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增值税进项税加计抵减应纳税额优惠</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479,324.08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89"/>
              <w:jc w:val="left"/>
              <w:rPr>
                <w:rFonts w:ascii="宋体" w:hAnsi="宋体" w:cs="宋体" w:eastAsia="宋体" w:hint="default"/>
                <w:sz w:val="18"/>
                <w:szCs w:val="18"/>
              </w:rPr>
            </w:pPr>
            <w:r>
              <w:rPr>
                <w:rFonts w:ascii="宋体" w:hAnsi="宋体" w:cs="宋体" w:eastAsia="宋体" w:hint="default"/>
                <w:sz w:val="18"/>
                <w:szCs w:val="18"/>
              </w:rPr>
              <w:t>增值税进项税加计抵减应纳税额优惠为 经常性发生事项</w:t>
            </w:r>
          </w:p>
        </w:tc>
      </w:tr>
    </w:tbl>
    <w:p>
      <w:pPr>
        <w:spacing w:line="240" w:lineRule="auto" w:before="3"/>
        <w:rPr>
          <w:rFonts w:ascii="宋体" w:hAnsi="宋体" w:cs="宋体" w:eastAsia="宋体" w:hint="default"/>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63"/>
        <w:gridCol w:w="3082"/>
        <w:gridCol w:w="1913"/>
        <w:gridCol w:w="1913"/>
      </w:tblGrid>
      <w:tr>
        <w:trPr>
          <w:trHeight w:val="206" w:hRule="exact"/>
        </w:trPr>
        <w:tc>
          <w:tcPr>
            <w:tcW w:w="2663"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76"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6"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663" w:type="dxa"/>
            <w:vMerge/>
            <w:tcBorders>
              <w:left w:val="single" w:sz="4" w:space="0" w:color="000000"/>
              <w:bottom w:val="nil" w:sz="6" w:space="0" w:color="auto"/>
              <w:right w:val="single" w:sz="4" w:space="0" w:color="000000"/>
            </w:tcBorders>
            <w:shd w:val="clear" w:color="auto" w:fill="D2D2D2"/>
          </w:tcPr>
          <w:p>
            <w:pPr/>
          </w:p>
        </w:tc>
        <w:tc>
          <w:tcPr>
            <w:tcW w:w="3082"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2663"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1.44%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0.024</w:t>
            </w:r>
          </w:p>
        </w:tc>
      </w:tr>
      <w:tr>
        <w:trPr>
          <w:trHeight w:val="715"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24" w:right="10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-0.019</w:t>
            </w:r>
          </w:p>
        </w:tc>
      </w:tr>
    </w:tbl>
    <w:p>
      <w:pPr>
        <w:spacing w:line="240" w:lineRule="auto" w:before="3"/>
        <w:rPr>
          <w:rFonts w:ascii="宋体" w:hAnsi="宋体" w:cs="宋体" w:eastAsia="宋体" w:hint="default"/>
          <w:b/>
          <w:bCs/>
          <w:sz w:val="19"/>
          <w:szCs w:val="19"/>
        </w:rPr>
      </w:pPr>
    </w:p>
    <w:p>
      <w:pPr>
        <w:pStyle w:val="Heading3"/>
        <w:spacing w:line="240" w:lineRule="auto" w:before="36"/>
        <w:ind w:right="1133"/>
        <w:jc w:val="left"/>
        <w:rPr>
          <w:b w:val="0"/>
          <w:bCs w:val="0"/>
        </w:rPr>
      </w:pPr>
      <w:r>
        <w:rPr>
          <w:rFonts w:ascii="Times New Roman" w:hAnsi="Times New Roman" w:cs="Times New Roman" w:eastAsia="Times New Roman" w:hint="default"/>
        </w:rPr>
        <w:t>3</w:t>
      </w:r>
      <w:r>
        <w:rPr/>
        <w:t>、境内外会计准则下会计数据差异</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1133"/>
        <w:jc w:val="left"/>
        <w:rPr>
          <w:b w:val="0"/>
          <w:bCs w:val="0"/>
        </w:rPr>
      </w:pP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1133"/>
        <w:jc w:val="left"/>
        <w:rPr>
          <w:b w:val="0"/>
          <w:bCs w:val="0"/>
        </w:rPr>
      </w:pP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8" w:footer="974" w:top="1060" w:bottom="1160" w:left="980" w:right="0"/>
        </w:sectPr>
      </w:pPr>
    </w:p>
    <w:p>
      <w:pPr>
        <w:spacing w:line="240" w:lineRule="auto" w:before="8"/>
        <w:rPr>
          <w:rFonts w:ascii="宋体" w:hAnsi="宋体" w:cs="宋体" w:eastAsia="宋体" w:hint="default"/>
          <w:sz w:val="24"/>
          <w:szCs w:val="24"/>
        </w:rPr>
      </w:pPr>
    </w:p>
    <w:p>
      <w:pPr>
        <w:pStyle w:val="Heading3"/>
        <w:spacing w:line="259" w:lineRule="auto" w:before="36"/>
        <w:ind w:right="1133"/>
        <w:jc w:val="left"/>
        <w:rPr>
          <w:b w:val="0"/>
          <w:bCs w:val="0"/>
        </w:rPr>
      </w:pP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3"/>
        <w:rPr>
          <w:rFonts w:ascii="宋体" w:hAnsi="宋体" w:cs="宋体" w:eastAsia="宋体" w:hint="default"/>
          <w:b/>
          <w:bCs/>
          <w:sz w:val="26"/>
          <w:szCs w:val="26"/>
        </w:rPr>
      </w:pPr>
    </w:p>
    <w:p>
      <w:pPr>
        <w:pStyle w:val="BodyText"/>
        <w:spacing w:line="240" w:lineRule="auto"/>
        <w:ind w:right="1133"/>
        <w:jc w:val="left"/>
      </w:pPr>
      <w:r>
        <w:rPr/>
        <w:t>无</w:t>
      </w:r>
    </w:p>
    <w:p>
      <w:pPr>
        <w:spacing w:line="240" w:lineRule="auto" w:before="0"/>
        <w:rPr>
          <w:rFonts w:ascii="宋体" w:hAnsi="宋体" w:cs="宋体" w:eastAsia="宋体" w:hint="default"/>
          <w:sz w:val="18"/>
          <w:szCs w:val="18"/>
        </w:rPr>
      </w:pPr>
    </w:p>
    <w:p>
      <w:pPr>
        <w:pStyle w:val="Heading3"/>
        <w:spacing w:line="240" w:lineRule="auto" w:before="118"/>
        <w:ind w:right="1133"/>
        <w:jc w:val="left"/>
        <w:rPr>
          <w:b w:val="0"/>
          <w:bCs w:val="0"/>
        </w:rPr>
      </w:pP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1133"/>
        <w:jc w:val="left"/>
      </w:pPr>
      <w:r>
        <w:rPr/>
        <w:t>无</w:t>
      </w:r>
    </w:p>
    <w:p>
      <w:pPr>
        <w:spacing w:after="0" w:line="240" w:lineRule="auto"/>
        <w:jc w:val="left"/>
        <w:sectPr>
          <w:pgSz w:w="11910" w:h="16840"/>
          <w:pgMar w:header="748" w:footer="974"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365" w:right="1133"/>
        <w:jc w:val="left"/>
        <w:rPr>
          <w:b w:val="0"/>
          <w:bCs w:val="0"/>
        </w:rPr>
      </w:pPr>
      <w:bookmarkStart w:name="_bookmark12" w:id="13"/>
      <w:bookmarkEnd w:id="13"/>
      <w:r>
        <w:rPr>
          <w:b w:val="0"/>
          <w:bCs w:val="0"/>
        </w:rPr>
      </w:r>
      <w:r>
        <w:rPr/>
        <w:t>第十三节备查文件目录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ind w:right="1934"/>
        <w:jc w:val="left"/>
      </w:pPr>
      <w:r>
        <w:rPr/>
        <w:t>一、载有公司法定代表人、主管会计工作的负责人、会计机构负责人（会计主管人员）签名并盖章的财务报表。 二、载有会计师事务所盖章、注册会计师签名并盖章的审计报告原件。 三、报告期内在中国证监会指定网站上公开披露过的所有公司文件的正本及公告的原稿。 四、经公司法定代表人签名并加盖公司公章的</w:t>
      </w:r>
      <w:r>
        <w:rPr>
          <w:rFonts w:ascii="Times New Roman" w:hAnsi="Times New Roman" w:cs="Times New Roman" w:eastAsia="Times New Roman" w:hint="default"/>
        </w:rPr>
        <w:t>2019</w:t>
      </w:r>
      <w:r>
        <w:rPr/>
        <w:t>年年度报告文本原件。</w:t>
      </w:r>
    </w:p>
    <w:p>
      <w:pPr>
        <w:pStyle w:val="BodyText"/>
        <w:spacing w:line="316" w:lineRule="auto"/>
        <w:ind w:right="6974"/>
        <w:jc w:val="left"/>
      </w:pPr>
      <w:r>
        <w:rPr/>
        <w:t>五、其他相关资料。 以上备查文件的备置地点：公司董事会办公室。</w:t>
      </w:r>
    </w:p>
    <w:p>
      <w:pPr>
        <w:pStyle w:val="BodyText"/>
        <w:spacing w:line="240" w:lineRule="auto" w:before="19"/>
        <w:ind w:left="0" w:right="1131"/>
        <w:jc w:val="right"/>
      </w:pPr>
      <w:r>
        <w:rPr/>
        <w:t>易联众信息技术股份有限公司</w:t>
      </w:r>
    </w:p>
    <w:p>
      <w:pPr>
        <w:spacing w:line="240" w:lineRule="auto" w:before="0"/>
        <w:rPr>
          <w:rFonts w:ascii="宋体" w:hAnsi="宋体" w:cs="宋体" w:eastAsia="宋体" w:hint="default"/>
          <w:sz w:val="18"/>
          <w:szCs w:val="18"/>
        </w:rPr>
      </w:pPr>
    </w:p>
    <w:p>
      <w:pPr>
        <w:pStyle w:val="BodyText"/>
        <w:spacing w:line="240" w:lineRule="auto" w:before="153"/>
        <w:ind w:left="0" w:right="1131"/>
        <w:jc w:val="right"/>
      </w:pPr>
      <w:r>
        <w:rPr/>
        <w:t>法定代表人：张曦</w:t>
      </w:r>
    </w:p>
    <w:p>
      <w:pPr>
        <w:spacing w:line="240" w:lineRule="auto" w:before="0"/>
        <w:rPr>
          <w:rFonts w:ascii="宋体" w:hAnsi="宋体" w:cs="宋体" w:eastAsia="宋体" w:hint="default"/>
          <w:sz w:val="18"/>
          <w:szCs w:val="18"/>
        </w:rPr>
      </w:pPr>
    </w:p>
    <w:p>
      <w:pPr>
        <w:pStyle w:val="BodyText"/>
        <w:spacing w:line="240" w:lineRule="auto" w:before="153"/>
        <w:ind w:left="0" w:right="1128"/>
        <w:jc w:val="right"/>
      </w:pPr>
      <w:r>
        <w:rPr>
          <w:rFonts w:ascii="Times New Roman" w:hAnsi="Times New Roman" w:cs="Times New Roman" w:eastAsia="Times New Roman" w:hint="default"/>
        </w:rPr>
        <w:t>2020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w:t>
      </w:r>
    </w:p>
    <w:sectPr>
      <w:pgSz w:w="11910" w:h="16840"/>
      <w:pgMar w:header="748" w:footer="974"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等线">
    <w:altName w:val="等线"/>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7072" type="#_x0000_t75" stroked="false">
          <v:imagedata r:id="rId1" o:title=""/>
        </v:shape>
      </w:pict>
    </w:r>
    <w:r>
      <w:rPr/>
      <w:pict>
        <v:shape style="position:absolute;margin-left:533.099976pt;margin-top:795.87793pt;width:6.5pt;height:11pt;mso-position-horizontal-relative:page;mso-position-vertical-relative:page;z-index:-132704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616" type="#_x0000_t75" stroked="false">
          <v:imagedata r:id="rId1" o:title=""/>
        </v:shape>
      </w:pict>
    </w:r>
    <w:r>
      <w:rPr/>
      <w:pict>
        <v:shape style="position:absolute;margin-left:523.099976pt;margin-top:782.197937pt;width:17.7pt;height:11pt;mso-position-horizontal-relative:page;mso-position-vertical-relative:page;z-index:-13265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172</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568" type="#_x0000_t75" stroked="false">
          <v:imagedata r:id="rId1" o:title=""/>
        </v:shape>
      </w:pict>
    </w:r>
    <w:r>
      <w:rPr/>
      <w:pict>
        <v:shape style="position:absolute;margin-left:524.099976pt;margin-top:782.197937pt;width:15.7pt;height:11pt;mso-position-horizontal-relative:page;mso-position-vertical-relative:page;z-index:-132654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520" type="#_x0000_t75" stroked="false">
          <v:imagedata r:id="rId1" o:title=""/>
        </v:shape>
      </w:pict>
    </w:r>
    <w:r>
      <w:rPr/>
      <w:pict>
        <v:shape style="position:absolute;margin-left:523.099976pt;margin-top:782.197937pt;width:17.7pt;height:11pt;mso-position-horizontal-relative:page;mso-position-vertical-relative:page;z-index:-132649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r>
                  <w:rPr>
                    <w:rFonts w:ascii="Times New Roman"/>
                    <w:spacing w:val="1"/>
                  </w:rPr>
                </w:r>
                <w:r>
                  <w:rPr>
                    <w:rFonts w:ascii="Times New Roman"/>
                  </w:rPr>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7024" type="#_x0000_t75" stroked="false">
          <v:imagedata r:id="rId1" o:title=""/>
        </v:shape>
      </w:pict>
    </w:r>
    <w:r>
      <w:rPr/>
      <w:pict>
        <v:shape style="position:absolute;margin-left:527.659973pt;margin-top:782.197937pt;width:13.15pt;height:11pt;mso-position-horizontal-relative:page;mso-position-vertical-relative:page;z-index:-1327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976" type="#_x0000_t75" stroked="false">
          <v:imagedata r:id="rId1" o:title=""/>
        </v:shape>
      </w:pict>
    </w:r>
    <w:r>
      <w:rPr/>
      <w:pict>
        <v:shape style="position:absolute;margin-left:527.659973pt;margin-top:782.197937pt;width:13.15pt;height:11pt;mso-position-horizontal-relative:page;mso-position-vertical-relative:page;z-index:-13269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86</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928" type="#_x0000_t75" stroked="false">
          <v:imagedata r:id="rId1" o:title=""/>
        </v:shape>
      </w:pict>
    </w:r>
    <w:r>
      <w:rPr/>
      <w:pict>
        <v:shape style="position:absolute;margin-left:524.099976pt;margin-top:782.197937pt;width:15.7pt;height:11pt;mso-position-horizontal-relative:page;mso-position-vertical-relative:page;z-index:-13269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880" type="#_x0000_t75" stroked="false">
          <v:imagedata r:id="rId1" o:title=""/>
        </v:shape>
      </w:pict>
    </w:r>
    <w:r>
      <w:rPr/>
      <w:pict>
        <v:shape style="position:absolute;margin-left:523.099976pt;margin-top:782.197937pt;width:17.7pt;height:11pt;mso-position-horizontal-relative:page;mso-position-vertical-relative:page;z-index:-132685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832" type="#_x0000_t75" stroked="false">
          <v:imagedata r:id="rId1" o:title=""/>
        </v:shape>
      </w:pict>
    </w:r>
    <w:r>
      <w:rPr/>
      <w:pict>
        <v:shape style="position:absolute;margin-left:523.099976pt;margin-top:782.197937pt;width:17.7pt;height:11pt;mso-position-horizontal-relative:page;mso-position-vertical-relative:page;z-index:-1326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r>
                  <w:rPr>
                    <w:rFonts w:ascii="Times New Roman"/>
                    <w:spacing w:val="1"/>
                  </w:rPr>
                </w:r>
                <w:r>
                  <w:rPr>
                    <w:rFonts w:ascii="Times New Roman"/>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784" type="#_x0000_t75" stroked="false">
          <v:imagedata r:id="rId1" o:title=""/>
        </v:shape>
      </w:pict>
    </w:r>
    <w:r>
      <w:rPr/>
      <w:pict>
        <v:shape style="position:absolute;margin-left:523.460022pt;margin-top:782.197937pt;width:17.3pt;height:11pt;mso-position-horizontal-relative:page;mso-position-vertical-relative:page;z-index:-1326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736" type="#_x0000_t75" stroked="false">
          <v:imagedata r:id="rId1" o:title=""/>
        </v:shape>
      </w:pict>
    </w:r>
    <w:r>
      <w:rPr/>
      <w:pict>
        <v:shape style="position:absolute;margin-left:523.099976pt;margin-top:782.197937pt;width:17.7pt;height:11pt;mso-position-horizontal-relative:page;mso-position-vertical-relative:page;z-index:-1326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1326688" type="#_x0000_t75" stroked="false">
          <v:imagedata r:id="rId1" o:title=""/>
        </v:shape>
      </w:pict>
    </w:r>
    <w:r>
      <w:rPr/>
      <w:pict>
        <v:shape style="position:absolute;margin-left:497.100006pt;margin-top:757.225586pt;width:42.6pt;height:11pt;mso-position-horizontal-relative:page;mso-position-vertical-relative:page;z-index:-1326664" type="#_x0000_t202" filled="false" stroked="false">
          <v:textbox inset="0,0,0,0">
            <w:txbxContent>
              <w:p>
                <w:pPr>
                  <w:pStyle w:val="BodyText"/>
                  <w:spacing w:line="200" w:lineRule="exact"/>
                  <w:ind w:left="20" w:right="0"/>
                  <w:jc w:val="left"/>
                </w:pPr>
                <w:r>
                  <w:rPr/>
                  <w:t>单位：</w:t>
                </w:r>
                <w:r>
                  <w:rPr>
                    <w:spacing w:val="1"/>
                  </w:rPr>
                  <w:t> </w:t>
                </w:r>
                <w:r>
                  <w:rPr/>
                  <w:t>元</w:t>
                </w:r>
              </w:p>
            </w:txbxContent>
          </v:textbox>
          <w10:wrap type="none"/>
        </v:shape>
      </w:pict>
    </w:r>
    <w:r>
      <w:rPr/>
      <w:pict>
        <v:shape style="position:absolute;margin-left:523.099976pt;margin-top:782.197937pt;width:17.7pt;height:11pt;mso-position-horizontal-relative:page;mso-position-vertical-relative:page;z-index:-132664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170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35.070007pt;margin-top:36.385609pt;width:204.75pt;height:11.5pt;mso-position-horizontal-relative:page;mso-position-vertical-relative:page;z-index:-1327096" type="#_x0000_t202" filled="false" stroked="false">
          <v:textbox inset="0,0,0,0">
            <w:txbxContent>
              <w:p>
                <w:pPr>
                  <w:pStyle w:val="BodyText"/>
                  <w:spacing w:line="214" w:lineRule="exact"/>
                  <w:ind w:left="20" w:right="0"/>
                  <w:jc w:val="left"/>
                </w:pPr>
                <w:r>
                  <w:rPr/>
                  <w:t>易联众信息技术股份有限公司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59"/>
      <w:ind w:left="152"/>
    </w:pPr>
    <w:rPr>
      <w:rFonts w:ascii="宋体" w:hAnsi="宋体" w:eastAsia="宋体"/>
      <w:b/>
      <w:bCs/>
      <w:sz w:val="24"/>
      <w:szCs w:val="24"/>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494"/>
      <w:outlineLvl w:val="1"/>
    </w:pPr>
    <w:rPr>
      <w:rFonts w:ascii="宋体" w:hAnsi="宋体" w:eastAsia="宋体"/>
      <w:b/>
      <w:bCs/>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635"/>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ylzinfo.com/" TargetMode="External"/><Relationship Id="rId10" Type="http://schemas.openxmlformats.org/officeDocument/2006/relationships/hyperlink" Target="mailto:YLZ@ylzinfo.com" TargetMode="External"/><Relationship Id="rId11" Type="http://schemas.openxmlformats.org/officeDocument/2006/relationships/hyperlink" Target="mailto:tylee173@163.com" TargetMode="External"/><Relationship Id="rId12" Type="http://schemas.openxmlformats.org/officeDocument/2006/relationships/hyperlink" Target="mailto:gyj_rabbit@126.com" TargetMode="External"/><Relationship Id="rId13" Type="http://schemas.openxmlformats.org/officeDocument/2006/relationships/hyperlink" Target="http://www.cninfo.com.cn/" TargetMode="External"/><Relationship Id="rId14" Type="http://schemas.openxmlformats.org/officeDocument/2006/relationships/hyperlink" Target="http://irm.p5w.net/ssgs/S300096/" TargetMode="External"/><Relationship Id="rId15" Type="http://schemas.openxmlformats.org/officeDocument/2006/relationships/image" Target="media/image3.jpeg"/><Relationship Id="rId16" Type="http://schemas.openxmlformats.org/officeDocument/2006/relationships/footer" Target="footer3.xml"/><Relationship Id="rId17" Type="http://schemas.openxmlformats.org/officeDocument/2006/relationships/hyperlink" Target="http://www.cninfo.co/" TargetMode="External"/><Relationship Id="rId18" Type="http://schemas.openxmlformats.org/officeDocument/2006/relationships/footer" Target="footer4.xml"/><Relationship Id="rId19" Type="http://schemas.openxmlformats.org/officeDocument/2006/relationships/footer" Target="footer5.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footer" Target="footer1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0.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易联众信息技术股份有限公司</dc:creator>
  <dc:title>易联众信息技术股份有限公司2019年年度报告全文</dc:title>
  <dcterms:created xsi:type="dcterms:W3CDTF">2020-05-19T22:17:11Z</dcterms:created>
  <dcterms:modified xsi:type="dcterms:W3CDTF">2020-05-19T22:17:11Z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Microsoft® Word 2016</vt:lpwstr>
  </property>
  <property fmtid="{D5CDD505-2E9C-101B-9397-08002B2CF9AE}" pid="4" name="LastSaved">
    <vt:filetime>2020-05-19T00:00:00Z</vt:filetime>
  </property>
</Properties>
</file>