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right="0" w:firstLine="0"/>
        <w:jc w:val="center"/>
      </w:pPr>
      <w:r>
        <w:rPr>
          <w:spacing w:val="0"/>
          <w:w w:val="100"/>
          <w:position w:val="0"/>
        </w:rPr>
        <w:t>LPOK11COLTD</w:t>
      </w:r>
    </w:p>
    <w:p>
      <w:pPr>
        <w:pStyle w:val="Style8"/>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尤洛卡矿业安全工程股份有限公司</w:t>
      </w:r>
      <w:bookmarkEnd w:id="0"/>
      <w:bookmarkEnd w:id="1"/>
      <w:bookmarkEnd w:id="2"/>
    </w:p>
    <w:p>
      <w:pPr>
        <w:pStyle w:val="Style10"/>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3"/>
        <w:keepNext w:val="0"/>
        <w:keepLines w:val="0"/>
        <w:widowControl w:val="0"/>
        <w:shd w:val="clear" w:color="auto" w:fill="auto"/>
        <w:bidi w:val="0"/>
        <w:spacing w:before="0" w:after="5980" w:line="240" w:lineRule="auto"/>
        <w:ind w:left="0" w:right="0" w:firstLine="0"/>
        <w:jc w:val="center"/>
      </w:pPr>
      <w:r>
        <w:rPr>
          <w:color w:val="000000"/>
          <w:spacing w:val="0"/>
          <w:w w:val="100"/>
          <w:position w:val="0"/>
        </w:rPr>
        <w:t>2014-017</w:t>
      </w:r>
    </w:p>
    <w:p>
      <w:pPr>
        <w:pStyle w:val="Style10"/>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bookmarkEnd w:id="6"/>
      <w:bookmarkEnd w:id="7"/>
      <w:bookmarkEnd w:id="8"/>
    </w:p>
    <w:p>
      <w:pPr>
        <w:pStyle w:val="Style10"/>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5"/>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0" w:line="629" w:lineRule="exact"/>
        <w:ind w:left="0" w:right="0"/>
        <w:jc w:val="both"/>
      </w:pPr>
      <w:r>
        <w:rPr>
          <w:color w:val="000000"/>
          <w:spacing w:val="0"/>
          <w:w w:val="100"/>
          <w:position w:val="0"/>
        </w:rPr>
        <w:t>公司负责人黄自伟、主管会计工作负责人崔保航及会计机构负责人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张娜声明：保证年度报告中财务报告的真实、准确、完整。</w:t>
      </w:r>
    </w:p>
    <w:p>
      <w:pPr>
        <w:pStyle w:val="Style15"/>
        <w:keepNext w:val="0"/>
        <w:keepLines w:val="0"/>
        <w:widowControl w:val="0"/>
        <w:shd w:val="clear" w:color="auto" w:fill="auto"/>
        <w:bidi w:val="0"/>
        <w:spacing w:before="0" w:line="730"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年度财务报告已经瑞华会计师事务所（特殊普通合伙）审计并被 出具了标准无保留意见的审计报告。</w:t>
      </w:r>
    </w:p>
    <w:p>
      <w:pPr>
        <w:pStyle w:val="Style15"/>
        <w:keepNext w:val="0"/>
        <w:keepLines w:val="0"/>
        <w:widowControl w:val="0"/>
        <w:shd w:val="clear" w:color="auto" w:fill="auto"/>
        <w:bidi w:val="0"/>
        <w:spacing w:before="0"/>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39" w:right="1112" w:bottom="3399" w:left="1107" w:header="0" w:footer="3" w:gutter="0"/>
          <w:pgNumType w:start="1"/>
          <w:cols w:space="720"/>
          <w:noEndnote/>
          <w:titlePg/>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8"/>
        <w:keepNext/>
        <w:keepLines/>
        <w:widowControl w:val="0"/>
        <w:shd w:val="clear" w:color="auto" w:fill="auto"/>
        <w:bidi w:val="0"/>
        <w:spacing w:before="1460" w:after="148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18"/>
        <w:keepNext w:val="0"/>
        <w:keepLines w:val="0"/>
        <w:widowControl w:val="0"/>
        <w:shd w:val="clear" w:color="auto" w:fill="auto"/>
        <w:tabs>
          <w:tab w:leader="dot" w:pos="9607"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18"/>
        <w:keepNext w:val="0"/>
        <w:keepLines w:val="0"/>
        <w:widowControl w:val="0"/>
        <w:shd w:val="clear" w:color="auto" w:fill="auto"/>
        <w:tabs>
          <w:tab w:pos="517" w:val="left"/>
          <w:tab w:leader="dot" w:pos="9607" w:val="right"/>
        </w:tabs>
        <w:bidi w:val="0"/>
        <w:spacing w:before="0" w:line="240" w:lineRule="auto"/>
        <w:ind w:left="0" w:right="0" w:firstLine="0"/>
        <w:jc w:val="left"/>
      </w:pPr>
      <w:hyperlink w:anchor="bookmark10" w:tooltip="Current Document">
        <w:bookmarkStart w:id="15" w:name="bookmark15"/>
        <w:r>
          <w:rPr>
            <w:color w:val="000000"/>
            <w:spacing w:val="0"/>
            <w:w w:val="100"/>
            <w:position w:val="0"/>
            <w:sz w:val="24"/>
            <w:szCs w:val="24"/>
          </w:rPr>
          <w:t>一</w:t>
        </w:r>
        <w:bookmarkEnd w:id="15"/>
        <w:r>
          <w:rPr>
            <w:color w:val="000000"/>
            <w:spacing w:val="0"/>
            <w:w w:val="100"/>
            <w:position w:val="0"/>
            <w:sz w:val="24"/>
            <w:szCs w:val="24"/>
          </w:rPr>
          <w:t>、</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pos="517" w:val="left"/>
          <w:tab w:leader="dot" w:pos="9607" w:val="right"/>
        </w:tabs>
        <w:bidi w:val="0"/>
        <w:spacing w:before="0" w:line="240" w:lineRule="auto"/>
        <w:ind w:left="0" w:right="0" w:firstLine="0"/>
        <w:jc w:val="left"/>
      </w:pPr>
      <w:hyperlink w:anchor="bookmark28" w:tooltip="Current Document">
        <w:bookmarkStart w:id="16" w:name="bookmark16"/>
        <w:r>
          <w:rPr>
            <w:color w:val="000000"/>
            <w:spacing w:val="0"/>
            <w:w w:val="100"/>
            <w:position w:val="0"/>
            <w:sz w:val="24"/>
            <w:szCs w:val="24"/>
          </w:rPr>
          <w:t>二</w:t>
        </w:r>
        <w:bookmarkEnd w:id="16"/>
        <w:r>
          <w:rPr>
            <w:color w:val="000000"/>
            <w:spacing w:val="0"/>
            <w:w w:val="100"/>
            <w:position w:val="0"/>
            <w:sz w:val="24"/>
            <w:szCs w:val="24"/>
          </w:rPr>
          <w:t>、</w:t>
          <w:tab/>
          <w:t>公司基本情况简介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8"/>
        <w:keepNext w:val="0"/>
        <w:keepLines w:val="0"/>
        <w:widowControl w:val="0"/>
        <w:shd w:val="clear" w:color="auto" w:fill="auto"/>
        <w:tabs>
          <w:tab w:pos="522" w:val="left"/>
          <w:tab w:leader="dot" w:pos="9607" w:val="right"/>
        </w:tabs>
        <w:bidi w:val="0"/>
        <w:spacing w:before="0" w:line="240" w:lineRule="auto"/>
        <w:ind w:left="0" w:right="0" w:firstLine="0"/>
        <w:jc w:val="left"/>
      </w:pPr>
      <w:hyperlink w:anchor="bookmark46" w:tooltip="Current Document">
        <w:bookmarkStart w:id="17" w:name="bookmark17"/>
        <w:r>
          <w:rPr>
            <w:color w:val="000000"/>
            <w:spacing w:val="0"/>
            <w:w w:val="100"/>
            <w:position w:val="0"/>
            <w:sz w:val="24"/>
            <w:szCs w:val="24"/>
          </w:rPr>
          <w:t>三</w:t>
        </w:r>
        <w:bookmarkEnd w:id="17"/>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8"/>
        <w:keepNext w:val="0"/>
        <w:keepLines w:val="0"/>
        <w:widowControl w:val="0"/>
        <w:shd w:val="clear" w:color="auto" w:fill="auto"/>
        <w:tabs>
          <w:tab w:pos="522" w:val="left"/>
          <w:tab w:leader="dot" w:pos="9607" w:val="right"/>
        </w:tabs>
        <w:bidi w:val="0"/>
        <w:spacing w:before="0" w:line="240" w:lineRule="auto"/>
        <w:ind w:left="0" w:right="0" w:firstLine="0"/>
        <w:jc w:val="left"/>
      </w:pPr>
      <w:bookmarkStart w:id="18" w:name="bookmark18"/>
      <w:r>
        <w:rPr>
          <w:color w:val="000000"/>
          <w:spacing w:val="0"/>
          <w:w w:val="100"/>
          <w:position w:val="0"/>
          <w:sz w:val="24"/>
          <w:szCs w:val="24"/>
        </w:rPr>
        <w:t>四</w:t>
      </w:r>
      <w:bookmarkEnd w:id="18"/>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p>
    <w:p>
      <w:pPr>
        <w:pStyle w:val="Style18"/>
        <w:keepNext w:val="0"/>
        <w:keepLines w:val="0"/>
        <w:widowControl w:val="0"/>
        <w:shd w:val="clear" w:color="auto" w:fill="auto"/>
        <w:tabs>
          <w:tab w:pos="522" w:val="left"/>
          <w:tab w:leader="dot" w:pos="9607" w:val="right"/>
        </w:tabs>
        <w:bidi w:val="0"/>
        <w:spacing w:before="0" w:line="240" w:lineRule="auto"/>
        <w:ind w:left="0" w:right="0" w:firstLine="0"/>
        <w:jc w:val="left"/>
      </w:pPr>
      <w:bookmarkStart w:id="19" w:name="bookmark19"/>
      <w:r>
        <w:rPr>
          <w:color w:val="000000"/>
          <w:spacing w:val="0"/>
          <w:w w:val="100"/>
          <w:position w:val="0"/>
          <w:sz w:val="24"/>
          <w:szCs w:val="24"/>
        </w:rPr>
        <w:t>五</w:t>
      </w:r>
      <w:bookmarkEnd w:id="19"/>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34</w:t>
      </w:r>
    </w:p>
    <w:p>
      <w:pPr>
        <w:pStyle w:val="Style18"/>
        <w:keepNext w:val="0"/>
        <w:keepLines w:val="0"/>
        <w:widowControl w:val="0"/>
        <w:shd w:val="clear" w:color="auto" w:fill="auto"/>
        <w:tabs>
          <w:tab w:pos="522" w:val="left"/>
          <w:tab w:leader="dot" w:pos="9607" w:val="right"/>
        </w:tabs>
        <w:bidi w:val="0"/>
        <w:spacing w:before="0" w:line="240" w:lineRule="auto"/>
        <w:ind w:left="0" w:right="0" w:firstLine="0"/>
        <w:jc w:val="left"/>
      </w:pPr>
      <w:hyperlink w:anchor="bookmark269" w:tooltip="Current Document">
        <w:bookmarkStart w:id="20" w:name="bookmark20"/>
        <w:r>
          <w:rPr>
            <w:color w:val="000000"/>
            <w:spacing w:val="0"/>
            <w:w w:val="100"/>
            <w:position w:val="0"/>
            <w:sz w:val="24"/>
            <w:szCs w:val="24"/>
          </w:rPr>
          <w:t>六</w:t>
        </w:r>
        <w:bookmarkEnd w:id="20"/>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18"/>
        <w:keepNext w:val="0"/>
        <w:keepLines w:val="0"/>
        <w:widowControl w:val="0"/>
        <w:shd w:val="clear" w:color="auto" w:fill="auto"/>
        <w:tabs>
          <w:tab w:pos="522" w:val="left"/>
          <w:tab w:leader="dot" w:pos="9607" w:val="right"/>
        </w:tabs>
        <w:bidi w:val="0"/>
        <w:spacing w:before="0" w:line="240" w:lineRule="auto"/>
        <w:ind w:left="0" w:right="0" w:firstLine="0"/>
        <w:jc w:val="left"/>
      </w:pPr>
      <w:hyperlink w:anchor="bookmark316" w:tooltip="Current Document">
        <w:bookmarkStart w:id="21" w:name="bookmark21"/>
        <w:r>
          <w:rPr>
            <w:color w:val="000000"/>
            <w:spacing w:val="0"/>
            <w:w w:val="100"/>
            <w:position w:val="0"/>
            <w:sz w:val="24"/>
            <w:szCs w:val="24"/>
          </w:rPr>
          <w:t>七</w:t>
        </w:r>
        <w:bookmarkEnd w:id="21"/>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18"/>
        <w:keepNext w:val="0"/>
        <w:keepLines w:val="0"/>
        <w:widowControl w:val="0"/>
        <w:shd w:val="clear" w:color="auto" w:fill="auto"/>
        <w:tabs>
          <w:tab w:pos="522" w:val="left"/>
          <w:tab w:leader="dot" w:pos="9607" w:val="right"/>
        </w:tabs>
        <w:bidi w:val="0"/>
        <w:spacing w:before="0" w:line="240" w:lineRule="auto"/>
        <w:ind w:left="0" w:right="0" w:firstLine="0"/>
        <w:jc w:val="left"/>
      </w:pPr>
      <w:bookmarkStart w:id="22" w:name="bookmark22"/>
      <w:r>
        <w:rPr>
          <w:color w:val="000000"/>
          <w:spacing w:val="0"/>
          <w:w w:val="100"/>
          <w:position w:val="0"/>
          <w:sz w:val="24"/>
          <w:szCs w:val="24"/>
        </w:rPr>
        <w:t>八</w:t>
      </w:r>
      <w:bookmarkEnd w:id="22"/>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p>
    <w:p>
      <w:pPr>
        <w:pStyle w:val="Style18"/>
        <w:keepNext w:val="0"/>
        <w:keepLines w:val="0"/>
        <w:widowControl w:val="0"/>
        <w:shd w:val="clear" w:color="auto" w:fill="auto"/>
        <w:tabs>
          <w:tab w:pos="522" w:val="left"/>
          <w:tab w:leader="dot" w:pos="9607" w:val="right"/>
        </w:tabs>
        <w:bidi w:val="0"/>
        <w:spacing w:before="0" w:line="240" w:lineRule="auto"/>
        <w:ind w:left="0" w:right="0" w:firstLine="0"/>
        <w:jc w:val="left"/>
      </w:pPr>
      <w:bookmarkStart w:id="23" w:name="bookmark23"/>
      <w:r>
        <w:rPr>
          <w:color w:val="000000"/>
          <w:spacing w:val="0"/>
          <w:w w:val="100"/>
          <w:position w:val="0"/>
          <w:sz w:val="24"/>
          <w:szCs w:val="24"/>
        </w:rPr>
        <w:t>九</w:t>
      </w:r>
      <w:bookmarkEnd w:id="23"/>
      <w:r>
        <w:rPr>
          <w:color w:val="000000"/>
          <w:spacing w:val="0"/>
          <w:w w:val="100"/>
          <w:position w:val="0"/>
          <w:sz w:val="24"/>
          <w:szCs w:val="24"/>
        </w:rPr>
        <w:t>、</w:t>
        <w:tab/>
        <w:t>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1207" w:tooltip="Current Document">
        <w:r>
          <w:rPr>
            <w:color w:val="000000"/>
            <w:spacing w:val="0"/>
            <w:w w:val="100"/>
            <w:position w:val="0"/>
            <w:sz w:val="24"/>
            <w:szCs w:val="24"/>
          </w:rPr>
          <w:t>十、备查文件目录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135</w:t>
        </w:r>
      </w:hyperlink>
      <w:r>
        <w:br w:type="page"/>
      </w:r>
      <w:r>
        <w:fldChar w:fldCharType="end"/>
      </w:r>
    </w:p>
    <w:p>
      <w:pPr>
        <w:pStyle w:val="Style10"/>
        <w:keepNext/>
        <w:keepLines/>
        <w:widowControl w:val="0"/>
        <w:shd w:val="clear" w:color="auto" w:fill="auto"/>
        <w:bidi w:val="0"/>
        <w:spacing w:before="0" w:after="820" w:line="240" w:lineRule="auto"/>
        <w:ind w:left="0" w:right="0" w:firstLine="0"/>
        <w:jc w:val="center"/>
      </w:pPr>
      <w:bookmarkStart w:id="24" w:name="bookmark24"/>
      <w:bookmarkStart w:id="25" w:name="bookmark25"/>
      <w:bookmarkStart w:id="26" w:name="bookmark26"/>
      <w:r>
        <w:rPr>
          <w:color w:val="000000"/>
          <w:spacing w:val="0"/>
          <w:w w:val="100"/>
          <w:position w:val="0"/>
        </w:rPr>
        <w:t>释义</w:t>
      </w:r>
      <w:bookmarkEnd w:id="24"/>
      <w:bookmarkEnd w:id="25"/>
      <w:bookmarkEnd w:id="26"/>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398"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尤洛卡、本公司、公司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尤洛卡矿业安全工程股份有限公司</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尤洛卡（北京）矿业工程技术研究有限公司</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尤洛卡（上海）国际贸易有限公司</w:t>
            </w:r>
          </w:p>
        </w:tc>
      </w:tr>
      <w:tr>
        <w:trPr>
          <w:trHeight w:val="398"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泰安子公司、华得公司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泰安市华得软件科技有限责任公司</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富华宇祺公司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北京富华宇祺信息技术有限公司</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会计师、审计机构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瑞华会计师事务所（特殊普通合伙）</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保荐机构、保荐人、国海证券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国海证券股份有限公司</w:t>
            </w:r>
          </w:p>
        </w:tc>
      </w:tr>
      <w:tr>
        <w:trPr>
          <w:trHeight w:val="398"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煤矿顶板</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煤矿井下矿层上的岩层。</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顶板安全监控设备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煤矿顶板安全监测与控制设备，包括各类应用于煤矿顶板安全监测 与控制的仪器、仪表、系统产品等设备。</w:t>
            </w:r>
          </w:p>
        </w:tc>
      </w:tr>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顶板安全监测系统、系统产品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煤矿顶板安全监测系统，其是顶板安全监控设备的一种，其通过专 用仪器对煤矿井下各方位矿压进行实时监测，利用通讯网络和计算 机网络平台，将井下矿压动态参数传输到井上计算机监测网络，借 助监测分析软件进行综合性分析，最终实现在线监测和预警。</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KJ216</w:t>
            </w:r>
            <w:r>
              <w:rPr>
                <w:color w:val="000000"/>
                <w:spacing w:val="0"/>
                <w:w w:val="100"/>
                <w:position w:val="0"/>
                <w:sz w:val="18"/>
                <w:szCs w:val="18"/>
              </w:rPr>
              <w:t>系统（有线）</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KJ216</w:t>
            </w:r>
            <w:r>
              <w:rPr>
                <w:color w:val="000000"/>
                <w:spacing w:val="0"/>
                <w:w w:val="100"/>
                <w:position w:val="0"/>
                <w:sz w:val="18"/>
                <w:szCs w:val="18"/>
              </w:rPr>
              <w:t>煤矿顶板安全监测系统（公司目前系统产品的具体型号及名 称，其曾用名：</w:t>
            </w:r>
            <w:r>
              <w:rPr>
                <w:rFonts w:ascii="Times New Roman" w:eastAsia="Times New Roman" w:hAnsi="Times New Roman" w:cs="Times New Roman"/>
                <w:color w:val="000000"/>
                <w:spacing w:val="0"/>
                <w:w w:val="100"/>
                <w:position w:val="0"/>
                <w:sz w:val="18"/>
                <w:szCs w:val="18"/>
              </w:rPr>
              <w:t>KJ216</w:t>
            </w:r>
            <w:r>
              <w:rPr>
                <w:color w:val="000000"/>
                <w:spacing w:val="0"/>
                <w:w w:val="100"/>
                <w:position w:val="0"/>
                <w:sz w:val="18"/>
                <w:szCs w:val="18"/>
              </w:rPr>
              <w:t>煤矿顶板压力监测系统、煤矿顶板动态监测 系统）。</w:t>
            </w:r>
          </w:p>
        </w:tc>
      </w:tr>
      <w:tr>
        <w:trPr>
          <w:trHeight w:val="1022"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KJ653</w:t>
            </w:r>
            <w:r>
              <w:rPr>
                <w:color w:val="000000"/>
                <w:spacing w:val="0"/>
                <w:w w:val="100"/>
                <w:position w:val="0"/>
                <w:sz w:val="18"/>
                <w:szCs w:val="18"/>
              </w:rPr>
              <w:t>系统（无线）</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KJ653</w:t>
            </w:r>
            <w:r>
              <w:rPr>
                <w:color w:val="000000"/>
                <w:spacing w:val="0"/>
                <w:w w:val="100"/>
                <w:position w:val="0"/>
                <w:sz w:val="18"/>
                <w:szCs w:val="18"/>
              </w:rPr>
              <w:t>煤矿顶板无线动态安全监测系统，采用国内首创</w:t>
            </w:r>
            <w:r>
              <w:rPr>
                <w:rFonts w:ascii="Times New Roman" w:eastAsia="Times New Roman" w:hAnsi="Times New Roman" w:cs="Times New Roman"/>
                <w:color w:val="000000"/>
                <w:spacing w:val="0"/>
                <w:w w:val="100"/>
                <w:position w:val="0"/>
                <w:sz w:val="18"/>
                <w:szCs w:val="18"/>
              </w:rPr>
              <w:t>"433M</w:t>
            </w:r>
            <w:r>
              <w:rPr>
                <w:color w:val="000000"/>
                <w:spacing w:val="0"/>
                <w:w w:val="100"/>
                <w:position w:val="0"/>
                <w:sz w:val="18"/>
                <w:szCs w:val="18"/>
              </w:rPr>
              <w:t>无线 路由自组网模式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，对顶板实施动态实时监测，用无线方式进行结果 的传输。</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顶板事故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冒顶、片帮、顶板掉砰、顶板支护垮倒、冲击地压、露天煤矿边坡 滑移垮塌等。此外，煤矿底板事故也视为顶板事故。</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矿用新材料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充填新材料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用于煤矿安全方面的化学高分子材料的统称，主要包括用于煤矿煤 岩体加固方面的注浆材料、采空区和冒落带充填材料、封堵水材料、 防灭火材料等。</w:t>
            </w:r>
          </w:p>
        </w:tc>
      </w:tr>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KJ623</w:t>
            </w:r>
            <w:r>
              <w:rPr>
                <w:color w:val="000000"/>
                <w:spacing w:val="0"/>
                <w:w w:val="100"/>
                <w:position w:val="0"/>
                <w:sz w:val="18"/>
                <w:szCs w:val="18"/>
              </w:rPr>
              <w:t>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地音系统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KJ623</w:t>
            </w:r>
            <w:r>
              <w:rPr>
                <w:color w:val="000000"/>
                <w:spacing w:val="0"/>
                <w:w w:val="100"/>
                <w:position w:val="0"/>
                <w:sz w:val="18"/>
                <w:szCs w:val="18"/>
              </w:rPr>
              <w:t>煤矿用冲击地压地音监测系统。对于煤矿井下（或其他矿井） 岩层破坏产生的声发射波实时采集和处理分析，预测和预警煤矿冲 击地压和煤与瓦斯突出等动力灾害事故。系统包括：地音传感器、 监测分站、传输装置、监测分析软件等。</w:t>
            </w:r>
          </w:p>
        </w:tc>
      </w:tr>
      <w:tr>
        <w:trPr>
          <w:trHeight w:val="1306"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乳化液自动配比及反冲洗过滤装置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包括乳化液自动配比装置和高压乳化液自动反冲洗过滤装置。乳化 液是煤矿工作面液压支架的液压介质，是乳化液与水的按比例混合 介质，乳化液的浓度对液压支架的工况影响很大，该装置解决了多 年来乳化液配比的浓度控制难题。高压自动反冲洗过滤装置用于泵</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989"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站乳化液的过滤，乳化液杂质对支架阀组的动作由较大影响，杂质 过高也会影响乳化液泵站系统的使用寿命。该装置较好地解决了高 压乳化液的过滤精度问题。</w:t>
            </w:r>
          </w:p>
        </w:tc>
      </w:tr>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可视化装置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用于煤矿巷道围岩及地质钻孔的成像探测装置，通过钻孔内的摄像 探测装置可连续地采集钻孔的图像和位置信息，通过计算机分析软 件可形成三维钻孔地质柱状图，地质岩性分类分析、岩层产状的量 化测量等。</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张拉机具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用于煤矿巷道支护锚杆、锚索安装用的系列产品总称，包括：锚索 张拉机具系列产品、锚杆拉力计系列。</w:t>
            </w:r>
          </w:p>
        </w:tc>
      </w:tr>
      <w:tr>
        <w:trPr>
          <w:trHeight w:val="1022"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矿井粉尘监测、降尘控制与环境评价系统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对煤矿采掘工作面，进行煤炭粉尘的监测、治理同时对煤矿井下环 境进行评价的一种集成性的综合系统，包括传感器、降尘等硬件设 备和评价等相关软件。</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w:t>
            </w:r>
            <w:r>
              <w:rPr>
                <w:rFonts w:ascii="Times New Roman" w:eastAsia="Times New Roman" w:hAnsi="Times New Roman" w:cs="Times New Roman"/>
                <w:color w:val="000000"/>
                <w:spacing w:val="0"/>
                <w:w w:val="100"/>
                <w:position w:val="0"/>
                <w:sz w:val="18"/>
                <w:szCs w:val="18"/>
              </w:rPr>
              <w:t>3G</w:t>
            </w:r>
            <w:r>
              <w:rPr>
                <w:color w:val="000000"/>
                <w:spacing w:val="0"/>
                <w:w w:val="100"/>
                <w:position w:val="0"/>
                <w:sz w:val="18"/>
                <w:szCs w:val="18"/>
              </w:rPr>
              <w:t>无线网络多媒体移动通讯系统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针对煤矿安全生产而研发的集</w:t>
            </w:r>
            <w:r>
              <w:rPr>
                <w:rFonts w:ascii="Times New Roman" w:eastAsia="Times New Roman" w:hAnsi="Times New Roman" w:cs="Times New Roman"/>
                <w:color w:val="000000"/>
                <w:spacing w:val="0"/>
                <w:w w:val="100"/>
                <w:position w:val="0"/>
                <w:sz w:val="18"/>
                <w:szCs w:val="18"/>
              </w:rPr>
              <w:t>3G</w:t>
            </w:r>
            <w:r>
              <w:rPr>
                <w:color w:val="000000"/>
                <w:spacing w:val="0"/>
                <w:w w:val="100"/>
                <w:position w:val="0"/>
                <w:sz w:val="18"/>
                <w:szCs w:val="18"/>
              </w:rPr>
              <w:t>无线通信、人员定位管理和</w:t>
            </w:r>
            <w:r>
              <w:rPr>
                <w:rFonts w:ascii="Times New Roman" w:eastAsia="Times New Roman" w:hAnsi="Times New Roman" w:cs="Times New Roman"/>
                <w:color w:val="000000"/>
                <w:spacing w:val="0"/>
                <w:w w:val="100"/>
                <w:position w:val="0"/>
                <w:sz w:val="18"/>
                <w:szCs w:val="18"/>
              </w:rPr>
              <w:t xml:space="preserve">IP </w:t>
            </w:r>
            <w:r>
              <w:rPr>
                <w:color w:val="000000"/>
                <w:spacing w:val="0"/>
                <w:w w:val="100"/>
                <w:position w:val="0"/>
                <w:sz w:val="18"/>
                <w:szCs w:val="18"/>
              </w:rPr>
              <w:t>扩播等系统于一身的综合性网络多媒体通信系统</w:t>
            </w:r>
          </w:p>
        </w:tc>
      </w:tr>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煤矿井下安全运输系统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一种适用于煤矿井下新型安全、高效运输系统。包括：柴油机、蓄 电池动力的单轨吊运输机车，顶板悬挂轨道及气控道岔系统，车辆 跟踪、调度和信息监控系统。实现了电液控制技术、计算机控制技 术、通讯技术与车辆机械设计完美统一，形成了全电传、电液控制。</w:t>
            </w:r>
          </w:p>
        </w:tc>
      </w:tr>
      <w:tr>
        <w:trPr>
          <w:trHeight w:val="1349"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煤矿智能集成供液系统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一种同步实现水过滤反冲洗、水软化处理、泵站保护与控制、变频 控制、乳化液自动配比与高压反冲洗过滤、智能集中控制与数据上 传功能的煤矿集成供液系统。主要目的是提升行业产品自动化水 平，实现煤矿节能降耗，保障煤矿安全高产高效生产</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27" w:name="bookmark27"/>
      <w:bookmarkStart w:id="28" w:name="bookmark28"/>
      <w:bookmarkStart w:id="29" w:name="bookmark29"/>
      <w:r>
        <w:rPr>
          <w:color w:val="000000"/>
          <w:spacing w:val="0"/>
          <w:w w:val="100"/>
          <w:position w:val="0"/>
        </w:rPr>
        <w:t>第二节公司基本情况简介</w:t>
      </w:r>
      <w:bookmarkEnd w:id="27"/>
      <w:bookmarkEnd w:id="28"/>
      <w:bookmarkEnd w:id="29"/>
    </w:p>
    <w:p>
      <w:pPr>
        <w:pStyle w:val="Style25"/>
        <w:keepNext/>
        <w:keepLines/>
        <w:widowControl w:val="0"/>
        <w:shd w:val="clear" w:color="auto" w:fill="auto"/>
        <w:bidi w:val="0"/>
        <w:spacing w:before="0" w:after="300" w:line="240" w:lineRule="auto"/>
        <w:ind w:left="0" w:right="0" w:firstLine="240"/>
        <w:jc w:val="left"/>
      </w:pPr>
      <w:bookmarkStart w:id="30" w:name="bookmark30"/>
      <w:bookmarkStart w:id="31" w:name="bookmark31"/>
      <w:bookmarkStart w:id="32" w:name="bookmark32"/>
      <w:r>
        <w:rPr>
          <w:color w:val="000000"/>
          <w:spacing w:val="0"/>
          <w:w w:val="100"/>
          <w:position w:val="0"/>
          <w:sz w:val="24"/>
          <w:szCs w:val="24"/>
        </w:rPr>
        <w:t>、公司信息</w:t>
      </w:r>
      <w:bookmarkEnd w:id="30"/>
      <w:bookmarkEnd w:id="31"/>
      <w:bookmarkEnd w:id="32"/>
    </w:p>
    <w:tbl>
      <w:tblPr>
        <w:tblOverlap w:val="never"/>
        <w:jc w:val="center"/>
        <w:tblLayout w:type="fixed"/>
      </w:tblPr>
      <w:tblGrid>
        <w:gridCol w:w="2933"/>
        <w:gridCol w:w="2304"/>
        <w:gridCol w:w="2160"/>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尤洛卡矿业安全工程股份有限公司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w:t>
            </w:r>
          </w:p>
        </w:tc>
        <w:tc>
          <w:tcPr>
            <w:gridSpan w:val="3"/>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Uroica Mining Safety Engineering Co.,Ltd</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w:t>
            </w:r>
          </w:p>
        </w:tc>
        <w:tc>
          <w:tcPr>
            <w:gridSpan w:val="3"/>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UROICA</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黄自伟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gridSpan w:val="3"/>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山东省泰安市高新区凤祥路以西规划支路以北</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gridSpan w:val="3"/>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山东省泰安市高新区凤祥路以西规划支路以北</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gridSpan w:val="3"/>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"http://www.uroica.com.cn" </w:instrText>
            </w:r>
            <w:r>
              <w:fldChar w:fldCharType="separate"/>
            </w:r>
            <w:r>
              <w:rPr>
                <w:rFonts w:ascii="Times New Roman" w:eastAsia="Times New Roman" w:hAnsi="Times New Roman" w:cs="Times New Roman"/>
                <w:color w:val="000000"/>
                <w:spacing w:val="0"/>
                <w:w w:val="100"/>
                <w:position w:val="0"/>
                <w:sz w:val="18"/>
                <w:szCs w:val="18"/>
              </w:rPr>
              <w:t>http://www.uroica.com.cn</w:t>
            </w:r>
            <w:r>
              <w:fldChar w:fldCharType="end"/>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gridSpan w:val="3"/>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"mailto:mail@uroica.com.cn" </w:instrText>
            </w:r>
            <w:r>
              <w:fldChar w:fldCharType="separate"/>
            </w:r>
            <w:r>
              <w:rPr>
                <w:rFonts w:ascii="Times New Roman" w:eastAsia="Times New Roman" w:hAnsi="Times New Roman" w:cs="Times New Roman"/>
                <w:color w:val="000000"/>
                <w:spacing w:val="0"/>
                <w:w w:val="100"/>
                <w:position w:val="0"/>
                <w:sz w:val="18"/>
                <w:szCs w:val="18"/>
              </w:rPr>
              <w:t>mail@uroica.com.cn</w:t>
            </w:r>
            <w:r>
              <w:fldChar w:fldCharType="end"/>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公司聘请的会计师事务所名称</w:t>
            </w:r>
          </w:p>
        </w:tc>
        <w:tc>
          <w:tcPr>
            <w:gridSpan w:val="3"/>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瑞华会计师事务所(特殊普通合伙)</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公司聘请的会计师事务所办公地址</w:t>
            </w:r>
          </w:p>
        </w:tc>
        <w:tc>
          <w:tcPr>
            <w:gridSpan w:val="3"/>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北京市西城区金融大街</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幢</w:t>
            </w:r>
            <w:r>
              <w:rPr>
                <w:rFonts w:ascii="Times New Roman" w:eastAsia="Times New Roman" w:hAnsi="Times New Roman" w:cs="Times New Roman"/>
                <w:color w:val="000000"/>
                <w:spacing w:val="0"/>
                <w:w w:val="100"/>
                <w:position w:val="0"/>
                <w:sz w:val="18"/>
                <w:szCs w:val="18"/>
              </w:rPr>
              <w:t>806-812</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二</w:t>
      </w:r>
      <w:bookmarkEnd w:id="35"/>
      <w:r>
        <w:rPr>
          <w:color w:val="000000"/>
          <w:spacing w:val="0"/>
          <w:w w:val="100"/>
          <w:position w:val="0"/>
          <w:sz w:val="24"/>
          <w:szCs w:val="24"/>
        </w:rPr>
        <w:t>、联系人和联系方式</w:t>
      </w:r>
      <w:bookmarkEnd w:id="33"/>
      <w:bookmarkEnd w:id="34"/>
      <w:bookmarkEnd w:id="36"/>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曹洪伟</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陈焕超</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山东省泰安市高新区凤祥路以西规划 支路以北</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山东省泰安市高新区凤祥路以西规划 支路以北</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0538-8926155</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0538-8926155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0538-8926202</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0538-8926202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"mailto:chw600157@163.com" </w:instrText>
            </w:r>
            <w:r>
              <w:fldChar w:fldCharType="separate"/>
            </w:r>
            <w:r>
              <w:rPr>
                <w:rFonts w:ascii="Times New Roman" w:eastAsia="Times New Roman" w:hAnsi="Times New Roman" w:cs="Times New Roman"/>
                <w:color w:val="000000"/>
                <w:spacing w:val="0"/>
                <w:w w:val="100"/>
                <w:position w:val="0"/>
                <w:sz w:val="18"/>
                <w:szCs w:val="18"/>
              </w:rPr>
              <w:t>chw600157@163.com</w:t>
            </w:r>
            <w:r>
              <w:fldChar w:fldCharType="end"/>
            </w:r>
          </w:p>
        </w:tc>
        <w:tc>
          <w:tcPr>
            <w:tcBorders>
              <w:top w:val="single" w:sz="4"/>
              <w:left w:val="single" w:sz="4"/>
              <w:bottom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"mailto:chen19341912@163.com" </w:instrText>
            </w:r>
            <w:r>
              <w:fldChar w:fldCharType="separate"/>
            </w:r>
            <w:r>
              <w:rPr>
                <w:rFonts w:ascii="Times New Roman" w:eastAsia="Times New Roman" w:hAnsi="Times New Roman" w:cs="Times New Roman"/>
                <w:color w:val="000000"/>
                <w:spacing w:val="0"/>
                <w:w w:val="100"/>
                <w:position w:val="0"/>
                <w:sz w:val="18"/>
                <w:szCs w:val="18"/>
              </w:rPr>
              <w:t>chen19341912@163.com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三</w:t>
      </w:r>
      <w:bookmarkEnd w:id="39"/>
      <w:r>
        <w:rPr>
          <w:color w:val="000000"/>
          <w:spacing w:val="0"/>
          <w:w w:val="100"/>
          <w:position w:val="0"/>
          <w:sz w:val="24"/>
          <w:szCs w:val="24"/>
        </w:rPr>
        <w:t>、信息披露及备置地点</w:t>
      </w:r>
      <w:bookmarkEnd w:id="37"/>
      <w:bookmarkEnd w:id="38"/>
      <w:bookmarkEnd w:id="40"/>
    </w:p>
    <w:tbl>
      <w:tblPr>
        <w:tblOverlap w:val="never"/>
        <w:jc w:val="center"/>
        <w:tblLayout w:type="fixed"/>
      </w:tblPr>
      <w:tblGrid>
        <w:gridCol w:w="3864"/>
        <w:gridCol w:w="571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公司选定的信息披露媒体的名称</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《中国证券报》、《上海证券报》、《证券时报》、《证券日报》</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公司董事会办公室</w:t>
            </w:r>
          </w:p>
        </w:tc>
      </w:tr>
    </w:tbl>
    <w:p>
      <w:pPr>
        <w:spacing w:lineRule="exact" w:line="1"/>
        <w:rPr>
          <w:sz w:val="2"/>
          <w:szCs w:val="2"/>
        </w:rPr>
      </w:pPr>
      <w:r>
        <w:br w:type="page"/>
      </w:r>
    </w:p>
    <w:p>
      <w:pPr>
        <w:pStyle w:val="Style25"/>
        <w:keepNext/>
        <w:keepLines/>
        <w:widowControl w:val="0"/>
        <w:shd w:val="clear" w:color="auto" w:fill="auto"/>
        <w:bidi w:val="0"/>
        <w:spacing w:before="0" w:after="30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四</w:t>
      </w:r>
      <w:bookmarkEnd w:id="43"/>
      <w:r>
        <w:rPr>
          <w:color w:val="000000"/>
          <w:spacing w:val="0"/>
          <w:w w:val="100"/>
          <w:position w:val="0"/>
          <w:sz w:val="24"/>
          <w:szCs w:val="24"/>
        </w:rPr>
        <w:t>、公司历史沿革</w:t>
      </w:r>
      <w:bookmarkEnd w:id="41"/>
      <w:bookmarkEnd w:id="42"/>
      <w:bookmarkEnd w:id="44"/>
    </w:p>
    <w:tbl>
      <w:tblPr>
        <w:tblOverlap w:val="never"/>
        <w:jc w:val="center"/>
        <w:tblLayout w:type="fixed"/>
      </w:tblPr>
      <w:tblGrid>
        <w:gridCol w:w="1598"/>
        <w:gridCol w:w="1594"/>
        <w:gridCol w:w="1594"/>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注册登记日期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注册登记地点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企业法人营业执 照注册号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税务登记号码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组织机构代码</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首次注册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山东省泰安市东 部高新区</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370924228007290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370903166441332</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16644133-2</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整体变更股份公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山东省泰安市高 新区凤祥路以西 规划支路以北</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370924228007290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370903166441332</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16644133-2</w:t>
            </w:r>
          </w:p>
        </w:tc>
      </w:tr>
      <w:tr>
        <w:trPr>
          <w:trHeight w:val="1022"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发行股票上市变</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山东省泰安市高 新区凤祥路以西 规划支路以北</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370924228007290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370903166441332</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16644133-2</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转股增加注册资</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山东省泰安市高 新区凤祥路以西 规划支路以北</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370924228007290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370903166441332</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16644133-2</w:t>
            </w:r>
          </w:p>
        </w:tc>
      </w:tr>
      <w:tr>
        <w:trPr>
          <w:trHeight w:val="1037"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转股增加注册资</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山东省泰安市高 新区凤祥路以西 规划支路以北</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370924228007290</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370903166441332</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16644133-2</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45" w:name="bookmark45"/>
      <w:bookmarkStart w:id="46" w:name="bookmark46"/>
      <w:bookmarkStart w:id="47" w:name="bookmark47"/>
      <w:r>
        <w:rPr>
          <w:color w:val="000000"/>
          <w:spacing w:val="0"/>
          <w:w w:val="100"/>
          <w:position w:val="0"/>
        </w:rPr>
        <w:t>第三节会计数据和财务指标摘要</w:t>
      </w:r>
      <w:bookmarkEnd w:id="45"/>
      <w:bookmarkEnd w:id="46"/>
      <w:bookmarkEnd w:id="47"/>
    </w:p>
    <w:p>
      <w:pPr>
        <w:pStyle w:val="Style25"/>
        <w:keepNext/>
        <w:keepLines/>
        <w:widowControl w:val="0"/>
        <w:shd w:val="clear" w:color="auto" w:fill="auto"/>
        <w:bidi w:val="0"/>
        <w:spacing w:before="0" w:after="22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一</w:t>
      </w:r>
      <w:bookmarkEnd w:id="50"/>
      <w:r>
        <w:rPr>
          <w:color w:val="000000"/>
          <w:spacing w:val="0"/>
          <w:w w:val="100"/>
          <w:position w:val="0"/>
          <w:sz w:val="24"/>
          <w:szCs w:val="24"/>
        </w:rPr>
        <w:t>、主要会计数据和财务指标</w:t>
      </w:r>
      <w:bookmarkEnd w:id="48"/>
      <w:bookmarkEnd w:id="49"/>
      <w:bookmarkEnd w:id="51"/>
    </w:p>
    <w:p>
      <w:pPr>
        <w:pStyle w:val="Style27"/>
        <w:keepNext w:val="0"/>
        <w:keepLines w:val="0"/>
        <w:widowControl w:val="0"/>
        <w:shd w:val="clear" w:color="auto" w:fill="auto"/>
        <w:bidi w:val="0"/>
        <w:spacing w:before="0" w:after="60" w:line="355" w:lineRule="exact"/>
        <w:ind w:left="0" w:right="0" w:firstLine="0"/>
        <w:jc w:val="left"/>
      </w:pPr>
      <w:r>
        <w:rPr>
          <w:color w:val="000000"/>
          <w:spacing w:val="0"/>
          <w:w w:val="100"/>
          <w:position w:val="0"/>
        </w:rPr>
        <w:t>公司是否因会计政策变更及会计差错更正等追溯调整或重述以前年度会计数据 口 是"否</w:t>
      </w:r>
    </w:p>
    <w:tbl>
      <w:tblPr>
        <w:tblOverlap w:val="never"/>
        <w:jc w:val="center"/>
        <w:tblLayout w:type="fixed"/>
      </w:tblPr>
      <w:tblGrid>
        <w:gridCol w:w="2621"/>
        <w:gridCol w:w="1738"/>
        <w:gridCol w:w="1738"/>
        <w:gridCol w:w="1738"/>
        <w:gridCol w:w="174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本年比上年增减</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173,864,168.55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194,995,210.21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173,879,897.85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43,640,053.80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45,634,945.35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39,343,450.63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65,736,771.49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86,889,982.20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86,647,897.93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73,504,675.63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109,699,435.35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-32.99%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99,215,277.90</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归属于上市公司普通股股东的 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67,613,135.05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97,101,627.40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86,252,371.54</w:t>
            </w: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归属于上市公司普通股股东的 扣除非经常性损益后的净利润 （元）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66,939,778.32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85,871,699.57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79,690,922.75</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20" w:line="240" w:lineRule="auto"/>
              <w:ind w:left="0" w:right="0" w:firstLine="0"/>
              <w:jc w:val="left"/>
              <w:rPr>
                <w:sz w:val="18"/>
                <w:szCs w:val="18"/>
              </w:rPr>
            </w:pPr>
            <w:r>
              <w:rPr>
                <w:color w:val="000000"/>
                <w:spacing w:val="0"/>
                <w:w w:val="100"/>
                <w:position w:val="0"/>
                <w:sz w:val="18"/>
                <w:szCs w:val="18"/>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43,031,250.37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39,728,460.89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42,062,156.84</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每股经营活动产生的现金流量 净额（元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0.3844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-29.79%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-29.79%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color w:val="000000"/>
                <w:spacing w:val="0"/>
                <w:w w:val="100"/>
                <w:position w:val="0"/>
                <w:sz w:val="18"/>
                <w:szCs w:val="18"/>
              </w:rPr>
              <w:t>扣除非经常性损益后的加权平</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年末</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本年末比上年末增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期末总股本（股）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206,700,000.00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103,350,000.00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103,350,000.00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804,114,580.06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799,515,642.77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755,996,433.02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43,095,897.16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54,435,094.92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56,342,512.57</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归属于上市公司普通股股东的 所有者权益（元）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761,018,682.90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745,080,547.85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699,653,920.45</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归属于上市公司普通股股东的 每股净资产（元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3.6818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7.2093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6.7698</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bl>
    <w:p>
      <w:pPr>
        <w:pStyle w:val="Style30"/>
        <w:keepNext w:val="0"/>
        <w:keepLines w:val="0"/>
        <w:widowControl w:val="0"/>
        <w:shd w:val="clear" w:color="auto" w:fill="auto"/>
        <w:bidi w:val="0"/>
        <w:spacing w:before="0" w:after="280"/>
        <w:ind w:left="0" w:right="0" w:firstLine="0"/>
        <w:jc w:val="both"/>
      </w:pPr>
      <w:r>
        <w:rPr>
          <w:color w:val="000000"/>
          <w:spacing w:val="0"/>
          <w:w w:val="100"/>
          <w:position w:val="0"/>
        </w:rPr>
        <w:t>注：①</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日，公司实施了每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股的</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年度资本公积金转增股本方案，根据《企业会计准则第 </w:t>
      </w:r>
      <w:r>
        <w:rPr>
          <w:rFonts w:ascii="Times New Roman" w:eastAsia="Times New Roman" w:hAnsi="Times New Roman" w:cs="Times New Roman"/>
          <w:color w:val="000000"/>
          <w:spacing w:val="0"/>
          <w:w w:val="100"/>
          <w:position w:val="0"/>
        </w:rPr>
        <w:t>34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每股收益》以及《公开发行证券的公司信息披露编报规则第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color w:val="000000"/>
          <w:spacing w:val="0"/>
          <w:w w:val="100"/>
          <w:position w:val="0"/>
        </w:rPr>
        <w:t>一</w:t>
      </w:r>
      <w:r>
        <w:rPr>
          <w:color w:val="000000"/>
          <w:spacing w:val="0"/>
          <w:w w:val="100"/>
          <w:position w:val="0"/>
        </w:rPr>
        <w:t>净资产收益率和每股收益的计算及披露》（</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年修订）的相关规定，用调整后的股份数重新计算并列报最近三年的基本每股收益和稀释每股收益。</w:t>
      </w:r>
    </w:p>
    <w:p>
      <w:pPr>
        <w:pStyle w:val="Style30"/>
        <w:keepNext w:val="0"/>
        <w:keepLines w:val="0"/>
        <w:widowControl w:val="0"/>
        <w:shd w:val="clear" w:color="auto" w:fill="auto"/>
        <w:bidi w:val="0"/>
        <w:spacing w:before="0" w:after="360"/>
        <w:ind w:left="0" w:right="0" w:firstLine="0"/>
        <w:jc w:val="both"/>
      </w:pPr>
      <w:r>
        <w:rPr>
          <w:color w:val="000000"/>
          <w:spacing w:val="0"/>
          <w:w w:val="100"/>
          <w:position w:val="0"/>
        </w:rPr>
        <w:t>②</w:t>
      </w:r>
      <w:r>
        <w:rPr>
          <w:rFonts w:ascii="Times New Roman" w:eastAsia="Times New Roman" w:hAnsi="Times New Roman" w:cs="Times New Roman"/>
          <w:color w:val="000000"/>
          <w:spacing w:val="0"/>
          <w:w w:val="100"/>
          <w:position w:val="0"/>
        </w:rPr>
        <w:t>2012</w:t>
      </w:r>
      <w:r>
        <w:rPr>
          <w:color w:val="000000"/>
          <w:spacing w:val="0"/>
          <w:w w:val="100"/>
          <w:position w:val="0"/>
        </w:rPr>
        <w:t>年每股经营活动产生的现金流量净额、归属于上市公司普通股股东的每股净资产是按照当年末股本</w:t>
      </w:r>
      <w:r>
        <w:rPr>
          <w:rFonts w:ascii="Times New Roman" w:eastAsia="Times New Roman" w:hAnsi="Times New Roman" w:cs="Times New Roman"/>
          <w:color w:val="000000"/>
          <w:spacing w:val="0"/>
          <w:w w:val="100"/>
          <w:position w:val="0"/>
        </w:rPr>
        <w:t>10335</w:t>
      </w:r>
      <w:r>
        <w:rPr>
          <w:color w:val="000000"/>
          <w:spacing w:val="0"/>
          <w:w w:val="100"/>
          <w:position w:val="0"/>
        </w:rPr>
        <w:t>万股计算。</w:t>
      </w:r>
    </w:p>
    <w:p>
      <w:pPr>
        <w:pStyle w:val="Style25"/>
        <w:keepNext/>
        <w:keepLines/>
        <w:widowControl w:val="0"/>
        <w:shd w:val="clear" w:color="auto" w:fill="auto"/>
        <w:bidi w:val="0"/>
        <w:spacing w:before="0" w:after="36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sz w:val="24"/>
          <w:szCs w:val="24"/>
        </w:rPr>
        <w:t>二</w:t>
      </w:r>
      <w:bookmarkEnd w:id="54"/>
      <w:r>
        <w:rPr>
          <w:color w:val="000000"/>
          <w:spacing w:val="0"/>
          <w:w w:val="100"/>
          <w:position w:val="0"/>
          <w:sz w:val="24"/>
          <w:szCs w:val="24"/>
        </w:rPr>
        <w:t>、非经常性损益的项目及金额</w:t>
      </w:r>
      <w:bookmarkEnd w:id="52"/>
      <w:bookmarkEnd w:id="53"/>
      <w:bookmarkEnd w:id="5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非流动资产处置损益（包括已计提资产 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121,858.45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138,839.96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-5,777.61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13,532,922.00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7,587,119.00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-38,746.60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-458,207.51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-18,025.42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125,755.12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1,983,626.62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1,001,867.18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673,356.73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11,229,927.83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6,561,448.79</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sz w:val="24"/>
          <w:szCs w:val="24"/>
        </w:rPr>
        <w:t>三</w:t>
      </w:r>
      <w:bookmarkEnd w:id="58"/>
      <w:r>
        <w:rPr>
          <w:color w:val="000000"/>
          <w:spacing w:val="0"/>
          <w:w w:val="100"/>
          <w:position w:val="0"/>
          <w:sz w:val="24"/>
          <w:szCs w:val="24"/>
        </w:rPr>
        <w:t>、重大风险提示</w:t>
      </w:r>
      <w:bookmarkEnd w:id="56"/>
      <w:bookmarkEnd w:id="57"/>
      <w:bookmarkEnd w:id="59"/>
    </w:p>
    <w:p>
      <w:pPr>
        <w:pStyle w:val="Style27"/>
        <w:keepNext w:val="0"/>
        <w:keepLines w:val="0"/>
        <w:widowControl w:val="0"/>
        <w:shd w:val="clear" w:color="auto" w:fill="auto"/>
        <w:tabs>
          <w:tab w:pos="794" w:val="left"/>
        </w:tabs>
        <w:bidi w:val="0"/>
        <w:spacing w:before="0" w:after="0" w:line="440" w:lineRule="exact"/>
        <w:ind w:left="0" w:right="0" w:firstLine="440"/>
        <w:jc w:val="both"/>
      </w:pPr>
      <w:bookmarkStart w:id="60" w:name="bookmark60"/>
      <w:r>
        <w:rPr>
          <w:color w:val="000000"/>
          <w:spacing w:val="0"/>
          <w:w w:val="100"/>
          <w:position w:val="0"/>
        </w:rPr>
        <w:t>1</w:t>
      </w:r>
      <w:bookmarkEnd w:id="60"/>
      <w:r>
        <w:rPr>
          <w:color w:val="000000"/>
          <w:spacing w:val="0"/>
          <w:w w:val="100"/>
          <w:position w:val="0"/>
        </w:rPr>
        <w:t>、</w:t>
        <w:tab/>
        <w:t>并购重组对象业绩承诺及补偿能否实现的风险</w:t>
      </w:r>
    </w:p>
    <w:p>
      <w:pPr>
        <w:pStyle w:val="Style27"/>
        <w:keepNext w:val="0"/>
        <w:keepLines w:val="0"/>
        <w:widowControl w:val="0"/>
        <w:shd w:val="clear" w:color="auto" w:fill="auto"/>
        <w:bidi w:val="0"/>
        <w:spacing w:before="0" w:after="0" w:line="440" w:lineRule="exact"/>
        <w:ind w:left="0" w:right="0" w:firstLine="440"/>
        <w:jc w:val="both"/>
      </w:pPr>
      <w:r>
        <w:rPr>
          <w:color w:val="000000"/>
          <w:spacing w:val="0"/>
          <w:w w:val="100"/>
          <w:position w:val="0"/>
        </w:rPr>
        <w:t>报告期末，公司发行股份购买富华宇祺股东资产，已经获得中国证监会批准。至本报告出具之日，相 关重组工作，已经基本完成。未来，如果经济环境严重恶化或富华宇祺遭遇经营困境，造成实际净利润达 不到承诺金额，交易对方将承担现金或资产补偿的义务。若富华宇祺发生巨额亏损（该情况发生的可能性 较小），则可能存在以交易对方个人现金和股份仍无法完全进行补偿的情况，为此双方约定以交易对方个 人合法财产承担不可撤销的连带责任，但是极端情况下仍然存在未来损失无法追偿的可能性。</w:t>
      </w:r>
    </w:p>
    <w:p>
      <w:pPr>
        <w:pStyle w:val="Style27"/>
        <w:keepNext w:val="0"/>
        <w:keepLines w:val="0"/>
        <w:widowControl w:val="0"/>
        <w:shd w:val="clear" w:color="auto" w:fill="auto"/>
        <w:tabs>
          <w:tab w:pos="808" w:val="left"/>
        </w:tabs>
        <w:bidi w:val="0"/>
        <w:spacing w:before="0" w:after="0" w:line="440" w:lineRule="exact"/>
        <w:ind w:left="0" w:right="0" w:firstLine="440"/>
        <w:jc w:val="both"/>
      </w:pPr>
      <w:bookmarkStart w:id="61" w:name="bookmark61"/>
      <w:r>
        <w:rPr>
          <w:color w:val="000000"/>
          <w:spacing w:val="0"/>
          <w:w w:val="100"/>
          <w:position w:val="0"/>
        </w:rPr>
        <w:t>2</w:t>
      </w:r>
      <w:bookmarkEnd w:id="61"/>
      <w:r>
        <w:rPr>
          <w:color w:val="000000"/>
          <w:spacing w:val="0"/>
          <w:w w:val="100"/>
          <w:position w:val="0"/>
        </w:rPr>
        <w:t>、</w:t>
        <w:tab/>
        <w:t>并购重组交易完成后的整合风险</w:t>
      </w:r>
    </w:p>
    <w:p>
      <w:pPr>
        <w:pStyle w:val="Style27"/>
        <w:keepNext w:val="0"/>
        <w:keepLines w:val="0"/>
        <w:widowControl w:val="0"/>
        <w:shd w:val="clear" w:color="auto" w:fill="auto"/>
        <w:bidi w:val="0"/>
        <w:spacing w:before="0" w:after="0" w:line="440" w:lineRule="exact"/>
        <w:ind w:left="0" w:right="0" w:firstLine="440"/>
        <w:jc w:val="both"/>
      </w:pPr>
      <w:r>
        <w:rPr>
          <w:color w:val="000000"/>
          <w:spacing w:val="0"/>
          <w:w w:val="100"/>
          <w:position w:val="0"/>
        </w:rPr>
        <w:t>通过并购重组，富华宇祺成为尤洛卡的控股子公司。双方合并的目的是发挥协同效应，尤洛卡和富华 宇祺需在企业文化、管理模式、业务发展等多个方面进行融合，尤洛卡和富华宇祺之间能否顺利实现整合 具有不确定性，若未能有效融合协同，可能会对富华宇祺的经营造成负面影响，从而给上市公司及股东利 益带来整合风险。</w:t>
      </w:r>
    </w:p>
    <w:p>
      <w:pPr>
        <w:pStyle w:val="Style27"/>
        <w:keepNext w:val="0"/>
        <w:keepLines w:val="0"/>
        <w:widowControl w:val="0"/>
        <w:shd w:val="clear" w:color="auto" w:fill="auto"/>
        <w:tabs>
          <w:tab w:pos="808" w:val="left"/>
        </w:tabs>
        <w:bidi w:val="0"/>
        <w:spacing w:before="0" w:after="0" w:line="440" w:lineRule="exact"/>
        <w:ind w:left="0" w:right="0" w:firstLine="440"/>
        <w:jc w:val="both"/>
      </w:pPr>
      <w:bookmarkStart w:id="62" w:name="bookmark62"/>
      <w:r>
        <w:rPr>
          <w:color w:val="000000"/>
          <w:spacing w:val="0"/>
          <w:w w:val="100"/>
          <w:position w:val="0"/>
        </w:rPr>
        <w:t>3</w:t>
      </w:r>
      <w:bookmarkEnd w:id="62"/>
      <w:r>
        <w:rPr>
          <w:color w:val="000000"/>
          <w:spacing w:val="0"/>
          <w:w w:val="100"/>
          <w:position w:val="0"/>
        </w:rPr>
        <w:t>、</w:t>
        <w:tab/>
        <w:t>外部形势及行业风险</w:t>
      </w:r>
    </w:p>
    <w:p>
      <w:pPr>
        <w:pStyle w:val="Style27"/>
        <w:keepNext w:val="0"/>
        <w:keepLines w:val="0"/>
        <w:widowControl w:val="0"/>
        <w:shd w:val="clear" w:color="auto" w:fill="auto"/>
        <w:bidi w:val="0"/>
        <w:spacing w:before="0" w:after="0" w:line="440" w:lineRule="exact"/>
        <w:ind w:left="0" w:right="0" w:firstLine="440"/>
        <w:jc w:val="both"/>
      </w:pPr>
      <w:r>
        <w:rPr>
          <w:color w:val="000000"/>
          <w:spacing w:val="0"/>
          <w:w w:val="100"/>
          <w:position w:val="0"/>
        </w:rPr>
        <w:t xml:space="preserve">国际国内经济形势及公司所处煤炭行业形势，是否好转，仍将是尤洛卡公司面临的第一大风险。2013 年，煤炭市场的“黄金十年”彻底终结，煤炭价格回落，企业利润大幅下滑，环保压力增大、能源结构调 </w:t>
      </w:r>
      <w:r>
        <w:rPr>
          <w:color w:val="000000"/>
          <w:spacing w:val="0"/>
          <w:w w:val="100"/>
          <w:position w:val="0"/>
        </w:rPr>
        <w:t>整、进口煤冲击以及煤炭价格低迷，造成全行业普遍经营困难。2014年此种形势如果持续，作为目前主要 为煤矿企业提供产品和服务的尤洛卡公司，生产经营仍将受到影响。</w:t>
      </w:r>
    </w:p>
    <w:p>
      <w:pPr>
        <w:pStyle w:val="Style27"/>
        <w:keepNext w:val="0"/>
        <w:keepLines w:val="0"/>
        <w:widowControl w:val="0"/>
        <w:shd w:val="clear" w:color="auto" w:fill="auto"/>
        <w:bidi w:val="0"/>
        <w:spacing w:before="0" w:after="0" w:line="442" w:lineRule="exact"/>
        <w:ind w:left="0" w:right="0" w:firstLine="420"/>
        <w:jc w:val="both"/>
      </w:pPr>
      <w:r>
        <w:rPr>
          <w:color w:val="000000"/>
          <w:spacing w:val="0"/>
          <w:w w:val="100"/>
          <w:position w:val="0"/>
        </w:rPr>
        <w:t>未来公司计划实施调结构、促转型的发展战略，一是在传统业务方面，加强研发创新，不断推出新产 品新技术，市场做细做广；二是根据公司技术、生产及资金优势，寻找合适并购重组对象，加大外延式发 展方式的比重，逐步减少对单一行业的依赖。</w:t>
      </w:r>
    </w:p>
    <w:p>
      <w:pPr>
        <w:pStyle w:val="Style27"/>
        <w:keepNext w:val="0"/>
        <w:keepLines w:val="0"/>
        <w:widowControl w:val="0"/>
        <w:shd w:val="clear" w:color="auto" w:fill="auto"/>
        <w:tabs>
          <w:tab w:pos="793" w:val="left"/>
        </w:tabs>
        <w:bidi w:val="0"/>
        <w:spacing w:before="0" w:after="0" w:line="442" w:lineRule="exact"/>
        <w:ind w:left="0" w:right="0" w:firstLine="420"/>
        <w:jc w:val="both"/>
      </w:pPr>
      <w:bookmarkStart w:id="63" w:name="bookmark63"/>
      <w:r>
        <w:rPr>
          <w:color w:val="000000"/>
          <w:spacing w:val="0"/>
          <w:w w:val="100"/>
          <w:position w:val="0"/>
        </w:rPr>
        <w:t>4</w:t>
      </w:r>
      <w:bookmarkEnd w:id="63"/>
      <w:r>
        <w:rPr>
          <w:color w:val="000000"/>
          <w:spacing w:val="0"/>
          <w:w w:val="100"/>
          <w:position w:val="0"/>
        </w:rPr>
        <w:t>、</w:t>
        <w:tab/>
        <w:t>并购重组交易形成的商誉可能影响尤洛卡未来业绩及财务指标的风险</w:t>
      </w:r>
    </w:p>
    <w:p>
      <w:pPr>
        <w:pStyle w:val="Style27"/>
        <w:keepNext w:val="0"/>
        <w:keepLines w:val="0"/>
        <w:widowControl w:val="0"/>
        <w:shd w:val="clear" w:color="auto" w:fill="auto"/>
        <w:bidi w:val="0"/>
        <w:spacing w:before="0" w:after="0" w:line="442" w:lineRule="exact"/>
        <w:ind w:left="0" w:right="0" w:firstLine="420"/>
        <w:jc w:val="both"/>
      </w:pPr>
      <w:r>
        <w:rPr>
          <w:color w:val="000000"/>
          <w:spacing w:val="0"/>
          <w:w w:val="100"/>
          <w:position w:val="0"/>
        </w:rPr>
        <w:t>并购重组完成后，在上市公司合并资产负债表中将形成较高金额的商誉。根据《企业会计准则》规定, 发行股份购买资产形成的商誉不作摊销处理，但需在未来每年年度终了进行减值测试。如果富华宇祺未来 经营状况恶化，则存在商誉减值的风险，从而对尤洛卡当期损益造成较大不利影响，提请投资者注意。</w:t>
      </w:r>
    </w:p>
    <w:p>
      <w:pPr>
        <w:pStyle w:val="Style27"/>
        <w:keepNext w:val="0"/>
        <w:keepLines w:val="0"/>
        <w:widowControl w:val="0"/>
        <w:shd w:val="clear" w:color="auto" w:fill="auto"/>
        <w:tabs>
          <w:tab w:pos="793" w:val="left"/>
        </w:tabs>
        <w:bidi w:val="0"/>
        <w:spacing w:before="0" w:after="0" w:line="442" w:lineRule="exact"/>
        <w:ind w:left="0" w:right="0" w:firstLine="420"/>
        <w:jc w:val="both"/>
      </w:pPr>
      <w:bookmarkStart w:id="64" w:name="bookmark64"/>
      <w:r>
        <w:rPr>
          <w:color w:val="000000"/>
          <w:spacing w:val="0"/>
          <w:w w:val="100"/>
          <w:position w:val="0"/>
        </w:rPr>
        <w:t>5</w:t>
      </w:r>
      <w:bookmarkEnd w:id="64"/>
      <w:r>
        <w:rPr>
          <w:color w:val="000000"/>
          <w:spacing w:val="0"/>
          <w:w w:val="100"/>
          <w:position w:val="0"/>
        </w:rPr>
        <w:t>、</w:t>
        <w:tab/>
        <w:t>超募项目风险</w:t>
      </w:r>
    </w:p>
    <w:p>
      <w:pPr>
        <w:pStyle w:val="Style27"/>
        <w:keepNext w:val="0"/>
        <w:keepLines w:val="0"/>
        <w:widowControl w:val="0"/>
        <w:shd w:val="clear" w:color="auto" w:fill="auto"/>
        <w:bidi w:val="0"/>
        <w:spacing w:before="0" w:after="0" w:line="442" w:lineRule="exact"/>
        <w:ind w:left="0" w:right="0" w:firstLine="420"/>
        <w:jc w:val="both"/>
      </w:pPr>
      <w:r>
        <w:rPr>
          <w:color w:val="000000"/>
          <w:spacing w:val="0"/>
          <w:w w:val="100"/>
          <w:position w:val="0"/>
        </w:rPr>
        <w:t>国家政策、国际国内经济形势、市场及其它不可预见因素的变化，有可能对公司正在进行中的超募项 目预期收益造成影响。</w:t>
      </w:r>
    </w:p>
    <w:p>
      <w:pPr>
        <w:pStyle w:val="Style27"/>
        <w:keepNext w:val="0"/>
        <w:keepLines w:val="0"/>
        <w:widowControl w:val="0"/>
        <w:shd w:val="clear" w:color="auto" w:fill="auto"/>
        <w:bidi w:val="0"/>
        <w:spacing w:before="0" w:after="0" w:line="442" w:lineRule="exact"/>
        <w:ind w:left="0" w:right="0" w:firstLine="420"/>
        <w:jc w:val="both"/>
        <w:sectPr>
          <w:footnotePr>
            <w:pos w:val="pageBottom"/>
            <w:numFmt w:val="decimal"/>
            <w:numRestart w:val="continuous"/>
          </w:footnotePr>
          <w:pgSz w:w="11900" w:h="16840"/>
          <w:pgMar w:top="1383" w:right="1068" w:bottom="1445" w:left="1049" w:header="0" w:footer="3" w:gutter="0"/>
          <w:cols w:space="720"/>
          <w:noEndnote/>
          <w:rtlGutter w:val="0"/>
          <w:docGrid w:linePitch="360"/>
        </w:sectPr>
      </w:pPr>
      <w:r>
        <w:rPr>
          <w:color w:val="000000"/>
          <w:spacing w:val="0"/>
          <w:w w:val="100"/>
          <w:position w:val="0"/>
        </w:rPr>
        <w:t>公司将对以上因素，持续进行关注和分析，及时采取相应应对措施，确保项目顺利完成，产生收益。</w:t>
      </w:r>
    </w:p>
    <w:p>
      <w:pPr>
        <w:pStyle w:val="Style10"/>
        <w:keepNext/>
        <w:keepLines/>
        <w:widowControl w:val="0"/>
        <w:shd w:val="clear" w:color="auto" w:fill="auto"/>
        <w:bidi w:val="0"/>
        <w:spacing w:before="600" w:after="520" w:line="240" w:lineRule="auto"/>
        <w:ind w:left="0" w:right="0" w:firstLine="0"/>
        <w:jc w:val="center"/>
      </w:pPr>
      <w:bookmarkStart w:id="65" w:name="bookmark65"/>
      <w:bookmarkStart w:id="66" w:name="bookmark66"/>
      <w:bookmarkStart w:id="67" w:name="bookmark67"/>
      <w:r>
        <w:rPr>
          <w:color w:val="000000"/>
          <w:spacing w:val="0"/>
          <w:w w:val="100"/>
          <w:position w:val="0"/>
        </w:rPr>
        <w:t>第四节董事会报告</w:t>
      </w:r>
      <w:bookmarkEnd w:id="65"/>
      <w:bookmarkEnd w:id="66"/>
      <w:bookmarkEnd w:id="67"/>
    </w:p>
    <w:p>
      <w:pPr>
        <w:pStyle w:val="Style25"/>
        <w:keepNext/>
        <w:keepLines/>
        <w:widowControl w:val="0"/>
        <w:shd w:val="clear" w:color="auto" w:fill="auto"/>
        <w:bidi w:val="0"/>
        <w:spacing w:before="0" w:after="1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、管理层讨论与分析</w:t>
      </w:r>
      <w:bookmarkEnd w:id="68"/>
      <w:bookmarkEnd w:id="69"/>
      <w:bookmarkEnd w:id="71"/>
    </w:p>
    <w:p>
      <w:pPr>
        <w:pStyle w:val="Style36"/>
        <w:keepNext/>
        <w:keepLines/>
        <w:widowControl w:val="0"/>
        <w:shd w:val="clear" w:color="auto" w:fill="auto"/>
        <w:bidi w:val="0"/>
        <w:spacing w:before="0" w:after="260" w:line="442" w:lineRule="exact"/>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、报告期内主要业务回顾</w:t>
      </w:r>
      <w:bookmarkEnd w:id="72"/>
      <w:bookmarkEnd w:id="73"/>
      <w:bookmarkEnd w:id="75"/>
    </w:p>
    <w:p>
      <w:pPr>
        <w:pStyle w:val="Style27"/>
        <w:keepNext w:val="0"/>
        <w:keepLines w:val="0"/>
        <w:widowControl w:val="0"/>
        <w:shd w:val="clear" w:color="auto" w:fill="auto"/>
        <w:bidi w:val="0"/>
        <w:spacing w:before="0" w:after="0" w:line="442" w:lineRule="exact"/>
        <w:ind w:left="0" w:right="0" w:firstLine="420"/>
        <w:jc w:val="left"/>
      </w:pPr>
      <w:r>
        <w:rPr>
          <w:color w:val="000000"/>
          <w:spacing w:val="0"/>
          <w:w w:val="100"/>
          <w:position w:val="0"/>
        </w:rPr>
        <w:t>报告期内全国煤炭市场继续呈现总量宽松，结构性过剩态势，市场需求增幅回落、产能建设超前、进 口煤影响范围扩大和煤炭企业税费负担多重因素叠加影响下，煤炭行业经济效益大幅下降，行业利润同比 下降40%以上；企业亏损面扩大，达到空前的50%以上，多数老矿区煤炭企业经营困难的问题十分突出。尤 洛卡公司行业结合度非常高，煤炭行业的严峻形势，对公司生产经营造成了极大冲击，2013年成为尤洛卡 公司发展历史上最为艰难的一年。</w:t>
      </w:r>
    </w:p>
    <w:p>
      <w:pPr>
        <w:pStyle w:val="Style27"/>
        <w:keepNext w:val="0"/>
        <w:keepLines w:val="0"/>
        <w:widowControl w:val="0"/>
        <w:shd w:val="clear" w:color="auto" w:fill="auto"/>
        <w:bidi w:val="0"/>
        <w:spacing w:before="0" w:after="0" w:line="442" w:lineRule="exact"/>
        <w:ind w:left="0" w:right="0" w:firstLine="420"/>
        <w:jc w:val="left"/>
      </w:pPr>
      <w:r>
        <w:rPr>
          <w:color w:val="000000"/>
          <w:spacing w:val="0"/>
          <w:w w:val="100"/>
          <w:position w:val="0"/>
        </w:rPr>
        <w:t>2013年，面对如此恶劣的行业形势，公司号召，树立信心，鼓舞干劲，多方面做工作，积极应对。确 定主要业务工作重点：一是巩固原有传统业务，积极应对行业形势的冲击，确保受行业形势影响降低到最 小。二是着手实施调结构、促转型战略，在外延式发展方面做文章，培植新的利润源泉。</w:t>
      </w:r>
    </w:p>
    <w:p>
      <w:pPr>
        <w:pStyle w:val="Style27"/>
        <w:keepNext w:val="0"/>
        <w:keepLines w:val="0"/>
        <w:widowControl w:val="0"/>
        <w:shd w:val="clear" w:color="auto" w:fill="auto"/>
        <w:bidi w:val="0"/>
        <w:spacing w:before="0" w:after="0" w:line="442" w:lineRule="exact"/>
        <w:ind w:left="0" w:right="0" w:firstLine="420"/>
        <w:jc w:val="left"/>
      </w:pPr>
      <w:r>
        <w:rPr>
          <w:color w:val="000000"/>
          <w:spacing w:val="0"/>
          <w:w w:val="100"/>
          <w:position w:val="0"/>
        </w:rPr>
        <w:t>2013年，公司在全体员工共同努力下，主营业务基本保持了平稳发展，但经济效益受行业影响有所下 滑，毛利率仍维持在75%左右。本年度公司主营业务未发生变化，继续为矿山企业安全生产提供产品和服 务，主要产品在顶板监测系统基础上，增加了矿用乳化液自动配比及反冲洗装置等超募项目产品。在本领 域内，依然占据龙头地位，市场占有率第一名。</w:t>
      </w:r>
    </w:p>
    <w:p>
      <w:pPr>
        <w:pStyle w:val="Style27"/>
        <w:keepNext w:val="0"/>
        <w:keepLines w:val="0"/>
        <w:widowControl w:val="0"/>
        <w:shd w:val="clear" w:color="auto" w:fill="auto"/>
        <w:bidi w:val="0"/>
        <w:spacing w:before="0" w:after="0" w:line="442" w:lineRule="exact"/>
        <w:ind w:left="0" w:right="0" w:firstLine="420"/>
        <w:jc w:val="left"/>
      </w:pPr>
      <w:r>
        <w:rPr>
          <w:color w:val="000000"/>
          <w:spacing w:val="0"/>
          <w:w w:val="100"/>
          <w:position w:val="0"/>
        </w:rPr>
        <w:t>本年度实现营业收入为</w:t>
      </w:r>
      <w:r>
        <w:rPr>
          <w:color w:val="000000"/>
          <w:spacing w:val="0"/>
          <w:w w:val="100"/>
          <w:position w:val="0"/>
        </w:rPr>
        <w:t>173,864,168.55</w:t>
      </w:r>
      <w:r>
        <w:rPr>
          <w:color w:val="000000"/>
          <w:spacing w:val="0"/>
          <w:w w:val="100"/>
          <w:position w:val="0"/>
        </w:rPr>
        <w:t>元，同比下滑10.84%；实现营业利润</w:t>
      </w:r>
      <w:r>
        <w:rPr>
          <w:color w:val="000000"/>
          <w:spacing w:val="0"/>
          <w:w w:val="100"/>
          <w:position w:val="0"/>
        </w:rPr>
        <w:t xml:space="preserve">65,736,771. </w:t>
      </w:r>
      <w:r>
        <w:rPr>
          <w:color w:val="000000"/>
          <w:spacing w:val="0"/>
          <w:w w:val="100"/>
          <w:position w:val="0"/>
        </w:rPr>
        <w:t>49元，较上 年同期下降24.34%；实现归属于上市公司股东的净利润</w:t>
      </w:r>
      <w:r>
        <w:rPr>
          <w:color w:val="000000"/>
          <w:spacing w:val="0"/>
          <w:w w:val="100"/>
          <w:position w:val="0"/>
        </w:rPr>
        <w:t xml:space="preserve">67,613,135. </w:t>
      </w:r>
      <w:r>
        <w:rPr>
          <w:color w:val="000000"/>
          <w:spacing w:val="0"/>
          <w:w w:val="100"/>
          <w:position w:val="0"/>
        </w:rPr>
        <w:t>05元，较上年同期下降</w:t>
      </w:r>
      <w:r>
        <w:rPr>
          <w:color w:val="000000"/>
          <w:spacing w:val="0"/>
          <w:w w:val="100"/>
          <w:position w:val="0"/>
        </w:rPr>
        <w:t xml:space="preserve">30. </w:t>
      </w:r>
      <w:r>
        <w:rPr>
          <w:color w:val="000000"/>
          <w:spacing w:val="0"/>
          <w:w w:val="100"/>
          <w:position w:val="0"/>
        </w:rPr>
        <w:t xml:space="preserve">37%。至2013 年末，总资产804,114 </w:t>
      </w:r>
      <w:r>
        <w:rPr>
          <w:color w:val="000000"/>
          <w:spacing w:val="0"/>
          <w:w w:val="100"/>
          <w:position w:val="0"/>
        </w:rPr>
        <w:t>,580.06</w:t>
      </w:r>
      <w:r>
        <w:rPr>
          <w:color w:val="000000"/>
          <w:spacing w:val="0"/>
          <w:w w:val="100"/>
          <w:position w:val="0"/>
        </w:rPr>
        <w:t>元，同比增长0.58%，股东权益</w:t>
      </w:r>
      <w:r>
        <w:rPr>
          <w:color w:val="000000"/>
          <w:spacing w:val="0"/>
          <w:w w:val="100"/>
          <w:position w:val="0"/>
        </w:rPr>
        <w:t>761,018,682.90</w:t>
      </w:r>
      <w:r>
        <w:rPr>
          <w:color w:val="000000"/>
          <w:spacing w:val="0"/>
          <w:w w:val="100"/>
          <w:position w:val="0"/>
        </w:rPr>
        <w:t>元，同比增长2.14%。资产 负债率5.36%，经营活动产生的现金流量净额为</w:t>
      </w:r>
      <w:r>
        <w:rPr>
          <w:color w:val="000000"/>
          <w:spacing w:val="0"/>
          <w:w w:val="100"/>
          <w:position w:val="0"/>
        </w:rPr>
        <w:t>43,031,250.3</w:t>
      </w:r>
      <w:r>
        <w:rPr>
          <w:color w:val="000000"/>
          <w:spacing w:val="0"/>
          <w:w w:val="100"/>
          <w:position w:val="0"/>
        </w:rPr>
        <w:t>7元，较上年增长8.31%。公司资产质量良好， 财务状况及运营情况健康，现金情况良好。报告期，除行业形势影响外，营业外收入大幅度减少、募集资 金存款利息收入减少、提高现金销售方式占比等原因，造成公司实现归属于母公司的经济效益比上年同期 有所下降，其中营业外收入（政府补助）同比大幅度减少是造成净利润下降最主要因素。虽然业绩下滑有 客观上的诸多原因，但公司经理班子仍要为第一次收入没增长、没达到投资者的期望而表示歉意。</w:t>
      </w:r>
    </w:p>
    <w:p>
      <w:pPr>
        <w:pStyle w:val="Style27"/>
        <w:keepNext w:val="0"/>
        <w:keepLines w:val="0"/>
        <w:widowControl w:val="0"/>
        <w:shd w:val="clear" w:color="auto" w:fill="auto"/>
        <w:bidi w:val="0"/>
        <w:spacing w:before="0" w:after="0" w:line="442" w:lineRule="exact"/>
        <w:ind w:left="0" w:right="0" w:firstLine="420"/>
        <w:jc w:val="both"/>
      </w:pPr>
      <w:r>
        <w:rPr>
          <w:color w:val="000000"/>
          <w:spacing w:val="0"/>
          <w:w w:val="100"/>
          <w:position w:val="0"/>
        </w:rPr>
        <w:t>围绕业务工作重点，2013年具体在以下方面开展了工作：</w:t>
      </w:r>
    </w:p>
    <w:p>
      <w:pPr>
        <w:pStyle w:val="Style27"/>
        <w:keepNext w:val="0"/>
        <w:keepLines w:val="0"/>
        <w:widowControl w:val="0"/>
        <w:shd w:val="clear" w:color="auto" w:fill="auto"/>
        <w:bidi w:val="0"/>
        <w:spacing w:before="0" w:after="0" w:line="439" w:lineRule="exact"/>
        <w:ind w:left="0" w:right="0" w:firstLine="420"/>
        <w:jc w:val="both"/>
      </w:pPr>
      <w:bookmarkStart w:id="76" w:name="bookmark76"/>
      <w:r>
        <w:rPr>
          <w:color w:val="000000"/>
          <w:spacing w:val="0"/>
          <w:w w:val="100"/>
          <w:position w:val="0"/>
        </w:rPr>
        <w:t>（</w:t>
      </w:r>
      <w:bookmarkEnd w:id="76"/>
      <w:r>
        <w:rPr>
          <w:color w:val="000000"/>
          <w:spacing w:val="0"/>
          <w:w w:val="100"/>
          <w:position w:val="0"/>
        </w:rPr>
        <w:t>1）经营战略方面</w:t>
      </w:r>
    </w:p>
    <w:p>
      <w:pPr>
        <w:pStyle w:val="Style27"/>
        <w:keepNext w:val="0"/>
        <w:keepLines w:val="0"/>
        <w:widowControl w:val="0"/>
        <w:shd w:val="clear" w:color="auto" w:fill="auto"/>
        <w:bidi w:val="0"/>
        <w:spacing w:before="0" w:after="0" w:line="439" w:lineRule="exact"/>
        <w:ind w:left="0" w:right="0" w:firstLine="420"/>
        <w:jc w:val="both"/>
      </w:pPr>
      <w:r>
        <w:rPr>
          <w:color w:val="000000"/>
          <w:spacing w:val="0"/>
          <w:w w:val="100"/>
          <w:position w:val="0"/>
        </w:rPr>
        <w:t xml:space="preserve">公司决策层经过充分调研，认为煤炭行业在未来可见的时期，仍有发展的空间，但要经过一个重新整 合的过程，向机械化和自动化方向转型，集约化程度提高。未来，煤炭仍是最主要的能源，产量不会有大 的下降，对安全生产需求只会增加不会下降。因此，报告期内，继续坚持为矿山安全行业提供产品和服务 </w:t>
      </w:r>
      <w:r>
        <w:rPr>
          <w:color w:val="000000"/>
          <w:spacing w:val="0"/>
          <w:w w:val="100"/>
          <w:position w:val="0"/>
        </w:rPr>
        <w:t>不动摇，同时进行创新，开发新产品、新技术，以适应转型后煤矿生产的安全需求。</w:t>
      </w:r>
    </w:p>
    <w:p>
      <w:pPr>
        <w:pStyle w:val="Style27"/>
        <w:keepNext w:val="0"/>
        <w:keepLines w:val="0"/>
        <w:widowControl w:val="0"/>
        <w:shd w:val="clear" w:color="auto" w:fill="auto"/>
        <w:bidi w:val="0"/>
        <w:spacing w:before="0" w:after="0" w:line="446" w:lineRule="exact"/>
        <w:ind w:left="0" w:right="0" w:firstLine="440"/>
        <w:jc w:val="both"/>
      </w:pPr>
      <w:r>
        <w:rPr>
          <w:color w:val="000000"/>
          <w:spacing w:val="0"/>
          <w:w w:val="100"/>
          <w:position w:val="0"/>
        </w:rPr>
        <w:t>2013年，基于公司规模的扩大和投资者高回报要求，着手利用公司资金和资本市场优势，实施外延式 发展战略，通过调结构、促转型，并购重组等方式，深挖潜力，将本行业做细做专，推进“探、监、防、 治” 一体化服务；并循序渐进地向适合公司特点的行业渗透，逐步减缓对单一行业依赖风险。</w:t>
      </w:r>
    </w:p>
    <w:p>
      <w:pPr>
        <w:pStyle w:val="Style27"/>
        <w:keepNext w:val="0"/>
        <w:keepLines w:val="0"/>
        <w:widowControl w:val="0"/>
        <w:numPr>
          <w:ilvl w:val="0"/>
          <w:numId w:val="1"/>
        </w:numPr>
        <w:shd w:val="clear" w:color="auto" w:fill="auto"/>
        <w:tabs>
          <w:tab w:pos="897" w:val="left"/>
        </w:tabs>
        <w:bidi w:val="0"/>
        <w:spacing w:before="0" w:after="0" w:line="442" w:lineRule="exact"/>
        <w:ind w:left="0" w:right="0" w:firstLine="440"/>
        <w:jc w:val="both"/>
      </w:pPr>
      <w:bookmarkStart w:id="77" w:name="bookmark77"/>
      <w:bookmarkEnd w:id="77"/>
      <w:r>
        <w:rPr>
          <w:color w:val="000000"/>
          <w:spacing w:val="0"/>
          <w:w w:val="100"/>
          <w:position w:val="0"/>
        </w:rPr>
        <w:t>生产方面</w:t>
      </w:r>
    </w:p>
    <w:p>
      <w:pPr>
        <w:pStyle w:val="Style27"/>
        <w:keepNext w:val="0"/>
        <w:keepLines w:val="0"/>
        <w:widowControl w:val="0"/>
        <w:numPr>
          <w:ilvl w:val="0"/>
          <w:numId w:val="3"/>
        </w:numPr>
        <w:shd w:val="clear" w:color="auto" w:fill="auto"/>
        <w:tabs>
          <w:tab w:pos="801" w:val="left"/>
        </w:tabs>
        <w:bidi w:val="0"/>
        <w:spacing w:before="0" w:after="0" w:line="442" w:lineRule="exact"/>
        <w:ind w:left="0" w:right="0" w:firstLine="440"/>
        <w:jc w:val="both"/>
      </w:pPr>
      <w:bookmarkStart w:id="78" w:name="bookmark78"/>
      <w:bookmarkEnd w:id="78"/>
      <w:r>
        <w:rPr>
          <w:color w:val="000000"/>
          <w:spacing w:val="0"/>
          <w:w w:val="100"/>
          <w:position w:val="0"/>
        </w:rPr>
        <w:t>建设完成煤矿井下安全运输系统试验地和安装生产线并试生产2套样机。</w:t>
      </w:r>
    </w:p>
    <w:p>
      <w:pPr>
        <w:pStyle w:val="Style27"/>
        <w:keepNext w:val="0"/>
        <w:keepLines w:val="0"/>
        <w:widowControl w:val="0"/>
        <w:numPr>
          <w:ilvl w:val="0"/>
          <w:numId w:val="3"/>
        </w:numPr>
        <w:shd w:val="clear" w:color="auto" w:fill="auto"/>
        <w:tabs>
          <w:tab w:pos="779" w:val="left"/>
        </w:tabs>
        <w:bidi w:val="0"/>
        <w:spacing w:before="0" w:after="0" w:line="442" w:lineRule="exact"/>
        <w:ind w:left="0" w:right="0" w:firstLine="440"/>
        <w:jc w:val="both"/>
      </w:pPr>
      <w:bookmarkStart w:id="79" w:name="bookmark79"/>
      <w:bookmarkEnd w:id="79"/>
      <w:r>
        <w:rPr>
          <w:color w:val="000000"/>
          <w:spacing w:val="0"/>
          <w:w w:val="100"/>
          <w:position w:val="0"/>
        </w:rPr>
        <w:t>公司募投项目一煤矿顶板安全监控设备扩建及技术改造项目全面完工并替代老的生产线，已经达到 预计使用状态并贡献大部分收入。</w:t>
      </w:r>
    </w:p>
    <w:p>
      <w:pPr>
        <w:pStyle w:val="Style27"/>
        <w:keepNext w:val="0"/>
        <w:keepLines w:val="0"/>
        <w:widowControl w:val="0"/>
        <w:numPr>
          <w:ilvl w:val="0"/>
          <w:numId w:val="3"/>
        </w:numPr>
        <w:shd w:val="clear" w:color="auto" w:fill="auto"/>
        <w:tabs>
          <w:tab w:pos="806" w:val="left"/>
        </w:tabs>
        <w:bidi w:val="0"/>
        <w:spacing w:before="0" w:after="0" w:line="442" w:lineRule="exact"/>
        <w:ind w:left="0" w:right="0" w:firstLine="440"/>
        <w:jc w:val="both"/>
      </w:pPr>
      <w:bookmarkStart w:id="80" w:name="bookmark80"/>
      <w:bookmarkEnd w:id="80"/>
      <w:r>
        <w:rPr>
          <w:color w:val="000000"/>
          <w:spacing w:val="0"/>
          <w:w w:val="100"/>
          <w:position w:val="0"/>
        </w:rPr>
        <w:t>引进激光切割机等先进设备，进一步提高产品质量和生产效率，降低了人工成本。</w:t>
      </w:r>
    </w:p>
    <w:p>
      <w:pPr>
        <w:pStyle w:val="Style27"/>
        <w:keepNext w:val="0"/>
        <w:keepLines w:val="0"/>
        <w:widowControl w:val="0"/>
        <w:numPr>
          <w:ilvl w:val="0"/>
          <w:numId w:val="3"/>
        </w:numPr>
        <w:shd w:val="clear" w:color="auto" w:fill="auto"/>
        <w:tabs>
          <w:tab w:pos="779" w:val="left"/>
        </w:tabs>
        <w:bidi w:val="0"/>
        <w:spacing w:before="0" w:after="0" w:line="442" w:lineRule="exact"/>
        <w:ind w:left="0" w:right="0" w:firstLine="440"/>
        <w:jc w:val="both"/>
      </w:pPr>
      <w:bookmarkStart w:id="81" w:name="bookmark81"/>
      <w:bookmarkEnd w:id="81"/>
      <w:r>
        <w:rPr>
          <w:color w:val="000000"/>
          <w:spacing w:val="0"/>
          <w:w w:val="100"/>
          <w:position w:val="0"/>
        </w:rPr>
        <w:t>革新技术、细化现场管理、加强原材料管理，精简人员，降低生产耗费；为新上的募投项目做好生 产方面的准备。</w:t>
      </w:r>
    </w:p>
    <w:p>
      <w:pPr>
        <w:pStyle w:val="Style27"/>
        <w:keepNext w:val="0"/>
        <w:keepLines w:val="0"/>
        <w:widowControl w:val="0"/>
        <w:numPr>
          <w:ilvl w:val="0"/>
          <w:numId w:val="5"/>
        </w:numPr>
        <w:shd w:val="clear" w:color="auto" w:fill="auto"/>
        <w:bidi w:val="0"/>
        <w:spacing w:before="0" w:after="0" w:line="442" w:lineRule="exact"/>
        <w:ind w:left="0" w:right="0" w:firstLine="440"/>
        <w:jc w:val="both"/>
      </w:pPr>
      <w:bookmarkStart w:id="82" w:name="bookmark82"/>
      <w:bookmarkEnd w:id="82"/>
      <w:r>
        <w:rPr>
          <w:color w:val="000000"/>
          <w:spacing w:val="0"/>
          <w:w w:val="100"/>
          <w:position w:val="0"/>
        </w:rPr>
        <w:t>公司本年度继续推行</w:t>
      </w:r>
      <w:r>
        <w:rPr>
          <w:color w:val="000000"/>
          <w:spacing w:val="0"/>
          <w:w w:val="100"/>
          <w:position w:val="0"/>
        </w:rPr>
        <w:t>6S</w:t>
      </w:r>
      <w:r>
        <w:rPr>
          <w:color w:val="000000"/>
          <w:spacing w:val="0"/>
          <w:w w:val="100"/>
          <w:position w:val="0"/>
        </w:rPr>
        <w:t>模式、融合</w:t>
      </w:r>
      <w:r>
        <w:rPr>
          <w:color w:val="000000"/>
          <w:spacing w:val="0"/>
          <w:w w:val="100"/>
          <w:position w:val="0"/>
        </w:rPr>
        <w:t>ERP</w:t>
      </w:r>
      <w:r>
        <w:rPr>
          <w:color w:val="000000"/>
          <w:spacing w:val="0"/>
          <w:w w:val="100"/>
          <w:position w:val="0"/>
        </w:rPr>
        <w:t>系统，完善生产管理制度和工作标准，整个生产系统在标准 化、精益化、规范化方面有了长足发展。</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全年，公司生产团队经过认真工作和不懈努力，配合销售和研发等部门，较好地完成了生产和试制任 务，废品率达到历史最低。</w:t>
      </w:r>
    </w:p>
    <w:p>
      <w:pPr>
        <w:pStyle w:val="Style27"/>
        <w:keepNext w:val="0"/>
        <w:keepLines w:val="0"/>
        <w:widowControl w:val="0"/>
        <w:numPr>
          <w:ilvl w:val="0"/>
          <w:numId w:val="1"/>
        </w:numPr>
        <w:shd w:val="clear" w:color="auto" w:fill="auto"/>
        <w:tabs>
          <w:tab w:pos="897" w:val="left"/>
        </w:tabs>
        <w:bidi w:val="0"/>
        <w:spacing w:before="0" w:after="0" w:line="442" w:lineRule="exact"/>
        <w:ind w:left="0" w:right="0" w:firstLine="440"/>
        <w:jc w:val="both"/>
      </w:pPr>
      <w:bookmarkStart w:id="83" w:name="bookmark83"/>
      <w:bookmarkEnd w:id="83"/>
      <w:r>
        <w:rPr>
          <w:color w:val="000000"/>
          <w:spacing w:val="0"/>
          <w:w w:val="100"/>
          <w:position w:val="0"/>
        </w:rPr>
        <w:t>销售方面</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本年度继续推进销售体系方面的改革。几年来，公司传统方式基于销售员个人自行销售，公司只是提 供产品，主导度不高；同时行业形势严峻，加之公司产品增多、技术含量提高，销售量的扩大遇到瓶颈。 为此，公司痛下决心，进行改革：改进销售组织架构，设销售总监和市场总监，建立销售大区经理制，全 国范围内设13个区；改进业务管理和绩效考核办法；由公司统一管理投标，提高中标率。强化公司在销售 方面参与度，包括在市场开拓、客户接待、管理、销售数据的统计分析等，全面加强公司对产品销售的控 制力度。自年末试推行以来，打破了销售人员单打独斗的局面，提高了公司销售能力，为以后应对恶劣的 行业困难、扩大销售量而打下坚实基础。</w:t>
      </w:r>
    </w:p>
    <w:p>
      <w:pPr>
        <w:pStyle w:val="Style27"/>
        <w:keepNext w:val="0"/>
        <w:keepLines w:val="0"/>
        <w:widowControl w:val="0"/>
        <w:numPr>
          <w:ilvl w:val="0"/>
          <w:numId w:val="1"/>
        </w:numPr>
        <w:shd w:val="clear" w:color="auto" w:fill="auto"/>
        <w:tabs>
          <w:tab w:pos="897" w:val="left"/>
        </w:tabs>
        <w:bidi w:val="0"/>
        <w:spacing w:before="0" w:after="0" w:line="442" w:lineRule="exact"/>
        <w:ind w:left="0" w:right="0" w:firstLine="440"/>
        <w:jc w:val="both"/>
      </w:pPr>
      <w:bookmarkStart w:id="84" w:name="bookmark84"/>
      <w:bookmarkEnd w:id="84"/>
      <w:r>
        <w:rPr>
          <w:color w:val="000000"/>
          <w:spacing w:val="0"/>
          <w:w w:val="100"/>
          <w:position w:val="0"/>
        </w:rPr>
        <w:t>研发方面</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研发创新关系到公司可持续发展能力，报告期一如既往地得到了坚持。2013年，继续加大投入，加强 科技人才的培养和引进。重点针对本年度立项的煤矿辅助运输系统等四个项目相关的煤矿辅助运输事故防 治、煤矿环保、智能化矿山及矿山通讯方面，引进和培养包括了相关教授、研究生等专有人才，加大技术 研发力度。在确保原有产品、技术升级改进的基础上，取得了一大批新技术、新产品。</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本年度煤矿辅助运输智能安全系统、矿井粉尘监测、降尘控制与环境评价系统、煤矿智能集成供液系 统项目、煤矿</w:t>
      </w:r>
      <w:r>
        <w:rPr>
          <w:color w:val="000000"/>
          <w:spacing w:val="0"/>
          <w:w w:val="100"/>
          <w:position w:val="0"/>
        </w:rPr>
        <w:t>3G</w:t>
      </w:r>
      <w:r>
        <w:rPr>
          <w:color w:val="000000"/>
          <w:spacing w:val="0"/>
          <w:w w:val="100"/>
          <w:position w:val="0"/>
        </w:rPr>
        <w:t>无线网络多媒体移动通讯系统技术取得重大突破，产品化工作进展迅速，不久的将来变会 为公司贡献收入。</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2013年共研发完成^一项产品，立项在研15项产品，取得近20项技术成果。安标新申办、延续及变更 申请累计5个批次，18个型号新产品取得了矿用产品安全标志证书，另有9个型号产品正在申办中。至2013 年末，我公司在有效期内的安标产品共79个型号。申请专利21项，其中发明专利9项，实用新型12项；授 权专利3项，其中发明专利1项；软件著作权及软件产品登记各3项。获得省级以上科技项目立项14项，其 中“煤矿充填开采安全监测系统深部开采矿井冲击地压多参数融合安全监测系统矿井安全生产灾 害治理新型材料”等3个项目列入《2013年安全生产重大事故防治关键技术科技项目》。公司2013年国家火 炬计划重点高新技术企业获批准，华得公司获批国家级高新技术企业。完成项目查新9项，申报2014年度 国家火炬计划和国家重点新产品各1项</w:t>
      </w:r>
    </w:p>
    <w:p>
      <w:pPr>
        <w:pStyle w:val="Style27"/>
        <w:keepNext w:val="0"/>
        <w:keepLines w:val="0"/>
        <w:widowControl w:val="0"/>
        <w:shd w:val="clear" w:color="auto" w:fill="auto"/>
        <w:tabs>
          <w:tab w:pos="868" w:val="left"/>
        </w:tabs>
        <w:bidi w:val="0"/>
        <w:spacing w:before="0" w:after="0" w:line="442" w:lineRule="exact"/>
        <w:ind w:left="0" w:right="0" w:firstLine="440"/>
        <w:jc w:val="both"/>
      </w:pPr>
      <w:bookmarkStart w:id="85" w:name="bookmark85"/>
      <w:r>
        <w:rPr>
          <w:color w:val="000000"/>
          <w:spacing w:val="0"/>
          <w:w w:val="100"/>
          <w:position w:val="0"/>
        </w:rPr>
        <w:t>（</w:t>
      </w:r>
      <w:bookmarkEnd w:id="85"/>
      <w:r>
        <w:rPr>
          <w:color w:val="000000"/>
          <w:spacing w:val="0"/>
          <w:w w:val="100"/>
          <w:position w:val="0"/>
        </w:rPr>
        <w:t>5）</w:t>
        <w:tab/>
        <w:t>募投项目方面</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报告期，公司募投项目建设顺利，均在计划内。计划募集资金项目一煤矿顶板安全监控设备扩建及技 术改造项目已经全面完成，正常投入生产，并产生经济效益。超募项目国家工程研发中心正在按计划进度 进行室内外装修，其它在收尾阶段。同时，使用超募资金新增煤矿辅助运输智能安全系统等四个项目进展 顺利，其中煤矿辅助运输智能安全系统产品已经完成样机试制，正在进行安标认证。</w:t>
      </w:r>
    </w:p>
    <w:p>
      <w:pPr>
        <w:pStyle w:val="Style27"/>
        <w:keepNext w:val="0"/>
        <w:keepLines w:val="0"/>
        <w:widowControl w:val="0"/>
        <w:shd w:val="clear" w:color="auto" w:fill="auto"/>
        <w:tabs>
          <w:tab w:pos="868" w:val="left"/>
        </w:tabs>
        <w:bidi w:val="0"/>
        <w:spacing w:before="0" w:after="0" w:line="443" w:lineRule="exact"/>
        <w:ind w:left="0" w:right="0" w:firstLine="440"/>
        <w:jc w:val="both"/>
      </w:pPr>
      <w:bookmarkStart w:id="86" w:name="bookmark86"/>
      <w:r>
        <w:rPr>
          <w:color w:val="000000"/>
          <w:spacing w:val="0"/>
          <w:w w:val="100"/>
          <w:position w:val="0"/>
        </w:rPr>
        <w:t>（</w:t>
      </w:r>
      <w:bookmarkEnd w:id="86"/>
      <w:r>
        <w:rPr>
          <w:color w:val="000000"/>
          <w:spacing w:val="0"/>
          <w:w w:val="100"/>
          <w:position w:val="0"/>
        </w:rPr>
        <w:t>6）</w:t>
        <w:tab/>
        <w:t>对北京富华宇祺信息技术有限公司进行并购重组</w:t>
      </w:r>
    </w:p>
    <w:p>
      <w:pPr>
        <w:pStyle w:val="Style27"/>
        <w:keepNext w:val="0"/>
        <w:keepLines w:val="0"/>
        <w:widowControl w:val="0"/>
        <w:shd w:val="clear" w:color="auto" w:fill="auto"/>
        <w:bidi w:val="0"/>
        <w:spacing w:before="0" w:after="0" w:line="443" w:lineRule="exact"/>
        <w:ind w:left="0" w:right="0" w:firstLine="440"/>
        <w:jc w:val="both"/>
      </w:pPr>
      <w:r>
        <w:rPr>
          <w:color w:val="000000"/>
          <w:spacing w:val="0"/>
          <w:w w:val="100"/>
          <w:position w:val="0"/>
        </w:rPr>
        <w:t>根据公司制订的调结构促转型外延式发展的战略，期内公司通过发行股份并支付现金购买北京富华宇 祺信息技术有限公司股东股权方式，实施了对富华宇祺的并购重组，2013年末，中国证监会已经批复， 本报告出具之日，重组工作已经全部完成。公司因此将业务扩大至移动矿山高端通讯领域，优化了公司业 务结构，丰富了公司的产品种类，进一步提高了公司盈利能力。</w:t>
      </w:r>
    </w:p>
    <w:p>
      <w:pPr>
        <w:pStyle w:val="Style27"/>
        <w:keepNext w:val="0"/>
        <w:keepLines w:val="0"/>
        <w:widowControl w:val="0"/>
        <w:shd w:val="clear" w:color="auto" w:fill="auto"/>
        <w:bidi w:val="0"/>
        <w:spacing w:before="0" w:after="360" w:line="443" w:lineRule="exact"/>
        <w:ind w:left="0" w:right="0" w:firstLine="440"/>
        <w:jc w:val="both"/>
      </w:pPr>
      <w:r>
        <w:rPr>
          <w:color w:val="000000"/>
          <w:spacing w:val="0"/>
          <w:w w:val="100"/>
          <w:position w:val="0"/>
        </w:rPr>
        <w:t>总之，2013年是公司处于行业严冬的一年。市场需求量急剧减小，客户安全投入计划或停或缓。公司 经营团队不等不靠，倡导外扩内缩过严冬，积极工作，在生产、销售、管理等方面尽职尽责，确保公司经 济效益没有大的下滑；创新研发及项目建设方面，工作成效显著，为今后公司发展奠定了基础。</w:t>
      </w:r>
    </w:p>
    <w:p>
      <w:pPr>
        <w:pStyle w:val="Style36"/>
        <w:keepNext/>
        <w:keepLines/>
        <w:widowControl w:val="0"/>
        <w:shd w:val="clear" w:color="auto" w:fill="auto"/>
        <w:bidi w:val="0"/>
        <w:spacing w:before="0" w:after="60" w:line="463"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、报告期内主要经营情况</w:t>
      </w:r>
      <w:bookmarkEnd w:id="87"/>
      <w:bookmarkEnd w:id="88"/>
      <w:bookmarkEnd w:id="90"/>
    </w:p>
    <w:p>
      <w:pPr>
        <w:pStyle w:val="Style36"/>
        <w:keepNext/>
        <w:keepLines/>
        <w:widowControl w:val="0"/>
        <w:shd w:val="clear" w:color="auto" w:fill="auto"/>
        <w:bidi w:val="0"/>
        <w:spacing w:before="0" w:after="480" w:line="443" w:lineRule="exact"/>
        <w:ind w:left="0" w:right="0" w:firstLine="0"/>
        <w:jc w:val="left"/>
      </w:pPr>
      <w:bookmarkStart w:id="87" w:name="bookmark87"/>
      <w:bookmarkStart w:id="88" w:name="bookmark88"/>
      <w:bookmarkStart w:id="91" w:name="bookmark91"/>
      <w:bookmarkStart w:id="92" w:name="bookmark92"/>
      <w:r>
        <w:rPr>
          <w:color w:val="000000"/>
          <w:spacing w:val="0"/>
          <w:w w:val="100"/>
          <w:position w:val="0"/>
        </w:rPr>
        <w:t>（</w:t>
      </w:r>
      <w:bookmarkEnd w:id="91"/>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87"/>
      <w:bookmarkEnd w:id="88"/>
      <w:bookmarkEnd w:id="92"/>
    </w:p>
    <w:p>
      <w:pPr>
        <w:pStyle w:val="Style27"/>
        <w:keepNext w:val="0"/>
        <w:keepLines w:val="0"/>
        <w:widowControl w:val="0"/>
        <w:shd w:val="clear" w:color="auto" w:fill="auto"/>
        <w:bidi w:val="0"/>
        <w:spacing w:before="0" w:after="0" w:line="463" w:lineRule="auto"/>
        <w:ind w:left="0" w:right="0" w:firstLine="440"/>
        <w:jc w:val="both"/>
      </w:pPr>
      <w:bookmarkStart w:id="93" w:name="bookmark93"/>
      <w:r>
        <w:rPr>
          <w:rFonts w:ascii="Times New Roman" w:eastAsia="Times New Roman" w:hAnsi="Times New Roman" w:cs="Times New Roman"/>
          <w:color w:val="000000"/>
          <w:spacing w:val="0"/>
          <w:w w:val="100"/>
          <w:position w:val="0"/>
        </w:rPr>
        <w:t>1</w:t>
      </w:r>
      <w:bookmarkEnd w:id="93"/>
      <w:r>
        <w:rPr>
          <w:rFonts w:ascii="Times New Roman" w:eastAsia="Times New Roman" w:hAnsi="Times New Roman" w:cs="Times New Roman"/>
          <w:color w:val="000000"/>
          <w:spacing w:val="0"/>
          <w:w w:val="100"/>
          <w:position w:val="0"/>
        </w:rPr>
        <w:t>）</w:t>
      </w:r>
      <w:r>
        <w:rPr>
          <w:color w:val="000000"/>
          <w:spacing w:val="0"/>
          <w:w w:val="100"/>
          <w:position w:val="0"/>
        </w:rPr>
        <w:t>概述</w:t>
      </w:r>
    </w:p>
    <w:p>
      <w:pPr>
        <w:pStyle w:val="Style27"/>
        <w:keepNext w:val="0"/>
        <w:keepLines w:val="0"/>
        <w:widowControl w:val="0"/>
        <w:shd w:val="clear" w:color="auto" w:fill="auto"/>
        <w:bidi w:val="0"/>
        <w:spacing w:before="0" w:after="220" w:line="444" w:lineRule="exact"/>
        <w:ind w:left="0" w:right="0" w:firstLine="440"/>
        <w:jc w:val="both"/>
      </w:pPr>
      <w:r>
        <w:rPr>
          <w:color w:val="000000"/>
          <w:spacing w:val="0"/>
          <w:w w:val="100"/>
          <w:position w:val="0"/>
        </w:rPr>
        <w:t xml:space="preserve">2013年，公司主营业务仍然是为矿山企业安全生产提供产品和服务，没有发生重大变化。收入主要来 源于主营业务，其它业务收入占比极小。煤矿顶板安全监测系统及相关仪器仪表、煤矿巷道锚护机具及新 材料类贡献了大部分收入。本年度有所变化的是，以矿用乳化液自动配比及反冲洗装置为首的超募项目产 品及技术成熟度增加，客户认可度增加，在收入构成中比例逐步增大。但由于下游客户因行业形势下滑而 需求减小，对销售量的扩大造成了冲击，传统产品销售量和价格下滑，新产品没有达到预期的增量计划， </w:t>
      </w:r>
      <w:r>
        <w:rPr>
          <w:color w:val="000000"/>
          <w:spacing w:val="0"/>
          <w:w w:val="100"/>
          <w:position w:val="0"/>
        </w:rPr>
        <w:t>从而影响了公司的营业收入。本年度，公司实现营业总收入</w:t>
      </w:r>
      <w:r>
        <w:rPr>
          <w:color w:val="000000"/>
          <w:spacing w:val="0"/>
          <w:w w:val="100"/>
          <w:position w:val="0"/>
        </w:rPr>
        <w:t>173,864,168.55</w:t>
      </w:r>
      <w:r>
        <w:rPr>
          <w:color w:val="000000"/>
          <w:spacing w:val="0"/>
          <w:w w:val="100"/>
          <w:position w:val="0"/>
        </w:rPr>
        <w:t>元，同比下滑10.84%；其中煤 矿顶板安全监测系统及相关仪器仪表实现收入</w:t>
      </w:r>
      <w:r>
        <w:rPr>
          <w:color w:val="000000"/>
          <w:spacing w:val="0"/>
          <w:w w:val="100"/>
          <w:position w:val="0"/>
        </w:rPr>
        <w:t xml:space="preserve">134,209,823. </w:t>
      </w:r>
      <w:r>
        <w:rPr>
          <w:color w:val="000000"/>
          <w:spacing w:val="0"/>
          <w:w w:val="100"/>
          <w:position w:val="0"/>
        </w:rPr>
        <w:t xml:space="preserve">75元、煤矿巷道锚护机具实现收入 </w:t>
      </w:r>
      <w:r>
        <w:rPr>
          <w:color w:val="000000"/>
          <w:spacing w:val="0"/>
          <w:w w:val="100"/>
          <w:position w:val="0"/>
        </w:rPr>
        <w:t>18,870,858.12</w:t>
      </w:r>
      <w:r>
        <w:rPr>
          <w:color w:val="000000"/>
          <w:spacing w:val="0"/>
          <w:w w:val="100"/>
          <w:position w:val="0"/>
        </w:rPr>
        <w:t>元，矿用新材料（含施工）实现收入</w:t>
      </w:r>
      <w:r>
        <w:rPr>
          <w:color w:val="000000"/>
          <w:spacing w:val="0"/>
          <w:w w:val="100"/>
          <w:position w:val="0"/>
        </w:rPr>
        <w:t>20,707,526.68</w:t>
      </w:r>
      <w:r>
        <w:rPr>
          <w:color w:val="000000"/>
          <w:spacing w:val="0"/>
          <w:w w:val="100"/>
          <w:position w:val="0"/>
        </w:rPr>
        <w:t xml:space="preserve">元，同比分别减少9.81%、增加11.85%、 减少24.5%。三个子公司当中，北京子公司实现收入27,288, </w:t>
      </w:r>
      <w:r>
        <w:rPr>
          <w:color w:val="000000"/>
          <w:spacing w:val="0"/>
          <w:w w:val="100"/>
          <w:position w:val="0"/>
        </w:rPr>
        <w:t>888.89</w:t>
      </w:r>
      <w:r>
        <w:rPr>
          <w:color w:val="000000"/>
          <w:spacing w:val="0"/>
          <w:w w:val="100"/>
          <w:position w:val="0"/>
        </w:rPr>
        <w:t>元，上海子公司实现收入</w:t>
      </w:r>
      <w:r>
        <w:rPr>
          <w:color w:val="000000"/>
          <w:spacing w:val="0"/>
          <w:w w:val="100"/>
          <w:position w:val="0"/>
        </w:rPr>
        <w:t xml:space="preserve">4,518,750. </w:t>
      </w:r>
      <w:r>
        <w:rPr>
          <w:color w:val="000000"/>
          <w:spacing w:val="0"/>
          <w:w w:val="100"/>
          <w:position w:val="0"/>
        </w:rPr>
        <w:t>36, 华得子公司实现收入</w:t>
      </w:r>
      <w:r>
        <w:rPr>
          <w:color w:val="000000"/>
          <w:spacing w:val="0"/>
          <w:w w:val="100"/>
          <w:position w:val="0"/>
        </w:rPr>
        <w:t>10,062,258.1</w:t>
      </w:r>
      <w:r>
        <w:rPr>
          <w:color w:val="000000"/>
          <w:spacing w:val="0"/>
          <w:w w:val="100"/>
          <w:position w:val="0"/>
        </w:rPr>
        <w:t>。元，其中北京、上海子公司首次实现盈利。</w:t>
      </w:r>
    </w:p>
    <w:p>
      <w:pPr>
        <w:pStyle w:val="Style27"/>
        <w:keepNext w:val="0"/>
        <w:keepLines w:val="0"/>
        <w:widowControl w:val="0"/>
        <w:shd w:val="clear" w:color="auto" w:fill="auto"/>
        <w:tabs>
          <w:tab w:pos="783" w:val="left"/>
        </w:tabs>
        <w:bidi w:val="0"/>
        <w:spacing w:before="0" w:after="0" w:line="458" w:lineRule="auto"/>
        <w:ind w:left="0" w:right="0" w:firstLine="420"/>
        <w:jc w:val="left"/>
      </w:pPr>
      <w:bookmarkStart w:id="94" w:name="bookmark94"/>
      <w:r>
        <w:rPr>
          <w:rFonts w:ascii="Times New Roman" w:eastAsia="Times New Roman" w:hAnsi="Times New Roman" w:cs="Times New Roman"/>
          <w:color w:val="000000"/>
          <w:spacing w:val="0"/>
          <w:w w:val="100"/>
          <w:position w:val="0"/>
        </w:rPr>
        <w:t>2</w:t>
      </w:r>
      <w:bookmarkEnd w:id="94"/>
      <w:r>
        <w:rPr>
          <w:rFonts w:ascii="Times New Roman" w:eastAsia="Times New Roman" w:hAnsi="Times New Roman" w:cs="Times New Roman"/>
          <w:color w:val="000000"/>
          <w:spacing w:val="0"/>
          <w:w w:val="100"/>
          <w:position w:val="0"/>
        </w:rPr>
        <w:t>）</w:t>
        <w:tab/>
      </w:r>
      <w:r>
        <w:rPr>
          <w:color w:val="000000"/>
          <w:spacing w:val="0"/>
          <w:w w:val="100"/>
          <w:position w:val="0"/>
        </w:rPr>
        <w:t>报告期利润构成或利润来源发生重大变动的说明</w:t>
      </w:r>
    </w:p>
    <w:p>
      <w:pPr>
        <w:pStyle w:val="Style27"/>
        <w:keepNext w:val="0"/>
        <w:keepLines w:val="0"/>
        <w:widowControl w:val="0"/>
        <w:shd w:val="clear" w:color="auto" w:fill="auto"/>
        <w:bidi w:val="0"/>
        <w:spacing w:before="0" w:after="220" w:line="444" w:lineRule="exact"/>
        <w:ind w:left="0" w:right="0" w:firstLine="420"/>
        <w:jc w:val="both"/>
      </w:pPr>
      <w:r>
        <w:rPr>
          <w:color w:val="000000"/>
          <w:spacing w:val="0"/>
          <w:w w:val="100"/>
          <w:position w:val="0"/>
        </w:rPr>
        <w:t>报告期主营业务利润构成未发生重大变化，但整体利润构成发生变化，主要是公司来自政府的补助， 即非经常性收入大幅度减少，2012年政府补助收入13,532,922元，本年只有716,000元，下降95%。同时， 因募投项目投入增加，致使公司利息收入减少较多，为年度利润贡献也相应减少。</w:t>
      </w:r>
    </w:p>
    <w:p>
      <w:pPr>
        <w:pStyle w:val="Style27"/>
        <w:keepNext w:val="0"/>
        <w:keepLines w:val="0"/>
        <w:widowControl w:val="0"/>
        <w:shd w:val="clear" w:color="auto" w:fill="auto"/>
        <w:tabs>
          <w:tab w:pos="783" w:val="left"/>
        </w:tabs>
        <w:bidi w:val="0"/>
        <w:spacing w:before="0" w:after="0" w:line="458" w:lineRule="auto"/>
        <w:ind w:left="0" w:right="0" w:firstLine="420"/>
        <w:jc w:val="both"/>
      </w:pPr>
      <w:bookmarkStart w:id="95" w:name="bookmark95"/>
      <w:r>
        <w:rPr>
          <w:rFonts w:ascii="Times New Roman" w:eastAsia="Times New Roman" w:hAnsi="Times New Roman" w:cs="Times New Roman"/>
          <w:color w:val="000000"/>
          <w:spacing w:val="0"/>
          <w:w w:val="100"/>
          <w:position w:val="0"/>
        </w:rPr>
        <w:t>3</w:t>
      </w:r>
      <w:bookmarkEnd w:id="95"/>
      <w:r>
        <w:rPr>
          <w:rFonts w:ascii="Times New Roman" w:eastAsia="Times New Roman" w:hAnsi="Times New Roman" w:cs="Times New Roman"/>
          <w:color w:val="000000"/>
          <w:spacing w:val="0"/>
          <w:w w:val="100"/>
          <w:position w:val="0"/>
        </w:rPr>
        <w:t>）</w:t>
        <w:tab/>
      </w:r>
      <w:r>
        <w:rPr>
          <w:color w:val="000000"/>
          <w:spacing w:val="0"/>
          <w:w w:val="100"/>
          <w:position w:val="0"/>
        </w:rPr>
        <w:t>收入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同比增减情况</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173,864,168.55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194,995,210.21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r>
    </w:tbl>
    <w:p>
      <w:pPr>
        <w:widowControl w:val="0"/>
        <w:spacing w:after="219" w:line="1" w:lineRule="exact"/>
      </w:pPr>
    </w:p>
    <w:p>
      <w:pPr>
        <w:pStyle w:val="Style27"/>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驱动收入变化的因素</w:t>
      </w:r>
    </w:p>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年营业收入比上年度下滑</w:t>
      </w:r>
      <w:r>
        <w:rPr>
          <w:rFonts w:ascii="Times New Roman" w:eastAsia="Times New Roman" w:hAnsi="Times New Roman" w:cs="Times New Roman"/>
          <w:color w:val="000000"/>
          <w:spacing w:val="0"/>
          <w:w w:val="100"/>
          <w:position w:val="0"/>
        </w:rPr>
        <w:t>10.84%</w:t>
      </w:r>
      <w:r>
        <w:rPr>
          <w:color w:val="000000"/>
          <w:spacing w:val="0"/>
          <w:w w:val="100"/>
          <w:position w:val="0"/>
        </w:rPr>
        <w:t>，主要原因是:</w:t>
      </w:r>
    </w:p>
    <w:p>
      <w:pPr>
        <w:pStyle w:val="Style27"/>
        <w:keepNext w:val="0"/>
        <w:keepLines w:val="0"/>
        <w:widowControl w:val="0"/>
        <w:shd w:val="clear" w:color="auto" w:fill="auto"/>
        <w:tabs>
          <w:tab w:pos="1011" w:val="left"/>
        </w:tabs>
        <w:bidi w:val="0"/>
        <w:spacing w:before="0" w:after="0" w:line="450" w:lineRule="exact"/>
        <w:ind w:left="0" w:right="0" w:firstLine="420"/>
        <w:jc w:val="left"/>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1</w:t>
      </w:r>
      <w:r>
        <w:rPr>
          <w:color w:val="000000"/>
          <w:spacing w:val="0"/>
          <w:w w:val="100"/>
          <w:position w:val="0"/>
        </w:rPr>
        <w:t>）</w:t>
        <w:tab/>
        <w:t>行业形势不景气影响。</w:t>
      </w:r>
      <w:r>
        <w:rPr>
          <w:rFonts w:ascii="Times New Roman" w:eastAsia="Times New Roman" w:hAnsi="Times New Roman" w:cs="Times New Roman"/>
          <w:color w:val="000000"/>
          <w:spacing w:val="0"/>
          <w:w w:val="100"/>
          <w:position w:val="0"/>
        </w:rPr>
        <w:t>2013</w:t>
      </w:r>
      <w:r>
        <w:rPr>
          <w:color w:val="000000"/>
          <w:spacing w:val="0"/>
          <w:w w:val="100"/>
          <w:position w:val="0"/>
        </w:rPr>
        <w:t>年，煤炭价格严重下滑，行业内</w:t>
      </w:r>
      <w:r>
        <w:rPr>
          <w:rFonts w:ascii="Times New Roman" w:eastAsia="Times New Roman" w:hAnsi="Times New Roman" w:cs="Times New Roman"/>
          <w:color w:val="000000"/>
          <w:spacing w:val="0"/>
          <w:w w:val="100"/>
          <w:position w:val="0"/>
        </w:rPr>
        <w:t>50%</w:t>
      </w:r>
      <w:r>
        <w:rPr>
          <w:color w:val="000000"/>
          <w:spacing w:val="0"/>
          <w:w w:val="100"/>
          <w:position w:val="0"/>
        </w:rPr>
        <w:t>以上企业亏损，中小煤矿停产 或半停产，对安全方面的投入大幅度减少，造成公司订单量下降。这是公司营业收入降低的主要原因。</w:t>
      </w:r>
    </w:p>
    <w:p>
      <w:pPr>
        <w:pStyle w:val="Style27"/>
        <w:keepNext w:val="0"/>
        <w:keepLines w:val="0"/>
        <w:widowControl w:val="0"/>
        <w:shd w:val="clear" w:color="auto" w:fill="auto"/>
        <w:tabs>
          <w:tab w:pos="1016" w:val="left"/>
        </w:tabs>
        <w:bidi w:val="0"/>
        <w:spacing w:before="0" w:after="0" w:line="450" w:lineRule="exact"/>
        <w:ind w:left="0" w:right="0" w:firstLine="420"/>
        <w:jc w:val="left"/>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2</w:t>
      </w:r>
      <w:r>
        <w:rPr>
          <w:color w:val="000000"/>
          <w:spacing w:val="0"/>
          <w:w w:val="100"/>
          <w:position w:val="0"/>
        </w:rPr>
        <w:t>）</w:t>
        <w:tab/>
        <w:t>下游客户因经济效益下降原因，纷纷对所购安全产品和服务提出降价，公司为保价有意放弃部 分订单；另外，针对低谷期的行业形势，减少资金风险，公司提高了现金销售比例，降低了信用销售比例, 也减少了部分销售量，造成公司营业收入有所下降。</w:t>
      </w:r>
    </w:p>
    <w:p>
      <w:pPr>
        <w:pStyle w:val="Style27"/>
        <w:keepNext w:val="0"/>
        <w:keepLines w:val="0"/>
        <w:widowControl w:val="0"/>
        <w:shd w:val="clear" w:color="auto" w:fill="auto"/>
        <w:tabs>
          <w:tab w:pos="913" w:val="left"/>
        </w:tabs>
        <w:bidi w:val="0"/>
        <w:spacing w:before="0" w:after="0" w:line="450" w:lineRule="exact"/>
        <w:ind w:left="0" w:right="0" w:firstLine="420"/>
        <w:jc w:val="left"/>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rPr>
        <w:t>3</w:t>
      </w:r>
      <w:r>
        <w:rPr>
          <w:color w:val="000000"/>
          <w:spacing w:val="0"/>
          <w:w w:val="100"/>
          <w:position w:val="0"/>
        </w:rPr>
        <w:t>）</w:t>
        <w:tab/>
        <w:t>公司新推出产品，正遇到行业形势下滑，销售量没有达到预期。</w:t>
      </w:r>
    </w:p>
    <w:p>
      <w:pPr>
        <w:pStyle w:val="Style27"/>
        <w:keepNext w:val="0"/>
        <w:keepLines w:val="0"/>
        <w:widowControl w:val="0"/>
        <w:shd w:val="clear" w:color="auto" w:fill="auto"/>
        <w:bidi w:val="0"/>
        <w:spacing w:before="0" w:after="560" w:line="450" w:lineRule="exact"/>
        <w:ind w:left="0" w:right="0" w:firstLine="0"/>
        <w:jc w:val="left"/>
      </w:pPr>
      <w:r>
        <w:rPr>
          <w:color w:val="000000"/>
          <w:spacing w:val="0"/>
          <w:w w:val="100"/>
          <w:position w:val="0"/>
        </w:rPr>
        <w:t>公司实物销售收入大于劳务收入</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产品</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vMerge w:val="restart"/>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机电类</w:t>
            </w:r>
            <w:r>
              <w:rPr>
                <w:color w:val="000000"/>
                <w:spacing w:val="0"/>
                <w:w w:val="100"/>
                <w:position w:val="0"/>
                <w:sz w:val="18"/>
                <w:szCs w:val="18"/>
              </w:rPr>
              <w:t>一</w:t>
            </w:r>
            <w:r>
              <w:rPr>
                <w:color w:val="000000"/>
                <w:spacing w:val="0"/>
                <w:w w:val="100"/>
                <w:position w:val="0"/>
                <w:sz w:val="18"/>
                <w:szCs w:val="18"/>
              </w:rPr>
              <w:t>煤矿顶板 安全监测系统及相关 仪器仪表（单位：台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套）</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65,856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76,934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66,265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81,951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w:t>
            </w:r>
          </w:p>
        </w:tc>
      </w:tr>
      <w:tr>
        <w:trPr>
          <w:trHeight w:val="533"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403" w:hRule="exact"/>
        </w:trPr>
        <w:tc>
          <w:tcPr>
            <w:vMerge w:val="restart"/>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机械类</w:t>
            </w:r>
            <w:r>
              <w:rPr>
                <w:color w:val="000000"/>
                <w:spacing w:val="0"/>
                <w:w w:val="100"/>
                <w:position w:val="0"/>
                <w:sz w:val="18"/>
                <w:szCs w:val="18"/>
              </w:rPr>
              <w:t>一</w:t>
            </w:r>
            <w:r>
              <w:rPr>
                <w:color w:val="000000"/>
                <w:spacing w:val="0"/>
                <w:w w:val="100"/>
                <w:position w:val="0"/>
                <w:sz w:val="18"/>
                <w:szCs w:val="18"/>
              </w:rPr>
              <w:t>煤矿巷道 锚护机具（单位：套</w:t>
            </w:r>
            <w:r>
              <w:rPr>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4,314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4,589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w:t>
            </w:r>
          </w:p>
        </w:tc>
      </w:tr>
      <w:tr>
        <w:trPr>
          <w:trHeight w:val="398"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新材料类一矿用安</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728,855.12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902,369.64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03" w:hRule="exact"/>
        </w:trPr>
        <w:tc>
          <w:tcPr>
            <w:vMerge w:val="restart"/>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全新材料（单位：</w:t>
            </w:r>
            <w:r>
              <w:rPr>
                <w:rFonts w:ascii="Times New Roman" w:eastAsia="Times New Roman" w:hAnsi="Times New Roman" w:cs="Times New Roman"/>
                <w:color w:val="000000"/>
                <w:spacing w:val="0"/>
                <w:w w:val="100"/>
                <w:position w:val="0"/>
                <w:sz w:val="18"/>
                <w:szCs w:val="18"/>
              </w:rPr>
              <w:t>KG）</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728,855.12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902,369.64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r>
      <w:tr>
        <w:trPr>
          <w:trHeight w:val="413" w:hRule="exact"/>
        </w:trPr>
        <w:tc>
          <w:tcPr>
            <w:vMerge/>
            <w:tcBorders>
              <w:left w:val="single" w:sz="4"/>
              <w:bottom w:val="single" w:sz="4"/>
            </w:tcBorders>
            <w:shd w:val="clear" w:color="auto" w:fill="CCE8CF"/>
            <w:vAlign w:val="top"/>
          </w:tcPr>
          <w:p>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59" w:line="1" w:lineRule="exact"/>
      </w:pPr>
    </w:p>
    <w:p>
      <w:pPr>
        <w:pStyle w:val="Style27"/>
        <w:keepNext w:val="0"/>
        <w:keepLines w:val="0"/>
        <w:widowControl w:val="0"/>
        <w:shd w:val="clear" w:color="auto" w:fill="auto"/>
        <w:bidi w:val="0"/>
        <w:spacing w:before="0" w:after="100" w:line="240" w:lineRule="auto"/>
        <w:ind w:left="0" w:right="0" w:firstLine="420"/>
        <w:jc w:val="left"/>
      </w:pPr>
      <w:bookmarkStart w:id="99" w:name="bookmark99"/>
      <w:r>
        <w:rPr>
          <w:rFonts w:ascii="Times New Roman" w:eastAsia="Times New Roman" w:hAnsi="Times New Roman" w:cs="Times New Roman"/>
          <w:color w:val="000000"/>
          <w:spacing w:val="0"/>
          <w:w w:val="100"/>
          <w:position w:val="0"/>
        </w:rPr>
        <w:t>4</w:t>
      </w:r>
      <w:bookmarkEnd w:id="99"/>
      <w:r>
        <w:rPr>
          <w:rFonts w:ascii="Times New Roman" w:eastAsia="Times New Roman" w:hAnsi="Times New Roman" w:cs="Times New Roman"/>
          <w:color w:val="000000"/>
          <w:spacing w:val="0"/>
          <w:w w:val="100"/>
          <w:position w:val="0"/>
        </w:rPr>
        <w:t>）</w:t>
      </w:r>
      <w:r>
        <w:rPr>
          <w:color w:val="000000"/>
          <w:spacing w:val="0"/>
          <w:w w:val="100"/>
          <w:position w:val="0"/>
        </w:rPr>
        <w:t>成本</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占营业成本比重</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占营业成本比重</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机电类</w:t>
            </w:r>
            <w:r>
              <w:rPr>
                <w:color w:val="000000"/>
                <w:spacing w:val="0"/>
                <w:w w:val="100"/>
                <w:position w:val="0"/>
                <w:sz w:val="18"/>
                <w:szCs w:val="18"/>
              </w:rPr>
              <w:t>一</w:t>
            </w:r>
            <w:r>
              <w:rPr>
                <w:color w:val="000000"/>
                <w:spacing w:val="0"/>
                <w:w w:val="100"/>
                <w:position w:val="0"/>
                <w:sz w:val="18"/>
                <w:szCs w:val="18"/>
              </w:rPr>
              <w:t>煤矿 顶板安全监测系 统及相关仪器仪 表</w:t>
            </w:r>
            <w:r>
              <w:rPr>
                <w:color w:val="000000"/>
                <w:spacing w:val="0"/>
                <w:w w:val="100"/>
                <w:position w:val="0"/>
                <w:sz w:val="18"/>
                <w:szCs w:val="18"/>
              </w:rPr>
              <w:t>一</w:t>
            </w:r>
            <w:r>
              <w:rPr>
                <w:color w:val="000000"/>
                <w:spacing w:val="0"/>
                <w:w w:val="100"/>
                <w:position w:val="0"/>
                <w:sz w:val="18"/>
                <w:szCs w:val="18"/>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26,519,429.35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24,599,927.54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1339"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机电类</w:t>
            </w:r>
            <w:r>
              <w:rPr>
                <w:color w:val="000000"/>
                <w:spacing w:val="0"/>
                <w:w w:val="100"/>
                <w:position w:val="0"/>
                <w:sz w:val="18"/>
                <w:szCs w:val="18"/>
              </w:rPr>
              <w:t>一</w:t>
            </w:r>
            <w:r>
              <w:rPr>
                <w:color w:val="000000"/>
                <w:spacing w:val="0"/>
                <w:w w:val="100"/>
                <w:position w:val="0"/>
                <w:sz w:val="18"/>
                <w:szCs w:val="18"/>
              </w:rPr>
              <w:t>煤矿 顶板安全监测系 统及相关仪器仪 表</w:t>
            </w:r>
            <w:r>
              <w:rPr>
                <w:color w:val="000000"/>
                <w:spacing w:val="0"/>
                <w:w w:val="100"/>
                <w:position w:val="0"/>
                <w:sz w:val="18"/>
                <w:szCs w:val="18"/>
              </w:rPr>
              <w:t>一</w:t>
            </w: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731,807.04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644,516.52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13.54%</w:t>
            </w:r>
          </w:p>
        </w:tc>
      </w:tr>
      <w:tr>
        <w:trPr>
          <w:trHeight w:val="1334"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机电类一煤矿 顶板安全监测系 统及相关仪器仪 表</w:t>
            </w:r>
            <w:r>
              <w:rPr>
                <w:color w:val="000000"/>
                <w:spacing w:val="0"/>
                <w:w w:val="100"/>
                <w:position w:val="0"/>
                <w:sz w:val="18"/>
                <w:szCs w:val="18"/>
              </w:rPr>
              <w:t>一</w:t>
            </w:r>
            <w:r>
              <w:rPr>
                <w:color w:val="000000"/>
                <w:spacing w:val="0"/>
                <w:w w:val="100"/>
                <w:position w:val="0"/>
                <w:sz w:val="18"/>
                <w:szCs w:val="18"/>
              </w:rPr>
              <w:t>人工工资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1,334,976.12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1,170,167.28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14.08%</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28,586,212.51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26,414,611.34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r>
      <w:tr>
        <w:trPr>
          <w:trHeight w:val="1027"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机械类</w:t>
            </w:r>
            <w:r>
              <w:rPr>
                <w:color w:val="000000"/>
                <w:spacing w:val="0"/>
                <w:w w:val="100"/>
                <w:position w:val="0"/>
                <w:sz w:val="18"/>
                <w:szCs w:val="18"/>
              </w:rPr>
              <w:t>一</w:t>
            </w:r>
            <w:r>
              <w:rPr>
                <w:color w:val="000000"/>
                <w:spacing w:val="0"/>
                <w:w w:val="100"/>
                <w:position w:val="0"/>
                <w:sz w:val="18"/>
                <w:szCs w:val="18"/>
              </w:rPr>
              <w:t>煤矿 巷道锚护机具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4,488,700.62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3,234,793.88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38.76%</w:t>
            </w:r>
          </w:p>
        </w:tc>
      </w:tr>
      <w:tr>
        <w:trPr>
          <w:trHeight w:val="1027"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机械类</w:t>
            </w:r>
            <w:r>
              <w:rPr>
                <w:color w:val="000000"/>
                <w:spacing w:val="0"/>
                <w:w w:val="100"/>
                <w:position w:val="0"/>
                <w:sz w:val="18"/>
                <w:szCs w:val="18"/>
              </w:rPr>
              <w:t>一</w:t>
            </w:r>
            <w:r>
              <w:rPr>
                <w:color w:val="000000"/>
                <w:spacing w:val="0"/>
                <w:w w:val="100"/>
                <w:position w:val="0"/>
                <w:sz w:val="18"/>
                <w:szCs w:val="18"/>
              </w:rPr>
              <w:t>煤矿 巷道锚护机具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1,280,225.57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732,101.90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74.87%</w:t>
            </w:r>
          </w:p>
        </w:tc>
      </w:tr>
      <w:tr>
        <w:trPr>
          <w:trHeight w:val="1022"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机械类</w:t>
            </w:r>
            <w:r>
              <w:rPr>
                <w:color w:val="000000"/>
                <w:spacing w:val="0"/>
                <w:w w:val="100"/>
                <w:position w:val="0"/>
                <w:sz w:val="18"/>
                <w:szCs w:val="18"/>
              </w:rPr>
              <w:t>一</w:t>
            </w:r>
            <w:r>
              <w:rPr>
                <w:color w:val="000000"/>
                <w:spacing w:val="0"/>
                <w:w w:val="100"/>
                <w:position w:val="0"/>
                <w:sz w:val="18"/>
                <w:szCs w:val="18"/>
              </w:rPr>
              <w:t>煤矿 巷道锚护机具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人工工资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1,110,308.47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750,255.63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47.99%</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6,879,234.66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4,717,151.41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45.83%</w:t>
            </w:r>
          </w:p>
        </w:tc>
      </w:tr>
      <w:tr>
        <w:trPr>
          <w:trHeight w:val="1027"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新材料类——矿 用安全新材料</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7,987,156.73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13,640,045.73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-41.44%</w:t>
            </w:r>
          </w:p>
        </w:tc>
      </w:tr>
      <w:tr>
        <w:trPr>
          <w:trHeight w:val="1027"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新材料类——矿 用安全新材料</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69,036.84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81,536.24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-15.33%</w:t>
            </w:r>
          </w:p>
        </w:tc>
      </w:tr>
      <w:tr>
        <w:trPr>
          <w:trHeight w:val="1032" w:hRule="exact"/>
        </w:trPr>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新材料类——矿 用安全新材料</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人工工资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65,788.05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98,119.88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-32.95%</w:t>
            </w:r>
          </w:p>
        </w:tc>
      </w:tr>
    </w:tbl>
    <w:tbl>
      <w:tblPr>
        <w:tblOverlap w:val="never"/>
        <w:jc w:val="center"/>
        <w:tblLayout w:type="fixed"/>
      </w:tblPr>
      <w:tblGrid>
        <w:gridCol w:w="1598"/>
        <w:gridCol w:w="1594"/>
        <w:gridCol w:w="1594"/>
        <w:gridCol w:w="1594"/>
        <w:gridCol w:w="1594"/>
        <w:gridCol w:w="1603"/>
      </w:tblGrid>
      <w:tr>
        <w:trPr>
          <w:trHeight w:val="413"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8,121,981.63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13,819,701.85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w:t>
            </w:r>
          </w:p>
        </w:tc>
      </w:tr>
    </w:tbl>
    <w:p>
      <w:pPr>
        <w:pStyle w:val="Style34"/>
        <w:keepNext w:val="0"/>
        <w:keepLines w:val="0"/>
        <w:widowControl w:val="0"/>
        <w:shd w:val="clear" w:color="auto" w:fill="auto"/>
        <w:bidi w:val="0"/>
        <w:spacing w:before="0" w:after="0" w:line="240" w:lineRule="auto"/>
        <w:ind w:left="403"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费用</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642"/>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37,870,163.90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40,398,127.53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29,719,102.74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28,112,374.97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-8,601,664.49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-10,057,753.64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right w:val="single" w:sz="4"/>
            </w:tcBorders>
            <w:shd w:val="clear" w:color="auto" w:fill="CCE8C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5,891,540.58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12,597,807.95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-53.23%</w:t>
            </w:r>
          </w:p>
        </w:tc>
        <w:tc>
          <w:tcPr>
            <w:tcBorders>
              <w:top w:val="single" w:sz="4"/>
              <w:left w:val="single" w:sz="4"/>
              <w:bottom w:val="single" w:sz="4"/>
              <w:righ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本年度利润减少及北京子公司实行 所得税“两免三减半”所致。</w:t>
            </w:r>
          </w:p>
        </w:tc>
      </w:tr>
    </w:tbl>
    <w:p>
      <w:pPr>
        <w:pStyle w:val="Style34"/>
        <w:keepNext w:val="0"/>
        <w:keepLines w:val="0"/>
        <w:widowControl w:val="0"/>
        <w:shd w:val="clear" w:color="auto" w:fill="auto"/>
        <w:bidi w:val="0"/>
        <w:spacing w:before="0" w:after="0" w:line="240" w:lineRule="auto"/>
        <w:ind w:left="403"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研发投入</w:t>
      </w:r>
    </w:p>
    <w:p>
      <w:pPr>
        <w:pStyle w:val="Style27"/>
        <w:keepNext w:val="0"/>
        <w:keepLines w:val="0"/>
        <w:widowControl w:val="0"/>
        <w:shd w:val="clear" w:color="auto" w:fill="auto"/>
        <w:bidi w:val="0"/>
        <w:spacing w:before="0" w:after="0" w:line="440" w:lineRule="exact"/>
        <w:ind w:left="0" w:right="0" w:firstLine="420"/>
        <w:jc w:val="left"/>
      </w:pPr>
      <w:r>
        <w:rPr>
          <w:color w:val="000000"/>
          <w:spacing w:val="0"/>
          <w:w w:val="100"/>
          <w:position w:val="0"/>
        </w:rPr>
        <w:t>公司高度重视创新研发工作，以保证公司的可持续发展能力不断提高。即便在经营形势如此艰难的本 年度，公司依然保证研发资金的使用，全年共计投入</w:t>
      </w:r>
      <w:r>
        <w:rPr>
          <w:color w:val="000000"/>
          <w:spacing w:val="0"/>
          <w:w w:val="100"/>
          <w:position w:val="0"/>
        </w:rPr>
        <w:t>17,169,185.85</w:t>
      </w:r>
      <w:r>
        <w:rPr>
          <w:color w:val="000000"/>
          <w:spacing w:val="0"/>
          <w:w w:val="100"/>
          <w:position w:val="0"/>
        </w:rPr>
        <w:t>元，占营业收入的9.88%；比去年同期 增长25.96%。本年度研发支出的资本化金额是</w:t>
      </w:r>
      <w:r>
        <w:rPr>
          <w:color w:val="000000"/>
          <w:spacing w:val="0"/>
          <w:w w:val="100"/>
          <w:position w:val="0"/>
        </w:rPr>
        <w:t>13,637,004.9</w:t>
      </w:r>
      <w:r>
        <w:rPr>
          <w:color w:val="000000"/>
          <w:spacing w:val="0"/>
          <w:w w:val="100"/>
          <w:position w:val="0"/>
        </w:rPr>
        <w:t>2元，占比79.43%。公司本年度重点投入了对 煤矿智能安全辅助运输系统等四大新募投项目的技术研发和完善。报告期内，全体研发人员兢兢业业，加 班加点，尽职尽责地完成了既定任务，取得了较好的成绩：</w:t>
      </w:r>
    </w:p>
    <w:p>
      <w:pPr>
        <w:pStyle w:val="Style27"/>
        <w:keepNext w:val="0"/>
        <w:keepLines w:val="0"/>
        <w:widowControl w:val="0"/>
        <w:shd w:val="clear" w:color="auto" w:fill="auto"/>
        <w:tabs>
          <w:tab w:pos="908" w:val="left"/>
        </w:tabs>
        <w:bidi w:val="0"/>
        <w:spacing w:before="0" w:after="0" w:line="440" w:lineRule="exact"/>
        <w:ind w:left="0" w:right="0" w:firstLine="420"/>
        <w:jc w:val="left"/>
      </w:pPr>
      <w:bookmarkStart w:id="100" w:name="bookmark100"/>
      <w:r>
        <w:rPr>
          <w:color w:val="000000"/>
          <w:spacing w:val="0"/>
          <w:w w:val="100"/>
          <w:position w:val="0"/>
        </w:rPr>
        <w:t>（</w:t>
      </w:r>
      <w:bookmarkEnd w:id="100"/>
      <w:r>
        <w:rPr>
          <w:color w:val="000000"/>
          <w:spacing w:val="0"/>
          <w:w w:val="100"/>
          <w:position w:val="0"/>
        </w:rPr>
        <w:t>1）</w:t>
        <w:tab/>
        <w:t>2013年已研发完成的产品</w:t>
      </w:r>
    </w:p>
    <w:p>
      <w:pPr>
        <w:pStyle w:val="Style27"/>
        <w:keepNext w:val="0"/>
        <w:keepLines w:val="0"/>
        <w:widowControl w:val="0"/>
        <w:numPr>
          <w:ilvl w:val="0"/>
          <w:numId w:val="7"/>
        </w:numPr>
        <w:shd w:val="clear" w:color="auto" w:fill="auto"/>
        <w:tabs>
          <w:tab w:pos="812" w:val="left"/>
        </w:tabs>
        <w:bidi w:val="0"/>
        <w:spacing w:before="0" w:after="0" w:line="440" w:lineRule="exact"/>
        <w:ind w:left="0" w:right="0" w:firstLine="420"/>
        <w:jc w:val="left"/>
      </w:pPr>
      <w:bookmarkStart w:id="101" w:name="bookmark101"/>
      <w:bookmarkEnd w:id="101"/>
      <w:r>
        <w:rPr>
          <w:color w:val="000000"/>
          <w:spacing w:val="0"/>
          <w:w w:val="100"/>
          <w:position w:val="0"/>
        </w:rPr>
        <w:t>柴油机单轨吊运输系统（正在取证）</w:t>
      </w:r>
    </w:p>
    <w:p>
      <w:pPr>
        <w:pStyle w:val="Style27"/>
        <w:keepNext w:val="0"/>
        <w:keepLines w:val="0"/>
        <w:widowControl w:val="0"/>
        <w:numPr>
          <w:ilvl w:val="0"/>
          <w:numId w:val="7"/>
        </w:numPr>
        <w:shd w:val="clear" w:color="auto" w:fill="auto"/>
        <w:tabs>
          <w:tab w:pos="817" w:val="left"/>
        </w:tabs>
        <w:bidi w:val="0"/>
        <w:spacing w:before="0" w:after="0" w:line="440" w:lineRule="exact"/>
        <w:ind w:left="0" w:right="0" w:firstLine="420"/>
        <w:jc w:val="left"/>
      </w:pPr>
      <w:bookmarkStart w:id="102" w:name="bookmark102"/>
      <w:bookmarkEnd w:id="102"/>
      <w:r>
        <w:rPr>
          <w:color w:val="000000"/>
          <w:spacing w:val="0"/>
          <w:w w:val="100"/>
          <w:position w:val="0"/>
        </w:rPr>
        <w:t>KJ743</w:t>
      </w:r>
      <w:r>
        <w:rPr>
          <w:color w:val="000000"/>
          <w:spacing w:val="0"/>
          <w:w w:val="100"/>
          <w:position w:val="0"/>
        </w:rPr>
        <w:t>煤矿冲击地压无线监测系统</w:t>
      </w:r>
    </w:p>
    <w:p>
      <w:pPr>
        <w:pStyle w:val="Style27"/>
        <w:keepNext w:val="0"/>
        <w:keepLines w:val="0"/>
        <w:widowControl w:val="0"/>
        <w:numPr>
          <w:ilvl w:val="0"/>
          <w:numId w:val="7"/>
        </w:numPr>
        <w:shd w:val="clear" w:color="auto" w:fill="auto"/>
        <w:tabs>
          <w:tab w:pos="817" w:val="left"/>
        </w:tabs>
        <w:bidi w:val="0"/>
        <w:spacing w:before="0" w:after="0" w:line="440" w:lineRule="exact"/>
        <w:ind w:left="0" w:right="0" w:firstLine="420"/>
        <w:jc w:val="left"/>
      </w:pPr>
      <w:bookmarkStart w:id="103" w:name="bookmark103"/>
      <w:bookmarkEnd w:id="103"/>
      <w:r>
        <w:rPr>
          <w:color w:val="000000"/>
          <w:spacing w:val="0"/>
          <w:w w:val="100"/>
          <w:position w:val="0"/>
        </w:rPr>
        <w:t>KJ763</w:t>
      </w:r>
      <w:r>
        <w:rPr>
          <w:color w:val="000000"/>
          <w:spacing w:val="0"/>
          <w:w w:val="100"/>
          <w:position w:val="0"/>
        </w:rPr>
        <w:t>煤矿充填监测系统</w:t>
      </w:r>
    </w:p>
    <w:p>
      <w:pPr>
        <w:pStyle w:val="Style27"/>
        <w:keepNext w:val="0"/>
        <w:keepLines w:val="0"/>
        <w:widowControl w:val="0"/>
        <w:numPr>
          <w:ilvl w:val="0"/>
          <w:numId w:val="7"/>
        </w:numPr>
        <w:shd w:val="clear" w:color="auto" w:fill="auto"/>
        <w:tabs>
          <w:tab w:pos="817" w:val="left"/>
        </w:tabs>
        <w:bidi w:val="0"/>
        <w:spacing w:before="0" w:after="0" w:line="440" w:lineRule="exact"/>
        <w:ind w:left="0" w:right="0" w:firstLine="420"/>
        <w:jc w:val="left"/>
      </w:pPr>
      <w:bookmarkStart w:id="104" w:name="bookmark104"/>
      <w:bookmarkEnd w:id="104"/>
      <w:r>
        <w:rPr>
          <w:color w:val="000000"/>
          <w:spacing w:val="0"/>
          <w:w w:val="100"/>
          <w:position w:val="0"/>
        </w:rPr>
        <w:t>CMY125-6</w:t>
      </w:r>
      <w:r>
        <w:rPr>
          <w:color w:val="000000"/>
          <w:spacing w:val="0"/>
          <w:w w:val="100"/>
          <w:position w:val="0"/>
        </w:rPr>
        <w:t>矿用本安型锚杆应力检测仪</w:t>
      </w:r>
    </w:p>
    <w:p>
      <w:pPr>
        <w:pStyle w:val="Style27"/>
        <w:keepNext w:val="0"/>
        <w:keepLines w:val="0"/>
        <w:widowControl w:val="0"/>
        <w:numPr>
          <w:ilvl w:val="0"/>
          <w:numId w:val="7"/>
        </w:numPr>
        <w:shd w:val="clear" w:color="auto" w:fill="auto"/>
        <w:tabs>
          <w:tab w:pos="817" w:val="left"/>
        </w:tabs>
        <w:bidi w:val="0"/>
        <w:spacing w:before="0" w:after="0" w:line="440" w:lineRule="exact"/>
        <w:ind w:left="0" w:right="0" w:firstLine="420"/>
        <w:jc w:val="left"/>
      </w:pPr>
      <w:bookmarkStart w:id="105" w:name="bookmark105"/>
      <w:bookmarkEnd w:id="105"/>
      <w:r>
        <w:rPr>
          <w:color w:val="000000"/>
          <w:spacing w:val="0"/>
          <w:w w:val="100"/>
          <w:position w:val="0"/>
        </w:rPr>
        <w:t>色连煤矿井上水处理与乳化液自动配比项目</w:t>
      </w:r>
    </w:p>
    <w:p>
      <w:pPr>
        <w:pStyle w:val="Style27"/>
        <w:keepNext w:val="0"/>
        <w:keepLines w:val="0"/>
        <w:widowControl w:val="0"/>
        <w:numPr>
          <w:ilvl w:val="0"/>
          <w:numId w:val="7"/>
        </w:numPr>
        <w:shd w:val="clear" w:color="auto" w:fill="auto"/>
        <w:tabs>
          <w:tab w:pos="817" w:val="left"/>
        </w:tabs>
        <w:bidi w:val="0"/>
        <w:spacing w:before="0" w:after="0" w:line="440" w:lineRule="exact"/>
        <w:ind w:left="0" w:right="0" w:firstLine="420"/>
        <w:jc w:val="left"/>
      </w:pPr>
      <w:bookmarkStart w:id="106" w:name="bookmark106"/>
      <w:bookmarkEnd w:id="106"/>
      <w:r>
        <w:rPr>
          <w:color w:val="000000"/>
          <w:spacing w:val="0"/>
          <w:w w:val="100"/>
          <w:position w:val="0"/>
        </w:rPr>
        <w:t>YHS900</w:t>
      </w:r>
      <w:r>
        <w:rPr>
          <w:color w:val="000000"/>
          <w:spacing w:val="0"/>
          <w:w w:val="100"/>
          <w:position w:val="0"/>
        </w:rPr>
        <w:t>矿用本安型支柱位移传感器（活柱缩量）（正在取证）</w:t>
      </w:r>
    </w:p>
    <w:p>
      <w:pPr>
        <w:pStyle w:val="Style27"/>
        <w:keepNext w:val="0"/>
        <w:keepLines w:val="0"/>
        <w:widowControl w:val="0"/>
        <w:numPr>
          <w:ilvl w:val="0"/>
          <w:numId w:val="7"/>
        </w:numPr>
        <w:shd w:val="clear" w:color="auto" w:fill="auto"/>
        <w:tabs>
          <w:tab w:pos="817" w:val="left"/>
        </w:tabs>
        <w:bidi w:val="0"/>
        <w:spacing w:before="0" w:after="0" w:line="440" w:lineRule="exact"/>
        <w:ind w:left="0" w:right="0" w:firstLine="420"/>
        <w:jc w:val="left"/>
      </w:pPr>
      <w:bookmarkStart w:id="107" w:name="bookmark107"/>
      <w:bookmarkEnd w:id="107"/>
      <w:r>
        <w:rPr>
          <w:color w:val="000000"/>
          <w:spacing w:val="0"/>
          <w:w w:val="100"/>
          <w:position w:val="0"/>
        </w:rPr>
        <w:t>矿用本安型激光测距仪（正在取证）</w:t>
      </w:r>
    </w:p>
    <w:p>
      <w:pPr>
        <w:pStyle w:val="Style27"/>
        <w:keepNext w:val="0"/>
        <w:keepLines w:val="0"/>
        <w:widowControl w:val="0"/>
        <w:numPr>
          <w:ilvl w:val="0"/>
          <w:numId w:val="7"/>
        </w:numPr>
        <w:shd w:val="clear" w:color="auto" w:fill="auto"/>
        <w:tabs>
          <w:tab w:pos="817" w:val="left"/>
        </w:tabs>
        <w:bidi w:val="0"/>
        <w:spacing w:before="0" w:after="0" w:line="440" w:lineRule="exact"/>
        <w:ind w:left="0" w:right="0" w:firstLine="420"/>
        <w:jc w:val="left"/>
      </w:pPr>
      <w:bookmarkStart w:id="108" w:name="bookmark108"/>
      <w:bookmarkEnd w:id="108"/>
      <w:r>
        <w:rPr>
          <w:color w:val="000000"/>
          <w:spacing w:val="0"/>
          <w:w w:val="100"/>
          <w:position w:val="0"/>
        </w:rPr>
        <w:t>KHCG100</w:t>
      </w:r>
      <w:r>
        <w:rPr>
          <w:color w:val="000000"/>
          <w:spacing w:val="0"/>
          <w:w w:val="100"/>
          <w:position w:val="0"/>
        </w:rPr>
        <w:t>矿用工作面尘源跟踪喷雾降尘系统（正在取证）</w:t>
      </w:r>
    </w:p>
    <w:p>
      <w:pPr>
        <w:pStyle w:val="Style27"/>
        <w:keepNext w:val="0"/>
        <w:keepLines w:val="0"/>
        <w:widowControl w:val="0"/>
        <w:numPr>
          <w:ilvl w:val="0"/>
          <w:numId w:val="7"/>
        </w:numPr>
        <w:shd w:val="clear" w:color="auto" w:fill="auto"/>
        <w:tabs>
          <w:tab w:pos="817" w:val="left"/>
        </w:tabs>
        <w:bidi w:val="0"/>
        <w:spacing w:before="0" w:after="0" w:line="440" w:lineRule="exact"/>
        <w:ind w:left="0" w:right="0" w:firstLine="420"/>
        <w:jc w:val="left"/>
      </w:pPr>
      <w:bookmarkStart w:id="109" w:name="bookmark109"/>
      <w:bookmarkEnd w:id="109"/>
      <w:r>
        <w:rPr>
          <w:color w:val="000000"/>
          <w:spacing w:val="0"/>
          <w:w w:val="100"/>
          <w:position w:val="0"/>
        </w:rPr>
        <w:t>完成10种传统产品升级改造工作</w:t>
      </w:r>
    </w:p>
    <w:p>
      <w:pPr>
        <w:pStyle w:val="Style27"/>
        <w:keepNext w:val="0"/>
        <w:keepLines w:val="0"/>
        <w:widowControl w:val="0"/>
        <w:numPr>
          <w:ilvl w:val="0"/>
          <w:numId w:val="7"/>
        </w:numPr>
        <w:shd w:val="clear" w:color="auto" w:fill="auto"/>
        <w:tabs>
          <w:tab w:pos="817" w:val="left"/>
        </w:tabs>
        <w:bidi w:val="0"/>
        <w:spacing w:before="0" w:after="0" w:line="440" w:lineRule="exact"/>
        <w:ind w:left="0" w:right="0" w:firstLine="420"/>
        <w:jc w:val="left"/>
      </w:pPr>
      <w:bookmarkStart w:id="110" w:name="bookmark110"/>
      <w:bookmarkEnd w:id="110"/>
      <w:r>
        <w:rPr>
          <w:color w:val="000000"/>
          <w:spacing w:val="0"/>
          <w:w w:val="100"/>
          <w:position w:val="0"/>
        </w:rPr>
        <w:t>完成粉尘浓度监测实验室建设</w:t>
      </w:r>
    </w:p>
    <w:p>
      <w:pPr>
        <w:pStyle w:val="Style27"/>
        <w:keepNext w:val="0"/>
        <w:keepLines w:val="0"/>
        <w:widowControl w:val="0"/>
        <w:shd w:val="clear" w:color="auto" w:fill="auto"/>
        <w:tabs>
          <w:tab w:pos="908" w:val="left"/>
        </w:tabs>
        <w:bidi w:val="0"/>
        <w:spacing w:before="0" w:after="0" w:line="440" w:lineRule="exact"/>
        <w:ind w:left="0" w:right="0" w:firstLine="420"/>
        <w:jc w:val="both"/>
      </w:pPr>
      <w:bookmarkStart w:id="111" w:name="bookmark111"/>
      <w:r>
        <w:rPr>
          <w:color w:val="000000"/>
          <w:spacing w:val="0"/>
          <w:w w:val="100"/>
          <w:position w:val="0"/>
        </w:rPr>
        <w:t>（</w:t>
      </w:r>
      <w:bookmarkEnd w:id="111"/>
      <w:r>
        <w:rPr>
          <w:color w:val="000000"/>
          <w:spacing w:val="0"/>
          <w:w w:val="100"/>
          <w:position w:val="0"/>
        </w:rPr>
        <w:t>2）</w:t>
        <w:tab/>
        <w:t>2013年立项在研项目</w:t>
      </w:r>
    </w:p>
    <w:p>
      <w:pPr>
        <w:pStyle w:val="Style27"/>
        <w:keepNext w:val="0"/>
        <w:keepLines w:val="0"/>
        <w:widowControl w:val="0"/>
        <w:numPr>
          <w:ilvl w:val="0"/>
          <w:numId w:val="9"/>
        </w:numPr>
        <w:shd w:val="clear" w:color="auto" w:fill="auto"/>
        <w:tabs>
          <w:tab w:pos="812" w:val="left"/>
        </w:tabs>
        <w:bidi w:val="0"/>
        <w:spacing w:before="0" w:after="0" w:line="440" w:lineRule="exact"/>
        <w:ind w:left="0" w:right="0" w:firstLine="420"/>
        <w:jc w:val="both"/>
      </w:pPr>
      <w:bookmarkStart w:id="112" w:name="bookmark112"/>
      <w:bookmarkEnd w:id="112"/>
      <w:r>
        <w:rPr>
          <w:color w:val="000000"/>
          <w:spacing w:val="0"/>
          <w:w w:val="100"/>
          <w:position w:val="0"/>
        </w:rPr>
        <w:t>煤矿</w:t>
      </w:r>
      <w:r>
        <w:rPr>
          <w:color w:val="000000"/>
          <w:spacing w:val="0"/>
          <w:w w:val="100"/>
          <w:position w:val="0"/>
        </w:rPr>
        <w:t>3G</w:t>
      </w:r>
      <w:r>
        <w:rPr>
          <w:color w:val="000000"/>
          <w:spacing w:val="0"/>
          <w:w w:val="100"/>
          <w:position w:val="0"/>
        </w:rPr>
        <w:t>无线网络多媒体移动通讯系统，样机已完成、正在等待取证。</w:t>
      </w:r>
    </w:p>
    <w:p>
      <w:pPr>
        <w:pStyle w:val="Style27"/>
        <w:keepNext w:val="0"/>
        <w:keepLines w:val="0"/>
        <w:widowControl w:val="0"/>
        <w:numPr>
          <w:ilvl w:val="0"/>
          <w:numId w:val="9"/>
        </w:numPr>
        <w:shd w:val="clear" w:color="auto" w:fill="auto"/>
        <w:tabs>
          <w:tab w:pos="817" w:val="left"/>
        </w:tabs>
        <w:bidi w:val="0"/>
        <w:spacing w:before="0" w:after="0" w:line="440" w:lineRule="exact"/>
        <w:ind w:left="0" w:right="0" w:firstLine="420"/>
        <w:jc w:val="both"/>
      </w:pPr>
      <w:bookmarkStart w:id="113" w:name="bookmark113"/>
      <w:bookmarkEnd w:id="113"/>
      <w:r>
        <w:rPr>
          <w:color w:val="000000"/>
          <w:spacing w:val="0"/>
          <w:w w:val="100"/>
          <w:position w:val="0"/>
        </w:rPr>
        <w:t>煤矿冲击地压微震网络监测系统，样机已完成、正在等待取证。</w:t>
      </w:r>
    </w:p>
    <w:p>
      <w:pPr>
        <w:pStyle w:val="Style27"/>
        <w:keepNext w:val="0"/>
        <w:keepLines w:val="0"/>
        <w:widowControl w:val="0"/>
        <w:numPr>
          <w:ilvl w:val="0"/>
          <w:numId w:val="9"/>
        </w:numPr>
        <w:shd w:val="clear" w:color="auto" w:fill="auto"/>
        <w:tabs>
          <w:tab w:pos="817" w:val="left"/>
        </w:tabs>
        <w:bidi w:val="0"/>
        <w:spacing w:before="0" w:after="0" w:line="440" w:lineRule="exact"/>
        <w:ind w:left="0" w:right="0" w:firstLine="420"/>
        <w:jc w:val="both"/>
      </w:pPr>
      <w:bookmarkStart w:id="114" w:name="bookmark114"/>
      <w:bookmarkEnd w:id="114"/>
      <w:r>
        <w:rPr>
          <w:color w:val="000000"/>
          <w:spacing w:val="0"/>
          <w:w w:val="100"/>
          <w:position w:val="0"/>
        </w:rPr>
        <w:t>煤岩体电磁辐射监测仪，主机整体已完成，新天线外壳正在设计，预计2月份整体样机完成。</w:t>
      </w:r>
    </w:p>
    <w:p>
      <w:pPr>
        <w:pStyle w:val="Style27"/>
        <w:keepNext w:val="0"/>
        <w:keepLines w:val="0"/>
        <w:widowControl w:val="0"/>
        <w:numPr>
          <w:ilvl w:val="0"/>
          <w:numId w:val="9"/>
        </w:numPr>
        <w:shd w:val="clear" w:color="auto" w:fill="auto"/>
        <w:tabs>
          <w:tab w:pos="810" w:val="left"/>
        </w:tabs>
        <w:bidi w:val="0"/>
        <w:spacing w:before="0" w:after="0" w:line="427" w:lineRule="exact"/>
        <w:ind w:left="0" w:right="0" w:firstLine="420"/>
        <w:jc w:val="both"/>
      </w:pPr>
      <w:bookmarkStart w:id="115" w:name="bookmark115"/>
      <w:bookmarkEnd w:id="115"/>
      <w:r>
        <w:rPr>
          <w:color w:val="000000"/>
          <w:spacing w:val="0"/>
          <w:w w:val="100"/>
          <w:position w:val="0"/>
        </w:rPr>
        <w:t>全景地质钻孔成像探测装置，主机硬件软件已完成，主机外壳正外协开模，摄像头镜头需再优化， 摄像头线缆接头需改进，预计样机2月份定型。</w:t>
      </w:r>
    </w:p>
    <w:p>
      <w:pPr>
        <w:pStyle w:val="Style27"/>
        <w:keepNext w:val="0"/>
        <w:keepLines w:val="0"/>
        <w:widowControl w:val="0"/>
        <w:numPr>
          <w:ilvl w:val="0"/>
          <w:numId w:val="9"/>
        </w:numPr>
        <w:shd w:val="clear" w:color="auto" w:fill="auto"/>
        <w:tabs>
          <w:tab w:pos="811" w:val="left"/>
        </w:tabs>
        <w:bidi w:val="0"/>
        <w:spacing w:before="0" w:after="0" w:line="442" w:lineRule="exact"/>
        <w:ind w:left="0" w:right="0" w:firstLine="420"/>
        <w:jc w:val="left"/>
      </w:pPr>
      <w:bookmarkStart w:id="116" w:name="bookmark116"/>
      <w:bookmarkEnd w:id="116"/>
      <w:r>
        <w:rPr>
          <w:color w:val="000000"/>
          <w:spacing w:val="0"/>
          <w:w w:val="100"/>
          <w:position w:val="0"/>
        </w:rPr>
        <w:t>基于蓝牙技术的综采工作阻力自动采集系统，预计2014年上半年定型。</w:t>
      </w:r>
    </w:p>
    <w:p>
      <w:pPr>
        <w:pStyle w:val="Style27"/>
        <w:keepNext w:val="0"/>
        <w:keepLines w:val="0"/>
        <w:widowControl w:val="0"/>
        <w:numPr>
          <w:ilvl w:val="0"/>
          <w:numId w:val="9"/>
        </w:numPr>
        <w:shd w:val="clear" w:color="auto" w:fill="auto"/>
        <w:tabs>
          <w:tab w:pos="799" w:val="left"/>
        </w:tabs>
        <w:bidi w:val="0"/>
        <w:spacing w:before="0" w:after="0" w:line="442" w:lineRule="exact"/>
        <w:ind w:left="0" w:right="0" w:firstLine="420"/>
        <w:jc w:val="left"/>
      </w:pPr>
      <w:bookmarkStart w:id="117" w:name="bookmark117"/>
      <w:bookmarkEnd w:id="117"/>
      <w:r>
        <w:rPr>
          <w:color w:val="000000"/>
          <w:spacing w:val="0"/>
          <w:w w:val="100"/>
          <w:position w:val="0"/>
        </w:rPr>
        <w:t>巷道粉尘浓度监测，已完成一台样机试制，在清洁镜片方面需进一步优化改进，预计2014年下半年 定型。</w:t>
      </w:r>
    </w:p>
    <w:p>
      <w:pPr>
        <w:pStyle w:val="Style27"/>
        <w:keepNext w:val="0"/>
        <w:keepLines w:val="0"/>
        <w:widowControl w:val="0"/>
        <w:numPr>
          <w:ilvl w:val="0"/>
          <w:numId w:val="9"/>
        </w:numPr>
        <w:shd w:val="clear" w:color="auto" w:fill="auto"/>
        <w:tabs>
          <w:tab w:pos="799" w:val="left"/>
        </w:tabs>
        <w:bidi w:val="0"/>
        <w:spacing w:before="0" w:after="0" w:line="442" w:lineRule="exact"/>
        <w:ind w:left="0" w:right="0" w:firstLine="420"/>
        <w:jc w:val="left"/>
      </w:pPr>
      <w:bookmarkStart w:id="118" w:name="bookmark118"/>
      <w:bookmarkEnd w:id="118"/>
      <w:r>
        <w:rPr>
          <w:color w:val="000000"/>
          <w:spacing w:val="0"/>
          <w:w w:val="100"/>
          <w:position w:val="0"/>
        </w:rPr>
        <w:t>大容量隔爆不间断电源，电子部分已完成80%，主要功能已实现，机械部分正在建模。预计2014年3 月底出样机。</w:t>
      </w:r>
    </w:p>
    <w:p>
      <w:pPr>
        <w:pStyle w:val="Style27"/>
        <w:keepNext w:val="0"/>
        <w:keepLines w:val="0"/>
        <w:widowControl w:val="0"/>
        <w:numPr>
          <w:ilvl w:val="0"/>
          <w:numId w:val="9"/>
        </w:numPr>
        <w:shd w:val="clear" w:color="auto" w:fill="auto"/>
        <w:tabs>
          <w:tab w:pos="803" w:val="left"/>
        </w:tabs>
        <w:bidi w:val="0"/>
        <w:spacing w:before="0" w:after="0" w:line="442" w:lineRule="exact"/>
        <w:ind w:left="0" w:right="0" w:firstLine="420"/>
        <w:jc w:val="left"/>
      </w:pPr>
      <w:bookmarkStart w:id="119" w:name="bookmark119"/>
      <w:bookmarkEnd w:id="119"/>
      <w:r>
        <w:rPr>
          <w:color w:val="000000"/>
          <w:spacing w:val="0"/>
          <w:w w:val="100"/>
          <w:position w:val="0"/>
        </w:rPr>
        <w:t>煤矿井下人员定位系统，硬件部分已完成90%，嵌入式软件这块需进一步优化，机械部分正在建模, 预计2014年3月底出样机。</w:t>
      </w:r>
    </w:p>
    <w:p>
      <w:pPr>
        <w:pStyle w:val="Style27"/>
        <w:keepNext w:val="0"/>
        <w:keepLines w:val="0"/>
        <w:widowControl w:val="0"/>
        <w:numPr>
          <w:ilvl w:val="0"/>
          <w:numId w:val="9"/>
        </w:numPr>
        <w:shd w:val="clear" w:color="auto" w:fill="auto"/>
        <w:tabs>
          <w:tab w:pos="811" w:val="left"/>
        </w:tabs>
        <w:bidi w:val="0"/>
        <w:spacing w:before="0" w:after="0" w:line="442" w:lineRule="exact"/>
        <w:ind w:left="0" w:right="0" w:firstLine="420"/>
        <w:jc w:val="left"/>
      </w:pPr>
      <w:bookmarkStart w:id="120" w:name="bookmark120"/>
      <w:bookmarkEnd w:id="120"/>
      <w:r>
        <w:rPr>
          <w:color w:val="000000"/>
          <w:spacing w:val="0"/>
          <w:w w:val="100"/>
          <w:position w:val="0"/>
        </w:rPr>
        <w:t>煤矿巷道底板岩层流变的监测系统，硬件部分已完成，软件算法模型上还得进一步优化。</w:t>
      </w:r>
    </w:p>
    <w:p>
      <w:pPr>
        <w:pStyle w:val="Style27"/>
        <w:keepNext w:val="0"/>
        <w:keepLines w:val="0"/>
        <w:widowControl w:val="0"/>
        <w:numPr>
          <w:ilvl w:val="0"/>
          <w:numId w:val="9"/>
        </w:numPr>
        <w:shd w:val="clear" w:color="auto" w:fill="auto"/>
        <w:tabs>
          <w:tab w:pos="811" w:val="left"/>
        </w:tabs>
        <w:bidi w:val="0"/>
        <w:spacing w:before="0" w:after="0" w:line="442" w:lineRule="exact"/>
        <w:ind w:left="0" w:right="0" w:firstLine="420"/>
        <w:jc w:val="left"/>
      </w:pPr>
      <w:bookmarkStart w:id="121" w:name="bookmark121"/>
      <w:bookmarkEnd w:id="121"/>
      <w:r>
        <w:rPr>
          <w:color w:val="000000"/>
          <w:spacing w:val="0"/>
          <w:w w:val="100"/>
          <w:position w:val="0"/>
        </w:rPr>
        <w:t>锚杆无损监测系统，已完成80%,下一步对实验结果进行验证，预计2014年上半年出样机。</w:t>
      </w:r>
    </w:p>
    <w:p>
      <w:pPr>
        <w:pStyle w:val="Style27"/>
        <w:keepNext w:val="0"/>
        <w:keepLines w:val="0"/>
        <w:widowControl w:val="0"/>
        <w:shd w:val="clear" w:color="auto" w:fill="auto"/>
        <w:bidi w:val="0"/>
        <w:spacing w:before="0" w:after="0" w:line="442" w:lineRule="exact"/>
        <w:ind w:left="0" w:right="0" w:firstLine="420"/>
        <w:jc w:val="left"/>
      </w:pPr>
      <w:r>
        <w:rPr>
          <w:color w:val="000000"/>
          <w:spacing w:val="0"/>
          <w:w w:val="100"/>
          <w:position w:val="0"/>
        </w:rPr>
        <w:t>另外，煤矿智能集成供液系统及乳化液泵站成套装备及电气控制保护系统，已完成20% ；矿井水文监 测系统，立项阶段，预计2014年6月份出样机</w:t>
      </w:r>
    </w:p>
    <w:p>
      <w:pPr>
        <w:pStyle w:val="Style27"/>
        <w:keepNext w:val="0"/>
        <w:keepLines w:val="0"/>
        <w:widowControl w:val="0"/>
        <w:numPr>
          <w:ilvl w:val="0"/>
          <w:numId w:val="11"/>
        </w:numPr>
        <w:shd w:val="clear" w:color="auto" w:fill="auto"/>
        <w:bidi w:val="0"/>
        <w:spacing w:before="0" w:after="0" w:line="442" w:lineRule="exact"/>
        <w:ind w:left="0" w:right="0" w:firstLine="420"/>
        <w:jc w:val="left"/>
      </w:pPr>
      <w:bookmarkStart w:id="122" w:name="bookmark122"/>
      <w:bookmarkEnd w:id="122"/>
      <w:r>
        <w:rPr>
          <w:color w:val="000000"/>
          <w:spacing w:val="0"/>
          <w:w w:val="100"/>
          <w:position w:val="0"/>
        </w:rPr>
        <w:t>2013年研发取得主要技术成果</w:t>
      </w:r>
    </w:p>
    <w:p>
      <w:pPr>
        <w:pStyle w:val="Style27"/>
        <w:keepNext w:val="0"/>
        <w:keepLines w:val="0"/>
        <w:widowControl w:val="0"/>
        <w:numPr>
          <w:ilvl w:val="0"/>
          <w:numId w:val="13"/>
        </w:numPr>
        <w:shd w:val="clear" w:color="auto" w:fill="auto"/>
        <w:tabs>
          <w:tab w:pos="806" w:val="left"/>
        </w:tabs>
        <w:bidi w:val="0"/>
        <w:spacing w:before="0" w:after="0" w:line="442" w:lineRule="exact"/>
        <w:ind w:left="0" w:right="0" w:firstLine="420"/>
        <w:jc w:val="left"/>
      </w:pPr>
      <w:bookmarkStart w:id="123" w:name="bookmark123"/>
      <w:bookmarkEnd w:id="123"/>
      <w:r>
        <w:rPr>
          <w:color w:val="000000"/>
          <w:spacing w:val="0"/>
          <w:w w:val="100"/>
          <w:position w:val="0"/>
        </w:rPr>
        <w:t>利用地音监测技术分析煤岩体受力状态和破坏过程，评价煤岩体的稳定性，预测预报冲击地压。</w:t>
      </w:r>
    </w:p>
    <w:p>
      <w:pPr>
        <w:pStyle w:val="Style27"/>
        <w:keepNext w:val="0"/>
        <w:keepLines w:val="0"/>
        <w:widowControl w:val="0"/>
        <w:numPr>
          <w:ilvl w:val="0"/>
          <w:numId w:val="13"/>
        </w:numPr>
        <w:shd w:val="clear" w:color="auto" w:fill="auto"/>
        <w:tabs>
          <w:tab w:pos="811" w:val="left"/>
        </w:tabs>
        <w:bidi w:val="0"/>
        <w:spacing w:before="0" w:after="0" w:line="442" w:lineRule="exact"/>
        <w:ind w:left="0" w:right="0" w:firstLine="420"/>
        <w:jc w:val="left"/>
      </w:pPr>
      <w:bookmarkStart w:id="124" w:name="bookmark124"/>
      <w:bookmarkEnd w:id="124"/>
      <w:r>
        <w:rPr>
          <w:color w:val="000000"/>
          <w:spacing w:val="0"/>
          <w:w w:val="100"/>
          <w:position w:val="0"/>
        </w:rPr>
        <w:t>电磁辐射接收天线的工作原理、影响因素、制作方法。</w:t>
      </w:r>
    </w:p>
    <w:p>
      <w:pPr>
        <w:pStyle w:val="Style27"/>
        <w:keepNext w:val="0"/>
        <w:keepLines w:val="0"/>
        <w:widowControl w:val="0"/>
        <w:numPr>
          <w:ilvl w:val="0"/>
          <w:numId w:val="13"/>
        </w:numPr>
        <w:shd w:val="clear" w:color="auto" w:fill="auto"/>
        <w:tabs>
          <w:tab w:pos="811" w:val="left"/>
        </w:tabs>
        <w:bidi w:val="0"/>
        <w:spacing w:before="0" w:after="0" w:line="442" w:lineRule="exact"/>
        <w:ind w:left="0" w:right="0" w:firstLine="420"/>
        <w:jc w:val="left"/>
      </w:pPr>
      <w:bookmarkStart w:id="125" w:name="bookmark125"/>
      <w:bookmarkEnd w:id="125"/>
      <w:r>
        <w:rPr>
          <w:color w:val="000000"/>
          <w:spacing w:val="0"/>
          <w:w w:val="100"/>
          <w:position w:val="0"/>
        </w:rPr>
        <w:t>电磁辐射信号监测方法、分析技术。</w:t>
      </w:r>
    </w:p>
    <w:p>
      <w:pPr>
        <w:pStyle w:val="Style27"/>
        <w:keepNext w:val="0"/>
        <w:keepLines w:val="0"/>
        <w:widowControl w:val="0"/>
        <w:shd w:val="clear" w:color="auto" w:fill="auto"/>
        <w:bidi w:val="0"/>
        <w:spacing w:before="0" w:after="0" w:line="442" w:lineRule="exact"/>
        <w:ind w:left="0" w:right="0" w:firstLine="420"/>
        <w:jc w:val="left"/>
      </w:pPr>
      <w:r>
        <w:rPr>
          <w:color w:val="000000"/>
          <w:spacing w:val="0"/>
          <w:w w:val="100"/>
          <w:position w:val="0"/>
        </w:rPr>
        <w:t>本年度，安标新申办、延续及变更申请累计5个批次，18个型号产品取得了矿用产品安全标志证书， 另有9个型号产品正在申办中。至2013年末，我公司在有效期内的安标产品共79个型号。在申办过程中免 评审取证4次，9月份，以</w:t>
      </w:r>
      <w:r>
        <w:rPr>
          <w:color w:val="000000"/>
          <w:spacing w:val="0"/>
          <w:w w:val="100"/>
          <w:position w:val="0"/>
        </w:rPr>
        <w:t>B</w:t>
      </w:r>
      <w:r>
        <w:rPr>
          <w:color w:val="000000"/>
          <w:spacing w:val="0"/>
          <w:w w:val="100"/>
          <w:position w:val="0"/>
        </w:rPr>
        <w:t>级合格通过了安标中心的监督评审，这也是我公司的第13次评审。</w:t>
      </w:r>
    </w:p>
    <w:p>
      <w:pPr>
        <w:pStyle w:val="Style27"/>
        <w:keepNext w:val="0"/>
        <w:keepLines w:val="0"/>
        <w:widowControl w:val="0"/>
        <w:shd w:val="clear" w:color="auto" w:fill="auto"/>
        <w:bidi w:val="0"/>
        <w:spacing w:before="0" w:after="0" w:line="442" w:lineRule="exact"/>
        <w:ind w:left="0" w:right="0" w:firstLine="420"/>
        <w:jc w:val="left"/>
      </w:pPr>
      <w:r>
        <w:rPr>
          <w:color w:val="000000"/>
          <w:spacing w:val="0"/>
          <w:w w:val="100"/>
          <w:position w:val="0"/>
        </w:rPr>
        <w:t>2013年，申请专利21项，其中发明专利9项，实用新型12项；授权专利3项，其中发明专利1项；软件 著作权及软件产品登记各3项。获得省级以上科技项目立项14项，其中“煤矿充填开采安全监测系统“、“深 部开采矿井冲击地压多参数融合安全监测系统”、“矿井安全生产灾害治理新型材料”等3个项目列入《2013 年安全生产重大事故防治关键技术科技项目》。尤洛卡公司申请2013年国家火炬计划重点高新技术企业， 并获批准。华得公司申请国家级高新技术企业，并获批准。完成项目查新9项，申报2014年度国家火炬计 划和国家重点新产品各1项。</w:t>
      </w:r>
    </w:p>
    <w:p>
      <w:pPr>
        <w:pStyle w:val="Style27"/>
        <w:keepNext w:val="0"/>
        <w:keepLines w:val="0"/>
        <w:widowControl w:val="0"/>
        <w:shd w:val="clear" w:color="auto" w:fill="auto"/>
        <w:bidi w:val="0"/>
        <w:spacing w:before="0" w:after="0" w:line="442" w:lineRule="exact"/>
        <w:ind w:left="0" w:right="0" w:firstLine="420"/>
        <w:jc w:val="left"/>
      </w:pPr>
      <w:r>
        <w:rPr>
          <w:color w:val="000000"/>
          <w:spacing w:val="0"/>
          <w:w w:val="100"/>
          <w:position w:val="0"/>
        </w:rPr>
        <w:t>另外，如何又快又好地将技术研发成果产品化，是研发部门的一项重要任务。本年度，公司对此项工 作，进行了进一步加强：基于行业特点和形势，配合公司发展战略计划，从项目、技术的选择和立项，到 技术研发过程、再到成果的管理及研发人员的配备、奖惩，还有资金的配备等方面，完善了公司成果转化 机制，取得了较好效果。</w:t>
      </w:r>
    </w:p>
    <w:p>
      <w:pPr>
        <w:pStyle w:val="Style27"/>
        <w:keepNext w:val="0"/>
        <w:keepLines w:val="0"/>
        <w:widowControl w:val="0"/>
        <w:shd w:val="clear" w:color="auto" w:fill="auto"/>
        <w:bidi w:val="0"/>
        <w:spacing w:before="0" w:after="0" w:line="442" w:lineRule="exact"/>
        <w:ind w:left="0" w:right="0" w:firstLine="420"/>
        <w:jc w:val="left"/>
      </w:pPr>
      <w:r>
        <w:rPr>
          <w:color w:val="000000"/>
          <w:spacing w:val="0"/>
          <w:w w:val="100"/>
          <w:position w:val="0"/>
        </w:rPr>
        <w:t>2013年，突破和试制完成的一批技术和新产品，对公司核心竞争力的提高及未来效益的增加奠定了坚 实基础。</w:t>
      </w:r>
    </w:p>
    <w:p>
      <w:pPr>
        <w:pStyle w:val="Style27"/>
        <w:keepNext w:val="0"/>
        <w:keepLines w:val="0"/>
        <w:widowControl w:val="0"/>
        <w:shd w:val="clear" w:color="auto" w:fill="auto"/>
        <w:bidi w:val="0"/>
        <w:spacing w:before="0" w:after="0" w:line="442" w:lineRule="exact"/>
        <w:ind w:left="0" w:right="0" w:firstLine="0"/>
        <w:jc w:val="left"/>
      </w:pPr>
      <w:r>
        <w:rPr>
          <w:color w:val="000000"/>
          <w:spacing w:val="0"/>
          <w:w w:val="100"/>
          <w:position w:val="0"/>
        </w:rPr>
        <w:t>近三年公司研发投入金额及占营业收入的比例</w:t>
      </w: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17,169,185.85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13,631,229.62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12,727,785.61</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80" w:line="240" w:lineRule="auto"/>
              <w:ind w:left="0" w:right="0" w:firstLine="0"/>
              <w:jc w:val="left"/>
              <w:rPr>
                <w:sz w:val="18"/>
                <w:szCs w:val="18"/>
              </w:rPr>
            </w:pPr>
            <w:r>
              <w:rPr>
                <w:color w:val="000000"/>
                <w:spacing w:val="0"/>
                <w:w w:val="100"/>
                <w:position w:val="0"/>
                <w:sz w:val="18"/>
                <w:szCs w:val="18"/>
              </w:rPr>
              <w:t>研发投入占营业收入比例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13,637,004.92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9,309,761.24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8,847,344.03</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r>
    </w:tbl>
    <w:p>
      <w:pPr>
        <w:pStyle w:val="Style27"/>
        <w:keepNext w:val="0"/>
        <w:keepLines w:val="0"/>
        <w:widowControl w:val="0"/>
        <w:shd w:val="clear" w:color="auto" w:fill="auto"/>
        <w:bidi w:val="0"/>
        <w:spacing w:before="0" w:after="200" w:line="437" w:lineRule="exact"/>
        <w:ind w:left="0" w:right="0" w:firstLine="420"/>
        <w:jc w:val="both"/>
      </w:pPr>
      <w:r>
        <w:rPr>
          <w:color w:val="000000"/>
          <w:spacing w:val="0"/>
          <w:w w:val="100"/>
          <w:position w:val="0"/>
        </w:rPr>
        <w:t>本年度，研发支出资本化金额及资本化率比上年同期有较大幅度增长，原因：一是期内研发投入大幅 度增加；二是大部分研发支出符合了资本化条件；三是本期净利润比上年同期有一定程度的下降，造成资 本化率比上升。</w:t>
      </w:r>
    </w:p>
    <w:p>
      <w:pPr>
        <w:pStyle w:val="Style27"/>
        <w:keepNext w:val="0"/>
        <w:keepLines w:val="0"/>
        <w:widowControl w:val="0"/>
        <w:shd w:val="clear" w:color="auto" w:fill="auto"/>
        <w:bidi w:val="0"/>
        <w:spacing w:before="0" w:after="120" w:line="240" w:lineRule="auto"/>
        <w:ind w:left="0" w:right="0" w:firstLine="420"/>
        <w:jc w:val="left"/>
      </w:pPr>
      <w:bookmarkStart w:id="126" w:name="bookmark126"/>
      <w:r>
        <w:rPr>
          <w:color w:val="000000"/>
          <w:spacing w:val="0"/>
          <w:w w:val="100"/>
          <w:position w:val="0"/>
        </w:rPr>
        <w:t>7</w:t>
      </w:r>
      <w:bookmarkEnd w:id="126"/>
      <w:r>
        <w:rPr>
          <w:color w:val="000000"/>
          <w:spacing w:val="0"/>
          <w:w w:val="100"/>
          <w:position w:val="0"/>
        </w:rPr>
        <w:t>）现金流</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187,938,920.47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209,810,261.63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144,907,670.10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170,081,800.74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43,031,250.37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39,728,460.89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267,750,952.13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253,430,562.14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316,457,694.61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223,582,923.91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-48,706,742.48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29,847,638.23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2,353,011.04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11,531,355.49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51,827,539.84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51,675,000.00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-49,474,528.80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-40,143,644.51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-55,150,020.91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29,432,454.61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-287.38%</w:t>
            </w:r>
          </w:p>
        </w:tc>
      </w:tr>
    </w:tbl>
    <w:p>
      <w:pPr>
        <w:pStyle w:val="Style27"/>
        <w:keepNext w:val="0"/>
        <w:keepLines w:val="0"/>
        <w:widowControl w:val="0"/>
        <w:shd w:val="clear" w:color="auto" w:fill="auto"/>
        <w:bidi w:val="0"/>
        <w:spacing w:before="0" w:after="0" w:line="456" w:lineRule="exact"/>
        <w:ind w:left="0" w:right="0" w:firstLine="0"/>
        <w:jc w:val="left"/>
      </w:pPr>
      <w:r>
        <w:rPr>
          <w:color w:val="000000"/>
          <w:spacing w:val="0"/>
          <w:w w:val="100"/>
          <w:position w:val="0"/>
        </w:rPr>
        <w:t>相关数据同比发生变动30%以上的原因说明</w:t>
      </w:r>
    </w:p>
    <w:p>
      <w:pPr>
        <w:pStyle w:val="Style27"/>
        <w:keepNext w:val="0"/>
        <w:keepLines w:val="0"/>
        <w:widowControl w:val="0"/>
        <w:shd w:val="clear" w:color="auto" w:fill="auto"/>
        <w:tabs>
          <w:tab w:pos="354" w:val="left"/>
        </w:tabs>
        <w:bidi w:val="0"/>
        <w:spacing w:before="0" w:after="0" w:line="456" w:lineRule="exact"/>
        <w:ind w:left="0" w:right="0" w:firstLine="0"/>
        <w:jc w:val="left"/>
      </w:pPr>
      <w:bookmarkStart w:id="127" w:name="bookmark127"/>
      <w:r>
        <w:rPr>
          <w:color w:val="000000"/>
          <w:spacing w:val="0"/>
          <w:w w:val="100"/>
          <w:position w:val="0"/>
        </w:rPr>
        <w:t>1</w:t>
      </w:r>
      <w:bookmarkEnd w:id="127"/>
      <w:r>
        <w:rPr>
          <w:color w:val="000000"/>
          <w:spacing w:val="0"/>
          <w:w w:val="100"/>
          <w:position w:val="0"/>
        </w:rPr>
        <w:t>、</w:t>
        <w:tab/>
        <w:t>投资活动现金流出小计同比增加41.54%，主要原因是今年在额度内做的理财次数增加所致</w:t>
      </w:r>
    </w:p>
    <w:p>
      <w:pPr>
        <w:pStyle w:val="Style27"/>
        <w:keepNext w:val="0"/>
        <w:keepLines w:val="0"/>
        <w:widowControl w:val="0"/>
        <w:shd w:val="clear" w:color="auto" w:fill="auto"/>
        <w:tabs>
          <w:tab w:pos="368" w:val="left"/>
        </w:tabs>
        <w:bidi w:val="0"/>
        <w:spacing w:before="0" w:after="0" w:line="456" w:lineRule="exact"/>
        <w:ind w:left="0" w:right="0" w:firstLine="0"/>
        <w:jc w:val="left"/>
      </w:pPr>
      <w:bookmarkStart w:id="128" w:name="bookmark128"/>
      <w:r>
        <w:rPr>
          <w:color w:val="000000"/>
          <w:spacing w:val="0"/>
          <w:w w:val="100"/>
          <w:position w:val="0"/>
        </w:rPr>
        <w:t>2</w:t>
      </w:r>
      <w:bookmarkEnd w:id="128"/>
      <w:r>
        <w:rPr>
          <w:color w:val="000000"/>
          <w:spacing w:val="0"/>
          <w:w w:val="100"/>
          <w:position w:val="0"/>
        </w:rPr>
        <w:t>、</w:t>
        <w:tab/>
        <w:t>投资活动产生的现金流量净额同比减少263.18%，主要原因是今年在额度内做的理财次数增加所致</w:t>
      </w:r>
    </w:p>
    <w:p>
      <w:pPr>
        <w:pStyle w:val="Style27"/>
        <w:keepNext w:val="0"/>
        <w:keepLines w:val="0"/>
        <w:widowControl w:val="0"/>
        <w:shd w:val="clear" w:color="auto" w:fill="auto"/>
        <w:tabs>
          <w:tab w:pos="373" w:val="left"/>
        </w:tabs>
        <w:bidi w:val="0"/>
        <w:spacing w:before="0" w:after="0" w:line="456" w:lineRule="exact"/>
        <w:ind w:left="0" w:right="0" w:firstLine="0"/>
        <w:jc w:val="left"/>
      </w:pPr>
      <w:bookmarkStart w:id="129" w:name="bookmark129"/>
      <w:r>
        <w:rPr>
          <w:color w:val="000000"/>
          <w:spacing w:val="0"/>
          <w:w w:val="100"/>
          <w:position w:val="0"/>
        </w:rPr>
        <w:t>3</w:t>
      </w:r>
      <w:bookmarkEnd w:id="129"/>
      <w:r>
        <w:rPr>
          <w:color w:val="000000"/>
          <w:spacing w:val="0"/>
          <w:w w:val="100"/>
          <w:position w:val="0"/>
        </w:rPr>
        <w:t>、</w:t>
        <w:tab/>
        <w:t>筹资活动现金流入小计同比减少79.59%，主要原因是存入的银行承兑汇票保证金减少及票据到期结算 所致。</w:t>
      </w:r>
    </w:p>
    <w:p>
      <w:pPr>
        <w:pStyle w:val="Style27"/>
        <w:keepNext w:val="0"/>
        <w:keepLines w:val="0"/>
        <w:widowControl w:val="0"/>
        <w:shd w:val="clear" w:color="auto" w:fill="auto"/>
        <w:tabs>
          <w:tab w:pos="368" w:val="left"/>
        </w:tabs>
        <w:bidi w:val="0"/>
        <w:spacing w:before="0" w:after="0" w:line="456" w:lineRule="exact"/>
        <w:ind w:left="0" w:right="0" w:firstLine="0"/>
        <w:jc w:val="left"/>
      </w:pPr>
      <w:bookmarkStart w:id="130" w:name="bookmark130"/>
      <w:r>
        <w:rPr>
          <w:color w:val="000000"/>
          <w:spacing w:val="0"/>
          <w:w w:val="100"/>
          <w:position w:val="0"/>
        </w:rPr>
        <w:t>4</w:t>
      </w:r>
      <w:bookmarkEnd w:id="130"/>
      <w:r>
        <w:rPr>
          <w:color w:val="000000"/>
          <w:spacing w:val="0"/>
          <w:w w:val="100"/>
          <w:position w:val="0"/>
        </w:rPr>
        <w:t>、</w:t>
        <w:tab/>
        <w:t>现金及现金等价物净增同比减少287.38%,主要原因是投资活动产生的现金流量净额减少所致。</w:t>
      </w:r>
    </w:p>
    <w:p>
      <w:pPr>
        <w:pStyle w:val="Style27"/>
        <w:keepNext w:val="0"/>
        <w:keepLines w:val="0"/>
        <w:widowControl w:val="0"/>
        <w:shd w:val="clear" w:color="auto" w:fill="auto"/>
        <w:bidi w:val="0"/>
        <w:spacing w:before="0" w:after="160" w:line="456" w:lineRule="exact"/>
        <w:ind w:left="0" w:right="0" w:firstLine="0"/>
        <w:jc w:val="left"/>
      </w:pPr>
      <w:bookmarkStart w:id="131" w:name="bookmark131"/>
      <w:r>
        <w:rPr>
          <w:color w:val="000000"/>
          <w:spacing w:val="0"/>
          <w:w w:val="100"/>
          <w:position w:val="0"/>
        </w:rPr>
        <w:t>8</w:t>
      </w:r>
      <w:bookmarkEnd w:id="131"/>
      <w:r>
        <w:rPr>
          <w:color w:val="000000"/>
          <w:spacing w:val="0"/>
          <w:w w:val="100"/>
          <w:position w:val="0"/>
        </w:rPr>
        <w:t>）公司主要供应商、客户情况</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公司主要销售客户情况</w:t>
      </w:r>
    </w:p>
    <w:tbl>
      <w:tblPr>
        <w:tblOverlap w:val="never"/>
        <w:jc w:val="center"/>
        <w:tblLayout w:type="fixed"/>
      </w:tblPr>
      <w:tblGrid>
        <w:gridCol w:w="4258"/>
        <w:gridCol w:w="532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35,521,551.90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w:t>
            </w:r>
          </w:p>
        </w:tc>
      </w:tr>
    </w:tbl>
    <w:p>
      <w:pPr>
        <w:widowControl w:val="0"/>
        <w:spacing w:after="13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向单一客户销售比例未有超过30%的情形</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公司主要供应商情况</w:t>
      </w:r>
    </w:p>
    <w:tbl>
      <w:tblPr>
        <w:tblOverlap w:val="never"/>
        <w:jc w:val="center"/>
        <w:tblLayout w:type="fixed"/>
      </w:tblPr>
      <w:tblGrid>
        <w:gridCol w:w="4258"/>
        <w:gridCol w:w="532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5,980,974.51</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w:t>
            </w:r>
          </w:p>
        </w:tc>
      </w:tr>
    </w:tbl>
    <w:p>
      <w:pPr>
        <w:pStyle w:val="Style27"/>
        <w:keepNext w:val="0"/>
        <w:keepLines w:val="0"/>
        <w:widowControl w:val="0"/>
        <w:shd w:val="clear" w:color="auto" w:fill="auto"/>
        <w:bidi w:val="0"/>
        <w:spacing w:before="0" w:after="0" w:line="441" w:lineRule="exact"/>
        <w:ind w:left="0" w:right="0" w:firstLine="0"/>
        <w:jc w:val="left"/>
      </w:pPr>
      <w:r>
        <w:rPr>
          <w:color w:val="000000"/>
          <w:spacing w:val="0"/>
          <w:w w:val="100"/>
          <w:position w:val="0"/>
        </w:rPr>
        <w:t>向单一供应商采购比例未有超过30%的情形</w:t>
      </w:r>
    </w:p>
    <w:p>
      <w:pPr>
        <w:pStyle w:val="Style27"/>
        <w:keepNext w:val="0"/>
        <w:keepLines w:val="0"/>
        <w:widowControl w:val="0"/>
        <w:shd w:val="clear" w:color="auto" w:fill="auto"/>
        <w:bidi w:val="0"/>
        <w:spacing w:before="0" w:after="0" w:line="441" w:lineRule="exact"/>
        <w:ind w:left="0" w:right="0" w:firstLine="0"/>
        <w:jc w:val="left"/>
      </w:pPr>
      <w:bookmarkStart w:id="132" w:name="bookmark132"/>
      <w:r>
        <w:rPr>
          <w:color w:val="000000"/>
          <w:spacing w:val="0"/>
          <w:w w:val="100"/>
          <w:position w:val="0"/>
        </w:rPr>
        <w:t>9</w:t>
      </w:r>
      <w:bookmarkEnd w:id="132"/>
      <w:r>
        <w:rPr>
          <w:color w:val="000000"/>
          <w:spacing w:val="0"/>
          <w:w w:val="100"/>
          <w:position w:val="0"/>
        </w:rPr>
        <w:t>）公司未来发展与规划延续至报告期的说明</w:t>
      </w:r>
    </w:p>
    <w:p>
      <w:pPr>
        <w:pStyle w:val="Style27"/>
        <w:keepNext w:val="0"/>
        <w:keepLines w:val="0"/>
        <w:widowControl w:val="0"/>
        <w:shd w:val="clear" w:color="auto" w:fill="auto"/>
        <w:bidi w:val="0"/>
        <w:spacing w:before="0" w:after="0" w:line="441" w:lineRule="exact"/>
        <w:ind w:left="0" w:right="0" w:firstLine="0"/>
        <w:jc w:val="left"/>
      </w:pPr>
      <w:r>
        <w:rPr>
          <w:color w:val="000000"/>
          <w:spacing w:val="0"/>
          <w:w w:val="100"/>
          <w:position w:val="0"/>
        </w:rPr>
        <w:t>首次公开发行招股说明书中披露的未来发展与规划在本报告期的实施情况</w:t>
      </w:r>
    </w:p>
    <w:p>
      <w:pPr>
        <w:pStyle w:val="Style27"/>
        <w:keepNext w:val="0"/>
        <w:keepLines w:val="0"/>
        <w:widowControl w:val="0"/>
        <w:shd w:val="clear" w:color="auto" w:fill="auto"/>
        <w:bidi w:val="0"/>
        <w:spacing w:before="0" w:after="0" w:line="441" w:lineRule="exact"/>
        <w:ind w:left="0" w:right="0" w:firstLine="0"/>
        <w:jc w:val="left"/>
      </w:pPr>
      <w:r>
        <w:rPr>
          <w:color w:val="000000"/>
          <w:spacing w:val="0"/>
          <w:w w:val="100"/>
          <w:position w:val="0"/>
        </w:rPr>
        <w:t>公司首次公开发行招股说明书披露公司发展目标和规划：</w:t>
      </w:r>
    </w:p>
    <w:p>
      <w:pPr>
        <w:pStyle w:val="Style27"/>
        <w:keepNext w:val="0"/>
        <w:keepLines w:val="0"/>
        <w:widowControl w:val="0"/>
        <w:shd w:val="clear" w:color="auto" w:fill="auto"/>
        <w:tabs>
          <w:tab w:pos="488" w:val="left"/>
        </w:tabs>
        <w:bidi w:val="0"/>
        <w:spacing w:before="0" w:after="0" w:line="441" w:lineRule="exact"/>
        <w:ind w:left="0" w:right="0" w:firstLine="0"/>
        <w:jc w:val="left"/>
      </w:pPr>
      <w:bookmarkStart w:id="133" w:name="bookmark133"/>
      <w:r>
        <w:rPr>
          <w:color w:val="000000"/>
          <w:spacing w:val="0"/>
          <w:w w:val="100"/>
          <w:position w:val="0"/>
        </w:rPr>
        <w:t>（</w:t>
      </w:r>
      <w:bookmarkEnd w:id="133"/>
      <w:r>
        <w:rPr>
          <w:color w:val="000000"/>
          <w:spacing w:val="0"/>
          <w:w w:val="100"/>
          <w:position w:val="0"/>
        </w:rPr>
        <w:t>1）</w:t>
        <w:tab/>
        <w:t>总体目标</w:t>
      </w:r>
    </w:p>
    <w:p>
      <w:pPr>
        <w:pStyle w:val="Style27"/>
        <w:keepNext w:val="0"/>
        <w:keepLines w:val="0"/>
        <w:widowControl w:val="0"/>
        <w:shd w:val="clear" w:color="auto" w:fill="auto"/>
        <w:bidi w:val="0"/>
        <w:spacing w:before="0" w:after="0" w:line="441" w:lineRule="exact"/>
        <w:ind w:left="0" w:right="0" w:firstLine="420"/>
        <w:jc w:val="both"/>
      </w:pPr>
      <w:r>
        <w:rPr>
          <w:color w:val="000000"/>
          <w:spacing w:val="0"/>
          <w:w w:val="100"/>
          <w:position w:val="0"/>
        </w:rPr>
        <w:t>以煤矿顶板安全监测系统为核心竞争力，为煤矿矿井地质灾害防治提供相关产品和技术服务，为煤矿 安全生产保驾护航。</w:t>
      </w:r>
    </w:p>
    <w:p>
      <w:pPr>
        <w:pStyle w:val="Style27"/>
        <w:keepNext w:val="0"/>
        <w:keepLines w:val="0"/>
        <w:widowControl w:val="0"/>
        <w:shd w:val="clear" w:color="auto" w:fill="auto"/>
        <w:tabs>
          <w:tab w:pos="488" w:val="left"/>
        </w:tabs>
        <w:bidi w:val="0"/>
        <w:spacing w:before="0" w:after="0" w:line="441" w:lineRule="exact"/>
        <w:ind w:left="0" w:right="0" w:firstLine="0"/>
        <w:jc w:val="left"/>
      </w:pPr>
      <w:bookmarkStart w:id="134" w:name="bookmark134"/>
      <w:r>
        <w:rPr>
          <w:color w:val="000000"/>
          <w:spacing w:val="0"/>
          <w:w w:val="100"/>
          <w:position w:val="0"/>
        </w:rPr>
        <w:t>（</w:t>
      </w:r>
      <w:bookmarkEnd w:id="134"/>
      <w:r>
        <w:rPr>
          <w:color w:val="000000"/>
          <w:spacing w:val="0"/>
          <w:w w:val="100"/>
          <w:position w:val="0"/>
        </w:rPr>
        <w:t>2）</w:t>
        <w:tab/>
        <w:t>主要业务目标</w:t>
      </w:r>
    </w:p>
    <w:p>
      <w:pPr>
        <w:pStyle w:val="Style27"/>
        <w:keepNext w:val="0"/>
        <w:keepLines w:val="0"/>
        <w:widowControl w:val="0"/>
        <w:numPr>
          <w:ilvl w:val="0"/>
          <w:numId w:val="15"/>
        </w:numPr>
        <w:shd w:val="clear" w:color="auto" w:fill="auto"/>
        <w:tabs>
          <w:tab w:pos="810" w:val="left"/>
        </w:tabs>
        <w:bidi w:val="0"/>
        <w:spacing w:before="0" w:after="0" w:line="441" w:lineRule="exact"/>
        <w:ind w:left="0" w:right="0" w:firstLine="420"/>
        <w:jc w:val="both"/>
      </w:pPr>
      <w:bookmarkStart w:id="135" w:name="bookmark135"/>
      <w:bookmarkEnd w:id="135"/>
      <w:r>
        <w:rPr>
          <w:color w:val="000000"/>
          <w:spacing w:val="0"/>
          <w:w w:val="100"/>
          <w:position w:val="0"/>
        </w:rPr>
        <w:t>产品目标：依靠公司持续不断的研发支持，对公司产品不断升级换代，提高产品技术含量，稳居行 业龙头位置。</w:t>
      </w:r>
    </w:p>
    <w:p>
      <w:pPr>
        <w:pStyle w:val="Style27"/>
        <w:keepNext w:val="0"/>
        <w:keepLines w:val="0"/>
        <w:widowControl w:val="0"/>
        <w:numPr>
          <w:ilvl w:val="0"/>
          <w:numId w:val="15"/>
        </w:numPr>
        <w:shd w:val="clear" w:color="auto" w:fill="auto"/>
        <w:tabs>
          <w:tab w:pos="810" w:val="left"/>
        </w:tabs>
        <w:bidi w:val="0"/>
        <w:spacing w:before="0" w:after="0" w:line="441" w:lineRule="exact"/>
        <w:ind w:left="0" w:right="0" w:firstLine="420"/>
        <w:jc w:val="both"/>
      </w:pPr>
      <w:bookmarkStart w:id="136" w:name="bookmark136"/>
      <w:bookmarkEnd w:id="136"/>
      <w:r>
        <w:rPr>
          <w:color w:val="000000"/>
          <w:spacing w:val="0"/>
          <w:w w:val="100"/>
          <w:position w:val="0"/>
        </w:rPr>
        <w:t>营销网络目标：完善经销商销售模式，建立覆盖面广、分布合理、多种销售形式有效组合的营销网 络。</w:t>
      </w:r>
    </w:p>
    <w:p>
      <w:pPr>
        <w:pStyle w:val="Style27"/>
        <w:keepNext w:val="0"/>
        <w:keepLines w:val="0"/>
        <w:widowControl w:val="0"/>
        <w:numPr>
          <w:ilvl w:val="0"/>
          <w:numId w:val="15"/>
        </w:numPr>
        <w:shd w:val="clear" w:color="auto" w:fill="auto"/>
        <w:tabs>
          <w:tab w:pos="805" w:val="left"/>
        </w:tabs>
        <w:bidi w:val="0"/>
        <w:spacing w:before="0" w:after="0" w:line="441" w:lineRule="exact"/>
        <w:ind w:left="0" w:right="0" w:firstLine="420"/>
        <w:jc w:val="both"/>
      </w:pPr>
      <w:bookmarkStart w:id="137" w:name="bookmark137"/>
      <w:bookmarkEnd w:id="137"/>
      <w:r>
        <w:rPr>
          <w:color w:val="000000"/>
          <w:spacing w:val="0"/>
          <w:w w:val="100"/>
          <w:position w:val="0"/>
        </w:rPr>
        <w:t>管理目标：分阶段导入并实施现代化管理体系，建成覆盖研发、生产、组织、渠道等方面的标准化 管理系统。</w:t>
      </w:r>
    </w:p>
    <w:p>
      <w:pPr>
        <w:pStyle w:val="Style27"/>
        <w:keepNext w:val="0"/>
        <w:keepLines w:val="0"/>
        <w:widowControl w:val="0"/>
        <w:numPr>
          <w:ilvl w:val="0"/>
          <w:numId w:val="15"/>
        </w:numPr>
        <w:shd w:val="clear" w:color="auto" w:fill="auto"/>
        <w:tabs>
          <w:tab w:pos="817" w:val="left"/>
        </w:tabs>
        <w:bidi w:val="0"/>
        <w:spacing w:before="0" w:after="0" w:line="441" w:lineRule="exact"/>
        <w:ind w:left="0" w:right="0" w:firstLine="420"/>
        <w:jc w:val="left"/>
      </w:pPr>
      <w:bookmarkStart w:id="138" w:name="bookmark138"/>
      <w:bookmarkEnd w:id="138"/>
      <w:r>
        <w:rPr>
          <w:color w:val="000000"/>
          <w:spacing w:val="0"/>
          <w:w w:val="100"/>
          <w:position w:val="0"/>
        </w:rPr>
        <w:t>人才目标：培养和引进一批与公司规模相适应的科研人才、管理人才、综合性人才。</w:t>
      </w:r>
    </w:p>
    <w:p>
      <w:pPr>
        <w:pStyle w:val="Style27"/>
        <w:keepNext w:val="0"/>
        <w:keepLines w:val="0"/>
        <w:widowControl w:val="0"/>
        <w:shd w:val="clear" w:color="auto" w:fill="auto"/>
        <w:bidi w:val="0"/>
        <w:spacing w:before="0" w:after="0" w:line="441" w:lineRule="exact"/>
        <w:ind w:left="0" w:right="0" w:firstLine="420"/>
        <w:jc w:val="both"/>
      </w:pPr>
      <w:r>
        <w:rPr>
          <w:color w:val="000000"/>
          <w:spacing w:val="0"/>
          <w:w w:val="100"/>
          <w:position w:val="0"/>
        </w:rPr>
        <w:t>该目标和规划在报告期内，得到了坚定不移的实施。公司煤矿顶板安全监测系统在原有基础上进行了 技术升级，在市场中继续保持行业龙头位置；同时，公司拓展了对煤矿安全运输事故、水火事故、冲击地 压事故等多项矿山灾害的监测和预防治理业务，贯彻实施了公司为煤矿矿井地质灾害防治提供相关产品和 技术服务，为煤矿安全生产保驾护航发展计划。公司的现代化管理体系已基本建成，人才计划也有较好的 实施，培养和引进了一批与公司规模相适应的科研人才、管理人才、综合性人才，保证了稳步、健康发展。 前期披露的发展战略和经营计划在报告期内的进展情况</w:t>
      </w:r>
    </w:p>
    <w:p>
      <w:pPr>
        <w:pStyle w:val="Style27"/>
        <w:keepNext w:val="0"/>
        <w:keepLines w:val="0"/>
        <w:widowControl w:val="0"/>
        <w:shd w:val="clear" w:color="auto" w:fill="auto"/>
        <w:bidi w:val="0"/>
        <w:spacing w:before="0" w:after="80" w:line="441" w:lineRule="exact"/>
        <w:ind w:left="0" w:right="0" w:firstLine="420"/>
        <w:jc w:val="both"/>
      </w:pPr>
      <w:r>
        <w:rPr>
          <w:color w:val="000000"/>
          <w:spacing w:val="0"/>
          <w:w w:val="100"/>
          <w:position w:val="0"/>
        </w:rPr>
        <w:t>2012年公司已经预感到煤炭行业形势恶化趋势，基于公司特点，未雨绸缪地提出了调结构、促转型， 加强外延式发展的战略，继续实施”一个坚持、两个转变，为矿山企业提供探、监、防、治一体化服务“的 计划，增强了公司抗风险能力。报告期内：</w:t>
      </w:r>
    </w:p>
    <w:p>
      <w:pPr>
        <w:pStyle w:val="Style27"/>
        <w:keepNext w:val="0"/>
        <w:keepLines w:val="0"/>
        <w:widowControl w:val="0"/>
        <w:shd w:val="clear" w:color="auto" w:fill="auto"/>
        <w:bidi w:val="0"/>
        <w:spacing w:before="0" w:after="0" w:line="444" w:lineRule="exact"/>
        <w:ind w:left="0" w:right="0" w:firstLine="420"/>
        <w:jc w:val="left"/>
      </w:pPr>
      <w:r>
        <w:rPr>
          <w:color w:val="000000"/>
          <w:spacing w:val="0"/>
          <w:w w:val="100"/>
          <w:position w:val="0"/>
        </w:rPr>
        <w:t>1）继续巩固煤矿顶板安全监测系统核心地位。改进后的无线系统已经代替原有的有线系统。募投项 目一一煤矿顶板安全监控设备扩建及技术改造项目已经全部完成，旧生产线拆除完毕，新生产线安装完成 并投入使用。</w:t>
      </w:r>
    </w:p>
    <w:p>
      <w:pPr>
        <w:pStyle w:val="Style27"/>
        <w:keepNext w:val="0"/>
        <w:keepLines w:val="0"/>
        <w:widowControl w:val="0"/>
        <w:shd w:val="clear" w:color="auto" w:fill="auto"/>
        <w:bidi w:val="0"/>
        <w:spacing w:before="0" w:after="0" w:line="444" w:lineRule="exact"/>
        <w:ind w:left="0" w:right="0" w:firstLine="420"/>
        <w:jc w:val="left"/>
      </w:pPr>
      <w:bookmarkStart w:id="139" w:name="bookmark139"/>
      <w:r>
        <w:rPr>
          <w:color w:val="000000"/>
          <w:spacing w:val="0"/>
          <w:w w:val="100"/>
          <w:position w:val="0"/>
        </w:rPr>
        <w:t>2</w:t>
      </w:r>
      <w:bookmarkEnd w:id="139"/>
      <w:r>
        <w:rPr>
          <w:color w:val="000000"/>
          <w:spacing w:val="0"/>
          <w:w w:val="100"/>
          <w:position w:val="0"/>
        </w:rPr>
        <w:t>、煤矿辅助运输智能安全系统进展迅速，关键技术已经突破，在智能控制、安全预防方面已经成熟, 并试制出两部样机，与之相关的多项专利已经申报，安标证预计下半年取得。近期已经举行了第一次技术 研讨会和产品推介会。</w:t>
      </w:r>
    </w:p>
    <w:p>
      <w:pPr>
        <w:pStyle w:val="Style27"/>
        <w:keepNext w:val="0"/>
        <w:keepLines w:val="0"/>
        <w:widowControl w:val="0"/>
        <w:shd w:val="clear" w:color="auto" w:fill="auto"/>
        <w:tabs>
          <w:tab w:pos="804" w:val="left"/>
        </w:tabs>
        <w:bidi w:val="0"/>
        <w:spacing w:before="0" w:after="0" w:line="444" w:lineRule="exact"/>
        <w:ind w:left="0" w:right="0" w:firstLine="420"/>
        <w:jc w:val="left"/>
      </w:pPr>
      <w:bookmarkStart w:id="140" w:name="bookmark140"/>
      <w:r>
        <w:rPr>
          <w:color w:val="000000"/>
          <w:spacing w:val="0"/>
          <w:w w:val="100"/>
          <w:position w:val="0"/>
        </w:rPr>
        <w:t>3</w:t>
      </w:r>
      <w:bookmarkEnd w:id="140"/>
      <w:r>
        <w:rPr>
          <w:color w:val="000000"/>
          <w:spacing w:val="0"/>
          <w:w w:val="100"/>
          <w:position w:val="0"/>
        </w:rPr>
        <w:t>）</w:t>
        <w:tab/>
        <w:t>矿井粉尘监测、降尘控制与环境评价系统项目、煤矿智能集成供液系统项目、煤矿</w:t>
      </w:r>
      <w:r>
        <w:rPr>
          <w:color w:val="000000"/>
          <w:spacing w:val="0"/>
          <w:w w:val="100"/>
          <w:position w:val="0"/>
        </w:rPr>
        <w:t>3G</w:t>
      </w:r>
      <w:r>
        <w:rPr>
          <w:color w:val="000000"/>
          <w:spacing w:val="0"/>
          <w:w w:val="100"/>
          <w:position w:val="0"/>
        </w:rPr>
        <w:t>无线网络多 媒体移动通讯系统项目均按照计划进行中，技术研发均已基本完成，部分产品正在申请安标，相关生产准 备工作也在进行中。</w:t>
      </w:r>
    </w:p>
    <w:p>
      <w:pPr>
        <w:pStyle w:val="Style27"/>
        <w:keepNext w:val="0"/>
        <w:keepLines w:val="0"/>
        <w:widowControl w:val="0"/>
        <w:shd w:val="clear" w:color="auto" w:fill="auto"/>
        <w:tabs>
          <w:tab w:pos="806" w:val="left"/>
        </w:tabs>
        <w:bidi w:val="0"/>
        <w:spacing w:before="0" w:after="0" w:line="444" w:lineRule="exact"/>
        <w:ind w:left="0" w:right="0" w:firstLine="420"/>
        <w:jc w:val="both"/>
      </w:pPr>
      <w:bookmarkStart w:id="141" w:name="bookmark141"/>
      <w:r>
        <w:rPr>
          <w:color w:val="000000"/>
          <w:spacing w:val="0"/>
          <w:w w:val="100"/>
          <w:position w:val="0"/>
        </w:rPr>
        <w:t>4</w:t>
      </w:r>
      <w:bookmarkEnd w:id="141"/>
      <w:r>
        <w:rPr>
          <w:color w:val="000000"/>
          <w:spacing w:val="0"/>
          <w:w w:val="100"/>
          <w:position w:val="0"/>
        </w:rPr>
        <w:t>）</w:t>
        <w:tab/>
        <w:t>国家级工程技术中心已经完成主体建设，正在进行室内外装修，预计2014年可投入使用。</w:t>
      </w:r>
    </w:p>
    <w:p>
      <w:pPr>
        <w:pStyle w:val="Style27"/>
        <w:keepNext w:val="0"/>
        <w:keepLines w:val="0"/>
        <w:widowControl w:val="0"/>
        <w:shd w:val="clear" w:color="auto" w:fill="auto"/>
        <w:tabs>
          <w:tab w:pos="809" w:val="left"/>
        </w:tabs>
        <w:bidi w:val="0"/>
        <w:spacing w:before="0" w:after="0" w:line="444" w:lineRule="exact"/>
        <w:ind w:left="0" w:right="0" w:firstLine="420"/>
        <w:jc w:val="both"/>
      </w:pPr>
      <w:bookmarkStart w:id="142" w:name="bookmark142"/>
      <w:r>
        <w:rPr>
          <w:color w:val="000000"/>
          <w:spacing w:val="0"/>
          <w:w w:val="100"/>
          <w:position w:val="0"/>
        </w:rPr>
        <w:t>5</w:t>
      </w:r>
      <w:bookmarkEnd w:id="142"/>
      <w:r>
        <w:rPr>
          <w:color w:val="000000"/>
          <w:spacing w:val="0"/>
          <w:w w:val="100"/>
          <w:position w:val="0"/>
        </w:rPr>
        <w:t>）</w:t>
        <w:tab/>
        <w:t>矿用乳化液自动配比及反冲洗装置、矿用新材料产品、煤矿安全监测新产品研发和生产项目已经 进入正常生产销售，并得到市场认可。</w:t>
      </w:r>
    </w:p>
    <w:p>
      <w:pPr>
        <w:pStyle w:val="Style27"/>
        <w:keepNext w:val="0"/>
        <w:keepLines w:val="0"/>
        <w:widowControl w:val="0"/>
        <w:shd w:val="clear" w:color="auto" w:fill="auto"/>
        <w:tabs>
          <w:tab w:pos="804" w:val="left"/>
        </w:tabs>
        <w:bidi w:val="0"/>
        <w:spacing w:before="0" w:after="0" w:line="444" w:lineRule="exact"/>
        <w:ind w:left="0" w:right="0" w:firstLine="420"/>
        <w:jc w:val="both"/>
      </w:pPr>
      <w:bookmarkStart w:id="143" w:name="bookmark143"/>
      <w:r>
        <w:rPr>
          <w:color w:val="000000"/>
          <w:spacing w:val="0"/>
          <w:w w:val="100"/>
          <w:position w:val="0"/>
        </w:rPr>
        <w:t>6</w:t>
      </w:r>
      <w:bookmarkEnd w:id="143"/>
      <w:r>
        <w:rPr>
          <w:color w:val="000000"/>
          <w:spacing w:val="0"/>
          <w:w w:val="100"/>
          <w:position w:val="0"/>
        </w:rPr>
        <w:t>）</w:t>
        <w:tab/>
        <w:t>本年初，针对行业市场严峻形势，公司号召全体员工内外扩内缩过严冬，外部加强市场开拓，内 部加强控制管理，降本降费。经营成本和费用有了一定程度的降低，减缓了行业对公司的影响。</w:t>
      </w:r>
    </w:p>
    <w:p>
      <w:pPr>
        <w:pStyle w:val="Style27"/>
        <w:keepNext w:val="0"/>
        <w:keepLines w:val="0"/>
        <w:widowControl w:val="0"/>
        <w:shd w:val="clear" w:color="auto" w:fill="auto"/>
        <w:tabs>
          <w:tab w:pos="785" w:val="left"/>
        </w:tabs>
        <w:bidi w:val="0"/>
        <w:spacing w:before="0" w:after="140" w:line="444" w:lineRule="exact"/>
        <w:ind w:left="0" w:right="0" w:firstLine="420"/>
        <w:jc w:val="both"/>
      </w:pPr>
      <w:bookmarkStart w:id="144" w:name="bookmark144"/>
      <w:r>
        <w:rPr>
          <w:color w:val="000000"/>
          <w:spacing w:val="0"/>
          <w:w w:val="100"/>
          <w:position w:val="0"/>
        </w:rPr>
        <w:t>7</w:t>
      </w:r>
      <w:bookmarkEnd w:id="144"/>
      <w:r>
        <w:rPr>
          <w:color w:val="000000"/>
          <w:spacing w:val="0"/>
          <w:w w:val="100"/>
          <w:position w:val="0"/>
        </w:rPr>
        <w:t>）</w:t>
        <w:tab/>
        <w:t>公司在期内实施了对富华宇祺的并购重组工作，为公司外延式发展战略实施开了个好头。年末， 已经获得中国证监会核准，目前已经全部完成。为公司今后发展和效益增加，注入了新的活力。</w:t>
      </w:r>
    </w:p>
    <w:p>
      <w:pPr>
        <w:pStyle w:val="Style36"/>
        <w:keepNext/>
        <w:keepLines/>
        <w:widowControl w:val="0"/>
        <w:shd w:val="clear" w:color="auto" w:fill="auto"/>
        <w:bidi w:val="0"/>
        <w:spacing w:before="0" w:after="360" w:line="444" w:lineRule="exact"/>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45"/>
      <w:bookmarkEnd w:id="146"/>
      <w:bookmarkEnd w:id="148"/>
    </w:p>
    <w:p>
      <w:pPr>
        <w:pStyle w:val="Style27"/>
        <w:keepNext w:val="0"/>
        <w:keepLines w:val="0"/>
        <w:widowControl w:val="0"/>
        <w:shd w:val="clear" w:color="auto" w:fill="auto"/>
        <w:bidi w:val="0"/>
        <w:spacing w:before="0" w:after="0" w:line="463"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报告期主营业务收入及主营业务利润的构成</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173,788,208.55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43,587,428.80</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煤矿顶板安全监测系统及相关仪器仪 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134,209,823.75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28,586,212.51</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煤矿巷道锚护机具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18,870,858.12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6,879,234.66</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煤矿顶板充填材料及工程施工收入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20,707,526.68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8,121,981.63</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173,788,208.55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43,587,428.80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22,627,853.05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5,479,378.48</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61,016,882.49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16,405,983.42</w:t>
            </w:r>
          </w:p>
        </w:tc>
      </w:tr>
      <w:tr>
        <w:trPr>
          <w:trHeight w:val="408"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11,348,897.38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2,420,243.08</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18,965,115.59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5,345,812.64</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9,696,966.44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3,890,096.99</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11,199,347.36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3,523,627.92</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5,662,260.51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1,569,477.43</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2,460,900.07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484,259.53</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3,066,870.04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741,639.60</w:t>
            </w:r>
          </w:p>
        </w:tc>
      </w:tr>
      <w:tr>
        <w:trPr>
          <w:trHeight w:val="413"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其他地区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27,743,115.62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3,779,534.71</w:t>
            </w:r>
          </w:p>
        </w:tc>
      </w:tr>
    </w:tbl>
    <w:p>
      <w:pPr>
        <w:widowControl w:val="0"/>
        <w:spacing w:after="39" w:line="1" w:lineRule="exact"/>
      </w:pP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3"/>
        <w:gridCol w:w="1368"/>
        <w:gridCol w:w="1368"/>
        <w:gridCol w:w="1368"/>
        <w:gridCol w:w="1378"/>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营业收入比上 年同期增减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营业成本比上 年同期增减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毛利率比上年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173,788,208.55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43,587,428.80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1027"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煤矿顶板安全 监测系统及相 关仪器仪表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134,209,823.75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28,586,212.51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-3.55%</w:t>
            </w:r>
          </w:p>
        </w:tc>
      </w:tr>
      <w:tr>
        <w:trPr>
          <w:trHeight w:val="710"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煤矿巷道锚护</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18,870,858.12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6,879,234.66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-8.49%</w:t>
            </w:r>
          </w:p>
        </w:tc>
      </w:tr>
      <w:tr>
        <w:trPr>
          <w:trHeight w:val="1027"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煤矿顶板充填</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材料及工程施</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20,707,526.68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8,121,981.63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11.17%</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22,627,853.05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5,479,378.48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-1.66%</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61,016,882.49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16,405,983.42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73.11%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-6.43%</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11,348,897.38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2,420,243.08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-6.46%</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18,965,115.59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5,345,812.64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9,696,966.44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3,890,096.99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11,199,347.36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3,523,627.92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5,662,260.51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1,569,477.43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-5.49%</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2,460,900.07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484,259.53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14.52%</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3,066,870.04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741,639.60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08" w:hRule="exact"/>
        </w:trPr>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其他地区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27,743,115.62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3,726,909.71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86.57%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-57.04%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22.71%</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49"/>
      <w:bookmarkEnd w:id="150"/>
      <w:bookmarkEnd w:id="152"/>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1"/>
        <w:gridCol w:w="1195"/>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年末</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比重增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占总资产</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占总资产</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245,219,929.</w:t>
            </w:r>
          </w:p>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302,722,961.</w:t>
            </w:r>
          </w:p>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166,970,679.</w:t>
            </w:r>
          </w:p>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136,539,600.</w:t>
            </w:r>
          </w:p>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37,907,408.2</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30,363,337.0</w:t>
            </w:r>
          </w:p>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113,558,152.</w:t>
            </w:r>
          </w:p>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106,846,009.</w:t>
            </w:r>
          </w:p>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39,342,454.8</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22,485,561.7</w:t>
            </w:r>
          </w:p>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w:t>
      </w:r>
      <w:bookmarkEnd w:id="155"/>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53"/>
      <w:bookmarkEnd w:id="154"/>
      <w:bookmarkEnd w:id="156"/>
    </w:p>
    <w:p>
      <w:pPr>
        <w:pStyle w:val="Style27"/>
        <w:keepNext w:val="0"/>
        <w:keepLines w:val="0"/>
        <w:widowControl w:val="0"/>
        <w:shd w:val="clear" w:color="auto" w:fill="auto"/>
        <w:bidi w:val="0"/>
        <w:spacing w:before="0" w:after="160" w:line="441" w:lineRule="exact"/>
        <w:ind w:left="0" w:right="0" w:firstLine="420"/>
        <w:jc w:val="both"/>
      </w:pPr>
      <w:r>
        <w:rPr>
          <w:color w:val="000000"/>
          <w:spacing w:val="0"/>
          <w:w w:val="100"/>
          <w:position w:val="0"/>
        </w:rPr>
        <w:t>公司在本年度核心竞争力继续得到加强：一是公司购进了激光切割机等一批先进设备，并对生产线进 行了技术改造，提高了公司生产的自动化程度，对生产效率、产品质量的提高及人工费用和产品废品率的 降低，产生了非常好的效果；二是公司取得了一批包括冲击地压、电磁辐射等在内的新技术成果；三是申 请并获得了多项专利、软件著作权。四是公司全资子公司获得国家级高新技术企业认证；五是公司获得多 项省部级以上科技项目立项；六是公司成功并购重组北京国家级高新技术企业富华宇祺；七是公司针对煤 矿安全辅助运输事故防治的新产品一一煤矿智能安全辅助运输系统取得重大突破，样机试制完成，取得安 标后，即可形成销售。以上方面的变化，对公司未来可持续性发展，创造更大经济效益有着极为重要的积 极意义。</w:t>
      </w:r>
    </w:p>
    <w:p>
      <w:pPr>
        <w:pStyle w:val="Style36"/>
        <w:keepNext/>
        <w:keepLines/>
        <w:widowControl w:val="0"/>
        <w:shd w:val="clear" w:color="auto" w:fill="auto"/>
        <w:bidi w:val="0"/>
        <w:spacing w:before="0" w:line="441" w:lineRule="exact"/>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57"/>
      <w:bookmarkEnd w:id="158"/>
      <w:bookmarkEnd w:id="160"/>
    </w:p>
    <w:p>
      <w:pPr>
        <w:pStyle w:val="Style27"/>
        <w:keepNext w:val="0"/>
        <w:keepLines w:val="0"/>
        <w:widowControl w:val="0"/>
        <w:shd w:val="clear" w:color="auto" w:fill="auto"/>
        <w:bidi w:val="0"/>
        <w:spacing w:before="0" w:after="0" w:line="461"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p>
    <w:p>
      <w:pPr>
        <w:pStyle w:val="Style34"/>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46,338.95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报告期投入募集资金总额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2,014.82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已累计投入募集资金总额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35,556.16</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报告期内变更用途的募集资金总额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4104"/>
        <w:gridCol w:w="5477"/>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累计变更用途的募集资金总额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1968" w:hRule="exact"/>
        </w:trPr>
        <w:tc>
          <w:tcPr>
            <w:gridSpan w:val="2"/>
            <w:tcBorders>
              <w:top w:val="single" w:sz="4"/>
              <w:left w:val="single" w:sz="4"/>
              <w:bottom w:val="single" w:sz="4"/>
              <w:righ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200"/>
              <w:jc w:val="both"/>
              <w:rPr>
                <w:sz w:val="18"/>
                <w:szCs w:val="18"/>
              </w:rPr>
            </w:pPr>
            <w:r>
              <w:rPr>
                <w:color w:val="000000"/>
                <w:spacing w:val="0"/>
                <w:w w:val="100"/>
                <w:position w:val="0"/>
                <w:sz w:val="18"/>
                <w:szCs w:val="18"/>
              </w:rPr>
              <w:t>尤洛卡矿业安全工程股份有限公司经中国证券监督管理委员会证监发行字</w:t>
            </w:r>
            <w:r>
              <w:rPr>
                <w:rFonts w:ascii="Times New Roman" w:eastAsia="Times New Roman" w:hAnsi="Times New Roman" w:cs="Times New Roman"/>
                <w:color w:val="000000"/>
                <w:spacing w:val="0"/>
                <w:w w:val="100"/>
                <w:position w:val="0"/>
                <w:sz w:val="18"/>
                <w:szCs w:val="18"/>
              </w:rPr>
              <w:t>[2010]955</w:t>
            </w:r>
            <w:r>
              <w:rPr>
                <w:color w:val="000000"/>
                <w:spacing w:val="0"/>
                <w:w w:val="100"/>
                <w:position w:val="0"/>
                <w:sz w:val="18"/>
                <w:szCs w:val="18"/>
              </w:rPr>
              <w:t>号文核准，于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日公 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股)股票</w:t>
            </w:r>
            <w:r>
              <w:rPr>
                <w:rFonts w:ascii="Times New Roman" w:eastAsia="Times New Roman" w:hAnsi="Times New Roman" w:cs="Times New Roman"/>
                <w:color w:val="000000"/>
                <w:spacing w:val="0"/>
                <w:w w:val="100"/>
                <w:position w:val="0"/>
                <w:sz w:val="18"/>
                <w:szCs w:val="18"/>
              </w:rPr>
              <w:t>1,034</w:t>
            </w:r>
            <w:r>
              <w:rPr>
                <w:color w:val="000000"/>
                <w:spacing w:val="0"/>
                <w:w w:val="100"/>
                <w:position w:val="0"/>
                <w:sz w:val="18"/>
                <w:szCs w:val="18"/>
              </w:rPr>
              <w:t>万股，每股发行价</w:t>
            </w:r>
            <w:r>
              <w:rPr>
                <w:rFonts w:ascii="Times New Roman" w:eastAsia="Times New Roman" w:hAnsi="Times New Roman" w:cs="Times New Roman"/>
                <w:color w:val="000000"/>
                <w:spacing w:val="0"/>
                <w:w w:val="100"/>
                <w:position w:val="0"/>
                <w:sz w:val="18"/>
                <w:szCs w:val="18"/>
              </w:rPr>
              <w:t>48.65</w:t>
            </w:r>
            <w:r>
              <w:rPr>
                <w:color w:val="000000"/>
                <w:spacing w:val="0"/>
                <w:w w:val="100"/>
                <w:position w:val="0"/>
                <w:sz w:val="18"/>
                <w:szCs w:val="18"/>
              </w:rPr>
              <w:t>元，共募集资金</w:t>
            </w:r>
            <w:r>
              <w:rPr>
                <w:rFonts w:ascii="Times New Roman" w:eastAsia="Times New Roman" w:hAnsi="Times New Roman" w:cs="Times New Roman"/>
                <w:color w:val="000000"/>
                <w:spacing w:val="0"/>
                <w:w w:val="100"/>
                <w:position w:val="0"/>
                <w:sz w:val="18"/>
                <w:szCs w:val="18"/>
              </w:rPr>
              <w:t>50,304.10</w:t>
            </w:r>
            <w:r>
              <w:rPr>
                <w:color w:val="000000"/>
                <w:spacing w:val="0"/>
                <w:w w:val="100"/>
                <w:position w:val="0"/>
                <w:sz w:val="18"/>
                <w:szCs w:val="18"/>
              </w:rPr>
              <w:t>万元,扣除发行费用</w:t>
            </w:r>
            <w:r>
              <w:rPr>
                <w:rFonts w:ascii="Times New Roman" w:eastAsia="Times New Roman" w:hAnsi="Times New Roman" w:cs="Times New Roman"/>
                <w:color w:val="000000"/>
                <w:spacing w:val="0"/>
                <w:w w:val="100"/>
                <w:position w:val="0"/>
                <w:sz w:val="18"/>
                <w:szCs w:val="18"/>
              </w:rPr>
              <w:t xml:space="preserve">39,651,540.0 </w:t>
            </w:r>
            <w:r>
              <w:rPr>
                <w:color w:val="000000"/>
                <w:spacing w:val="0"/>
                <w:w w:val="100"/>
                <w:position w:val="0"/>
                <w:sz w:val="18"/>
                <w:szCs w:val="18"/>
              </w:rPr>
              <w:t>元，实际募集资金净额为</w:t>
            </w:r>
            <w:r>
              <w:rPr>
                <w:rFonts w:ascii="Times New Roman" w:eastAsia="Times New Roman" w:hAnsi="Times New Roman" w:cs="Times New Roman"/>
                <w:color w:val="000000"/>
                <w:spacing w:val="0"/>
                <w:w w:val="100"/>
                <w:position w:val="0"/>
                <w:sz w:val="18"/>
                <w:szCs w:val="18"/>
              </w:rPr>
              <w:t>463,389,460.00</w:t>
            </w:r>
            <w:r>
              <w:rPr>
                <w:color w:val="000000"/>
                <w:spacing w:val="0"/>
                <w:w w:val="100"/>
                <w:position w:val="0"/>
                <w:sz w:val="18"/>
                <w:szCs w:val="18"/>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日，公司对募集资金项目累计投入</w:t>
            </w:r>
            <w:r>
              <w:rPr>
                <w:rFonts w:ascii="Times New Roman" w:eastAsia="Times New Roman" w:hAnsi="Times New Roman" w:cs="Times New Roman"/>
                <w:color w:val="000000"/>
                <w:spacing w:val="0"/>
                <w:w w:val="100"/>
                <w:position w:val="0"/>
                <w:sz w:val="18"/>
                <w:szCs w:val="18"/>
              </w:rPr>
              <w:t>35556.19</w:t>
            </w:r>
            <w:r>
              <w:rPr>
                <w:color w:val="000000"/>
                <w:spacing w:val="0"/>
                <w:w w:val="100"/>
                <w:position w:val="0"/>
                <w:sz w:val="18"/>
                <w:szCs w:val="18"/>
              </w:rPr>
              <w:t>万元， 其中：</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年度使用募集资金人民币</w:t>
            </w:r>
            <w:r>
              <w:rPr>
                <w:rFonts w:ascii="Times New Roman" w:eastAsia="Times New Roman" w:hAnsi="Times New Roman" w:cs="Times New Roman"/>
                <w:color w:val="000000"/>
                <w:spacing w:val="0"/>
                <w:w w:val="100"/>
                <w:position w:val="0"/>
                <w:sz w:val="18"/>
                <w:szCs w:val="18"/>
              </w:rPr>
              <w:t>7,122.92</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年度使用募集资金人民币</w:t>
            </w:r>
            <w:r>
              <w:rPr>
                <w:rFonts w:ascii="Times New Roman" w:eastAsia="Times New Roman" w:hAnsi="Times New Roman" w:cs="Times New Roman"/>
                <w:color w:val="000000"/>
                <w:spacing w:val="0"/>
                <w:w w:val="100"/>
                <w:position w:val="0"/>
                <w:sz w:val="18"/>
                <w:szCs w:val="18"/>
              </w:rPr>
              <w:t>20973.29</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年度使用募集 资金人民币</w:t>
            </w:r>
            <w:r>
              <w:rPr>
                <w:rFonts w:ascii="Times New Roman" w:eastAsia="Times New Roman" w:hAnsi="Times New Roman" w:cs="Times New Roman"/>
                <w:color w:val="000000"/>
                <w:spacing w:val="0"/>
                <w:w w:val="100"/>
                <w:position w:val="0"/>
                <w:sz w:val="18"/>
                <w:szCs w:val="18"/>
              </w:rPr>
              <w:t>5445.13</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年度使用募集资金人民币</w:t>
            </w:r>
            <w:r>
              <w:rPr>
                <w:rFonts w:ascii="Times New Roman" w:eastAsia="Times New Roman" w:hAnsi="Times New Roman" w:cs="Times New Roman"/>
                <w:color w:val="000000"/>
                <w:spacing w:val="0"/>
                <w:w w:val="100"/>
                <w:position w:val="0"/>
                <w:sz w:val="18"/>
                <w:szCs w:val="18"/>
              </w:rPr>
              <w:t>2014.85</w:t>
            </w:r>
            <w:r>
              <w:rPr>
                <w:color w:val="000000"/>
                <w:spacing w:val="0"/>
                <w:w w:val="100"/>
                <w:position w:val="0"/>
                <w:sz w:val="18"/>
                <w:szCs w:val="18"/>
              </w:rPr>
              <w:t>万元。截止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日，募集资金已经全部 安排使用计划，另外安排募集资金利息使用计划</w:t>
            </w:r>
            <w:r>
              <w:rPr>
                <w:rFonts w:ascii="Times New Roman" w:eastAsia="Times New Roman" w:hAnsi="Times New Roman" w:cs="Times New Roman"/>
                <w:color w:val="000000"/>
                <w:spacing w:val="0"/>
                <w:w w:val="100"/>
                <w:position w:val="0"/>
                <w:sz w:val="18"/>
                <w:szCs w:val="18"/>
              </w:rPr>
              <w:t>1006.36</w:t>
            </w:r>
            <w:r>
              <w:rPr>
                <w:color w:val="000000"/>
                <w:spacing w:val="0"/>
                <w:w w:val="100"/>
                <w:position w:val="0"/>
                <w:sz w:val="18"/>
                <w:szCs w:val="18"/>
              </w:rPr>
              <w:t>万元。尚未实际使用余额为人民币</w:t>
            </w:r>
            <w:r>
              <w:rPr>
                <w:rFonts w:ascii="Times New Roman" w:eastAsia="Times New Roman" w:hAnsi="Times New Roman" w:cs="Times New Roman"/>
                <w:color w:val="000000"/>
                <w:spacing w:val="0"/>
                <w:w w:val="100"/>
                <w:position w:val="0"/>
                <w:sz w:val="18"/>
                <w:szCs w:val="18"/>
              </w:rPr>
              <w:t>12734.75</w:t>
            </w:r>
            <w:r>
              <w:rPr>
                <w:color w:val="000000"/>
                <w:spacing w:val="0"/>
                <w:w w:val="100"/>
                <w:position w:val="0"/>
                <w:sz w:val="18"/>
                <w:szCs w:val="18"/>
              </w:rPr>
              <w:t>万元(含已得利息)。</w:t>
            </w:r>
          </w:p>
        </w:tc>
      </w:tr>
    </w:tbl>
    <w:p>
      <w:pPr>
        <w:widowControl w:val="0"/>
        <w:spacing w:after="39" w:line="1" w:lineRule="exact"/>
      </w:pP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37"/>
        <w:gridCol w:w="720"/>
        <w:gridCol w:w="725"/>
        <w:gridCol w:w="720"/>
        <w:gridCol w:w="720"/>
        <w:gridCol w:w="720"/>
        <w:gridCol w:w="725"/>
        <w:gridCol w:w="720"/>
        <w:gridCol w:w="720"/>
        <w:gridCol w:w="725"/>
        <w:gridCol w:w="720"/>
        <w:gridCol w:w="730"/>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承诺投资项目和 超募资金投向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80" w:right="0" w:firstLine="0"/>
              <w:jc w:val="both"/>
              <w:rPr>
                <w:sz w:val="18"/>
                <w:szCs w:val="18"/>
              </w:rPr>
            </w:pPr>
            <w:r>
              <w:rPr>
                <w:color w:val="000000"/>
                <w:spacing w:val="0"/>
                <w:w w:val="100"/>
                <w:position w:val="0"/>
                <w:sz w:val="18"/>
                <w:szCs w:val="18"/>
              </w:rPr>
              <w:t>募集 资金 承诺 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调整 后投 资总 额⑴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本报 告期 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08" w:lineRule="exact"/>
              <w:ind w:left="0" w:right="0" w:firstLine="160"/>
              <w:jc w:val="both"/>
              <w:rPr>
                <w:sz w:val="18"/>
                <w:szCs w:val="18"/>
              </w:rPr>
            </w:pPr>
            <w:r>
              <w:rPr>
                <w:color w:val="000000"/>
                <w:spacing w:val="0"/>
                <w:w w:val="100"/>
                <w:position w:val="0"/>
                <w:sz w:val="18"/>
                <w:szCs w:val="18"/>
              </w:rPr>
              <w:t>截至 期末 累计 投入 金额</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18" w:lineRule="exact"/>
              <w:ind w:left="0" w:right="0" w:firstLine="180"/>
              <w:jc w:val="both"/>
              <w:rPr>
                <w:sz w:val="18"/>
                <w:szCs w:val="18"/>
              </w:rPr>
            </w:pPr>
            <w:r>
              <w:rPr>
                <w:color w:val="000000"/>
                <w:spacing w:val="0"/>
                <w:w w:val="100"/>
                <w:position w:val="0"/>
                <w:sz w:val="18"/>
                <w:szCs w:val="18"/>
              </w:rPr>
              <w:t>截至 期末 投资 进度</w:t>
            </w:r>
          </w:p>
          <w:p>
            <w:pPr>
              <w:pStyle w:val="Style21"/>
              <w:keepNext w:val="0"/>
              <w:keepLines w:val="0"/>
              <w:widowControl w:val="0"/>
              <w:shd w:val="clear" w:color="auto" w:fill="auto"/>
              <w:bidi w:val="0"/>
              <w:spacing w:before="0" w:after="28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widowControl w:val="0"/>
              <w:shd w:val="clear" w:color="auto" w:fill="auto"/>
              <w:bidi w:val="0"/>
              <w:spacing w:before="0" w:after="18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项目 达到 预定 可使 用状 态日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 xml:space="preserve">本报 告期 实现 的效 </w:t>
            </w:r>
            <w:r>
              <w:rPr>
                <w:color w:val="000000"/>
                <w:spacing w:val="0"/>
                <w:w w:val="100"/>
                <w:position w:val="0"/>
                <w:sz w:val="18"/>
                <w:szCs w:val="18"/>
                <w:u w:val="single"/>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 xml:space="preserve">截止 报告 期末 累计 实现 的效 </w:t>
            </w:r>
            <w:r>
              <w:rPr>
                <w:color w:val="000000"/>
                <w:spacing w:val="0"/>
                <w:w w:val="100"/>
                <w:position w:val="0"/>
                <w:sz w:val="18"/>
                <w:szCs w:val="18"/>
                <w:u w:val="single"/>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是否 达到 预计 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180" w:right="0" w:firstLine="0"/>
              <w:jc w:val="left"/>
              <w:rPr>
                <w:sz w:val="18"/>
                <w:szCs w:val="18"/>
              </w:rPr>
            </w:pPr>
            <w:r>
              <w:rPr>
                <w:color w:val="000000"/>
                <w:spacing w:val="0"/>
                <w:w w:val="100"/>
                <w:position w:val="0"/>
                <w:sz w:val="18"/>
                <w:szCs w:val="18"/>
              </w:rPr>
              <w:t>项目 可行 性是 否发 生重 大变</w:t>
            </w:r>
          </w:p>
          <w:p>
            <w:pPr>
              <w:pStyle w:val="Style21"/>
              <w:keepNext w:val="0"/>
              <w:keepLines w:val="0"/>
              <w:widowControl w:val="0"/>
              <w:shd w:val="clear" w:color="auto" w:fill="auto"/>
              <w:bidi w:val="0"/>
              <w:spacing w:before="0" w:after="0" w:line="316" w:lineRule="exact"/>
              <w:ind w:left="0" w:right="0" w:firstLine="260"/>
              <w:jc w:val="left"/>
              <w:rPr>
                <w:sz w:val="18"/>
                <w:szCs w:val="18"/>
              </w:rPr>
            </w:pPr>
            <w:r>
              <w:rPr>
                <w:color w:val="000000"/>
                <w:spacing w:val="0"/>
                <w:w w:val="100"/>
                <w:position w:val="0"/>
                <w:sz w:val="18"/>
                <w:szCs w:val="18"/>
              </w:rPr>
              <w:t>化</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r>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煤矿顶板安全监 控设备扩建及技 术改造项目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15,039</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11,823</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11,823</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承诺投资项目小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15,039</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11,823</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11,823</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1334"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、国家工程技术 研究中心筹建项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3,584.</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57.66</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、煤矿安全监测 新产品研发和生 产项目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2,133.</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88.91</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973" w:hRule="exact"/>
        </w:trPr>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、煤矿综采工作 面乳化液全自动 配液装置及乳化 液高压自动反冲 洗过滤站装置研 发和生产项目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1,706.</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94.79</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bl>
    <w:p>
      <w:pPr>
        <w:spacing w:lineRule="exact" w:line="1"/>
        <w:rPr>
          <w:sz w:val="2"/>
          <w:szCs w:val="2"/>
        </w:rPr>
      </w:pPr>
      <w:r>
        <w:br w:type="page"/>
      </w:r>
    </w:p>
    <w:tbl>
      <w:tblPr>
        <w:tblOverlap w:val="never"/>
        <w:jc w:val="center"/>
        <w:tblLayout w:type="fixed"/>
      </w:tblPr>
      <w:tblGrid>
        <w:gridCol w:w="1637"/>
        <w:gridCol w:w="720"/>
        <w:gridCol w:w="725"/>
        <w:gridCol w:w="720"/>
        <w:gridCol w:w="720"/>
        <w:gridCol w:w="720"/>
        <w:gridCol w:w="725"/>
        <w:gridCol w:w="720"/>
        <w:gridCol w:w="720"/>
        <w:gridCol w:w="725"/>
        <w:gridCol w:w="720"/>
        <w:gridCol w:w="730"/>
      </w:tblGrid>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、煤矿顶板充填 材料项目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、煤矿</w:t>
            </w:r>
            <w:r>
              <w:rPr>
                <w:rFonts w:ascii="Times New Roman" w:eastAsia="Times New Roman" w:hAnsi="Times New Roman" w:cs="Times New Roman"/>
                <w:color w:val="000000"/>
                <w:spacing w:val="0"/>
                <w:w w:val="100"/>
                <w:position w:val="0"/>
                <w:sz w:val="18"/>
                <w:szCs w:val="18"/>
              </w:rPr>
              <w:t>3G</w:t>
            </w:r>
            <w:r>
              <w:rPr>
                <w:color w:val="000000"/>
                <w:spacing w:val="0"/>
                <w:w w:val="100"/>
                <w:position w:val="0"/>
                <w:sz w:val="18"/>
                <w:szCs w:val="18"/>
              </w:rPr>
              <w:t>无线网 络多媒体移动通 讯系统项目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、矿井粉尘监测、 降尘控制与环境 评价系统项目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、煤矿智能集成 供液系统项目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1,699.</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1,699.</w:t>
            </w:r>
          </w:p>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1334"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、煤矿井下安全 运输系统项目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、在上海设立全 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1339"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、在北京设立全</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补充流动资金（如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超募资金投向小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31,299</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34,515</w:t>
            </w:r>
          </w:p>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23,732</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46,338</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46,338</w:t>
            </w:r>
          </w:p>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35,556</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未达到计划进度 或预计收益的情 况和原因（分具体 项目）</w:t>
            </w:r>
          </w:p>
        </w:tc>
        <w:tc>
          <w:tcPr>
            <w:gridSpan w:val="11"/>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项目可行性发生 重大变化的情况 说明</w:t>
            </w:r>
          </w:p>
        </w:tc>
        <w:tc>
          <w:tcPr>
            <w:gridSpan w:val="11"/>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1637"/>
        <w:gridCol w:w="794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超募资金的金额、 用途及使用进展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r>
        <w:trPr>
          <w:trHeight w:val="51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本公司超募资金</w:t>
            </w:r>
            <w:r>
              <w:rPr>
                <w:rFonts w:ascii="Times New Roman" w:eastAsia="Times New Roman" w:hAnsi="Times New Roman" w:cs="Times New Roman"/>
                <w:color w:val="000000"/>
                <w:spacing w:val="0"/>
                <w:w w:val="100"/>
                <w:position w:val="0"/>
                <w:sz w:val="18"/>
                <w:szCs w:val="18"/>
              </w:rPr>
              <w:t>31299.47</w:t>
            </w:r>
            <w:r>
              <w:rPr>
                <w:color w:val="000000"/>
                <w:spacing w:val="0"/>
                <w:w w:val="100"/>
                <w:position w:val="0"/>
                <w:sz w:val="18"/>
                <w:szCs w:val="18"/>
              </w:rPr>
              <w:t>万元，已全部安排实施项目；其中，部分项目已经实施完毕交付使用并产 生收益。目前，尚在实施过程中的项目有：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公司的“国家工程技术研究中心筹建项目”，调整后 计划投资总额</w:t>
            </w:r>
            <w:r>
              <w:rPr>
                <w:rFonts w:ascii="Times New Roman" w:eastAsia="Times New Roman" w:hAnsi="Times New Roman" w:cs="Times New Roman"/>
                <w:color w:val="000000"/>
                <w:spacing w:val="0"/>
                <w:w w:val="100"/>
                <w:position w:val="0"/>
                <w:sz w:val="18"/>
                <w:szCs w:val="18"/>
              </w:rPr>
              <w:t>6216</w:t>
            </w:r>
            <w:r>
              <w:rPr>
                <w:color w:val="000000"/>
                <w:spacing w:val="0"/>
                <w:w w:val="100"/>
                <w:position w:val="0"/>
                <w:sz w:val="18"/>
                <w:szCs w:val="18"/>
              </w:rPr>
              <w:t>万元。截止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日累计投入</w:t>
            </w:r>
            <w:r>
              <w:rPr>
                <w:rFonts w:ascii="Times New Roman" w:eastAsia="Times New Roman" w:hAnsi="Times New Roman" w:cs="Times New Roman"/>
                <w:color w:val="000000"/>
                <w:spacing w:val="0"/>
                <w:w w:val="100"/>
                <w:position w:val="0"/>
                <w:sz w:val="18"/>
                <w:szCs w:val="18"/>
              </w:rPr>
              <w:t>3,584.34</w:t>
            </w:r>
            <w:r>
              <w:rPr>
                <w:color w:val="000000"/>
                <w:spacing w:val="0"/>
                <w:w w:val="100"/>
                <w:position w:val="0"/>
                <w:sz w:val="18"/>
                <w:szCs w:val="18"/>
              </w:rPr>
              <w:t xml:space="preserve">万元，占该项目投资总额的 </w:t>
            </w:r>
            <w:r>
              <w:rPr>
                <w:rFonts w:ascii="Times New Roman" w:eastAsia="Times New Roman" w:hAnsi="Times New Roman" w:cs="Times New Roman"/>
                <w:color w:val="000000"/>
                <w:spacing w:val="0"/>
                <w:w w:val="100"/>
                <w:position w:val="0"/>
                <w:sz w:val="18"/>
                <w:szCs w:val="18"/>
              </w:rPr>
              <w:t>57.66%</w:t>
            </w:r>
            <w:r>
              <w:rPr>
                <w:color w:val="000000"/>
                <w:spacing w:val="0"/>
                <w:w w:val="100"/>
                <w:position w:val="0"/>
                <w:sz w:val="18"/>
                <w:szCs w:val="18"/>
              </w:rPr>
              <w:t>，该项目主体工程已经完成，现正在进行室内外装修及室内设施配套工程。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煤矿</w:t>
            </w:r>
            <w:r>
              <w:rPr>
                <w:rFonts w:ascii="Times New Roman" w:eastAsia="Times New Roman" w:hAnsi="Times New Roman" w:cs="Times New Roman"/>
                <w:color w:val="000000"/>
                <w:spacing w:val="0"/>
                <w:w w:val="100"/>
                <w:position w:val="0"/>
                <w:sz w:val="18"/>
                <w:szCs w:val="18"/>
              </w:rPr>
              <w:t>3G</w:t>
            </w:r>
            <w:r>
              <w:rPr>
                <w:color w:val="000000"/>
                <w:spacing w:val="0"/>
                <w:w w:val="100"/>
                <w:position w:val="0"/>
                <w:sz w:val="18"/>
                <w:szCs w:val="18"/>
              </w:rPr>
              <w:t>无线 网络多媒体移动通讯系统项目，计划投资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万元，截止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日该项目实际投资</w:t>
            </w:r>
            <w:r>
              <w:rPr>
                <w:rFonts w:ascii="Times New Roman" w:eastAsia="Times New Roman" w:hAnsi="Times New Roman" w:cs="Times New Roman"/>
                <w:color w:val="000000"/>
                <w:spacing w:val="0"/>
                <w:w w:val="100"/>
                <w:position w:val="0"/>
                <w:sz w:val="18"/>
                <w:szCs w:val="18"/>
              </w:rPr>
              <w:t xml:space="preserve">82.26 </w:t>
            </w:r>
            <w:r>
              <w:rPr>
                <w:color w:val="000000"/>
                <w:spacing w:val="0"/>
                <w:w w:val="100"/>
                <w:position w:val="0"/>
                <w:sz w:val="18"/>
                <w:szCs w:val="18"/>
              </w:rPr>
              <w:t>万元，占该项目投资总额的</w:t>
            </w:r>
            <w:r>
              <w:rPr>
                <w:rFonts w:ascii="Times New Roman" w:eastAsia="Times New Roman" w:hAnsi="Times New Roman" w:cs="Times New Roman"/>
                <w:color w:val="000000"/>
                <w:spacing w:val="0"/>
                <w:w w:val="100"/>
                <w:position w:val="0"/>
                <w:sz w:val="18"/>
                <w:szCs w:val="18"/>
              </w:rPr>
              <w:t>4.11%.</w:t>
            </w:r>
            <w:r>
              <w:rPr>
                <w:color w:val="000000"/>
                <w:spacing w:val="0"/>
                <w:w w:val="100"/>
                <w:position w:val="0"/>
                <w:sz w:val="18"/>
                <w:szCs w:val="18"/>
              </w:rPr>
              <w:t>该项目正在研发试制阶段，预计建设期限</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矿井粉尘 监测、降尘控制与环境评价系统项目，计划投资</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万元，截止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日该项目实际投 资</w:t>
            </w:r>
            <w:r>
              <w:rPr>
                <w:rFonts w:ascii="Times New Roman" w:eastAsia="Times New Roman" w:hAnsi="Times New Roman" w:cs="Times New Roman"/>
                <w:color w:val="000000"/>
                <w:spacing w:val="0"/>
                <w:w w:val="100"/>
                <w:position w:val="0"/>
                <w:sz w:val="18"/>
                <w:szCs w:val="18"/>
              </w:rPr>
              <w:t>7.03</w:t>
            </w:r>
            <w:r>
              <w:rPr>
                <w:color w:val="000000"/>
                <w:spacing w:val="0"/>
                <w:w w:val="100"/>
                <w:position w:val="0"/>
                <w:sz w:val="18"/>
                <w:szCs w:val="18"/>
              </w:rPr>
              <w:t>万元，占该项目投资总额的</w:t>
            </w:r>
            <w:r>
              <w:rPr>
                <w:rFonts w:ascii="Times New Roman" w:eastAsia="Times New Roman" w:hAnsi="Times New Roman" w:cs="Times New Roman"/>
                <w:color w:val="000000"/>
                <w:spacing w:val="0"/>
                <w:w w:val="100"/>
                <w:position w:val="0"/>
                <w:sz w:val="18"/>
                <w:szCs w:val="18"/>
              </w:rPr>
              <w:t xml:space="preserve">0.88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该项目正在实施中，预计建设期限</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煤矿智能 集成供液系统项目，计划总投资</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sz w:val="18"/>
                <w:szCs w:val="18"/>
              </w:rPr>
              <w:t>万元，其中计划使用超募资金本金</w:t>
            </w:r>
            <w:r>
              <w:rPr>
                <w:rFonts w:ascii="Times New Roman" w:eastAsia="Times New Roman" w:hAnsi="Times New Roman" w:cs="Times New Roman"/>
                <w:color w:val="000000"/>
                <w:spacing w:val="0"/>
                <w:w w:val="100"/>
                <w:position w:val="0"/>
                <w:sz w:val="18"/>
                <w:szCs w:val="18"/>
              </w:rPr>
              <w:t>1699.47</w:t>
            </w:r>
            <w:r>
              <w:rPr>
                <w:color w:val="000000"/>
                <w:spacing w:val="0"/>
                <w:w w:val="100"/>
                <w:position w:val="0"/>
                <w:sz w:val="18"/>
                <w:szCs w:val="18"/>
              </w:rPr>
              <w:t>万元，使用募集资 金利息</w:t>
            </w:r>
            <w:r>
              <w:rPr>
                <w:rFonts w:ascii="Times New Roman" w:eastAsia="Times New Roman" w:hAnsi="Times New Roman" w:cs="Times New Roman"/>
                <w:color w:val="000000"/>
                <w:spacing w:val="0"/>
                <w:w w:val="100"/>
                <w:position w:val="0"/>
                <w:sz w:val="18"/>
                <w:szCs w:val="18"/>
              </w:rPr>
              <w:t>50.53</w:t>
            </w:r>
            <w:r>
              <w:rPr>
                <w:color w:val="000000"/>
                <w:spacing w:val="0"/>
                <w:w w:val="100"/>
                <w:position w:val="0"/>
                <w:sz w:val="18"/>
                <w:szCs w:val="18"/>
              </w:rPr>
              <w:t>万元。截止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日该项目实际投资</w:t>
            </w:r>
            <w:r>
              <w:rPr>
                <w:rFonts w:ascii="Times New Roman" w:eastAsia="Times New Roman" w:hAnsi="Times New Roman" w:cs="Times New Roman"/>
                <w:color w:val="000000"/>
                <w:spacing w:val="0"/>
                <w:w w:val="100"/>
                <w:position w:val="0"/>
                <w:sz w:val="18"/>
                <w:szCs w:val="18"/>
              </w:rPr>
              <w:t>23.52</w:t>
            </w:r>
            <w:r>
              <w:rPr>
                <w:color w:val="000000"/>
                <w:spacing w:val="0"/>
                <w:w w:val="100"/>
                <w:position w:val="0"/>
                <w:sz w:val="18"/>
                <w:szCs w:val="18"/>
              </w:rPr>
              <w:t xml:space="preserve">万元，占该项目超募资金本金 </w:t>
            </w:r>
            <w:r>
              <w:rPr>
                <w:rFonts w:ascii="Times New Roman" w:eastAsia="Times New Roman" w:hAnsi="Times New Roman" w:cs="Times New Roman"/>
                <w:color w:val="000000"/>
                <w:spacing w:val="0"/>
                <w:w w:val="100"/>
                <w:position w:val="0"/>
                <w:sz w:val="18"/>
                <w:szCs w:val="18"/>
              </w:rPr>
              <w:t>1699.47</w:t>
            </w:r>
            <w:r>
              <w:rPr>
                <w:color w:val="000000"/>
                <w:spacing w:val="0"/>
                <w:w w:val="100"/>
                <w:position w:val="0"/>
                <w:sz w:val="18"/>
                <w:szCs w:val="18"/>
              </w:rPr>
              <w:t>万元的</w:t>
            </w:r>
            <w:r>
              <w:rPr>
                <w:rFonts w:ascii="Times New Roman" w:eastAsia="Times New Roman" w:hAnsi="Times New Roman" w:cs="Times New Roman"/>
                <w:color w:val="000000"/>
                <w:spacing w:val="0"/>
                <w:w w:val="100"/>
                <w:position w:val="0"/>
                <w:sz w:val="18"/>
                <w:szCs w:val="18"/>
              </w:rPr>
              <w:t>1.38%.</w:t>
            </w:r>
            <w:r>
              <w:rPr>
                <w:color w:val="000000"/>
                <w:spacing w:val="0"/>
                <w:w w:val="100"/>
                <w:position w:val="0"/>
                <w:sz w:val="18"/>
                <w:szCs w:val="18"/>
              </w:rPr>
              <w:t>该项目正在实施中，预计建设期限</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煤矿井下安全运输系统项目， 计划投资</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sz w:val="18"/>
                <w:szCs w:val="18"/>
              </w:rPr>
              <w:t>万元，截止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日，该项目实际投资</w:t>
            </w:r>
            <w:r>
              <w:rPr>
                <w:rFonts w:ascii="Times New Roman" w:eastAsia="Times New Roman" w:hAnsi="Times New Roman" w:cs="Times New Roman"/>
                <w:color w:val="000000"/>
                <w:spacing w:val="0"/>
                <w:w w:val="100"/>
                <w:position w:val="0"/>
                <w:sz w:val="18"/>
                <w:szCs w:val="18"/>
              </w:rPr>
              <w:t>795.49</w:t>
            </w:r>
            <w:r>
              <w:rPr>
                <w:color w:val="000000"/>
                <w:spacing w:val="0"/>
                <w:w w:val="100"/>
                <w:position w:val="0"/>
                <w:sz w:val="18"/>
                <w:szCs w:val="18"/>
              </w:rPr>
              <w:t xml:space="preserve">万元，占该项目投资总额的 </w:t>
            </w:r>
            <w:r>
              <w:rPr>
                <w:rFonts w:ascii="Times New Roman" w:eastAsia="Times New Roman" w:hAnsi="Times New Roman" w:cs="Times New Roman"/>
                <w:color w:val="000000"/>
                <w:spacing w:val="0"/>
                <w:w w:val="100"/>
                <w:position w:val="0"/>
                <w:sz w:val="18"/>
                <w:szCs w:val="18"/>
              </w:rPr>
              <w:t>18.94%.</w:t>
            </w:r>
            <w:r>
              <w:rPr>
                <w:color w:val="000000"/>
                <w:spacing w:val="0"/>
                <w:w w:val="100"/>
                <w:position w:val="0"/>
                <w:sz w:val="18"/>
                <w:szCs w:val="18"/>
              </w:rPr>
              <w:t>该项目正在研发试制阶段，预计建设期限</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个月。</w:t>
            </w:r>
          </w:p>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另外，根据公司与富华宇祺及其股东签订的发行股份支付现金购买资产协议，经第二届董事会</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年第九次会议审议通过，计划使用超募资金产生的利息</w:t>
            </w:r>
            <w:r>
              <w:rPr>
                <w:rFonts w:ascii="Times New Roman" w:eastAsia="Times New Roman" w:hAnsi="Times New Roman" w:cs="Times New Roman"/>
                <w:color w:val="000000"/>
                <w:spacing w:val="0"/>
                <w:w w:val="100"/>
                <w:position w:val="0"/>
                <w:sz w:val="18"/>
                <w:szCs w:val="18"/>
              </w:rPr>
              <w:t>9,558,341.10</w:t>
            </w:r>
            <w:r>
              <w:rPr>
                <w:color w:val="000000"/>
                <w:spacing w:val="0"/>
                <w:w w:val="100"/>
                <w:position w:val="0"/>
                <w:sz w:val="18"/>
                <w:szCs w:val="18"/>
              </w:rPr>
              <w:t>元用于支付该次资产重组的全 部现金对价。至本报告披露之日，该笔资金已经支付。</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募集资金投资项 目实施地点变更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募集资金投资项 目实施方式调整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以前年度发生</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公司将“煤矿顶板安全监控设备扩建及技术改造项目”中投资</w:t>
            </w:r>
            <w:r>
              <w:rPr>
                <w:rFonts w:ascii="Times New Roman" w:eastAsia="Times New Roman" w:hAnsi="Times New Roman" w:cs="Times New Roman"/>
                <w:color w:val="000000"/>
                <w:spacing w:val="0"/>
                <w:w w:val="100"/>
                <w:position w:val="0"/>
                <w:sz w:val="18"/>
                <w:szCs w:val="18"/>
              </w:rPr>
              <w:t>3216</w:t>
            </w:r>
            <w:r>
              <w:rPr>
                <w:color w:val="000000"/>
                <w:spacing w:val="0"/>
                <w:w w:val="100"/>
                <w:position w:val="0"/>
                <w:sz w:val="18"/>
                <w:szCs w:val="18"/>
              </w:rPr>
              <w:t>万元的一个子项目“研发试验 中心建设”，并入“国家工程技术研究中心项目（超募项目）”中实施。该调整事项已经公司</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日的临时股东大会审议批准。</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募集资金投资项 目先期投入及置 换情况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 xml:space="preserve">日，公司董事会批准，并经立信大华会计师事务所有限公司出具立信大华核字 </w:t>
            </w:r>
            <w:r>
              <w:rPr>
                <w:rFonts w:ascii="Times New Roman" w:eastAsia="Times New Roman" w:hAnsi="Times New Roman" w:cs="Times New Roman"/>
                <w:color w:val="000000"/>
                <w:spacing w:val="0"/>
                <w:w w:val="100"/>
                <w:position w:val="0"/>
                <w:sz w:val="18"/>
                <w:szCs w:val="18"/>
              </w:rPr>
              <w:t>[2010]2242</w:t>
            </w:r>
            <w:r>
              <w:rPr>
                <w:color w:val="000000"/>
                <w:spacing w:val="0"/>
                <w:w w:val="100"/>
                <w:position w:val="0"/>
                <w:sz w:val="18"/>
                <w:szCs w:val="18"/>
              </w:rPr>
              <w:t>号审核报告核验，公司用募集资金置换先期投入</w:t>
            </w:r>
            <w:r>
              <w:rPr>
                <w:rFonts w:ascii="Times New Roman" w:eastAsia="Times New Roman" w:hAnsi="Times New Roman" w:cs="Times New Roman"/>
                <w:color w:val="000000"/>
                <w:spacing w:val="0"/>
                <w:w w:val="100"/>
                <w:position w:val="0"/>
                <w:sz w:val="18"/>
                <w:szCs w:val="18"/>
              </w:rPr>
              <w:t>23,755,672.49</w:t>
            </w:r>
            <w:r>
              <w:rPr>
                <w:color w:val="000000"/>
                <w:spacing w:val="0"/>
                <w:w w:val="100"/>
                <w:position w:val="0"/>
                <w:sz w:val="18"/>
                <w:szCs w:val="18"/>
              </w:rPr>
              <w:t>元。</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用闲置募集资金 暂时补充流动资 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项目实施出现募 集资金结余的金 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尚未使用的募集 资金用途及去向</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日，公司已经安排使用，尚未实际使用的募集资金均存放于募集资金专户。</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募集资金使用及 披露中存在的问 题或其他情况</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36"/>
        <w:keepNext/>
        <w:keepLines/>
        <w:widowControl w:val="0"/>
        <w:shd w:val="clear" w:color="auto" w:fill="auto"/>
        <w:bidi w:val="0"/>
        <w:spacing w:before="0" w:after="36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w:t>
      </w:r>
      <w:bookmarkEnd w:id="163"/>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61"/>
      <w:bookmarkEnd w:id="162"/>
      <w:bookmarkEnd w:id="164"/>
    </w:p>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主要子公司、参股公司情况</w:t>
      </w:r>
    </w:p>
    <w:tbl>
      <w:tblPr>
        <w:tblOverlap w:val="never"/>
        <w:jc w:val="center"/>
        <w:tblLayout w:type="fixed"/>
      </w:tblPr>
      <w:tblGrid>
        <w:gridCol w:w="950"/>
        <w:gridCol w:w="1075"/>
        <w:gridCol w:w="946"/>
        <w:gridCol w:w="941"/>
        <w:gridCol w:w="946"/>
        <w:gridCol w:w="941"/>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所处行业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主要产品 或服务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200"/>
              <w:jc w:val="left"/>
              <w:rPr>
                <w:sz w:val="18"/>
                <w:szCs w:val="18"/>
              </w:rPr>
            </w:pPr>
            <w:r>
              <w:rPr>
                <w:color w:val="000000"/>
                <w:spacing w:val="0"/>
                <w:w w:val="100"/>
                <w:position w:val="0"/>
                <w:sz w:val="18"/>
                <w:szCs w:val="18"/>
              </w:rPr>
              <w:t>总资产</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200"/>
              <w:jc w:val="left"/>
              <w:rPr>
                <w:sz w:val="18"/>
                <w:szCs w:val="18"/>
              </w:rPr>
            </w:pPr>
            <w:r>
              <w:rPr>
                <w:color w:val="000000"/>
                <w:spacing w:val="0"/>
                <w:w w:val="100"/>
                <w:position w:val="0"/>
                <w:sz w:val="18"/>
                <w:szCs w:val="18"/>
              </w:rPr>
              <w:t>净资产</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营业收入</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40"/>
              <w:jc w:val="left"/>
              <w:rPr>
                <w:sz w:val="18"/>
                <w:szCs w:val="18"/>
              </w:rPr>
            </w:pPr>
            <w:r>
              <w:rPr>
                <w:color w:val="000000"/>
                <w:spacing w:val="0"/>
                <w:w w:val="100"/>
                <w:position w:val="0"/>
                <w:sz w:val="18"/>
                <w:szCs w:val="18"/>
              </w:rPr>
              <w:t>营业利 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260"/>
              <w:jc w:val="left"/>
              <w:rPr>
                <w:sz w:val="18"/>
                <w:szCs w:val="18"/>
              </w:rPr>
            </w:pPr>
            <w:r>
              <w:rPr>
                <w:color w:val="000000"/>
                <w:spacing w:val="0"/>
                <w:w w:val="100"/>
                <w:position w:val="0"/>
                <w:sz w:val="18"/>
                <w:szCs w:val="18"/>
              </w:rPr>
              <w:t>净利润</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（元）</w:t>
            </w:r>
          </w:p>
        </w:tc>
      </w:tr>
      <w:tr>
        <w:trPr>
          <w:trHeight w:val="1334"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泰安市华 得软件科 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计算机软</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件</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软件、计 算机技术 等</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32,134,08</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8,143,820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10,062,25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10,932,616.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651"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尤洛卡</w:t>
            </w:r>
          </w:p>
          <w:p>
            <w:pPr>
              <w:pStyle w:val="Style21"/>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（北京） 矿业工程 技术研究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工程技术</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工程技 术、软件</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sz w:val="18"/>
                <w:szCs w:val="18"/>
              </w:rPr>
              <w:t>万</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71,601,41</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61,393,29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27,288,88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29,271,350.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1349" w:hRule="exact"/>
        </w:trPr>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尤洛卡</w:t>
            </w:r>
          </w:p>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（上海） 国际贸易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国际国内 贸易</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贸易流通</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万</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21,391,68</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20,105,58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4,518,750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143,972.81</w:t>
            </w:r>
          </w:p>
        </w:tc>
      </w:tr>
    </w:tbl>
    <w:p>
      <w:pPr>
        <w:pStyle w:val="Style34"/>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主要子公司、参股公司情况说明</w:t>
      </w:r>
    </w:p>
    <w:p>
      <w:pPr>
        <w:pStyle w:val="Style27"/>
        <w:keepNext w:val="0"/>
        <w:keepLines w:val="0"/>
        <w:widowControl w:val="0"/>
        <w:shd w:val="clear" w:color="auto" w:fill="auto"/>
        <w:tabs>
          <w:tab w:pos="780" w:val="left"/>
        </w:tabs>
        <w:bidi w:val="0"/>
        <w:spacing w:before="0" w:after="0" w:line="437" w:lineRule="exact"/>
        <w:ind w:left="0" w:right="0" w:firstLine="420"/>
        <w:jc w:val="left"/>
      </w:pPr>
      <w:bookmarkStart w:id="165" w:name="bookmark165"/>
      <w:r>
        <w:rPr>
          <w:color w:val="000000"/>
          <w:spacing w:val="0"/>
          <w:w w:val="100"/>
          <w:position w:val="0"/>
        </w:rPr>
        <w:t>1</w:t>
      </w:r>
      <w:bookmarkEnd w:id="165"/>
      <w:r>
        <w:rPr>
          <w:color w:val="000000"/>
          <w:spacing w:val="0"/>
          <w:w w:val="100"/>
          <w:position w:val="0"/>
        </w:rPr>
        <w:t>、</w:t>
        <w:tab/>
        <w:t>泰安市华得软件科技有限公司注册资本由50万元，报告期内增资至500万元。经营业绩本年度比上 年减少85%，对华得公司出售的原软件，需求量大幅减少。</w:t>
      </w:r>
    </w:p>
    <w:p>
      <w:pPr>
        <w:pStyle w:val="Style27"/>
        <w:keepNext w:val="0"/>
        <w:keepLines w:val="0"/>
        <w:widowControl w:val="0"/>
        <w:shd w:val="clear" w:color="auto" w:fill="auto"/>
        <w:tabs>
          <w:tab w:pos="787" w:val="left"/>
        </w:tabs>
        <w:bidi w:val="0"/>
        <w:spacing w:before="0" w:after="0" w:line="437" w:lineRule="exact"/>
        <w:ind w:left="0" w:right="0" w:firstLine="420"/>
        <w:jc w:val="left"/>
      </w:pPr>
      <w:bookmarkStart w:id="166" w:name="bookmark166"/>
      <w:r>
        <w:rPr>
          <w:color w:val="000000"/>
          <w:spacing w:val="0"/>
          <w:w w:val="100"/>
          <w:position w:val="0"/>
        </w:rPr>
        <w:t>2</w:t>
      </w:r>
      <w:bookmarkEnd w:id="166"/>
      <w:r>
        <w:rPr>
          <w:color w:val="000000"/>
          <w:spacing w:val="0"/>
          <w:w w:val="100"/>
          <w:position w:val="0"/>
        </w:rPr>
        <w:t>、</w:t>
        <w:tab/>
        <w:t>上海公司本年度开始经营，首次实现收益。</w:t>
      </w:r>
    </w:p>
    <w:p>
      <w:pPr>
        <w:pStyle w:val="Style27"/>
        <w:keepNext w:val="0"/>
        <w:keepLines w:val="0"/>
        <w:widowControl w:val="0"/>
        <w:shd w:val="clear" w:color="auto" w:fill="auto"/>
        <w:tabs>
          <w:tab w:pos="787" w:val="left"/>
        </w:tabs>
        <w:bidi w:val="0"/>
        <w:spacing w:before="0" w:after="0" w:line="437" w:lineRule="exact"/>
        <w:ind w:left="0" w:right="0" w:firstLine="420"/>
        <w:jc w:val="left"/>
      </w:pPr>
      <w:bookmarkStart w:id="167" w:name="bookmark167"/>
      <w:r>
        <w:rPr>
          <w:color w:val="000000"/>
          <w:spacing w:val="0"/>
          <w:w w:val="100"/>
          <w:position w:val="0"/>
        </w:rPr>
        <w:t>3</w:t>
      </w:r>
      <w:bookmarkEnd w:id="167"/>
      <w:r>
        <w:rPr>
          <w:color w:val="000000"/>
          <w:spacing w:val="0"/>
          <w:w w:val="100"/>
          <w:position w:val="0"/>
        </w:rPr>
        <w:t>、</w:t>
        <w:tab/>
        <w:t>北京子公司实现利润较大，主要原因是研发了尤洛卡公司升级后产品所需的软件，并形成了销售。</w:t>
      </w:r>
    </w:p>
    <w:p>
      <w:pPr>
        <w:pStyle w:val="Style27"/>
        <w:keepNext w:val="0"/>
        <w:keepLines w:val="0"/>
        <w:widowControl w:val="0"/>
        <w:shd w:val="clear" w:color="auto" w:fill="auto"/>
        <w:tabs>
          <w:tab w:pos="785" w:val="left"/>
        </w:tabs>
        <w:bidi w:val="0"/>
        <w:spacing w:before="0" w:after="360" w:line="437" w:lineRule="exact"/>
        <w:ind w:left="0" w:right="0" w:firstLine="420"/>
        <w:jc w:val="left"/>
      </w:pPr>
      <w:bookmarkStart w:id="168" w:name="bookmark168"/>
      <w:r>
        <w:rPr>
          <w:color w:val="000000"/>
          <w:spacing w:val="0"/>
          <w:w w:val="100"/>
          <w:position w:val="0"/>
        </w:rPr>
        <w:t>4</w:t>
      </w:r>
      <w:bookmarkEnd w:id="168"/>
      <w:r>
        <w:rPr>
          <w:color w:val="000000"/>
          <w:spacing w:val="0"/>
          <w:w w:val="100"/>
          <w:position w:val="0"/>
        </w:rPr>
        <w:t>、</w:t>
        <w:tab/>
        <w:t>报告期内公司通过发行股份购买资产方式开始实施对北京富华宇祺公司并购重组，期末获得中国 证监会核准，期内未能全面完成。至本报告出具之日，公司完成收购工作，将于2014年开始合并报表。公 司占其注册资本的53.21%，相关事宜公司已经实时作了公告。</w:t>
      </w:r>
    </w:p>
    <w:p>
      <w:pPr>
        <w:pStyle w:val="Style25"/>
        <w:keepNext/>
        <w:keepLines/>
        <w:widowControl w:val="0"/>
        <w:shd w:val="clear" w:color="auto" w:fill="auto"/>
        <w:bidi w:val="0"/>
        <w:spacing w:before="0" w:after="26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二</w:t>
      </w:r>
      <w:bookmarkEnd w:id="171"/>
      <w:r>
        <w:rPr>
          <w:color w:val="000000"/>
          <w:spacing w:val="0"/>
          <w:w w:val="100"/>
          <w:position w:val="0"/>
          <w:sz w:val="24"/>
          <w:szCs w:val="24"/>
        </w:rPr>
        <w:t>、公司未来发展的展望</w:t>
      </w:r>
      <w:bookmarkEnd w:id="169"/>
      <w:bookmarkEnd w:id="170"/>
      <w:bookmarkEnd w:id="172"/>
    </w:p>
    <w:p>
      <w:pPr>
        <w:pStyle w:val="Style27"/>
        <w:keepNext w:val="0"/>
        <w:keepLines w:val="0"/>
        <w:widowControl w:val="0"/>
        <w:shd w:val="clear" w:color="auto" w:fill="auto"/>
        <w:bidi w:val="0"/>
        <w:spacing w:before="0" w:after="0" w:line="441" w:lineRule="exact"/>
        <w:ind w:left="0" w:right="0" w:firstLine="420"/>
        <w:jc w:val="both"/>
      </w:pPr>
      <w:bookmarkStart w:id="173" w:name="bookmark173"/>
      <w:r>
        <w:rPr>
          <w:color w:val="000000"/>
          <w:spacing w:val="0"/>
          <w:w w:val="100"/>
          <w:position w:val="0"/>
        </w:rPr>
        <w:t>（</w:t>
      </w:r>
      <w:bookmarkEnd w:id="173"/>
      <w:r>
        <w:rPr>
          <w:color w:val="000000"/>
          <w:spacing w:val="0"/>
          <w:w w:val="100"/>
          <w:position w:val="0"/>
        </w:rPr>
        <w:t>一）公司未来发展展望</w:t>
      </w:r>
    </w:p>
    <w:p>
      <w:pPr>
        <w:pStyle w:val="Style27"/>
        <w:keepNext w:val="0"/>
        <w:keepLines w:val="0"/>
        <w:widowControl w:val="0"/>
        <w:shd w:val="clear" w:color="auto" w:fill="auto"/>
        <w:bidi w:val="0"/>
        <w:spacing w:before="0" w:after="0" w:line="441" w:lineRule="exact"/>
        <w:ind w:left="0" w:right="0" w:firstLine="420"/>
        <w:jc w:val="both"/>
      </w:pPr>
      <w:r>
        <w:rPr>
          <w:color w:val="000000"/>
          <w:spacing w:val="0"/>
          <w:w w:val="100"/>
          <w:position w:val="0"/>
        </w:rPr>
        <w:t>尤洛卡公司以矿山安全为己任，通过提供高技术含量的产品和服务，为矿山企业特别是煤矿企业的人 员和财产安全提供有效保障。随着矿山开采技术的现代化、自动化程度不断提高，再加上国家和人民对生 命安全要求越来越高，矿山生产安全需要的产品和技术也越来越先进。如何将飞速发展的监测技术、通信 技术、</w:t>
      </w:r>
      <w:r>
        <w:rPr>
          <w:color w:val="000000"/>
          <w:spacing w:val="0"/>
          <w:w w:val="100"/>
          <w:position w:val="0"/>
        </w:rPr>
        <w:t>IT</w:t>
      </w:r>
      <w:r>
        <w:rPr>
          <w:color w:val="000000"/>
          <w:spacing w:val="0"/>
          <w:w w:val="100"/>
          <w:position w:val="0"/>
        </w:rPr>
        <w:t xml:space="preserve">技术、高端制造技术及新材料等技术和产品，应用于矿山安全成为未来矿山安全行业一个重要课 题，为该行业的发展提供了一个新契机。作为一个高新技术企业，公司将站在科技最前沿，研发利用相关 学科的最新技术和相关行业最新产品，为矿山企业安全事故事前、事中和事后提出解决方案，以高质量产 </w:t>
      </w:r>
      <w:r>
        <w:rPr>
          <w:color w:val="000000"/>
          <w:spacing w:val="0"/>
          <w:w w:val="100"/>
          <w:position w:val="0"/>
        </w:rPr>
        <w:t>品和服务进行防治，促进矿山安全形势再上一个新的台阶。</w:t>
      </w:r>
    </w:p>
    <w:p>
      <w:pPr>
        <w:pStyle w:val="Style27"/>
        <w:keepNext w:val="0"/>
        <w:keepLines w:val="0"/>
        <w:widowControl w:val="0"/>
        <w:shd w:val="clear" w:color="auto" w:fill="auto"/>
        <w:tabs>
          <w:tab w:pos="754" w:val="left"/>
        </w:tabs>
        <w:bidi w:val="0"/>
        <w:spacing w:before="0" w:after="0" w:line="441" w:lineRule="exact"/>
        <w:ind w:left="0" w:right="0" w:firstLine="440"/>
        <w:jc w:val="left"/>
      </w:pPr>
      <w:bookmarkStart w:id="174" w:name="bookmark174"/>
      <w:r>
        <w:rPr>
          <w:color w:val="000000"/>
          <w:spacing w:val="0"/>
          <w:w w:val="100"/>
          <w:position w:val="0"/>
        </w:rPr>
        <w:t>1</w:t>
      </w:r>
      <w:bookmarkEnd w:id="174"/>
      <w:r>
        <w:rPr>
          <w:color w:val="000000"/>
          <w:spacing w:val="0"/>
          <w:w w:val="100"/>
          <w:position w:val="0"/>
        </w:rPr>
        <w:t>、</w:t>
        <w:tab/>
        <w:t>未来相当长时间内，煤炭仍是最主要的能源和大宗原材料，行业经过调整后将进入平稳发展期。</w:t>
      </w:r>
    </w:p>
    <w:p>
      <w:pPr>
        <w:pStyle w:val="Style27"/>
        <w:keepNext w:val="0"/>
        <w:keepLines w:val="0"/>
        <w:widowControl w:val="0"/>
        <w:shd w:val="clear" w:color="auto" w:fill="auto"/>
        <w:bidi w:val="0"/>
        <w:spacing w:before="0" w:after="0" w:line="441" w:lineRule="exact"/>
        <w:ind w:left="0" w:right="0" w:firstLine="440"/>
        <w:jc w:val="left"/>
      </w:pPr>
      <w:r>
        <w:rPr>
          <w:color w:val="000000"/>
          <w:spacing w:val="0"/>
          <w:w w:val="100"/>
          <w:position w:val="0"/>
        </w:rPr>
        <w:t>十多年来，我国煤炭行业得到高速发展，号称“黄金十年”。但自2012年下半年开始，受国家宏观经 济发展增速下降的影响，煤炭行业出现了全行业的结构性产能过剩、价格下跌、经济效益下降、企业亏损 面扩大等问题，经济运行困难加大。2013年形势变得更为严峻，超一半企业亏损，全行业利润同比下降40% 以上，大部分中小煤矿限产或停产。2013年煤炭产量约37亿吨仅比上年</w:t>
      </w:r>
      <w:r>
        <w:rPr>
          <w:color w:val="000000"/>
          <w:spacing w:val="0"/>
          <w:w w:val="100"/>
          <w:position w:val="0"/>
        </w:rPr>
        <w:t>36.6</w:t>
      </w:r>
      <w:r>
        <w:rPr>
          <w:color w:val="000000"/>
          <w:spacing w:val="0"/>
          <w:w w:val="100"/>
          <w:position w:val="0"/>
        </w:rPr>
        <w:t>亿吨略微增长，增长率远远低 于前十年。但是，我国的能源结构仍然以煤炭为主，约占百分之六七十，其它形式能源仍仅是补充而已。 未来，基于我国的基本情况，这一格局将不会有大的改变。同时，党的十八大绘就的改革发展宏伟蓝图， 为我国经济发展注入了强劲的动力。尽管煤炭供需关系已发生了深刻变化，但煤炭作为我国重要的基础能 源，在国民经济年均7%~8%增速的背景下，煤炭产量仍将保持平稳或小幅增长，只不过随着煤炭产业集中 度的增加，新增产量将越来越向大企业集中。因此，市场总量不会有大的降低，但是随着产业集中度、自 动化度的不断提高，煤矿安全产品和服务新的增长点必将集中在大型、智能、集成等方面。为此必须抓住 机遇，进行产业升级，调整产品结构，提升产品质量和服务品质，深耕细作，探索完善业务营销模式，实 现公司健康持续发展。</w:t>
      </w:r>
    </w:p>
    <w:p>
      <w:pPr>
        <w:pStyle w:val="Style27"/>
        <w:keepNext w:val="0"/>
        <w:keepLines w:val="0"/>
        <w:widowControl w:val="0"/>
        <w:shd w:val="clear" w:color="auto" w:fill="auto"/>
        <w:tabs>
          <w:tab w:pos="754" w:val="left"/>
        </w:tabs>
        <w:bidi w:val="0"/>
        <w:spacing w:before="0" w:after="0" w:line="441" w:lineRule="exact"/>
        <w:ind w:left="0" w:right="0" w:firstLine="440"/>
        <w:jc w:val="left"/>
      </w:pPr>
      <w:bookmarkStart w:id="175" w:name="bookmark175"/>
      <w:r>
        <w:rPr>
          <w:color w:val="000000"/>
          <w:spacing w:val="0"/>
          <w:w w:val="100"/>
          <w:position w:val="0"/>
        </w:rPr>
        <w:t>2</w:t>
      </w:r>
      <w:bookmarkEnd w:id="175"/>
      <w:r>
        <w:rPr>
          <w:color w:val="000000"/>
          <w:spacing w:val="0"/>
          <w:w w:val="100"/>
          <w:position w:val="0"/>
        </w:rPr>
        <w:t>、</w:t>
        <w:tab/>
        <w:t>国家出台一系列政策和规定，支持煤炭行业发展</w:t>
      </w:r>
    </w:p>
    <w:p>
      <w:pPr>
        <w:pStyle w:val="Style27"/>
        <w:keepNext w:val="0"/>
        <w:keepLines w:val="0"/>
        <w:widowControl w:val="0"/>
        <w:shd w:val="clear" w:color="auto" w:fill="auto"/>
        <w:bidi w:val="0"/>
        <w:spacing w:before="0" w:after="0" w:line="441" w:lineRule="exact"/>
        <w:ind w:left="0" w:right="0" w:firstLine="440"/>
        <w:jc w:val="left"/>
      </w:pPr>
      <w:r>
        <w:rPr>
          <w:color w:val="000000"/>
          <w:spacing w:val="0"/>
          <w:w w:val="100"/>
          <w:position w:val="0"/>
        </w:rPr>
        <w:t>近期，煤炭行业的低迷形势，已经引起了国家经济部门的关注。国家已经或即将出台一系列政策和规 定，支持煤炭行业平稳健康发展。2013年11月国办下发的《关于促进煤炭行业平稳运行的意见》明确提出， “要对重点产煤省份煤炭行业收费情况进行集中清理整顿，坚决取缔各种乱收费、乱集资、乱摊派，切实 减轻煤炭企业负担。并落实到财政部、国家发改委等相关部门。进口煤炭对国内行业冲击较大，国家还将 出台政策，进行适当限制。国家支持减少煤炭一次性使用，提高其原材料地位，会在一定程度上刺激煤的 需求。因此，虽然煤炭黄金十年短时不再，调整到位后，仍会有所增长。</w:t>
      </w:r>
    </w:p>
    <w:p>
      <w:pPr>
        <w:pStyle w:val="Style27"/>
        <w:keepNext w:val="0"/>
        <w:keepLines w:val="0"/>
        <w:widowControl w:val="0"/>
        <w:shd w:val="clear" w:color="auto" w:fill="auto"/>
        <w:tabs>
          <w:tab w:pos="754" w:val="left"/>
        </w:tabs>
        <w:bidi w:val="0"/>
        <w:spacing w:before="0" w:after="0" w:line="441" w:lineRule="exact"/>
        <w:ind w:left="0" w:right="0" w:firstLine="440"/>
        <w:jc w:val="left"/>
      </w:pPr>
      <w:bookmarkStart w:id="176" w:name="bookmark176"/>
      <w:r>
        <w:rPr>
          <w:color w:val="000000"/>
          <w:spacing w:val="0"/>
          <w:w w:val="100"/>
          <w:position w:val="0"/>
        </w:rPr>
        <w:t>3</w:t>
      </w:r>
      <w:bookmarkEnd w:id="176"/>
      <w:r>
        <w:rPr>
          <w:color w:val="000000"/>
          <w:spacing w:val="0"/>
          <w:w w:val="100"/>
          <w:position w:val="0"/>
        </w:rPr>
        <w:t>、</w:t>
        <w:tab/>
        <w:t>矿山安全服务业有发展潜力</w:t>
      </w:r>
    </w:p>
    <w:p>
      <w:pPr>
        <w:pStyle w:val="Style27"/>
        <w:keepNext w:val="0"/>
        <w:keepLines w:val="0"/>
        <w:widowControl w:val="0"/>
        <w:shd w:val="clear" w:color="auto" w:fill="auto"/>
        <w:bidi w:val="0"/>
        <w:spacing w:before="0" w:after="0" w:line="441" w:lineRule="exact"/>
        <w:ind w:left="0" w:right="0" w:firstLine="440"/>
        <w:jc w:val="left"/>
      </w:pPr>
      <w:r>
        <w:rPr>
          <w:color w:val="000000"/>
          <w:spacing w:val="0"/>
          <w:w w:val="100"/>
          <w:position w:val="0"/>
        </w:rPr>
        <w:t>按照国务院安委会要求，2020年煤矿事故死亡人数要比2010年下降50%以上。这是国家给煤矿矿山安 全服务业制订的目标。由于我国一直重视经济总量的增长，对煤矿的生产量重视程度远高于对安全的重视, 同时基于技术和投入的原因，基本是粗糙化开采，我国目前的采煤和安全管理水平仅相当于国外的七八十 年代；现在，国家和人民高度重视安全，煤矿安全成为了矿山企业和管理部门的高压线，专门为煤矿安全 提供产品和服务的行业因此有了潜在发展动力，特别是对利用高端产品和技术为煤矿安全服务的高科技企 业而言，更是前景广阔。</w:t>
      </w:r>
    </w:p>
    <w:p>
      <w:pPr>
        <w:pStyle w:val="Style27"/>
        <w:keepNext w:val="0"/>
        <w:keepLines w:val="0"/>
        <w:widowControl w:val="0"/>
        <w:shd w:val="clear" w:color="auto" w:fill="auto"/>
        <w:tabs>
          <w:tab w:pos="754" w:val="left"/>
        </w:tabs>
        <w:bidi w:val="0"/>
        <w:spacing w:before="0" w:after="0" w:line="441" w:lineRule="exact"/>
        <w:ind w:left="0" w:right="0" w:firstLine="440"/>
        <w:jc w:val="left"/>
      </w:pPr>
      <w:bookmarkStart w:id="177" w:name="bookmark177"/>
      <w:r>
        <w:rPr>
          <w:color w:val="000000"/>
          <w:spacing w:val="0"/>
          <w:w w:val="100"/>
          <w:position w:val="0"/>
        </w:rPr>
        <w:t>4</w:t>
      </w:r>
      <w:bookmarkEnd w:id="177"/>
      <w:r>
        <w:rPr>
          <w:color w:val="000000"/>
          <w:spacing w:val="0"/>
          <w:w w:val="100"/>
          <w:position w:val="0"/>
        </w:rPr>
        <w:t>、</w:t>
        <w:tab/>
        <w:t>公司基于资金优势和资本市场手段优势，实施外延式发展战略，会给公司一个突破天花板式的发 展空间。</w:t>
      </w:r>
    </w:p>
    <w:p>
      <w:pPr>
        <w:pStyle w:val="Style27"/>
        <w:keepNext w:val="0"/>
        <w:keepLines w:val="0"/>
        <w:widowControl w:val="0"/>
        <w:shd w:val="clear" w:color="auto" w:fill="auto"/>
        <w:bidi w:val="0"/>
        <w:spacing w:before="0" w:after="0" w:line="441" w:lineRule="exact"/>
        <w:ind w:left="0" w:right="0" w:firstLine="440"/>
        <w:jc w:val="left"/>
      </w:pPr>
      <w:r>
        <w:rPr>
          <w:color w:val="000000"/>
          <w:spacing w:val="0"/>
          <w:w w:val="100"/>
          <w:position w:val="0"/>
        </w:rPr>
        <w:t xml:space="preserve">公司原来只为煤矿第一事故一顶板事故提供监测服务，有一定的天花板效应，限制了公司的发展。随 </w:t>
      </w:r>
      <w:r>
        <w:rPr>
          <w:color w:val="000000"/>
          <w:spacing w:val="0"/>
          <w:w w:val="100"/>
          <w:position w:val="0"/>
        </w:rPr>
        <w:t>着公司股票上市，进入资本市场，公司具备了一定的资金优势和资本市场手段优势。在密切关注新技术、 新材料的发展基础上，有能力进行研发创新，并通过资本市场兼并收购等手段，将最新的技术和材料应用 于矿山安全防治，为国家的煤矿安全事业做出贡献。公司2013年通过发行股份、支付现金购买资产方式， 并购富华宇祺公司，就是把最新的</w:t>
      </w:r>
      <w:r>
        <w:rPr>
          <w:color w:val="000000"/>
          <w:spacing w:val="0"/>
          <w:w w:val="100"/>
          <w:position w:val="0"/>
        </w:rPr>
        <w:t>3G、4G</w:t>
      </w:r>
      <w:r>
        <w:rPr>
          <w:color w:val="000000"/>
          <w:spacing w:val="0"/>
          <w:w w:val="100"/>
          <w:position w:val="0"/>
        </w:rPr>
        <w:t>以最快的速度应用于煤矿安全。未来，公司将会利用这些优势， 继续进行业务空间的扩大，加大外延式发展力度，保证公司更快、更好地发展壮大。</w:t>
      </w:r>
    </w:p>
    <w:p>
      <w:pPr>
        <w:pStyle w:val="Style27"/>
        <w:keepNext w:val="0"/>
        <w:keepLines w:val="0"/>
        <w:widowControl w:val="0"/>
        <w:shd w:val="clear" w:color="auto" w:fill="auto"/>
        <w:bidi w:val="0"/>
        <w:spacing w:before="0" w:after="0" w:line="441" w:lineRule="exact"/>
        <w:ind w:left="0" w:right="0" w:firstLine="420"/>
        <w:jc w:val="left"/>
      </w:pPr>
      <w:bookmarkStart w:id="178" w:name="bookmark178"/>
      <w:r>
        <w:rPr>
          <w:color w:val="000000"/>
          <w:spacing w:val="0"/>
          <w:w w:val="100"/>
          <w:position w:val="0"/>
        </w:rPr>
        <w:t>5</w:t>
      </w:r>
      <w:bookmarkEnd w:id="178"/>
      <w:r>
        <w:rPr>
          <w:color w:val="000000"/>
          <w:spacing w:val="0"/>
          <w:w w:val="100"/>
          <w:position w:val="0"/>
        </w:rPr>
        <w:t>、随着募投项目的逐步实施，公司业务范围将会有较大拓展。</w:t>
      </w:r>
    </w:p>
    <w:p>
      <w:pPr>
        <w:pStyle w:val="Style27"/>
        <w:keepNext w:val="0"/>
        <w:keepLines w:val="0"/>
        <w:widowControl w:val="0"/>
        <w:shd w:val="clear" w:color="auto" w:fill="auto"/>
        <w:bidi w:val="0"/>
        <w:spacing w:before="0" w:after="0" w:line="441" w:lineRule="exact"/>
        <w:ind w:left="0" w:right="0" w:firstLine="420"/>
        <w:jc w:val="both"/>
      </w:pPr>
      <w:r>
        <w:rPr>
          <w:color w:val="000000"/>
          <w:spacing w:val="0"/>
          <w:w w:val="100"/>
          <w:position w:val="0"/>
        </w:rPr>
        <w:t>未来，根据公司发展战略，将在更大的范围内为煤矿安全提供产品和服务。按照权威部门统计，运输 事故已经成为煤矿仅将于顶板事故的第二大事故，公司通过实施超募项目一煤矿智能安全辅助运输系统项 目，为此提供先进的产品和服务。另外，随着煤矿生产技术、安全管理的水平提升，生命事故将逐步减少， 煤矿环保问题将会突出出来，为此公司着手进行煤矿粉尘防治技术方面的研发，通过实施的超募项目一煤 矿粉尘治理项目，涉足煤矿环保领域。</w:t>
      </w:r>
    </w:p>
    <w:p>
      <w:pPr>
        <w:pStyle w:val="Style27"/>
        <w:keepNext w:val="0"/>
        <w:keepLines w:val="0"/>
        <w:widowControl w:val="0"/>
        <w:shd w:val="clear" w:color="auto" w:fill="auto"/>
        <w:bidi w:val="0"/>
        <w:spacing w:before="0" w:after="0" w:line="441" w:lineRule="exact"/>
        <w:ind w:left="0" w:right="0" w:firstLine="420"/>
        <w:jc w:val="both"/>
      </w:pPr>
      <w:r>
        <w:rPr>
          <w:color w:val="000000"/>
          <w:spacing w:val="0"/>
          <w:w w:val="100"/>
          <w:position w:val="0"/>
        </w:rPr>
        <w:t>这些项目的实施，将会大大扩展公司业务范围，增加公司利润增长点。</w:t>
      </w:r>
    </w:p>
    <w:p>
      <w:pPr>
        <w:pStyle w:val="Style27"/>
        <w:keepNext w:val="0"/>
        <w:keepLines w:val="0"/>
        <w:widowControl w:val="0"/>
        <w:shd w:val="clear" w:color="auto" w:fill="auto"/>
        <w:tabs>
          <w:tab w:pos="954" w:val="left"/>
        </w:tabs>
        <w:bidi w:val="0"/>
        <w:spacing w:before="0" w:after="0" w:line="441" w:lineRule="exact"/>
        <w:ind w:left="0" w:right="0" w:firstLine="420"/>
        <w:jc w:val="both"/>
      </w:pPr>
      <w:bookmarkStart w:id="179" w:name="bookmark179"/>
      <w:r>
        <w:rPr>
          <w:color w:val="000000"/>
          <w:spacing w:val="0"/>
          <w:w w:val="100"/>
          <w:position w:val="0"/>
        </w:rPr>
        <w:t>（</w:t>
      </w:r>
      <w:bookmarkEnd w:id="179"/>
      <w:r>
        <w:rPr>
          <w:color w:val="000000"/>
          <w:spacing w:val="0"/>
          <w:w w:val="100"/>
          <w:position w:val="0"/>
        </w:rPr>
        <w:t>二）</w:t>
        <w:tab/>
        <w:t>公司发展战略</w:t>
      </w:r>
    </w:p>
    <w:p>
      <w:pPr>
        <w:pStyle w:val="Style27"/>
        <w:keepNext w:val="0"/>
        <w:keepLines w:val="0"/>
        <w:widowControl w:val="0"/>
        <w:shd w:val="clear" w:color="auto" w:fill="auto"/>
        <w:bidi w:val="0"/>
        <w:spacing w:before="0" w:after="0" w:line="441" w:lineRule="exact"/>
        <w:ind w:left="0" w:right="0" w:firstLine="420"/>
        <w:jc w:val="both"/>
      </w:pPr>
      <w:r>
        <w:rPr>
          <w:color w:val="000000"/>
          <w:spacing w:val="0"/>
          <w:w w:val="100"/>
          <w:position w:val="0"/>
        </w:rPr>
        <w:t>公司的业务定位为高端安全技术与优质装备服务商，即利用最新、最先进的技术和新材料、新装备， 为煤矿安全事故提供探、监、防、治一体化服务，为客户提供全套解决方案，创造最大效益。未来，公司 继续秉持“为煤矿安全保驾护航”的核心宗旨，立足“一个坚持，两个转变”战略，通过研发创新，调整 产品结构，业务转型，在内伸式发展的基础上，加大外延式发展力度，促使公司发展更上一个新台阶。</w:t>
      </w:r>
    </w:p>
    <w:p>
      <w:pPr>
        <w:pStyle w:val="Style27"/>
        <w:keepNext w:val="0"/>
        <w:keepLines w:val="0"/>
        <w:widowControl w:val="0"/>
        <w:shd w:val="clear" w:color="auto" w:fill="auto"/>
        <w:bidi w:val="0"/>
        <w:spacing w:before="0" w:after="0" w:line="441" w:lineRule="exact"/>
        <w:ind w:left="0" w:right="0" w:firstLine="420"/>
        <w:jc w:val="both"/>
      </w:pPr>
      <w:r>
        <w:rPr>
          <w:color w:val="000000"/>
          <w:spacing w:val="0"/>
          <w:w w:val="100"/>
          <w:position w:val="0"/>
        </w:rPr>
        <w:t>在具体实施公司既定发展战略过程中，要以市场为导向，以创新为动力，以资本为纽带，以煤矿顶板 监测为龙头，水文、冲击地音等监测和安全治理为基础，加强运输事故防治和粉尘防治工作，在技术研发 体系、产业经营模式、企业管理机制等工作方面大胆改革和创新，依靠一流的人才队伍、一流的核心技术、 一流的系统装备、一流的管理水平，加快提高生产能力、装备水平、检测能力、质量管理水平和维修能力， 确保公司可持续发展能力有较大提高；寻求与相关企业兼并、重组的机会，为矿山企业的安全防治引进、 提供更新的关键技术与产品，在做好矿山企业安全工作的同时，力求创造更好的经济效益，回报股东。</w:t>
      </w:r>
    </w:p>
    <w:p>
      <w:pPr>
        <w:pStyle w:val="Style27"/>
        <w:keepNext w:val="0"/>
        <w:keepLines w:val="0"/>
        <w:widowControl w:val="0"/>
        <w:shd w:val="clear" w:color="auto" w:fill="auto"/>
        <w:tabs>
          <w:tab w:pos="954" w:val="left"/>
        </w:tabs>
        <w:bidi w:val="0"/>
        <w:spacing w:before="0" w:after="0" w:line="441" w:lineRule="exact"/>
        <w:ind w:left="0" w:right="0" w:firstLine="420"/>
        <w:jc w:val="both"/>
      </w:pPr>
      <w:bookmarkStart w:id="180" w:name="bookmark180"/>
      <w:r>
        <w:rPr>
          <w:color w:val="000000"/>
          <w:spacing w:val="0"/>
          <w:w w:val="100"/>
          <w:position w:val="0"/>
        </w:rPr>
        <w:t>（</w:t>
      </w:r>
      <w:bookmarkEnd w:id="180"/>
      <w:r>
        <w:rPr>
          <w:color w:val="000000"/>
          <w:spacing w:val="0"/>
          <w:w w:val="100"/>
          <w:position w:val="0"/>
        </w:rPr>
        <w:t>三）</w:t>
        <w:tab/>
        <w:t>2014年经营计划</w:t>
      </w:r>
    </w:p>
    <w:p>
      <w:pPr>
        <w:pStyle w:val="Style27"/>
        <w:keepNext w:val="0"/>
        <w:keepLines w:val="0"/>
        <w:widowControl w:val="0"/>
        <w:shd w:val="clear" w:color="auto" w:fill="auto"/>
        <w:bidi w:val="0"/>
        <w:spacing w:before="0" w:after="0" w:line="441" w:lineRule="exact"/>
        <w:ind w:left="0" w:right="0" w:firstLine="420"/>
        <w:jc w:val="both"/>
      </w:pPr>
      <w:r>
        <w:rPr>
          <w:color w:val="000000"/>
          <w:spacing w:val="0"/>
          <w:w w:val="100"/>
          <w:position w:val="0"/>
        </w:rPr>
        <w:t>2014年，行业形势应该不会有大的好转，要继续做好应对准备。公司将立足实际，直面困难，认认真 真做好生产经营、内部管理及研发创新等工作，使各项经济指标较上年有较大程度的提高。2014年将重点 做好如下几个方面的工作：</w:t>
      </w:r>
    </w:p>
    <w:p>
      <w:pPr>
        <w:pStyle w:val="Style27"/>
        <w:keepNext w:val="0"/>
        <w:keepLines w:val="0"/>
        <w:widowControl w:val="0"/>
        <w:shd w:val="clear" w:color="auto" w:fill="auto"/>
        <w:bidi w:val="0"/>
        <w:spacing w:before="0" w:after="0" w:line="441" w:lineRule="exact"/>
        <w:ind w:left="0" w:right="0" w:firstLine="420"/>
        <w:jc w:val="left"/>
      </w:pPr>
      <w:bookmarkStart w:id="181" w:name="bookmark181"/>
      <w:r>
        <w:rPr>
          <w:color w:val="000000"/>
          <w:spacing w:val="0"/>
          <w:w w:val="100"/>
          <w:position w:val="0"/>
        </w:rPr>
        <w:t>1</w:t>
      </w:r>
      <w:bookmarkEnd w:id="181"/>
      <w:r>
        <w:rPr>
          <w:color w:val="000000"/>
          <w:spacing w:val="0"/>
          <w:w w:val="100"/>
          <w:position w:val="0"/>
        </w:rPr>
        <w:t>、精耕细作传统产品，加强新产品开拓，努力使收入实现增长。</w:t>
      </w:r>
    </w:p>
    <w:p>
      <w:pPr>
        <w:pStyle w:val="Style27"/>
        <w:keepNext w:val="0"/>
        <w:keepLines w:val="0"/>
        <w:widowControl w:val="0"/>
        <w:shd w:val="clear" w:color="auto" w:fill="auto"/>
        <w:bidi w:val="0"/>
        <w:spacing w:before="0" w:after="0" w:line="441" w:lineRule="exact"/>
        <w:ind w:left="0" w:right="0" w:firstLine="420"/>
        <w:jc w:val="both"/>
      </w:pPr>
      <w:r>
        <w:rPr>
          <w:color w:val="000000"/>
          <w:spacing w:val="0"/>
          <w:w w:val="100"/>
          <w:position w:val="0"/>
        </w:rPr>
        <w:t xml:space="preserve">公司核心产品顶板监测系统要继续做好老客户的巩固，新客户的开发。发挥公司主导销售的优势，根 据煤炭行业整合的特点，重点抓好神华等大客户的集中开拓工作。同时，要对原来公司销售人员不愿意涉 足的西南市场，进行突破。对冲击地压、乳化液配比反冲洗及充填材料等超募项目产品，进一步降低成本, </w:t>
      </w:r>
      <w:r>
        <w:rPr>
          <w:color w:val="000000"/>
          <w:spacing w:val="0"/>
          <w:w w:val="100"/>
          <w:position w:val="0"/>
        </w:rPr>
        <w:t>加强宣传推广，尽快扩大市场占有率。对于张拉机具等机械类产品，公司通过在量的扩大上，降低成本， 从而提高销售量，提高收入。根据客户不同势力，进行信用等级分类，对国有大型有较强支付能力的客户， 可以适当扩大销售信用期，从而增加销售量。针对公司即将推出的高价设备及当前市场形势，调研金融租 赁式销售的可行性。</w:t>
      </w:r>
    </w:p>
    <w:p>
      <w:pPr>
        <w:pStyle w:val="Style27"/>
        <w:keepNext w:val="0"/>
        <w:keepLines w:val="0"/>
        <w:widowControl w:val="0"/>
        <w:shd w:val="clear" w:color="auto" w:fill="auto"/>
        <w:tabs>
          <w:tab w:pos="751" w:val="left"/>
        </w:tabs>
        <w:bidi w:val="0"/>
        <w:spacing w:before="0" w:after="0" w:line="441" w:lineRule="exact"/>
        <w:ind w:left="0" w:right="0" w:firstLine="440"/>
        <w:jc w:val="left"/>
      </w:pPr>
      <w:bookmarkStart w:id="182" w:name="bookmark182"/>
      <w:r>
        <w:rPr>
          <w:color w:val="000000"/>
          <w:spacing w:val="0"/>
          <w:w w:val="100"/>
          <w:position w:val="0"/>
        </w:rPr>
        <w:t>2</w:t>
      </w:r>
      <w:bookmarkEnd w:id="182"/>
      <w:r>
        <w:rPr>
          <w:color w:val="000000"/>
          <w:spacing w:val="0"/>
          <w:w w:val="100"/>
          <w:position w:val="0"/>
        </w:rPr>
        <w:t>、</w:t>
        <w:tab/>
        <w:t>做好与富华宇祺的整合工作，实现1+1大于2的效应。同时，积极寻求新的并购对象，推进公司外 延式发展工作。</w:t>
      </w:r>
    </w:p>
    <w:p>
      <w:pPr>
        <w:pStyle w:val="Style27"/>
        <w:keepNext w:val="0"/>
        <w:keepLines w:val="0"/>
        <w:widowControl w:val="0"/>
        <w:shd w:val="clear" w:color="auto" w:fill="auto"/>
        <w:bidi w:val="0"/>
        <w:spacing w:before="0" w:after="0" w:line="441" w:lineRule="exact"/>
        <w:ind w:left="0" w:right="0" w:firstLine="440"/>
        <w:jc w:val="left"/>
      </w:pPr>
      <w:r>
        <w:rPr>
          <w:color w:val="000000"/>
          <w:spacing w:val="0"/>
          <w:w w:val="100"/>
          <w:position w:val="0"/>
        </w:rPr>
        <w:t>至报告期出具之日，公司已经成功完成了对富华宇祺收购兼并。富华宇祺是一家在矿山通信方面有势 力的一家公司，对公司的业务扩展有较大益处。2014年，公司将加快在生产、销售、物资采购等方面与之 整合的速度，相互促进，确保在矿山现代化通信方面，取得更大收入，为2014年经济效益做出贡献。同时, 公司积极寻找合适机会，继续推进重组并购工作，加快外延式发展步伐。</w:t>
      </w:r>
    </w:p>
    <w:p>
      <w:pPr>
        <w:pStyle w:val="Style27"/>
        <w:keepNext w:val="0"/>
        <w:keepLines w:val="0"/>
        <w:widowControl w:val="0"/>
        <w:shd w:val="clear" w:color="auto" w:fill="auto"/>
        <w:tabs>
          <w:tab w:pos="753" w:val="left"/>
        </w:tabs>
        <w:bidi w:val="0"/>
        <w:spacing w:before="0" w:after="0" w:line="441" w:lineRule="exact"/>
        <w:ind w:left="0" w:right="0" w:firstLine="440"/>
        <w:jc w:val="left"/>
      </w:pPr>
      <w:bookmarkStart w:id="183" w:name="bookmark183"/>
      <w:r>
        <w:rPr>
          <w:color w:val="000000"/>
          <w:spacing w:val="0"/>
          <w:w w:val="100"/>
          <w:position w:val="0"/>
        </w:rPr>
        <w:t>3</w:t>
      </w:r>
      <w:bookmarkEnd w:id="183"/>
      <w:r>
        <w:rPr>
          <w:color w:val="000000"/>
          <w:spacing w:val="0"/>
          <w:w w:val="100"/>
          <w:position w:val="0"/>
        </w:rPr>
        <w:t>、</w:t>
        <w:tab/>
        <w:t>加快超募项目的建设速度，推出更多新产品。</w:t>
      </w:r>
    </w:p>
    <w:p>
      <w:pPr>
        <w:pStyle w:val="Style27"/>
        <w:keepNext w:val="0"/>
        <w:keepLines w:val="0"/>
        <w:widowControl w:val="0"/>
        <w:shd w:val="clear" w:color="auto" w:fill="auto"/>
        <w:bidi w:val="0"/>
        <w:spacing w:before="0" w:after="0" w:line="441" w:lineRule="exact"/>
        <w:ind w:left="0" w:right="0" w:firstLine="440"/>
        <w:jc w:val="left"/>
      </w:pPr>
      <w:r>
        <w:rPr>
          <w:color w:val="000000"/>
          <w:spacing w:val="0"/>
          <w:w w:val="100"/>
          <w:position w:val="0"/>
        </w:rPr>
        <w:t>公司国家级工程技术中心，要尽快完成装修工作，确保年度内投入使用。智能集成供液系统、粉尘防 治项目，要加快相关技术的研发，尽快取证；煤矿</w:t>
      </w:r>
      <w:r>
        <w:rPr>
          <w:color w:val="000000"/>
          <w:spacing w:val="0"/>
          <w:w w:val="100"/>
          <w:position w:val="0"/>
        </w:rPr>
        <w:t>3G</w:t>
      </w:r>
      <w:r>
        <w:rPr>
          <w:color w:val="000000"/>
          <w:spacing w:val="0"/>
          <w:w w:val="100"/>
          <w:position w:val="0"/>
        </w:rPr>
        <w:t>通信项目要与富华宇祺做好衔接工作；重点是煤矿智 能安全辅助运输系统项目，本年度必须取得安标许可证，完成生产准备，完成在矿山试用，争取在年内试 销一至两套。</w:t>
      </w:r>
    </w:p>
    <w:p>
      <w:pPr>
        <w:pStyle w:val="Style27"/>
        <w:keepNext w:val="0"/>
        <w:keepLines w:val="0"/>
        <w:widowControl w:val="0"/>
        <w:shd w:val="clear" w:color="auto" w:fill="auto"/>
        <w:bidi w:val="0"/>
        <w:spacing w:before="0" w:after="0" w:line="441" w:lineRule="exact"/>
        <w:ind w:left="0" w:right="0" w:firstLine="440"/>
        <w:jc w:val="left"/>
      </w:pPr>
      <w:r>
        <w:rPr>
          <w:color w:val="000000"/>
          <w:spacing w:val="0"/>
          <w:w w:val="100"/>
          <w:position w:val="0"/>
        </w:rPr>
        <w:t>同时，在新产品方面，公司拟推出的喷雾降尘系统、矿山水文监测系统，在冲击地音系统新增冲击地 压微震和应力系统，电磁辐射监测仪，锚杆无损检测仪及恒阻抗冲击锚索等煤矿安全防治新产品。</w:t>
      </w:r>
    </w:p>
    <w:p>
      <w:pPr>
        <w:pStyle w:val="Style27"/>
        <w:keepNext w:val="0"/>
        <w:keepLines w:val="0"/>
        <w:widowControl w:val="0"/>
        <w:shd w:val="clear" w:color="auto" w:fill="auto"/>
        <w:tabs>
          <w:tab w:pos="753" w:val="left"/>
        </w:tabs>
        <w:bidi w:val="0"/>
        <w:spacing w:before="0" w:after="0" w:line="441" w:lineRule="exact"/>
        <w:ind w:left="0" w:right="0" w:firstLine="440"/>
        <w:jc w:val="left"/>
      </w:pPr>
      <w:bookmarkStart w:id="184" w:name="bookmark184"/>
      <w:r>
        <w:rPr>
          <w:color w:val="000000"/>
          <w:spacing w:val="0"/>
          <w:w w:val="100"/>
          <w:position w:val="0"/>
        </w:rPr>
        <w:t>4</w:t>
      </w:r>
      <w:bookmarkEnd w:id="184"/>
      <w:r>
        <w:rPr>
          <w:color w:val="000000"/>
          <w:spacing w:val="0"/>
          <w:w w:val="100"/>
          <w:position w:val="0"/>
        </w:rPr>
        <w:t>、</w:t>
        <w:tab/>
        <w:t>进一步做好费用成本控制，强化资金管理。</w:t>
      </w:r>
    </w:p>
    <w:p>
      <w:pPr>
        <w:pStyle w:val="Style27"/>
        <w:keepNext w:val="0"/>
        <w:keepLines w:val="0"/>
        <w:widowControl w:val="0"/>
        <w:shd w:val="clear" w:color="auto" w:fill="auto"/>
        <w:bidi w:val="0"/>
        <w:spacing w:before="0" w:after="0" w:line="441" w:lineRule="exact"/>
        <w:ind w:left="0" w:right="0" w:firstLine="440"/>
        <w:jc w:val="left"/>
      </w:pPr>
      <w:r>
        <w:rPr>
          <w:color w:val="000000"/>
          <w:spacing w:val="0"/>
          <w:w w:val="100"/>
          <w:position w:val="0"/>
        </w:rPr>
        <w:t>2014年，针对严峻的行业形势，公司要继续强化内功建设，进一步加强绩效管理和精细化管理，深入 分析公司成本的发生和构成，加大费用管理成本控制措施的执行力度，促进人均效率提升，并围绕授权、 审计、问责机制，定期或不定期检查、跟踪落实，建立对目标结果的监督和评价，以持续降低成本来谋求 更大的市场竞争优势；继续应用从合同执行全流程加强应收账款管理的管理手段，并通过加强应收款的回 款和清理工作，提升资金周转率；</w:t>
      </w:r>
    </w:p>
    <w:p>
      <w:pPr>
        <w:pStyle w:val="Style27"/>
        <w:keepNext w:val="0"/>
        <w:keepLines w:val="0"/>
        <w:widowControl w:val="0"/>
        <w:shd w:val="clear" w:color="auto" w:fill="auto"/>
        <w:tabs>
          <w:tab w:pos="753" w:val="left"/>
        </w:tabs>
        <w:bidi w:val="0"/>
        <w:spacing w:before="0" w:after="0" w:line="441" w:lineRule="exact"/>
        <w:ind w:left="0" w:right="0" w:firstLine="440"/>
        <w:jc w:val="left"/>
      </w:pPr>
      <w:bookmarkStart w:id="185" w:name="bookmark185"/>
      <w:r>
        <w:rPr>
          <w:color w:val="000000"/>
          <w:spacing w:val="0"/>
          <w:w w:val="100"/>
          <w:position w:val="0"/>
        </w:rPr>
        <w:t>5</w:t>
      </w:r>
      <w:bookmarkEnd w:id="185"/>
      <w:r>
        <w:rPr>
          <w:color w:val="000000"/>
          <w:spacing w:val="0"/>
          <w:w w:val="100"/>
          <w:position w:val="0"/>
        </w:rPr>
        <w:t>、</w:t>
        <w:tab/>
        <w:t>继续加强内控管理，提高抗风险能力。</w:t>
      </w:r>
    </w:p>
    <w:p>
      <w:pPr>
        <w:pStyle w:val="Style27"/>
        <w:keepNext w:val="0"/>
        <w:keepLines w:val="0"/>
        <w:widowControl w:val="0"/>
        <w:shd w:val="clear" w:color="auto" w:fill="auto"/>
        <w:bidi w:val="0"/>
        <w:spacing w:before="0" w:after="0" w:line="441" w:lineRule="exact"/>
        <w:ind w:left="0" w:right="0" w:firstLine="440"/>
        <w:jc w:val="left"/>
      </w:pPr>
      <w:r>
        <w:rPr>
          <w:color w:val="000000"/>
          <w:spacing w:val="0"/>
          <w:w w:val="100"/>
          <w:position w:val="0"/>
        </w:rPr>
        <w:t>越是经营困难的时候，越要抓风险防范。2014年，公司要从内部控制着手，梳理、各项流程及管理制 度，完善公司管控体系，强化内部管理，降低运营风险，提升工作效率。通过提升现有信息化管理水平， 搭建管理平台，以适应公司内生增长和外延发展的需要。对可能产生的各种风险进行识别、衡量、分析、 评价，并适时采取及时有效的方法进行防范和控制，确保公司持续、稳健、高效发展。随着公司的子公 司的增加，综合管理难度有提升，本年度在这方面公司管理层要高度重视，努力提高管理能力，不能让其 成为公司的出血点。</w:t>
      </w:r>
    </w:p>
    <w:p>
      <w:pPr>
        <w:pStyle w:val="Style27"/>
        <w:keepNext w:val="0"/>
        <w:keepLines w:val="0"/>
        <w:widowControl w:val="0"/>
        <w:shd w:val="clear" w:color="auto" w:fill="auto"/>
        <w:tabs>
          <w:tab w:pos="753" w:val="left"/>
        </w:tabs>
        <w:bidi w:val="0"/>
        <w:spacing w:before="0" w:after="0" w:line="441" w:lineRule="exact"/>
        <w:ind w:left="0" w:right="0" w:firstLine="440"/>
        <w:jc w:val="left"/>
      </w:pPr>
      <w:bookmarkStart w:id="186" w:name="bookmark186"/>
      <w:r>
        <w:rPr>
          <w:color w:val="000000"/>
          <w:spacing w:val="0"/>
          <w:w w:val="100"/>
          <w:position w:val="0"/>
        </w:rPr>
        <w:t>6</w:t>
      </w:r>
      <w:bookmarkEnd w:id="186"/>
      <w:r>
        <w:rPr>
          <w:color w:val="000000"/>
          <w:spacing w:val="0"/>
          <w:w w:val="100"/>
          <w:position w:val="0"/>
        </w:rPr>
        <w:t>、</w:t>
        <w:tab/>
        <w:t>加强技术、管理、销售人才队伍的建设。</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通过有竞争力的薪酬福利条件和激励机制，引进外部优秀人才和经验，充分发挥团队现有人员的能力 和价值，为内部员工提供发挥才能的机会和空间。加大对核心骨干员工和高管层的培养力度，做到个性化 的培养及制定个性化的学习计划，以满足公司对营销、技术、管理等领域的专业人才的需要。</w:t>
      </w:r>
    </w:p>
    <w:p>
      <w:pPr>
        <w:pStyle w:val="Style27"/>
        <w:keepNext w:val="0"/>
        <w:keepLines w:val="0"/>
        <w:widowControl w:val="0"/>
        <w:shd w:val="clear" w:color="auto" w:fill="auto"/>
        <w:tabs>
          <w:tab w:pos="1034" w:val="left"/>
        </w:tabs>
        <w:bidi w:val="0"/>
        <w:spacing w:before="0" w:after="0" w:line="442" w:lineRule="exact"/>
        <w:ind w:left="0" w:right="0" w:firstLine="440"/>
        <w:jc w:val="both"/>
      </w:pPr>
      <w:bookmarkStart w:id="187" w:name="bookmark187"/>
      <w:r>
        <w:rPr>
          <w:color w:val="000000"/>
          <w:spacing w:val="0"/>
          <w:w w:val="100"/>
          <w:position w:val="0"/>
        </w:rPr>
        <w:t>（</w:t>
      </w:r>
      <w:bookmarkEnd w:id="187"/>
      <w:r>
        <w:rPr>
          <w:color w:val="000000"/>
          <w:spacing w:val="0"/>
          <w:w w:val="100"/>
          <w:position w:val="0"/>
        </w:rPr>
        <w:t>三）</w:t>
        <w:tab/>
        <w:t>公司资金需求和使用计划</w:t>
      </w:r>
    </w:p>
    <w:p>
      <w:pPr>
        <w:pStyle w:val="Style2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w:t>
      </w:r>
      <w:r>
        <w:rPr>
          <w:color w:val="000000"/>
          <w:spacing w:val="0"/>
          <w:w w:val="100"/>
          <w:position w:val="0"/>
        </w:rPr>
        <w:t>IPO</w:t>
      </w:r>
      <w:r>
        <w:rPr>
          <w:color w:val="000000"/>
          <w:spacing w:val="0"/>
          <w:w w:val="100"/>
          <w:position w:val="0"/>
        </w:rPr>
        <w:t>共募集资金净额</w:t>
      </w:r>
      <w:r>
        <w:rPr>
          <w:color w:val="000000"/>
          <w:spacing w:val="0"/>
          <w:w w:val="100"/>
          <w:position w:val="0"/>
        </w:rPr>
        <w:t xml:space="preserve">46338. </w:t>
      </w:r>
      <w:r>
        <w:rPr>
          <w:color w:val="000000"/>
          <w:spacing w:val="0"/>
          <w:w w:val="100"/>
          <w:position w:val="0"/>
        </w:rPr>
        <w:t>95万元，超出募集计划</w:t>
      </w:r>
      <w:r>
        <w:rPr>
          <w:color w:val="000000"/>
          <w:spacing w:val="0"/>
          <w:w w:val="100"/>
          <w:position w:val="0"/>
        </w:rPr>
        <w:t>31299.4</w:t>
      </w:r>
      <w:r>
        <w:rPr>
          <w:color w:val="000000"/>
          <w:spacing w:val="0"/>
          <w:w w:val="100"/>
          <w:position w:val="0"/>
        </w:rPr>
        <w:t>7万元，均已经安排使用计划。同时， 公司现金流状况良好，自有资金充足，无银行借款，能够满足公司发展资金需求。</w:t>
      </w:r>
    </w:p>
    <w:p>
      <w:pPr>
        <w:pStyle w:val="Style27"/>
        <w:keepNext w:val="0"/>
        <w:keepLines w:val="0"/>
        <w:widowControl w:val="0"/>
        <w:shd w:val="clear" w:color="auto" w:fill="auto"/>
        <w:bidi w:val="0"/>
        <w:spacing w:before="0" w:after="0" w:line="444" w:lineRule="exact"/>
        <w:ind w:left="0" w:right="0" w:firstLine="440"/>
        <w:jc w:val="both"/>
      </w:pPr>
      <w:r>
        <w:rPr>
          <w:color w:val="000000"/>
          <w:spacing w:val="0"/>
          <w:w w:val="100"/>
          <w:position w:val="0"/>
        </w:rPr>
        <w:t>2014年除继续投资建设未完成的煤矿智能安全辅助运输系统项目超募项目外，对其他几个已建设完成 超募项目尾款进行支付，同时，正常生产经营需要流动资金，研发投入进一步增长。在保证全体股东利益 基础上，对符合公司既定发展战略且效益高、风险低的新项目，做好可行性分析评估，经相关决策程序后 在进行投入。对公司选择的并购重组项目，公司将通过资本市场手段进行。</w:t>
      </w:r>
    </w:p>
    <w:p>
      <w:pPr>
        <w:pStyle w:val="Style27"/>
        <w:keepNext w:val="0"/>
        <w:keepLines w:val="0"/>
        <w:widowControl w:val="0"/>
        <w:shd w:val="clear" w:color="auto" w:fill="auto"/>
        <w:bidi w:val="0"/>
        <w:spacing w:before="0" w:after="0" w:line="444" w:lineRule="exact"/>
        <w:ind w:left="0" w:right="0" w:firstLine="440"/>
        <w:jc w:val="both"/>
      </w:pPr>
      <w:r>
        <w:rPr>
          <w:color w:val="000000"/>
          <w:spacing w:val="0"/>
          <w:w w:val="100"/>
          <w:position w:val="0"/>
        </w:rPr>
        <w:t>公司将根据未来发展战略对资金的实际需求，在符合法律法规和产业政策的前提下，研究多渠道的资 金筹措计划，利用多种融资方式，寻求最优融资组合，以较低融资成本筹集发展所需资金。</w:t>
      </w:r>
    </w:p>
    <w:p>
      <w:pPr>
        <w:pStyle w:val="Style27"/>
        <w:keepNext w:val="0"/>
        <w:keepLines w:val="0"/>
        <w:widowControl w:val="0"/>
        <w:shd w:val="clear" w:color="auto" w:fill="auto"/>
        <w:tabs>
          <w:tab w:pos="1034" w:val="left"/>
        </w:tabs>
        <w:bidi w:val="0"/>
        <w:spacing w:before="0" w:after="0" w:line="444" w:lineRule="exact"/>
        <w:ind w:left="0" w:right="0" w:firstLine="440"/>
        <w:jc w:val="both"/>
      </w:pPr>
      <w:bookmarkStart w:id="188" w:name="bookmark188"/>
      <w:r>
        <w:rPr>
          <w:color w:val="000000"/>
          <w:spacing w:val="0"/>
          <w:w w:val="100"/>
          <w:position w:val="0"/>
        </w:rPr>
        <w:t>（</w:t>
      </w:r>
      <w:bookmarkEnd w:id="188"/>
      <w:r>
        <w:rPr>
          <w:color w:val="000000"/>
          <w:spacing w:val="0"/>
          <w:w w:val="100"/>
          <w:position w:val="0"/>
        </w:rPr>
        <w:t>四）</w:t>
        <w:tab/>
        <w:t>公司未来发展可能面对的风险</w:t>
      </w:r>
    </w:p>
    <w:p>
      <w:pPr>
        <w:pStyle w:val="Style27"/>
        <w:keepNext w:val="0"/>
        <w:keepLines w:val="0"/>
        <w:widowControl w:val="0"/>
        <w:shd w:val="clear" w:color="auto" w:fill="auto"/>
        <w:tabs>
          <w:tab w:pos="798" w:val="left"/>
        </w:tabs>
        <w:bidi w:val="0"/>
        <w:spacing w:before="0" w:after="0" w:line="444" w:lineRule="exact"/>
        <w:ind w:left="0" w:right="0" w:firstLine="440"/>
        <w:jc w:val="both"/>
      </w:pPr>
      <w:bookmarkStart w:id="189" w:name="bookmark189"/>
      <w:r>
        <w:rPr>
          <w:color w:val="000000"/>
          <w:spacing w:val="0"/>
          <w:w w:val="100"/>
          <w:position w:val="0"/>
        </w:rPr>
        <w:t>1</w:t>
      </w:r>
      <w:bookmarkEnd w:id="189"/>
      <w:r>
        <w:rPr>
          <w:color w:val="000000"/>
          <w:spacing w:val="0"/>
          <w:w w:val="100"/>
          <w:position w:val="0"/>
        </w:rPr>
        <w:t>、</w:t>
        <w:tab/>
        <w:t>行业形势不确定性风险：</w:t>
      </w:r>
    </w:p>
    <w:p>
      <w:pPr>
        <w:pStyle w:val="Style27"/>
        <w:keepNext w:val="0"/>
        <w:keepLines w:val="0"/>
        <w:widowControl w:val="0"/>
        <w:shd w:val="clear" w:color="auto" w:fill="auto"/>
        <w:bidi w:val="0"/>
        <w:spacing w:before="0" w:after="0" w:line="444" w:lineRule="exact"/>
        <w:ind w:left="0" w:right="0" w:firstLine="440"/>
        <w:jc w:val="both"/>
      </w:pPr>
      <w:r>
        <w:rPr>
          <w:color w:val="000000"/>
          <w:spacing w:val="0"/>
          <w:w w:val="100"/>
          <w:position w:val="0"/>
        </w:rPr>
        <w:t>公司经营与煤炭行业结合度较高，因国家经济形势而造成的煤炭行业发展形势的不确定性，构成公司 未来发展战略能否顺利实现的重要风险。</w:t>
      </w:r>
    </w:p>
    <w:p>
      <w:pPr>
        <w:pStyle w:val="Style27"/>
        <w:keepNext w:val="0"/>
        <w:keepLines w:val="0"/>
        <w:widowControl w:val="0"/>
        <w:shd w:val="clear" w:color="auto" w:fill="auto"/>
        <w:tabs>
          <w:tab w:pos="813" w:val="left"/>
        </w:tabs>
        <w:bidi w:val="0"/>
        <w:spacing w:before="0" w:after="0" w:line="442" w:lineRule="exact"/>
        <w:ind w:left="0" w:right="0" w:firstLine="440"/>
        <w:jc w:val="both"/>
      </w:pPr>
      <w:bookmarkStart w:id="190" w:name="bookmark190"/>
      <w:r>
        <w:rPr>
          <w:color w:val="000000"/>
          <w:spacing w:val="0"/>
          <w:w w:val="100"/>
          <w:position w:val="0"/>
        </w:rPr>
        <w:t>2</w:t>
      </w:r>
      <w:bookmarkEnd w:id="190"/>
      <w:r>
        <w:rPr>
          <w:color w:val="000000"/>
          <w:spacing w:val="0"/>
          <w:w w:val="100"/>
          <w:position w:val="0"/>
        </w:rPr>
        <w:t>、</w:t>
        <w:tab/>
        <w:t>公司管理方面的风险：</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随着公司规模的扩大，管理难度提高。公司管理层管理能力的高低，将对公司健康发展形成一定的风 险。所以，管理层应该及时进行学习培养，努力提高素质，以适应公司规模的发展；同时，公司应积极引 进优秀管理人才，确保公司不在管理上出现问题。</w:t>
      </w:r>
    </w:p>
    <w:p>
      <w:pPr>
        <w:pStyle w:val="Style27"/>
        <w:keepNext w:val="0"/>
        <w:keepLines w:val="0"/>
        <w:widowControl w:val="0"/>
        <w:shd w:val="clear" w:color="auto" w:fill="auto"/>
        <w:tabs>
          <w:tab w:pos="813" w:val="left"/>
        </w:tabs>
        <w:bidi w:val="0"/>
        <w:spacing w:before="0" w:after="0" w:line="442" w:lineRule="exact"/>
        <w:ind w:left="0" w:right="0" w:firstLine="440"/>
        <w:jc w:val="both"/>
      </w:pPr>
      <w:bookmarkStart w:id="191" w:name="bookmark191"/>
      <w:r>
        <w:rPr>
          <w:color w:val="000000"/>
          <w:spacing w:val="0"/>
          <w:w w:val="100"/>
          <w:position w:val="0"/>
        </w:rPr>
        <w:t>3</w:t>
      </w:r>
      <w:bookmarkEnd w:id="191"/>
      <w:r>
        <w:rPr>
          <w:color w:val="000000"/>
          <w:spacing w:val="0"/>
          <w:w w:val="100"/>
          <w:position w:val="0"/>
        </w:rPr>
        <w:t>、</w:t>
        <w:tab/>
        <w:t>未来竞争风险：</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对于公司核心产品，均系公司自主开发完成，毛利率较高，市场上有些小企业仿制公司产品，但其功 能和质量无法与公司产品相比，尚未对公司构成大的竞争威胁，但未来不排除竞争出现。</w:t>
      </w:r>
    </w:p>
    <w:p>
      <w:pPr>
        <w:pStyle w:val="Style27"/>
        <w:keepNext w:val="0"/>
        <w:keepLines w:val="0"/>
        <w:widowControl w:val="0"/>
        <w:shd w:val="clear" w:color="auto" w:fill="auto"/>
        <w:bidi w:val="0"/>
        <w:spacing w:before="0" w:after="0" w:line="442" w:lineRule="exact"/>
        <w:ind w:left="0" w:right="0" w:firstLine="440"/>
        <w:jc w:val="both"/>
      </w:pPr>
      <w:bookmarkStart w:id="192" w:name="bookmark192"/>
      <w:r>
        <w:rPr>
          <w:color w:val="000000"/>
          <w:spacing w:val="0"/>
          <w:w w:val="100"/>
          <w:position w:val="0"/>
        </w:rPr>
        <w:t>2</w:t>
      </w:r>
      <w:bookmarkEnd w:id="192"/>
      <w:r>
        <w:rPr>
          <w:color w:val="000000"/>
          <w:spacing w:val="0"/>
          <w:w w:val="100"/>
          <w:position w:val="0"/>
        </w:rPr>
        <w:t>、市场销售方面风险：</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公司在2014年开始推行改革后的销售体系，能否在未来时间快速见效，尚存风险。同时，新产品能否 按计划得到市场认可，实现销售量的扩大，也是存在不确定性。另外，公司，基于下游客户经营形势不景 气，有可能提出降低价格，公司的高毛利率也有下滑的风险。</w:t>
      </w:r>
    </w:p>
    <w:p>
      <w:pPr>
        <w:pStyle w:val="Style27"/>
        <w:keepNext w:val="0"/>
        <w:keepLines w:val="0"/>
        <w:widowControl w:val="0"/>
        <w:shd w:val="clear" w:color="auto" w:fill="auto"/>
        <w:bidi w:val="0"/>
        <w:spacing w:before="0" w:after="360" w:line="442" w:lineRule="exact"/>
        <w:ind w:left="0" w:right="0" w:firstLine="440"/>
        <w:jc w:val="left"/>
      </w:pPr>
      <w:r>
        <w:rPr>
          <w:color w:val="000000"/>
          <w:spacing w:val="0"/>
          <w:w w:val="100"/>
          <w:position w:val="0"/>
        </w:rPr>
        <w:t>公司将针对以上风险，进行认真分析和评估，采取积极有效措施，加以防范，努力将风险降低到最低。</w:t>
      </w:r>
    </w:p>
    <w:p>
      <w:pPr>
        <w:pStyle w:val="Style25"/>
        <w:keepNext/>
        <w:keepLines/>
        <w:widowControl w:val="0"/>
        <w:shd w:val="clear" w:color="auto" w:fill="auto"/>
        <w:bidi w:val="0"/>
        <w:spacing w:before="0" w:after="2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sz w:val="24"/>
          <w:szCs w:val="24"/>
        </w:rPr>
        <w:t>三</w:t>
      </w:r>
      <w:bookmarkEnd w:id="195"/>
      <w:r>
        <w:rPr>
          <w:color w:val="000000"/>
          <w:spacing w:val="0"/>
          <w:w w:val="100"/>
          <w:position w:val="0"/>
          <w:sz w:val="24"/>
          <w:szCs w:val="24"/>
        </w:rPr>
        <w:t>、董事会、监事会对会计师事务所本报告期“非标准审计报告”的说明</w:t>
      </w:r>
      <w:bookmarkEnd w:id="193"/>
      <w:bookmarkEnd w:id="194"/>
      <w:bookmarkEnd w:id="196"/>
    </w:p>
    <w:p>
      <w:pPr>
        <w:pStyle w:val="Style27"/>
        <w:keepNext w:val="0"/>
        <w:keepLines w:val="0"/>
        <w:widowControl w:val="0"/>
        <w:shd w:val="clear" w:color="auto" w:fill="auto"/>
        <w:bidi w:val="0"/>
        <w:spacing w:before="0" w:after="260" w:line="442" w:lineRule="exact"/>
        <w:ind w:left="0" w:right="0" w:firstLine="0"/>
        <w:jc w:val="left"/>
      </w:pPr>
      <w:r>
        <w:rPr>
          <w:color w:val="000000"/>
          <w:spacing w:val="0"/>
          <w:w w:val="100"/>
          <w:position w:val="0"/>
        </w:rPr>
        <w:t>瑞华会计师事务所（特殊普通合伙）对本年度公司财务报告的审计意见为：标准无保留审计意见。</w:t>
      </w:r>
    </w:p>
    <w:p>
      <w:pPr>
        <w:pStyle w:val="Style25"/>
        <w:keepNext/>
        <w:keepLines/>
        <w:widowControl w:val="0"/>
        <w:shd w:val="clear" w:color="auto" w:fill="auto"/>
        <w:tabs>
          <w:tab w:pos="502" w:val="left"/>
        </w:tabs>
        <w:bidi w:val="0"/>
        <w:spacing w:before="0" w:after="340" w:line="240" w:lineRule="auto"/>
        <w:ind w:left="0" w:right="0" w:firstLine="0"/>
        <w:jc w:val="both"/>
      </w:pPr>
      <w:bookmarkStart w:id="197" w:name="bookmark197"/>
      <w:bookmarkStart w:id="198" w:name="bookmark198"/>
      <w:bookmarkStart w:id="199" w:name="bookmark199"/>
      <w:bookmarkStart w:id="200" w:name="bookmark200"/>
      <w:r>
        <w:rPr>
          <w:color w:val="000000"/>
          <w:spacing w:val="0"/>
          <w:w w:val="100"/>
          <w:position w:val="0"/>
          <w:sz w:val="24"/>
          <w:szCs w:val="24"/>
        </w:rPr>
        <w:t>四</w:t>
      </w:r>
      <w:bookmarkEnd w:id="199"/>
      <w:r>
        <w:rPr>
          <w:color w:val="000000"/>
          <w:spacing w:val="0"/>
          <w:w w:val="100"/>
          <w:position w:val="0"/>
          <w:sz w:val="24"/>
          <w:szCs w:val="24"/>
        </w:rPr>
        <w:t>、</w:t>
        <w:tab/>
        <w:t>董事会关于报告期会计政策、会计估计变更或重要前期差错更正的说明</w:t>
      </w:r>
      <w:bookmarkEnd w:id="197"/>
      <w:bookmarkEnd w:id="198"/>
      <w:bookmarkEnd w:id="200"/>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报告期公司会计政策、会计估计未发生变更，也没有发生进行重要前期差错更正的情形。</w:t>
      </w:r>
    </w:p>
    <w:p>
      <w:pPr>
        <w:pStyle w:val="Style25"/>
        <w:keepNext/>
        <w:keepLines/>
        <w:widowControl w:val="0"/>
        <w:shd w:val="clear" w:color="auto" w:fill="auto"/>
        <w:tabs>
          <w:tab w:pos="517" w:val="left"/>
        </w:tabs>
        <w:bidi w:val="0"/>
        <w:spacing w:before="0" w:after="26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sz w:val="24"/>
          <w:szCs w:val="24"/>
        </w:rPr>
        <w:t>五</w:t>
      </w:r>
      <w:bookmarkEnd w:id="203"/>
      <w:r>
        <w:rPr>
          <w:color w:val="000000"/>
          <w:spacing w:val="0"/>
          <w:w w:val="100"/>
          <w:position w:val="0"/>
          <w:sz w:val="24"/>
          <w:szCs w:val="24"/>
        </w:rPr>
        <w:t>、</w:t>
        <w:tab/>
        <w:t>公司利润分配及分红派息情况</w:t>
      </w:r>
      <w:bookmarkEnd w:id="201"/>
      <w:bookmarkEnd w:id="202"/>
      <w:bookmarkEnd w:id="204"/>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80" w:line="312" w:lineRule="exact"/>
        <w:ind w:left="0" w:right="0" w:firstLine="0"/>
        <w:jc w:val="both"/>
      </w:pPr>
      <w:r>
        <w:rPr>
          <w:color w:val="000000"/>
          <w:spacing w:val="0"/>
          <w:w w:val="100"/>
          <w:position w:val="0"/>
        </w:rPr>
        <w:t>报告期内，公司严格按照《公司章程》相关利润分配政策和审议程序实施权益分派方案，分红标准和分红比例明确清晰，相 关的决策程序和机制完备，相关的议案经由董事会、监事会审议过后提交股东大会审议，并由独立董事发表独立意见，审议 通过后在规定时间内进行实施，切实保证了全体股东特别是中小投资者的合法权益。</w:t>
      </w:r>
    </w:p>
    <w:tbl>
      <w:tblPr>
        <w:tblOverlap w:val="never"/>
        <w:jc w:val="center"/>
        <w:tblLayout w:type="fixed"/>
      </w:tblPr>
      <w:tblGrid>
        <w:gridCol w:w="4229"/>
        <w:gridCol w:w="5352"/>
      </w:tblGrid>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中小股东是否有充分表达意见和诉求的机会，其合 法权益是否得到了充分保护：</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现金分红政策进行调整或变更的，条件及程序是否 合规、透明：</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pStyle w:val="Style30"/>
        <w:keepNext w:val="0"/>
        <w:keepLines w:val="0"/>
        <w:widowControl w:val="0"/>
        <w:shd w:val="clear" w:color="auto" w:fill="auto"/>
        <w:bidi w:val="0"/>
        <w:spacing w:before="0" w:after="80" w:line="350" w:lineRule="exact"/>
        <w:ind w:left="0" w:right="0" w:firstLine="0"/>
        <w:jc w:val="both"/>
      </w:pPr>
      <w:r>
        <w:rPr>
          <w:color w:val="000000"/>
          <w:spacing w:val="0"/>
          <w:w w:val="100"/>
          <w:position w:val="0"/>
        </w:rPr>
        <w:t>公司报告期利润分配预案及资本公积金转增股本预案与公司章程和分红管理办法等的相关规定一致 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股送红股数（股）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股派息数（元）（含税）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214,599,453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现金分红总额（元）（含税）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21,459,945.30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198,858,508.27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现金分红占利润分配总额的比例（%）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w:t>
            </w:r>
          </w:p>
        </w:tc>
      </w:tr>
      <w:tr>
        <w:trPr>
          <w:trHeight w:val="715"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CCE8C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年度利润分配预案为：以截止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日公司总股本</w:t>
            </w:r>
            <w:r>
              <w:rPr>
                <w:rFonts w:ascii="Times New Roman" w:eastAsia="Times New Roman" w:hAnsi="Times New Roman" w:cs="Times New Roman"/>
                <w:color w:val="000000"/>
                <w:spacing w:val="0"/>
                <w:w w:val="100"/>
                <w:position w:val="0"/>
                <w:sz w:val="18"/>
                <w:szCs w:val="18"/>
              </w:rPr>
              <w:t>214,599,453</w:t>
            </w:r>
            <w:r>
              <w:rPr>
                <w:color w:val="000000"/>
                <w:spacing w:val="0"/>
                <w:w w:val="100"/>
                <w:position w:val="0"/>
                <w:sz w:val="18"/>
                <w:szCs w:val="18"/>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股派发现金股利</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元人民币（含税），合计派发现金股利</w:t>
            </w:r>
            <w:r>
              <w:rPr>
                <w:rFonts w:ascii="Times New Roman" w:eastAsia="Times New Roman" w:hAnsi="Times New Roman" w:cs="Times New Roman"/>
                <w:color w:val="000000"/>
                <w:spacing w:val="0"/>
                <w:w w:val="100"/>
                <w:position w:val="0"/>
                <w:sz w:val="18"/>
                <w:szCs w:val="18"/>
              </w:rPr>
              <w:t>21,459,945.3</w:t>
            </w:r>
            <w:r>
              <w:rPr>
                <w:color w:val="000000"/>
                <w:spacing w:val="0"/>
                <w:w w:val="100"/>
                <w:position w:val="0"/>
                <w:sz w:val="18"/>
                <w:szCs w:val="18"/>
              </w:rPr>
              <w:t>元（含税），剩余未分配利润结转以后年度。</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widowControl w:val="0"/>
        <w:spacing w:after="259" w:line="1" w:lineRule="exact"/>
      </w:pPr>
    </w:p>
    <w:p>
      <w:pPr>
        <w:pStyle w:val="Style13"/>
        <w:keepNext w:val="0"/>
        <w:keepLines w:val="0"/>
        <w:widowControl w:val="0"/>
        <w:shd w:val="clear" w:color="auto" w:fill="auto"/>
        <w:bidi w:val="0"/>
        <w:spacing w:before="0" w:after="260" w:line="240" w:lineRule="auto"/>
        <w:ind w:left="0" w:right="0" w:firstLine="440"/>
        <w:jc w:val="left"/>
        <w:rPr>
          <w:sz w:val="20"/>
          <w:szCs w:val="20"/>
        </w:rPr>
      </w:pPr>
      <w:bookmarkStart w:id="205" w:name="bookmark205"/>
      <w:r>
        <w:rPr>
          <w:b w:val="0"/>
          <w:bCs w:val="0"/>
          <w:color w:val="000000"/>
          <w:spacing w:val="0"/>
          <w:w w:val="100"/>
          <w:position w:val="0"/>
          <w:sz w:val="20"/>
          <w:szCs w:val="20"/>
        </w:rPr>
        <w:t>1</w:t>
      </w:r>
      <w:bookmarkEnd w:id="205"/>
      <w:r>
        <w:rPr>
          <w:rFonts w:ascii="SimSun" w:eastAsia="SimSun" w:hAnsi="SimSun" w:cs="SimSun"/>
          <w:b w:val="0"/>
          <w:bCs w:val="0"/>
          <w:color w:val="000000"/>
          <w:spacing w:val="0"/>
          <w:w w:val="100"/>
          <w:position w:val="0"/>
          <w:sz w:val="20"/>
          <w:szCs w:val="20"/>
        </w:rPr>
        <w:t>、</w:t>
      </w:r>
      <w:r>
        <w:rPr>
          <w:b w:val="0"/>
          <w:bCs w:val="0"/>
          <w:color w:val="000000"/>
          <w:spacing w:val="0"/>
          <w:w w:val="100"/>
          <w:position w:val="0"/>
          <w:sz w:val="20"/>
          <w:szCs w:val="20"/>
        </w:rPr>
        <w:t xml:space="preserve">2011 </w:t>
      </w:r>
      <w:r>
        <w:rPr>
          <w:rFonts w:ascii="SimSun" w:eastAsia="SimSun" w:hAnsi="SimSun" w:cs="SimSun"/>
          <w:b w:val="0"/>
          <w:bCs w:val="0"/>
          <w:color w:val="000000"/>
          <w:spacing w:val="0"/>
          <w:w w:val="100"/>
          <w:position w:val="0"/>
          <w:sz w:val="20"/>
          <w:szCs w:val="20"/>
        </w:rPr>
        <w:t>年:</w:t>
      </w:r>
    </w:p>
    <w:p>
      <w:pPr>
        <w:pStyle w:val="Style27"/>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年上半年度，以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rPr>
        <w:t>103,350,000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股派发现金红 </w:t>
      </w:r>
      <w:r>
        <w:rPr>
          <w:color w:val="000000"/>
          <w:spacing w:val="0"/>
          <w:w w:val="100"/>
          <w:position w:val="0"/>
        </w:rPr>
        <w:t>利</w:t>
      </w:r>
      <w:r>
        <w:rPr>
          <w:rFonts w:ascii="Times New Roman" w:eastAsia="Times New Roman" w:hAnsi="Times New Roman" w:cs="Times New Roman"/>
          <w:color w:val="000000"/>
          <w:spacing w:val="0"/>
          <w:w w:val="100"/>
          <w:position w:val="0"/>
        </w:rPr>
        <w:t>3.00</w:t>
      </w:r>
      <w:r>
        <w:rPr>
          <w:color w:val="000000"/>
          <w:spacing w:val="0"/>
          <w:w w:val="100"/>
          <w:position w:val="0"/>
        </w:rPr>
        <w:t>元（含税），共计派发现金</w:t>
      </w:r>
      <w:r>
        <w:rPr>
          <w:rFonts w:ascii="Times New Roman" w:eastAsia="Times New Roman" w:hAnsi="Times New Roman" w:cs="Times New Roman"/>
          <w:color w:val="000000"/>
          <w:spacing w:val="0"/>
          <w:w w:val="100"/>
          <w:position w:val="0"/>
        </w:rPr>
        <w:t>31,005,000.00</w:t>
      </w:r>
      <w:r>
        <w:rPr>
          <w:color w:val="000000"/>
          <w:spacing w:val="0"/>
          <w:w w:val="100"/>
          <w:position w:val="0"/>
        </w:rPr>
        <w:t>元（含税）。该方案已经于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日实施完毕。</w:t>
      </w:r>
    </w:p>
    <w:p>
      <w:pPr>
        <w:pStyle w:val="Style27"/>
        <w:keepNext w:val="0"/>
        <w:keepLines w:val="0"/>
        <w:widowControl w:val="0"/>
        <w:shd w:val="clear" w:color="auto" w:fill="auto"/>
        <w:bidi w:val="0"/>
        <w:spacing w:before="0" w:after="100" w:line="444" w:lineRule="exact"/>
        <w:ind w:left="0" w:right="0" w:firstLine="42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w:t>
      </w:r>
      <w:r>
        <w:rPr>
          <w:rFonts w:ascii="Times New Roman" w:eastAsia="Times New Roman" w:hAnsi="Times New Roman" w:cs="Times New Roman"/>
          <w:color w:val="000000"/>
          <w:spacing w:val="0"/>
          <w:w w:val="100"/>
          <w:position w:val="0"/>
        </w:rPr>
        <w:t>2011</w:t>
      </w:r>
      <w:r>
        <w:rPr>
          <w:color w:val="000000"/>
          <w:spacing w:val="0"/>
          <w:w w:val="100"/>
          <w:position w:val="0"/>
        </w:rPr>
        <w:t>年末总股本</w:t>
      </w:r>
      <w:r>
        <w:rPr>
          <w:rFonts w:ascii="Times New Roman" w:eastAsia="Times New Roman" w:hAnsi="Times New Roman" w:cs="Times New Roman"/>
          <w:color w:val="000000"/>
          <w:spacing w:val="0"/>
          <w:w w:val="100"/>
          <w:position w:val="0"/>
        </w:rPr>
        <w:t>10,335</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股派发现金人民币</w:t>
      </w:r>
      <w:r>
        <w:rPr>
          <w:rFonts w:ascii="Times New Roman" w:eastAsia="Times New Roman" w:hAnsi="Times New Roman" w:cs="Times New Roman"/>
          <w:color w:val="000000"/>
          <w:spacing w:val="0"/>
          <w:w w:val="100"/>
          <w:position w:val="0"/>
        </w:rPr>
        <w:t>5.00</w:t>
      </w:r>
      <w:r>
        <w:rPr>
          <w:color w:val="000000"/>
          <w:spacing w:val="0"/>
          <w:w w:val="100"/>
          <w:position w:val="0"/>
        </w:rPr>
        <w:t>元（含税），共 计派发现金</w:t>
      </w:r>
      <w:r>
        <w:rPr>
          <w:rFonts w:ascii="Times New Roman" w:eastAsia="Times New Roman" w:hAnsi="Times New Roman" w:cs="Times New Roman"/>
          <w:color w:val="000000"/>
          <w:spacing w:val="0"/>
          <w:w w:val="100"/>
          <w:position w:val="0"/>
        </w:rPr>
        <w:t>51,675,000.00</w:t>
      </w:r>
      <w:r>
        <w:rPr>
          <w:color w:val="000000"/>
          <w:spacing w:val="0"/>
          <w:w w:val="100"/>
          <w:position w:val="0"/>
        </w:rPr>
        <w:t>元，占全年实现净利润的</w:t>
      </w:r>
      <w:r>
        <w:rPr>
          <w:rFonts w:ascii="Times New Roman" w:eastAsia="Times New Roman" w:hAnsi="Times New Roman" w:cs="Times New Roman"/>
          <w:color w:val="000000"/>
          <w:spacing w:val="0"/>
          <w:w w:val="100"/>
          <w:position w:val="0"/>
        </w:rPr>
        <w:t>59.91%</w:t>
      </w:r>
      <w:r>
        <w:rPr>
          <w:color w:val="000000"/>
          <w:spacing w:val="0"/>
          <w:w w:val="100"/>
          <w:position w:val="0"/>
        </w:rPr>
        <w:t>；本年度不进行送红股，亦不进行转增股本。其 余未分配利润结转下年度。该方案已经于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日实施完毕。</w:t>
      </w:r>
    </w:p>
    <w:p>
      <w:pPr>
        <w:pStyle w:val="Style27"/>
        <w:keepNext w:val="0"/>
        <w:keepLines w:val="0"/>
        <w:widowControl w:val="0"/>
        <w:shd w:val="clear" w:color="auto" w:fill="auto"/>
        <w:tabs>
          <w:tab w:pos="798" w:val="left"/>
        </w:tabs>
        <w:bidi w:val="0"/>
        <w:spacing w:before="0" w:after="100" w:line="444" w:lineRule="exact"/>
        <w:ind w:left="0" w:right="0" w:firstLine="420"/>
        <w:jc w:val="both"/>
      </w:pPr>
      <w:bookmarkStart w:id="206" w:name="bookmark206"/>
      <w:r>
        <w:rPr>
          <w:rFonts w:ascii="Times New Roman" w:eastAsia="Times New Roman" w:hAnsi="Times New Roman" w:cs="Times New Roman"/>
          <w:color w:val="000000"/>
          <w:spacing w:val="0"/>
          <w:w w:val="100"/>
          <w:position w:val="0"/>
        </w:rPr>
        <w:t>2</w:t>
      </w:r>
      <w:bookmarkEnd w:id="206"/>
      <w:r>
        <w:rPr>
          <w:color w:val="000000"/>
          <w:spacing w:val="0"/>
          <w:w w:val="100"/>
          <w:position w:val="0"/>
        </w:rPr>
        <w:t>、</w:t>
        <w:tab/>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w:t>
      </w:r>
    </w:p>
    <w:p>
      <w:pPr>
        <w:pStyle w:val="Style27"/>
        <w:keepNext w:val="0"/>
        <w:keepLines w:val="0"/>
        <w:widowControl w:val="0"/>
        <w:shd w:val="clear" w:color="auto" w:fill="auto"/>
        <w:bidi w:val="0"/>
        <w:spacing w:before="0" w:after="100" w:line="442" w:lineRule="exact"/>
        <w:ind w:left="0" w:right="0" w:firstLine="42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10,335</w:t>
      </w:r>
      <w:r>
        <w:rPr>
          <w:color w:val="000000"/>
          <w:spacing w:val="0"/>
          <w:w w:val="100"/>
          <w:position w:val="0"/>
        </w:rPr>
        <w:t>万股为基数，向全体股东以每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5</w:t>
      </w:r>
      <w:r>
        <w:rPr>
          <w:color w:val="000000"/>
          <w:spacing w:val="0"/>
          <w:w w:val="100"/>
          <w:position w:val="0"/>
        </w:rPr>
        <w:t>元现金（含税）的 股利分红，合计派发现金红利</w:t>
      </w:r>
      <w:r>
        <w:rPr>
          <w:rFonts w:ascii="Times New Roman" w:eastAsia="Times New Roman" w:hAnsi="Times New Roman" w:cs="Times New Roman"/>
          <w:color w:val="000000"/>
          <w:spacing w:val="0"/>
          <w:w w:val="100"/>
          <w:position w:val="0"/>
        </w:rPr>
        <w:t>5167.5</w:t>
      </w:r>
      <w:r>
        <w:rPr>
          <w:rFonts w:ascii="Times New Roman" w:eastAsia="Times New Roman" w:hAnsi="Times New Roman" w:cs="Times New Roman"/>
          <w:color w:val="000000"/>
          <w:spacing w:val="0"/>
          <w:w w:val="100"/>
          <w:position w:val="0"/>
        </w:rPr>
        <w:t>0</w:t>
      </w:r>
      <w:r>
        <w:rPr>
          <w:color w:val="000000"/>
          <w:spacing w:val="0"/>
          <w:w w:val="100"/>
          <w:position w:val="0"/>
        </w:rPr>
        <w:t>万元；向全体股东以每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股，剩余未分配利润结转以后年度 分配。该方案已经于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日实施完毕。</w:t>
      </w:r>
    </w:p>
    <w:p>
      <w:pPr>
        <w:pStyle w:val="Style27"/>
        <w:keepNext w:val="0"/>
        <w:keepLines w:val="0"/>
        <w:widowControl w:val="0"/>
        <w:shd w:val="clear" w:color="auto" w:fill="auto"/>
        <w:tabs>
          <w:tab w:pos="798" w:val="left"/>
        </w:tabs>
        <w:bidi w:val="0"/>
        <w:spacing w:before="0" w:after="100" w:line="444" w:lineRule="exact"/>
        <w:ind w:left="0" w:right="0" w:firstLine="420"/>
        <w:jc w:val="both"/>
      </w:pPr>
      <w:bookmarkStart w:id="207" w:name="bookmark207"/>
      <w:r>
        <w:rPr>
          <w:rFonts w:ascii="Times New Roman" w:eastAsia="Times New Roman" w:hAnsi="Times New Roman" w:cs="Times New Roman"/>
          <w:color w:val="000000"/>
          <w:spacing w:val="0"/>
          <w:w w:val="100"/>
          <w:position w:val="0"/>
        </w:rPr>
        <w:t>3</w:t>
      </w:r>
      <w:bookmarkEnd w:id="207"/>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27"/>
        <w:keepNext w:val="0"/>
        <w:keepLines w:val="0"/>
        <w:widowControl w:val="0"/>
        <w:shd w:val="clear" w:color="auto" w:fill="auto"/>
        <w:bidi w:val="0"/>
        <w:spacing w:before="0" w:after="100" w:line="446" w:lineRule="exact"/>
        <w:ind w:left="0" w:right="0" w:firstLine="420"/>
        <w:jc w:val="both"/>
      </w:pPr>
      <w:r>
        <w:rPr>
          <w:color w:val="000000"/>
          <w:spacing w:val="0"/>
          <w:w w:val="100"/>
          <w:position w:val="0"/>
        </w:rPr>
        <w:t>利润分配预案为：以截止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日公司总股本</w:t>
      </w:r>
      <w:r>
        <w:rPr>
          <w:rFonts w:ascii="Times New Roman" w:eastAsia="Times New Roman" w:hAnsi="Times New Roman" w:cs="Times New Roman"/>
          <w:color w:val="000000"/>
          <w:spacing w:val="0"/>
          <w:w w:val="100"/>
          <w:position w:val="0"/>
        </w:rPr>
        <w:t>214,599,453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rPr>
        <w:t>21,459,945.3</w:t>
      </w:r>
      <w:r>
        <w:rPr>
          <w:color w:val="000000"/>
          <w:spacing w:val="0"/>
          <w:w w:val="100"/>
          <w:position w:val="0"/>
        </w:rPr>
        <w:t>元（含税），本年度不进行送红股，亦不进行转 增股本，剩余未分配利润结转以后年度。</w:t>
      </w:r>
    </w:p>
    <w:p>
      <w:pPr>
        <w:pStyle w:val="Style27"/>
        <w:keepNext w:val="0"/>
        <w:keepLines w:val="0"/>
        <w:widowControl w:val="0"/>
        <w:shd w:val="clear" w:color="auto" w:fill="auto"/>
        <w:bidi w:val="0"/>
        <w:spacing w:before="0" w:after="100" w:line="444" w:lineRule="exact"/>
        <w:ind w:left="0" w:right="0" w:firstLine="420"/>
        <w:jc w:val="both"/>
      </w:pPr>
      <w:r>
        <w:rPr>
          <w:color w:val="000000"/>
          <w:spacing w:val="0"/>
          <w:w w:val="100"/>
          <w:position w:val="0"/>
        </w:rPr>
        <w:t>公司近三年现金分红情况表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现金分红金额（含税）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21,459,945.30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67,613,135.05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31.74%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51,675,000.00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97,101,627.40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53.22%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82,680,000.00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86,252,371.54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95.86%</w:t>
            </w:r>
          </w:p>
        </w:tc>
      </w:tr>
    </w:tbl>
    <w:p>
      <w:pPr>
        <w:widowControl w:val="0"/>
        <w:spacing w:after="319" w:line="1" w:lineRule="exact"/>
      </w:pPr>
    </w:p>
    <w:p>
      <w:pPr>
        <w:pStyle w:val="Style25"/>
        <w:keepNext/>
        <w:keepLines/>
        <w:widowControl w:val="0"/>
        <w:shd w:val="clear" w:color="auto" w:fill="auto"/>
        <w:bidi w:val="0"/>
        <w:spacing w:before="0" w:after="24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六</w:t>
      </w:r>
      <w:bookmarkEnd w:id="210"/>
      <w:r>
        <w:rPr>
          <w:color w:val="000000"/>
          <w:spacing w:val="0"/>
          <w:w w:val="100"/>
          <w:position w:val="0"/>
          <w:sz w:val="24"/>
          <w:szCs w:val="24"/>
        </w:rPr>
        <w:t>、内幕信息知情人管理制度的建立和执行情况</w:t>
      </w:r>
      <w:bookmarkEnd w:id="208"/>
      <w:bookmarkEnd w:id="209"/>
      <w:bookmarkEnd w:id="211"/>
    </w:p>
    <w:p>
      <w:pPr>
        <w:pStyle w:val="Style27"/>
        <w:keepNext w:val="0"/>
        <w:keepLines w:val="0"/>
        <w:widowControl w:val="0"/>
        <w:shd w:val="clear" w:color="auto" w:fill="auto"/>
        <w:bidi w:val="0"/>
        <w:spacing w:before="0" w:after="360" w:line="443" w:lineRule="exact"/>
        <w:ind w:left="0" w:right="0" w:firstLine="420"/>
        <w:jc w:val="both"/>
      </w:pPr>
      <w:r>
        <w:rPr>
          <w:color w:val="000000"/>
          <w:spacing w:val="0"/>
          <w:w w:val="100"/>
          <w:position w:val="0"/>
        </w:rPr>
        <w:t>2010年8月21日，第一届董事会第三次会议制定并开始实施了内幕信息管理制度，2012年2月26日，经 第二届董事会2012年第一次会议批准，公司对上述内幕信息管理制度进行了修订和完善。报告期内，公司 严格执行内幕信息管理制度，未发生内幕信息知情人在影响公司股价的重大敏感信息披露前利用内幕信息 买卖公司股份的情况。</w:t>
      </w:r>
    </w:p>
    <w:p>
      <w:pPr>
        <w:pStyle w:val="Style25"/>
        <w:keepNext/>
        <w:keepLines/>
        <w:widowControl w:val="0"/>
        <w:shd w:val="clear" w:color="auto" w:fill="auto"/>
        <w:bidi w:val="0"/>
        <w:spacing w:before="0" w:after="32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sz w:val="24"/>
          <w:szCs w:val="24"/>
        </w:rPr>
        <w:t>七</w:t>
      </w:r>
      <w:bookmarkEnd w:id="214"/>
      <w:r>
        <w:rPr>
          <w:color w:val="000000"/>
          <w:spacing w:val="0"/>
          <w:w w:val="100"/>
          <w:position w:val="0"/>
          <w:sz w:val="24"/>
          <w:szCs w:val="24"/>
        </w:rPr>
        <w:t>、报告期内接待调研、沟通、采访等活动登记表</w:t>
      </w:r>
      <w:bookmarkEnd w:id="212"/>
      <w:bookmarkEnd w:id="213"/>
      <w:bookmarkEnd w:id="215"/>
    </w:p>
    <w:tbl>
      <w:tblPr>
        <w:tblOverlap w:val="never"/>
        <w:jc w:val="center"/>
        <w:tblLayout w:type="fixed"/>
      </w:tblPr>
      <w:tblGrid>
        <w:gridCol w:w="1498"/>
        <w:gridCol w:w="1498"/>
        <w:gridCol w:w="1498"/>
        <w:gridCol w:w="1493"/>
        <w:gridCol w:w="1498"/>
        <w:gridCol w:w="209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谈论的主要内容及提供</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的资料</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安信证券股份有</w:t>
            </w:r>
          </w:p>
        </w:tc>
        <w:tc>
          <w:tcPr>
            <w:tcBorders>
              <w:top w:val="single" w:sz="4"/>
              <w:left w:val="single" w:sz="4"/>
              <w:bottom w:val="single" w:sz="4"/>
              <w:right w:val="single" w:sz="4"/>
            </w:tcBorders>
            <w:shd w:val="clear" w:color="auto" w:fill="CCE8CF"/>
            <w:vAlign w:val="bottom"/>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公司的生产经营、行业 形势、发展战略、研发</w:t>
            </w:r>
          </w:p>
        </w:tc>
      </w:tr>
    </w:tbl>
    <w:p>
      <w:pPr>
        <w:spacing w:lineRule="exact" w:line="1"/>
        <w:rPr>
          <w:sz w:val="2"/>
          <w:szCs w:val="2"/>
        </w:rPr>
      </w:pPr>
      <w:r>
        <w:br w:type="page"/>
      </w:r>
    </w:p>
    <w:tbl>
      <w:tblPr>
        <w:tblOverlap w:val="never"/>
        <w:jc w:val="center"/>
        <w:tblLayout w:type="fixed"/>
      </w:tblPr>
      <w:tblGrid>
        <w:gridCol w:w="1498"/>
        <w:gridCol w:w="1498"/>
        <w:gridCol w:w="1498"/>
        <w:gridCol w:w="1493"/>
        <w:gridCol w:w="1498"/>
        <w:gridCol w:w="2098"/>
      </w:tblGrid>
      <w:tr>
        <w:trPr>
          <w:trHeight w:val="36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righ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创新及公司治理等</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个人</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个人投资者</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公司日常经营情况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个人</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个人投资者</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公司研发进展情况</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个人</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个人投资者</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公司半年度报告相关问 题</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个人</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个人投资者</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公司日常经营管理情况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个人</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个人投资者</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公司三季报相关问题</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个人</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个人投资者</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公司并购重组进展咨询</w:t>
            </w:r>
          </w:p>
        </w:tc>
      </w:tr>
    </w:tbl>
    <w:p>
      <w:pPr>
        <w:sectPr>
          <w:footnotePr>
            <w:pos w:val="pageBottom"/>
            <w:numFmt w:val="decimal"/>
            <w:numRestart w:val="continuous"/>
          </w:footnotePr>
          <w:pgSz w:w="11900" w:h="16840"/>
          <w:pgMar w:top="1378" w:right="1032" w:bottom="1460" w:left="1076" w:header="0" w:footer="3" w:gutter="0"/>
          <w:cols w:space="720"/>
          <w:noEndnote/>
          <w:rtlGutter w:val="0"/>
          <w:docGrid w:linePitch="360"/>
        </w:sectPr>
      </w:pPr>
    </w:p>
    <w:p>
      <w:pPr>
        <w:pStyle w:val="Style10"/>
        <w:keepNext/>
        <w:keepLines/>
        <w:widowControl w:val="0"/>
        <w:shd w:val="clear" w:color="auto" w:fill="auto"/>
        <w:bidi w:val="0"/>
        <w:spacing w:before="540" w:line="240" w:lineRule="auto"/>
        <w:ind w:left="0" w:right="0" w:firstLine="0"/>
        <w:jc w:val="center"/>
      </w:pPr>
      <w:bookmarkStart w:id="216" w:name="bookmark216"/>
      <w:bookmarkStart w:id="217" w:name="bookmark217"/>
      <w:bookmarkStart w:id="218" w:name="bookmark218"/>
      <w:r>
        <w:rPr>
          <w:color w:val="000000"/>
          <w:spacing w:val="0"/>
          <w:w w:val="100"/>
          <w:position w:val="0"/>
        </w:rPr>
        <w:t>第五节重要事项</w:t>
      </w:r>
      <w:bookmarkEnd w:id="216"/>
      <w:bookmarkEnd w:id="217"/>
      <w:bookmarkEnd w:id="218"/>
    </w:p>
    <w:p>
      <w:pPr>
        <w:pStyle w:val="Style25"/>
        <w:keepNext/>
        <w:keepLines/>
        <w:widowControl w:val="0"/>
        <w:shd w:val="clear" w:color="auto" w:fill="auto"/>
        <w:tabs>
          <w:tab w:pos="511" w:val="left"/>
        </w:tabs>
        <w:bidi w:val="0"/>
        <w:spacing w:before="0" w:after="340" w:line="240" w:lineRule="auto"/>
        <w:ind w:left="0" w:right="0" w:firstLine="0"/>
        <w:jc w:val="both"/>
      </w:pPr>
      <w:bookmarkStart w:id="219" w:name="bookmark219"/>
      <w:bookmarkStart w:id="220" w:name="bookmark220"/>
      <w:bookmarkStart w:id="221" w:name="bookmark221"/>
      <w:bookmarkStart w:id="222" w:name="bookmark222"/>
      <w:r>
        <w:rPr>
          <w:color w:val="000000"/>
          <w:spacing w:val="0"/>
          <w:w w:val="100"/>
          <w:position w:val="0"/>
          <w:sz w:val="24"/>
          <w:szCs w:val="24"/>
        </w:rPr>
        <w:t>一</w:t>
      </w:r>
      <w:bookmarkEnd w:id="221"/>
      <w:r>
        <w:rPr>
          <w:color w:val="000000"/>
          <w:spacing w:val="0"/>
          <w:w w:val="100"/>
          <w:position w:val="0"/>
          <w:sz w:val="24"/>
          <w:szCs w:val="24"/>
        </w:rPr>
        <w:t>、</w:t>
        <w:tab/>
        <w:t>重大诉讼仲裁事项</w:t>
      </w:r>
      <w:bookmarkEnd w:id="219"/>
      <w:bookmarkEnd w:id="220"/>
      <w:bookmarkEnd w:id="222"/>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本年度公司无重大诉讼、仲裁事项。</w:t>
      </w:r>
    </w:p>
    <w:p>
      <w:pPr>
        <w:pStyle w:val="Style25"/>
        <w:keepNext/>
        <w:keepLines/>
        <w:widowControl w:val="0"/>
        <w:shd w:val="clear" w:color="auto" w:fill="auto"/>
        <w:tabs>
          <w:tab w:pos="511" w:val="left"/>
        </w:tabs>
        <w:bidi w:val="0"/>
        <w:spacing w:before="0" w:after="340" w:line="240" w:lineRule="auto"/>
        <w:ind w:left="0" w:right="0" w:firstLine="0"/>
        <w:jc w:val="both"/>
      </w:pPr>
      <w:bookmarkStart w:id="223" w:name="bookmark223"/>
      <w:bookmarkStart w:id="224" w:name="bookmark224"/>
      <w:bookmarkStart w:id="225" w:name="bookmark225"/>
      <w:bookmarkStart w:id="226" w:name="bookmark226"/>
      <w:r>
        <w:rPr>
          <w:color w:val="000000"/>
          <w:spacing w:val="0"/>
          <w:w w:val="100"/>
          <w:position w:val="0"/>
          <w:sz w:val="24"/>
          <w:szCs w:val="24"/>
        </w:rPr>
        <w:t>二</w:t>
      </w:r>
      <w:bookmarkEnd w:id="225"/>
      <w:r>
        <w:rPr>
          <w:color w:val="000000"/>
          <w:spacing w:val="0"/>
          <w:w w:val="100"/>
          <w:position w:val="0"/>
          <w:sz w:val="24"/>
          <w:szCs w:val="24"/>
        </w:rPr>
        <w:t>、</w:t>
        <w:tab/>
        <w:t>资产交易事项</w:t>
      </w:r>
      <w:bookmarkEnd w:id="223"/>
      <w:bookmarkEnd w:id="224"/>
      <w:bookmarkEnd w:id="226"/>
    </w:p>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、收购资产情况</w:t>
      </w:r>
    </w:p>
    <w:tbl>
      <w:tblPr>
        <w:tblOverlap w:val="never"/>
        <w:jc w:val="center"/>
        <w:tblLayout w:type="fixed"/>
      </w:tblPr>
      <w:tblGrid>
        <w:gridCol w:w="869"/>
        <w:gridCol w:w="869"/>
        <w:gridCol w:w="691"/>
        <w:gridCol w:w="1046"/>
        <w:gridCol w:w="1070"/>
        <w:gridCol w:w="931"/>
        <w:gridCol w:w="960"/>
        <w:gridCol w:w="518"/>
        <w:gridCol w:w="869"/>
        <w:gridCol w:w="874"/>
        <w:gridCol w:w="878"/>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交易对 方或最 终控制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被收购 或置入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160"/>
              <w:jc w:val="left"/>
              <w:rPr>
                <w:sz w:val="18"/>
                <w:szCs w:val="18"/>
              </w:rPr>
            </w:pPr>
            <w:r>
              <w:rPr>
                <w:color w:val="000000"/>
                <w:spacing w:val="0"/>
                <w:w w:val="100"/>
                <w:position w:val="0"/>
                <w:sz w:val="18"/>
                <w:szCs w:val="18"/>
              </w:rPr>
              <w:t>交易 价格</w:t>
            </w:r>
          </w:p>
          <w:p>
            <w:pPr>
              <w:pStyle w:val="Style21"/>
              <w:keepNext w:val="0"/>
              <w:keepLines w:val="0"/>
              <w:widowControl w:val="0"/>
              <w:shd w:val="clear" w:color="auto" w:fill="auto"/>
              <w:bidi w:val="0"/>
              <w:spacing w:before="0" w:after="0" w:line="324" w:lineRule="exact"/>
              <w:ind w:left="0" w:right="0" w:firstLine="160"/>
              <w:jc w:val="left"/>
              <w:rPr>
                <w:sz w:val="18"/>
                <w:szCs w:val="18"/>
              </w:rPr>
            </w:pPr>
            <w:r>
              <w:rPr>
                <w:color w:val="000000"/>
                <w:spacing w:val="0"/>
                <w:w w:val="100"/>
                <w:position w:val="0"/>
                <w:sz w:val="18"/>
                <w:szCs w:val="18"/>
              </w:rPr>
              <w:t>（万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进展情况</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22" w:lineRule="exact"/>
              <w:ind w:left="0" w:right="0" w:firstLine="0"/>
              <w:jc w:val="center"/>
              <w:rPr>
                <w:sz w:val="18"/>
                <w:szCs w:val="18"/>
              </w:rPr>
            </w:pPr>
            <w:r>
              <w:rPr>
                <w:color w:val="000000"/>
                <w:spacing w:val="0"/>
                <w:w w:val="100"/>
                <w:position w:val="0"/>
                <w:sz w:val="18"/>
                <w:szCs w:val="18"/>
              </w:rPr>
              <w:t>对公司经 营的影响</w:t>
            </w:r>
          </w:p>
          <w:p>
            <w:pPr>
              <w:pStyle w:val="Style21"/>
              <w:keepNext w:val="0"/>
              <w:keepLines w:val="0"/>
              <w:widowControl w:val="0"/>
              <w:shd w:val="clear" w:color="auto" w:fill="auto"/>
              <w:bidi w:val="0"/>
              <w:spacing w:before="0" w:after="0" w:line="322" w:lineRule="exact"/>
              <w:ind w:left="0" w:right="0" w:firstLine="16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rPr>
                <w:sz w:val="18"/>
                <w:szCs w:val="18"/>
              </w:rPr>
            </w:pPr>
            <w:r>
              <w:rPr>
                <w:color w:val="000000"/>
                <w:spacing w:val="0"/>
                <w:w w:val="100"/>
                <w:position w:val="0"/>
                <w:sz w:val="18"/>
                <w:szCs w:val="18"/>
              </w:rPr>
              <w:t>对公司 损益的 影响（注</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1" w:lineRule="exact"/>
              <w:ind w:left="0" w:right="0" w:firstLine="0"/>
              <w:jc w:val="center"/>
              <w:rPr>
                <w:sz w:val="18"/>
                <w:szCs w:val="18"/>
              </w:rPr>
            </w:pPr>
            <w:r>
              <w:rPr>
                <w:color w:val="000000"/>
                <w:spacing w:val="0"/>
                <w:w w:val="100"/>
                <w:position w:val="0"/>
                <w:sz w:val="18"/>
                <w:szCs w:val="18"/>
              </w:rPr>
              <w:t>该资产为 上市公司 贡献的净 利润占净 利润总额 的比率</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160" w:right="0" w:firstLine="0"/>
              <w:jc w:val="both"/>
              <w:rPr>
                <w:sz w:val="18"/>
                <w:szCs w:val="18"/>
              </w:rPr>
            </w:pPr>
            <w:r>
              <w:rPr>
                <w:color w:val="000000"/>
                <w:spacing w:val="0"/>
                <w:w w:val="100"/>
                <w:position w:val="0"/>
                <w:sz w:val="18"/>
                <w:szCs w:val="18"/>
              </w:rPr>
              <w:t>是 否 为 关 联 交 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与交易 对方的 关联关 系（适用 关联交 易情形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披露日 期（注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披露索 引</w:t>
            </w:r>
          </w:p>
        </w:tc>
      </w:tr>
      <w:tr>
        <w:trPr>
          <w:trHeight w:val="2597"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田斌、季 宗生、冯 钊、卢存 方、康 剑、孙 慧、康瑞 鑫</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100" w:line="308" w:lineRule="exact"/>
              <w:ind w:left="0" w:right="0" w:firstLine="0"/>
              <w:jc w:val="both"/>
              <w:rPr>
                <w:sz w:val="18"/>
                <w:szCs w:val="18"/>
              </w:rPr>
            </w:pPr>
            <w:r>
              <w:rPr>
                <w:color w:val="000000"/>
                <w:spacing w:val="0"/>
                <w:w w:val="100"/>
                <w:position w:val="0"/>
                <w:sz w:val="18"/>
                <w:szCs w:val="18"/>
              </w:rPr>
              <w:t>北京富 华宇祺 信息技 术有限 公司</w:t>
            </w:r>
          </w:p>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53.21%</w:t>
            </w:r>
          </w:p>
          <w:p>
            <w:pPr>
              <w:pStyle w:val="Style21"/>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9,558.</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 xml:space="preserve">日， 标的资产 富华宇祺 </w:t>
            </w:r>
            <w:r>
              <w:rPr>
                <w:rFonts w:ascii="Times New Roman" w:eastAsia="Times New Roman" w:hAnsi="Times New Roman" w:cs="Times New Roman"/>
                <w:color w:val="000000"/>
                <w:spacing w:val="0"/>
                <w:w w:val="100"/>
                <w:position w:val="0"/>
                <w:sz w:val="18"/>
                <w:szCs w:val="18"/>
              </w:rPr>
              <w:t>53.21%</w:t>
            </w:r>
            <w:r>
              <w:rPr>
                <w:color w:val="000000"/>
                <w:spacing w:val="0"/>
                <w:w w:val="100"/>
                <w:position w:val="0"/>
                <w:sz w:val="18"/>
                <w:szCs w:val="18"/>
              </w:rPr>
              <w:t>股 权过户至 公司名下</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拓展公司 主营业务， 提高对下 游行业周 期性波动 的风险抵 抗力，管理 层稳定。</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 xml:space="preserve">由于该 事项在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月完成， 尚不能 对公司 损益产 生影响。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巨潮资 讯网，</w:t>
            </w:r>
          </w:p>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《发行 股份及 支付现 金购买 资产报 告书》，</w:t>
            </w:r>
          </w:p>
        </w:tc>
      </w:tr>
    </w:tbl>
    <w:p>
      <w:pPr>
        <w:pStyle w:val="Style34"/>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收购资产情况说明</w:t>
      </w:r>
    </w:p>
    <w:p>
      <w:pPr>
        <w:pStyle w:val="Style27"/>
        <w:keepNext w:val="0"/>
        <w:keepLines w:val="0"/>
        <w:widowControl w:val="0"/>
        <w:shd w:val="clear" w:color="auto" w:fill="auto"/>
        <w:bidi w:val="0"/>
        <w:spacing w:before="0" w:after="0" w:line="446" w:lineRule="exact"/>
        <w:ind w:left="0" w:right="0" w:firstLine="420"/>
        <w:jc w:val="both"/>
      </w:pPr>
      <w:r>
        <w:rPr>
          <w:color w:val="000000"/>
          <w:spacing w:val="0"/>
          <w:w w:val="100"/>
          <w:position w:val="0"/>
        </w:rPr>
        <w:t>根据公司调结构、促转型实施外延式发展的战略，报告期内公司经董事会、股东大会批准，发行股份 及支付现金购买北京富华宇祺信息技术有限公司股东股权：</w:t>
      </w:r>
    </w:p>
    <w:p>
      <w:pPr>
        <w:pStyle w:val="Style27"/>
        <w:keepNext w:val="0"/>
        <w:keepLines w:val="0"/>
        <w:widowControl w:val="0"/>
        <w:shd w:val="clear" w:color="auto" w:fill="auto"/>
        <w:bidi w:val="0"/>
        <w:spacing w:before="0" w:after="340" w:line="439" w:lineRule="exact"/>
        <w:ind w:left="0" w:right="0" w:firstLine="420"/>
        <w:jc w:val="both"/>
      </w:pPr>
      <w:r>
        <w:rPr>
          <w:color w:val="000000"/>
          <w:spacing w:val="0"/>
          <w:w w:val="100"/>
          <w:position w:val="0"/>
        </w:rPr>
        <w:t>北京富华宇祺信息技术有限公司系国家级高新技术企业，注册资本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万元，主要为矿山企业提供 高端信息通讯技术和产品服务，与尤洛卡在主营业务上有较强的互补性。富华宇祺全部股东权益的评估值 为</w:t>
      </w:r>
      <w:r>
        <w:rPr>
          <w:rFonts w:ascii="Times New Roman" w:eastAsia="Times New Roman" w:hAnsi="Times New Roman" w:cs="Times New Roman"/>
          <w:color w:val="000000"/>
          <w:spacing w:val="0"/>
          <w:w w:val="100"/>
          <w:position w:val="0"/>
        </w:rPr>
        <w:t>17,963.43</w:t>
      </w:r>
      <w:r>
        <w:rPr>
          <w:color w:val="000000"/>
          <w:spacing w:val="0"/>
          <w:w w:val="100"/>
          <w:position w:val="0"/>
        </w:rPr>
        <w:t>万元，田斌、季宗生、冯钊、卢存方、康剑、孙慧、康瑞鑫等</w:t>
      </w:r>
      <w:r>
        <w:rPr>
          <w:rFonts w:ascii="Times New Roman" w:eastAsia="Times New Roman" w:hAnsi="Times New Roman" w:cs="Times New Roman"/>
          <w:color w:val="000000"/>
          <w:spacing w:val="0"/>
          <w:w w:val="100"/>
          <w:position w:val="0"/>
        </w:rPr>
        <w:t>7</w:t>
      </w:r>
      <w:r>
        <w:rPr>
          <w:color w:val="000000"/>
          <w:spacing w:val="0"/>
          <w:w w:val="100"/>
          <w:position w:val="0"/>
        </w:rPr>
        <w:t>名自然人合计持有的富华宇 祺</w:t>
      </w:r>
      <w:r>
        <w:rPr>
          <w:rFonts w:ascii="Times New Roman" w:eastAsia="Times New Roman" w:hAnsi="Times New Roman" w:cs="Times New Roman"/>
          <w:color w:val="000000"/>
          <w:spacing w:val="0"/>
          <w:w w:val="100"/>
          <w:position w:val="0"/>
        </w:rPr>
        <w:t>53.21%</w:t>
      </w:r>
      <w:r>
        <w:rPr>
          <w:color w:val="000000"/>
          <w:spacing w:val="0"/>
          <w:w w:val="100"/>
          <w:position w:val="0"/>
        </w:rPr>
        <w:t>股权，经评估、双方认可作价</w:t>
      </w:r>
      <w:r>
        <w:rPr>
          <w:rFonts w:ascii="Times New Roman" w:eastAsia="Times New Roman" w:hAnsi="Times New Roman" w:cs="Times New Roman"/>
          <w:color w:val="000000"/>
          <w:spacing w:val="0"/>
          <w:w w:val="100"/>
          <w:position w:val="0"/>
        </w:rPr>
        <w:t>9,558.34</w:t>
      </w:r>
      <w:r>
        <w:rPr>
          <w:color w:val="000000"/>
          <w:spacing w:val="0"/>
          <w:w w:val="100"/>
          <w:position w:val="0"/>
        </w:rPr>
        <w:t>万元。根据相关方签订的发行股份购买资产协议，经尤 洛卡董事会、股东大会审议通过，并经中国证监会核准，向田斌、季宗生、冯钊、卢存方、康剑、孙慧、 康瑞鑫等</w:t>
      </w:r>
      <w:r>
        <w:rPr>
          <w:rFonts w:ascii="Times New Roman" w:eastAsia="Times New Roman" w:hAnsi="Times New Roman" w:cs="Times New Roman"/>
          <w:color w:val="000000"/>
          <w:spacing w:val="0"/>
          <w:w w:val="100"/>
          <w:position w:val="0"/>
        </w:rPr>
        <w:t>7</w:t>
      </w:r>
      <w:r>
        <w:rPr>
          <w:color w:val="000000"/>
          <w:spacing w:val="0"/>
          <w:w w:val="100"/>
          <w:position w:val="0"/>
        </w:rPr>
        <w:t>名自然人发行股份数量为</w:t>
      </w:r>
      <w:r>
        <w:rPr>
          <w:rFonts w:ascii="Times New Roman" w:eastAsia="Times New Roman" w:hAnsi="Times New Roman" w:cs="Times New Roman"/>
          <w:color w:val="000000"/>
          <w:spacing w:val="0"/>
          <w:w w:val="100"/>
          <w:position w:val="0"/>
        </w:rPr>
        <w:t>7,899,453</w:t>
      </w:r>
      <w:r>
        <w:rPr>
          <w:color w:val="000000"/>
          <w:spacing w:val="0"/>
          <w:w w:val="100"/>
          <w:position w:val="0"/>
        </w:rPr>
        <w:t>股，支付现金金额为</w:t>
      </w:r>
      <w:r>
        <w:rPr>
          <w:rFonts w:ascii="Times New Roman" w:eastAsia="Times New Roman" w:hAnsi="Times New Roman" w:cs="Times New Roman"/>
          <w:color w:val="000000"/>
          <w:spacing w:val="0"/>
          <w:w w:val="100"/>
          <w:position w:val="0"/>
        </w:rPr>
        <w:t>955.83</w:t>
      </w:r>
      <w:r>
        <w:rPr>
          <w:color w:val="000000"/>
          <w:spacing w:val="0"/>
          <w:w w:val="100"/>
          <w:position w:val="0"/>
        </w:rPr>
        <w:t>万元，购买该七名自然人所 持富华宇祺</w:t>
      </w:r>
      <w:r>
        <w:rPr>
          <w:rFonts w:ascii="Times New Roman" w:eastAsia="Times New Roman" w:hAnsi="Times New Roman" w:cs="Times New Roman"/>
          <w:color w:val="000000"/>
          <w:spacing w:val="0"/>
          <w:w w:val="100"/>
          <w:position w:val="0"/>
        </w:rPr>
        <w:t>53.21%</w:t>
      </w:r>
      <w:r>
        <w:rPr>
          <w:color w:val="000000"/>
          <w:spacing w:val="0"/>
          <w:w w:val="100"/>
          <w:position w:val="0"/>
        </w:rPr>
        <w:t>股权。股份发行价格为公司第二届董事会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年第五次会议决议公告日前</w:t>
      </w:r>
      <w:r>
        <w:rPr>
          <w:rFonts w:ascii="Times New Roman" w:eastAsia="Times New Roman" w:hAnsi="Times New Roman" w:cs="Times New Roman"/>
          <w:color w:val="000000"/>
          <w:spacing w:val="0"/>
          <w:w w:val="100"/>
          <w:position w:val="0"/>
        </w:rPr>
        <w:t>20</w:t>
      </w:r>
      <w:r>
        <w:rPr>
          <w:color w:val="000000"/>
          <w:spacing w:val="0"/>
          <w:w w:val="100"/>
          <w:position w:val="0"/>
        </w:rPr>
        <w:t>个交易 日股票交易均价，即</w:t>
      </w:r>
      <w:r>
        <w:rPr>
          <w:rFonts w:ascii="Times New Roman" w:eastAsia="Times New Roman" w:hAnsi="Times New Roman" w:cs="Times New Roman"/>
          <w:color w:val="000000"/>
          <w:spacing w:val="0"/>
          <w:w w:val="100"/>
          <w:position w:val="0"/>
        </w:rPr>
        <w:t>10.89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7"/>
        <w:keepNext w:val="0"/>
        <w:keepLines w:val="0"/>
        <w:widowControl w:val="0"/>
        <w:shd w:val="clear" w:color="auto" w:fill="auto"/>
        <w:bidi w:val="0"/>
        <w:spacing w:before="0" w:after="0" w:line="444" w:lineRule="exact"/>
        <w:ind w:left="0" w:right="0" w:firstLine="440"/>
        <w:jc w:val="both"/>
      </w:pPr>
      <w:r>
        <w:rPr>
          <w:color w:val="000000"/>
          <w:spacing w:val="0"/>
          <w:w w:val="100"/>
          <w:position w:val="0"/>
        </w:rPr>
        <w:t>本次交易完成后，尤洛卡的总股本变更为</w:t>
      </w:r>
      <w:r>
        <w:rPr>
          <w:rFonts w:ascii="Times New Roman" w:eastAsia="Times New Roman" w:hAnsi="Times New Roman" w:cs="Times New Roman"/>
          <w:color w:val="000000"/>
          <w:spacing w:val="0"/>
          <w:w w:val="100"/>
          <w:position w:val="0"/>
        </w:rPr>
        <w:t>21,459.9453</w:t>
      </w:r>
      <w:r>
        <w:rPr>
          <w:color w:val="000000"/>
          <w:spacing w:val="0"/>
          <w:w w:val="100"/>
          <w:position w:val="0"/>
        </w:rPr>
        <w:t>万股，仅增加</w:t>
      </w:r>
      <w:r>
        <w:rPr>
          <w:rFonts w:ascii="Times New Roman" w:eastAsia="Times New Roman" w:hAnsi="Times New Roman" w:cs="Times New Roman"/>
          <w:color w:val="000000"/>
          <w:spacing w:val="0"/>
          <w:w w:val="100"/>
          <w:position w:val="0"/>
        </w:rPr>
        <w:t>3.82%</w:t>
      </w:r>
      <w:r>
        <w:rPr>
          <w:color w:val="000000"/>
          <w:spacing w:val="0"/>
          <w:w w:val="100"/>
          <w:position w:val="0"/>
        </w:rPr>
        <w:t>，公司实际控制权未发生 变化。</w:t>
      </w:r>
    </w:p>
    <w:p>
      <w:pPr>
        <w:pStyle w:val="Style27"/>
        <w:keepNext w:val="0"/>
        <w:keepLines w:val="0"/>
        <w:widowControl w:val="0"/>
        <w:shd w:val="clear" w:color="auto" w:fill="auto"/>
        <w:bidi w:val="0"/>
        <w:spacing w:before="0" w:after="0" w:line="444" w:lineRule="exact"/>
        <w:ind w:left="0" w:right="0" w:firstLine="440"/>
        <w:jc w:val="both"/>
      </w:pPr>
      <w:r>
        <w:rPr>
          <w:color w:val="000000"/>
          <w:spacing w:val="0"/>
          <w:w w:val="100"/>
          <w:position w:val="0"/>
        </w:rPr>
        <w:t>富华宇祺七名股东承诺富华宇祺</w:t>
      </w:r>
      <w:r>
        <w:rPr>
          <w:rFonts w:ascii="Times New Roman" w:eastAsia="Times New Roman" w:hAnsi="Times New Roman" w:cs="Times New Roman"/>
          <w:color w:val="000000"/>
          <w:spacing w:val="0"/>
          <w:w w:val="100"/>
          <w:position w:val="0"/>
        </w:rPr>
        <w:t>2013</w:t>
      </w:r>
      <w:r>
        <w:rPr>
          <w:color w:val="000000"/>
          <w:spacing w:val="0"/>
          <w:w w:val="100"/>
          <w:position w:val="0"/>
        </w:rPr>
        <w:t>至</w:t>
      </w:r>
      <w:r>
        <w:rPr>
          <w:rFonts w:ascii="Times New Roman" w:eastAsia="Times New Roman" w:hAnsi="Times New Roman" w:cs="Times New Roman"/>
          <w:color w:val="000000"/>
          <w:spacing w:val="0"/>
          <w:w w:val="100"/>
          <w:position w:val="0"/>
        </w:rPr>
        <w:t>2016</w:t>
      </w:r>
      <w:r>
        <w:rPr>
          <w:color w:val="000000"/>
          <w:spacing w:val="0"/>
          <w:w w:val="100"/>
          <w:position w:val="0"/>
        </w:rPr>
        <w:t>年度实现利润分别为：</w:t>
      </w:r>
      <w:r>
        <w:rPr>
          <w:rFonts w:ascii="Times New Roman" w:eastAsia="Times New Roman" w:hAnsi="Times New Roman" w:cs="Times New Roman"/>
          <w:color w:val="000000"/>
          <w:spacing w:val="0"/>
          <w:w w:val="100"/>
          <w:position w:val="0"/>
        </w:rPr>
        <w:t>1,810.00</w:t>
      </w:r>
      <w:r>
        <w:rPr>
          <w:color w:val="000000"/>
          <w:spacing w:val="0"/>
          <w:w w:val="100"/>
          <w:position w:val="0"/>
        </w:rPr>
        <w:t>万元、</w:t>
      </w:r>
      <w:r>
        <w:rPr>
          <w:rFonts w:ascii="Times New Roman" w:eastAsia="Times New Roman" w:hAnsi="Times New Roman" w:cs="Times New Roman"/>
          <w:color w:val="000000"/>
          <w:spacing w:val="0"/>
          <w:w w:val="100"/>
          <w:position w:val="0"/>
        </w:rPr>
        <w:t>2,420.00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3,080.00</w:t>
      </w:r>
      <w:r>
        <w:rPr>
          <w:color w:val="000000"/>
          <w:spacing w:val="0"/>
          <w:w w:val="100"/>
          <w:position w:val="0"/>
        </w:rPr>
        <w:t>万元、</w:t>
      </w:r>
      <w:r>
        <w:rPr>
          <w:rFonts w:ascii="Times New Roman" w:eastAsia="Times New Roman" w:hAnsi="Times New Roman" w:cs="Times New Roman"/>
          <w:color w:val="000000"/>
          <w:spacing w:val="0"/>
          <w:w w:val="100"/>
          <w:position w:val="0"/>
        </w:rPr>
        <w:t>3,767.26</w:t>
      </w:r>
      <w:r>
        <w:rPr>
          <w:color w:val="000000"/>
          <w:spacing w:val="0"/>
          <w:w w:val="100"/>
          <w:position w:val="0"/>
        </w:rPr>
        <w:t>万元。同时承诺：如未完成，以其持有的尤洛卡股份和自有资产进行补偿。</w:t>
      </w:r>
    </w:p>
    <w:p>
      <w:pPr>
        <w:pStyle w:val="Style27"/>
        <w:keepNext w:val="0"/>
        <w:keepLines w:val="0"/>
        <w:widowControl w:val="0"/>
        <w:shd w:val="clear" w:color="auto" w:fill="auto"/>
        <w:bidi w:val="0"/>
        <w:spacing w:before="0" w:after="280" w:line="456" w:lineRule="exact"/>
        <w:ind w:left="0" w:right="0" w:firstLine="440"/>
        <w:jc w:val="both"/>
      </w:pPr>
      <w:r>
        <w:rPr>
          <w:color w:val="000000"/>
          <w:spacing w:val="0"/>
          <w:w w:val="100"/>
          <w:position w:val="0"/>
        </w:rPr>
        <w:t>至本报告出具之日，已经完成标的资产过户，所发行股份已经登记个人名下，并于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 在深圳证券交易所上市。本次购买资产事项圆满完成。</w:t>
      </w:r>
    </w:p>
    <w:p>
      <w:pPr>
        <w:pStyle w:val="Style36"/>
        <w:keepNext/>
        <w:keepLines/>
        <w:widowControl w:val="0"/>
        <w:shd w:val="clear" w:color="auto" w:fill="auto"/>
        <w:bidi w:val="0"/>
        <w:spacing w:before="0" w:after="280" w:line="326" w:lineRule="exact"/>
        <w:ind w:left="0" w:right="0" w:firstLine="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、自资产重组报告书或收购出售资产公告刊登后，该事项的进展情况及对报告期经营成果与财务状况的 影响</w:t>
      </w:r>
      <w:bookmarkEnd w:id="227"/>
      <w:bookmarkEnd w:id="228"/>
      <w:bookmarkEnd w:id="230"/>
    </w:p>
    <w:p>
      <w:pPr>
        <w:pStyle w:val="Style27"/>
        <w:keepNext w:val="0"/>
        <w:keepLines w:val="0"/>
        <w:widowControl w:val="0"/>
        <w:shd w:val="clear" w:color="auto" w:fill="auto"/>
        <w:tabs>
          <w:tab w:pos="813" w:val="left"/>
        </w:tabs>
        <w:bidi w:val="0"/>
        <w:spacing w:before="0" w:after="0" w:line="456" w:lineRule="exact"/>
        <w:ind w:left="0" w:right="0" w:firstLine="440"/>
        <w:jc w:val="left"/>
      </w:pPr>
      <w:bookmarkStart w:id="231" w:name="bookmark231"/>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自公司发行股份并支付现金购买北京富华宇祺信息技术有限公司股东股权后的进展情况：</w:t>
      </w:r>
    </w:p>
    <w:p>
      <w:pPr>
        <w:pStyle w:val="Style27"/>
        <w:keepNext w:val="0"/>
        <w:keepLines w:val="0"/>
        <w:widowControl w:val="0"/>
        <w:shd w:val="clear" w:color="auto" w:fill="auto"/>
        <w:bidi w:val="0"/>
        <w:spacing w:before="0" w:after="0" w:line="456"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日，中国证监会上市公司并购重组委员会</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43</w:t>
      </w:r>
      <w:r>
        <w:rPr>
          <w:color w:val="000000"/>
          <w:spacing w:val="0"/>
          <w:w w:val="100"/>
          <w:position w:val="0"/>
        </w:rPr>
        <w:t>次工作会议审核通过了尤洛卡 发行股份及支付现金购买资产事项。</w:t>
      </w:r>
    </w:p>
    <w:p>
      <w:pPr>
        <w:pStyle w:val="Style27"/>
        <w:keepNext w:val="0"/>
        <w:keepLines w:val="0"/>
        <w:widowControl w:val="0"/>
        <w:shd w:val="clear" w:color="auto" w:fill="auto"/>
        <w:bidi w:val="0"/>
        <w:spacing w:before="0" w:after="0" w:line="456"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日，中国证监会下发了证监许可〔</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1637</w:t>
      </w:r>
      <w:r>
        <w:rPr>
          <w:color w:val="000000"/>
          <w:spacing w:val="0"/>
          <w:w w:val="100"/>
          <w:position w:val="0"/>
        </w:rPr>
        <w:t>号《关于核准尤洛卡矿业安全工程股 份有限公司向田斌等发行股份购买资产的批复》文件，核准了本次交易。</w:t>
      </w:r>
    </w:p>
    <w:p>
      <w:pPr>
        <w:pStyle w:val="Style27"/>
        <w:keepNext w:val="0"/>
        <w:keepLines w:val="0"/>
        <w:widowControl w:val="0"/>
        <w:shd w:val="clear" w:color="auto" w:fill="auto"/>
        <w:bidi w:val="0"/>
        <w:spacing w:before="0" w:after="0" w:line="456"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日，标的资产富华宇祺</w:t>
      </w:r>
      <w:r>
        <w:rPr>
          <w:rFonts w:ascii="Times New Roman" w:eastAsia="Times New Roman" w:hAnsi="Times New Roman" w:cs="Times New Roman"/>
          <w:color w:val="000000"/>
          <w:spacing w:val="0"/>
          <w:w w:val="100"/>
          <w:position w:val="0"/>
        </w:rPr>
        <w:t>53.21%</w:t>
      </w:r>
      <w:r>
        <w:rPr>
          <w:color w:val="000000"/>
          <w:spacing w:val="0"/>
          <w:w w:val="100"/>
          <w:position w:val="0"/>
        </w:rPr>
        <w:t>股权过户至公司名下。</w:t>
      </w:r>
    </w:p>
    <w:p>
      <w:pPr>
        <w:pStyle w:val="Style27"/>
        <w:keepNext w:val="0"/>
        <w:keepLines w:val="0"/>
        <w:widowControl w:val="0"/>
        <w:shd w:val="clear" w:color="auto" w:fill="auto"/>
        <w:bidi w:val="0"/>
        <w:spacing w:before="0" w:after="0" w:line="44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日，瑞华会计师事务所（特殊普通合伙）对公司本次发行股份及支付现金购买资产进 行了验资，并出具了瑞华验字【</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37050001</w:t>
      </w:r>
      <w:r>
        <w:rPr>
          <w:color w:val="000000"/>
          <w:spacing w:val="0"/>
          <w:w w:val="100"/>
          <w:position w:val="0"/>
        </w:rPr>
        <w:t>号《验资报告》。</w:t>
      </w:r>
    </w:p>
    <w:p>
      <w:pPr>
        <w:pStyle w:val="Style27"/>
        <w:keepNext w:val="0"/>
        <w:keepLines w:val="0"/>
        <w:widowControl w:val="0"/>
        <w:shd w:val="clear" w:color="auto" w:fill="auto"/>
        <w:bidi w:val="0"/>
        <w:spacing w:before="0" w:after="0" w:line="44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日，中登公司登记存管部出具《股份登记申请受理确认书》，中登公司已于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日受理尤洛卡非公开发行新股登记申请材料，相关股份登记到账后将正式列入上市公司股东名册， 尤洛卡本次非公开发行新股数量为</w:t>
      </w:r>
      <w:r>
        <w:rPr>
          <w:rFonts w:ascii="Times New Roman" w:eastAsia="Times New Roman" w:hAnsi="Times New Roman" w:cs="Times New Roman"/>
          <w:color w:val="000000"/>
          <w:spacing w:val="0"/>
          <w:w w:val="100"/>
          <w:position w:val="0"/>
        </w:rPr>
        <w:t>7,899,453</w:t>
      </w:r>
      <w:r>
        <w:rPr>
          <w:color w:val="000000"/>
          <w:spacing w:val="0"/>
          <w:w w:val="100"/>
          <w:position w:val="0"/>
        </w:rPr>
        <w:t>股（其中限售流通股数量为</w:t>
      </w:r>
      <w:r>
        <w:rPr>
          <w:rFonts w:ascii="Times New Roman" w:eastAsia="Times New Roman" w:hAnsi="Times New Roman" w:cs="Times New Roman"/>
          <w:color w:val="000000"/>
          <w:spacing w:val="0"/>
          <w:w w:val="100"/>
          <w:position w:val="0"/>
        </w:rPr>
        <w:t>7,899,453</w:t>
      </w:r>
      <w:r>
        <w:rPr>
          <w:color w:val="000000"/>
          <w:spacing w:val="0"/>
          <w:w w:val="100"/>
          <w:position w:val="0"/>
        </w:rPr>
        <w:t>股），非公开发行后尤 洛卡股份数量为</w:t>
      </w:r>
      <w:r>
        <w:rPr>
          <w:rFonts w:ascii="Times New Roman" w:eastAsia="Times New Roman" w:hAnsi="Times New Roman" w:cs="Times New Roman"/>
          <w:color w:val="000000"/>
          <w:spacing w:val="0"/>
          <w:w w:val="100"/>
          <w:position w:val="0"/>
        </w:rPr>
        <w:t>214,599,453</w:t>
      </w:r>
      <w:r>
        <w:rPr>
          <w:color w:val="000000"/>
          <w:spacing w:val="0"/>
          <w:w w:val="100"/>
          <w:position w:val="0"/>
        </w:rPr>
        <w:t>股。</w:t>
      </w:r>
    </w:p>
    <w:p>
      <w:pPr>
        <w:pStyle w:val="Style27"/>
        <w:keepNext w:val="0"/>
        <w:keepLines w:val="0"/>
        <w:widowControl w:val="0"/>
        <w:shd w:val="clear" w:color="auto" w:fill="auto"/>
        <w:bidi w:val="0"/>
        <w:spacing w:before="0" w:after="0" w:line="458"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日，尤洛卡本次非公开发行新股数量为</w:t>
      </w:r>
      <w:r>
        <w:rPr>
          <w:rFonts w:ascii="Times New Roman" w:eastAsia="Times New Roman" w:hAnsi="Times New Roman" w:cs="Times New Roman"/>
          <w:color w:val="000000"/>
          <w:spacing w:val="0"/>
          <w:w w:val="100"/>
          <w:position w:val="0"/>
        </w:rPr>
        <w:t>7,899,453</w:t>
      </w:r>
      <w:r>
        <w:rPr>
          <w:color w:val="000000"/>
          <w:spacing w:val="0"/>
          <w:w w:val="100"/>
          <w:position w:val="0"/>
        </w:rPr>
        <w:t>股（其中限售流通股数量为</w:t>
      </w:r>
      <w:r>
        <w:rPr>
          <w:rFonts w:ascii="Times New Roman" w:eastAsia="Times New Roman" w:hAnsi="Times New Roman" w:cs="Times New Roman"/>
          <w:color w:val="000000"/>
          <w:spacing w:val="0"/>
          <w:w w:val="100"/>
          <w:position w:val="0"/>
        </w:rPr>
        <w:t xml:space="preserve">7,899,453 </w:t>
      </w:r>
      <w:r>
        <w:rPr>
          <w:color w:val="000000"/>
          <w:spacing w:val="0"/>
          <w:w w:val="100"/>
          <w:position w:val="0"/>
        </w:rPr>
        <w:t>股）在深圳证券交易所上市。</w:t>
      </w:r>
    </w:p>
    <w:p>
      <w:pPr>
        <w:pStyle w:val="Style27"/>
        <w:keepNext w:val="0"/>
        <w:keepLines w:val="0"/>
        <w:widowControl w:val="0"/>
        <w:shd w:val="clear" w:color="auto" w:fill="auto"/>
        <w:tabs>
          <w:tab w:pos="810" w:val="left"/>
        </w:tabs>
        <w:bidi w:val="0"/>
        <w:spacing w:before="0" w:after="0" w:line="458" w:lineRule="exact"/>
        <w:ind w:left="0" w:right="0" w:firstLine="440"/>
        <w:jc w:val="both"/>
      </w:pPr>
      <w:bookmarkStart w:id="232" w:name="bookmark232"/>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t>公司发行股份并支付现金购买北京富华宇祺信息技术有限公司股东股权对报告期经营成果与财务 状况的影响：</w:t>
      </w:r>
    </w:p>
    <w:p>
      <w:pPr>
        <w:pStyle w:val="Style27"/>
        <w:keepNext w:val="0"/>
        <w:keepLines w:val="0"/>
        <w:widowControl w:val="0"/>
        <w:shd w:val="clear" w:color="auto" w:fill="auto"/>
        <w:bidi w:val="0"/>
        <w:spacing w:before="0" w:after="0" w:line="451" w:lineRule="exact"/>
        <w:ind w:left="0" w:right="0" w:firstLine="440"/>
        <w:jc w:val="both"/>
      </w:pPr>
      <w:r>
        <w:rPr>
          <w:color w:val="000000"/>
          <w:spacing w:val="0"/>
          <w:w w:val="100"/>
          <w:position w:val="0"/>
        </w:rPr>
        <w:t>由于标的资产富华宇祺</w:t>
      </w:r>
      <w:r>
        <w:rPr>
          <w:rFonts w:ascii="Times New Roman" w:eastAsia="Times New Roman" w:hAnsi="Times New Roman" w:cs="Times New Roman"/>
          <w:color w:val="000000"/>
          <w:spacing w:val="0"/>
          <w:w w:val="100"/>
          <w:position w:val="0"/>
        </w:rPr>
        <w:t>53.21%</w:t>
      </w:r>
      <w:r>
        <w:rPr>
          <w:color w:val="000000"/>
          <w:spacing w:val="0"/>
          <w:w w:val="100"/>
          <w:position w:val="0"/>
        </w:rPr>
        <w:t>股权在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日才过户至公司名下，报告期内未能合并财务报 表，故对报告期经营成果与财务状况不产生影响。</w:t>
      </w:r>
      <w:r>
        <w:br w:type="page"/>
      </w:r>
    </w:p>
    <w:p>
      <w:pPr>
        <w:pStyle w:val="Style25"/>
        <w:keepNext/>
        <w:keepLines/>
        <w:widowControl w:val="0"/>
        <w:shd w:val="clear" w:color="auto" w:fill="auto"/>
        <w:bidi w:val="0"/>
        <w:spacing w:before="0" w:after="32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三</w:t>
      </w:r>
      <w:bookmarkEnd w:id="235"/>
      <w:r>
        <w:rPr>
          <w:color w:val="000000"/>
          <w:spacing w:val="0"/>
          <w:w w:val="100"/>
          <w:position w:val="0"/>
          <w:sz w:val="24"/>
          <w:szCs w:val="24"/>
        </w:rPr>
        <w:t>、承诺事项履行情况</w:t>
      </w:r>
      <w:bookmarkEnd w:id="233"/>
      <w:bookmarkEnd w:id="234"/>
      <w:bookmarkEnd w:id="236"/>
    </w:p>
    <w:p>
      <w:pPr>
        <w:pStyle w:val="Style36"/>
        <w:keepNext/>
        <w:keepLines/>
        <w:widowControl w:val="0"/>
        <w:shd w:val="clear" w:color="auto" w:fill="auto"/>
        <w:bidi w:val="0"/>
        <w:spacing w:before="0" w:after="32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37"/>
      <w:bookmarkEnd w:id="238"/>
      <w:bookmarkEnd w:id="240"/>
    </w:p>
    <w:tbl>
      <w:tblPr>
        <w:tblOverlap w:val="never"/>
        <w:jc w:val="center"/>
        <w:tblLayout w:type="fixed"/>
      </w:tblPr>
      <w:tblGrid>
        <w:gridCol w:w="917"/>
        <w:gridCol w:w="1046"/>
        <w:gridCol w:w="3782"/>
        <w:gridCol w:w="1171"/>
        <w:gridCol w:w="1382"/>
        <w:gridCol w:w="128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承诺事</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收购报 告书或 权益变 动报告 书中所 作承诺</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夏建文</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日起六个月内不再买卖尤洛 卡公司股票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截止到报告 期末，夏建文 严格信守承 诺，未出现违 反承诺的的 情况发生</w:t>
            </w:r>
          </w:p>
        </w:tc>
      </w:tr>
      <w:tr>
        <w:trPr>
          <w:trHeight w:val="289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资产重 组时所 作承诺</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田斌、季宗 生、冯钊、 卢存方、康 佥叭孙慧、 康瑞鑫</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、田斌、季宗生、冯钊、卢存方、康剑承诺： 自本次新增股份上市之日起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个月，不转让 其持有的本次以资产认购所取得的上市公司 股份；在最后一次盈利承诺补偿和减值补偿完 成前，不转让所持有的本次以资产认购所取得 的上市公司股份。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、孙慧、康瑞鑫承诺：则 所取得股份自上市之日起锁定</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个月，上述 期间内不转让其持有的本次以资产认购所取 得的上市公司股份。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田斌、季宗生、 冯钊、卢存方、 康剑承诺自本 次新增股份上 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 月，孙慧、康瑞 鑫自上市之日 起锁定</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 月。</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截止到报告 期末，上述承 诺人严格信 守承诺，未出 现违反承诺 的的情况发 生</w:t>
            </w:r>
          </w:p>
        </w:tc>
      </w:tr>
      <w:tr>
        <w:trPr>
          <w:trHeight w:val="2275" w:hRule="exact"/>
        </w:trPr>
        <w:tc>
          <w:tcPr>
            <w:vMerge/>
            <w:tcBorders>
              <w:left w:val="single" w:sz="4"/>
            </w:tcBorders>
            <w:shd w:val="clear" w:color="auto" w:fill="FFFFFF"/>
            <w:vAlign w:val="center"/>
          </w:tcPr>
          <w:p>
            <w:pP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田斌、季宗 生、冯钊、 卢存方、康 佥叭孙慧、 康瑞鑫</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当富华宇祺在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 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年度未实现交易对方承诺的净利润 时，按照《利润补偿协议》及补充协议进行补 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年度、</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截止到报告 期末，上述承 诺人严格信 守承诺，未出 现违反承诺 的的情况发 生</w:t>
            </w:r>
          </w:p>
        </w:tc>
      </w:tr>
      <w:tr>
        <w:trPr>
          <w:trHeight w:val="2270" w:hRule="exact"/>
        </w:trPr>
        <w:tc>
          <w:tcPr>
            <w:vMerge/>
            <w:tcBorders>
              <w:left w:val="single" w:sz="4"/>
            </w:tcBorders>
            <w:shd w:val="clear" w:color="auto" w:fill="FFFFFF"/>
            <w:vAlign w:val="center"/>
          </w:tcPr>
          <w:p>
            <w:pP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田斌、季宗 生、冯钊、 卢存方、康 佥叭孙慧、 康瑞鑫</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在本次非公开发行股份购买资产完成后，本 人、本人控股和实际控制的企业在任何时间不 会直接或间接地以任何方式（包括但不限于自 营、合资或联营）参与或进行任何与尤洛卡及 其控股子公司实际从事的业务存在竞争的任 何业务活动。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截止到报告 期末，上述承 诺人严格信 守承诺，未出 现违反承诺 的的情况发 生</w:t>
            </w:r>
          </w:p>
        </w:tc>
      </w:tr>
      <w:tr>
        <w:trPr>
          <w:trHeight w:val="193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田斌、季宗 生、冯钊、 卢存方、康 佥叭孙慧、 康瑞鑫</w:t>
            </w:r>
          </w:p>
        </w:tc>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、本次重组完成后，将严格按照《公司法》 等有关法律、法规以及尤洛卡《公司章程》的 规定行使股东权利或者董事权利，在股东大会 以及董事会对有关涉及承诺人的关联交易事 项进行表决时，履行回避表决的义务。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 次重组完成后，本人与尤洛卡之间将尽量减少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截止到报告 期末，上述承 诺人严格信 守承诺，未出 现违反承诺 的的情况发</w:t>
            </w:r>
          </w:p>
        </w:tc>
      </w:tr>
    </w:tbl>
    <w:p>
      <w:pPr>
        <w:spacing w:lineRule="exact" w:line="1"/>
        <w:rPr>
          <w:sz w:val="2"/>
          <w:szCs w:val="2"/>
        </w:rPr>
      </w:pPr>
      <w:r>
        <w:br w:type="page"/>
      </w:r>
    </w:p>
    <w:tbl>
      <w:tblPr>
        <w:tblOverlap w:val="never"/>
        <w:jc w:val="center"/>
        <w:tblLayout w:type="fixed"/>
      </w:tblPr>
      <w:tblGrid>
        <w:gridCol w:w="917"/>
        <w:gridCol w:w="1046"/>
        <w:gridCol w:w="3782"/>
        <w:gridCol w:w="1171"/>
        <w:gridCol w:w="1382"/>
        <w:gridCol w:w="1282"/>
      </w:tblGrid>
      <w:tr>
        <w:trPr>
          <w:trHeight w:val="286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和避免关联交易。在进行确有必要且无法规避 的关联交易时，保证按市场化原则和公允价格 进行公平操作，并按相关法律、法规以及规范 性文件的规定履行交易程序及信息披露义务。 保证不通过关联交易损害尤洛卡及其他股东 的合法权益。本人和尤洛卡就相互间关联事务 及交易所做出的任何约定及安排，均不妨碍对 方为其自身利益、在市场同等竞争条件下与任 何第三方进行业务往来或交易。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w:t>
            </w:r>
          </w:p>
        </w:tc>
      </w:tr>
      <w:tr>
        <w:trPr>
          <w:trHeight w:val="3835" w:hRule="exact"/>
        </w:trPr>
        <w:tc>
          <w:tcPr>
            <w:vMerge/>
            <w:tcBorders>
              <w:left w:val="single" w:sz="4"/>
            </w:tcBorders>
            <w:shd w:val="clear" w:color="auto" w:fill="FFFFFF"/>
            <w:vAlign w:val="top"/>
          </w:tcPr>
          <w:p>
            <w:pP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田斌、季宗 生、冯钊、 卢存方、康 佥叭孙慧、 康瑞鑫</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、保证为本次重组所提供的有关信息均为真 实、准确和完整的，不存在虚假记载、误导性 陈述或者重大遗漏；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、保证向参与本次重组 的各中介机构所提供的资料均为真实、准确、 完整的原始书面资料或副本资料，资料副本或 复印件与其原始资料或原件一致；所有文件的 签名、印章均是真实的，不存在任何虚假记载、 误导性陈述或者重大遗漏；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、保证为本次重 组所出具的说明及确认均为真实、准确和完整 的，不存在任何虚假记载、误导性陈述或者重 大遗漏；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、承诺，如违反上述保证，将承担 个别和连带的法律责任。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截止到报告 期末，上述承 诺人严格信 守承诺，未出 现违反承诺 的的情况发 生</w:t>
            </w:r>
          </w:p>
        </w:tc>
      </w:tr>
      <w:tr>
        <w:trPr>
          <w:trHeight w:val="4142" w:hRule="exact"/>
        </w:trPr>
        <w:tc>
          <w:tcPr>
            <w:vMerge/>
            <w:tcBorders>
              <w:left w:val="single" w:sz="4"/>
            </w:tcBorders>
            <w:shd w:val="clear" w:color="auto" w:fill="FFFFFF"/>
            <w:vAlign w:val="top"/>
          </w:tcPr>
          <w:p>
            <w:pP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田斌、季宗 生、冯钊、 卢存方、康 佥叭孙慧、 康瑞鑫</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、已知悉并同意尤洛卡矿业安全工程股份有 限公司以非公开发行股份及支付现金方式购 买田斌、季宗生、冯钊、卢存方、康剑、孙慧 和康瑞鑫等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名自然人股东合法持有的富华宇 祺合计</w:t>
            </w:r>
            <w:r>
              <w:rPr>
                <w:rFonts w:ascii="Times New Roman" w:eastAsia="Times New Roman" w:hAnsi="Times New Roman" w:cs="Times New Roman"/>
                <w:color w:val="000000"/>
                <w:spacing w:val="0"/>
                <w:w w:val="100"/>
                <w:position w:val="0"/>
                <w:sz w:val="18"/>
                <w:szCs w:val="18"/>
              </w:rPr>
              <w:t>53.21%</w:t>
            </w:r>
            <w:r>
              <w:rPr>
                <w:color w:val="000000"/>
                <w:spacing w:val="0"/>
                <w:w w:val="100"/>
                <w:position w:val="0"/>
                <w:sz w:val="18"/>
                <w:szCs w:val="18"/>
              </w:rPr>
              <w:t xml:space="preserve">股权，其中：田斌转让持有的 </w:t>
            </w:r>
            <w:r>
              <w:rPr>
                <w:rFonts w:ascii="Times New Roman" w:eastAsia="Times New Roman" w:hAnsi="Times New Roman" w:cs="Times New Roman"/>
                <w:color w:val="000000"/>
                <w:spacing w:val="0"/>
                <w:w w:val="100"/>
                <w:position w:val="0"/>
                <w:sz w:val="18"/>
                <w:szCs w:val="18"/>
              </w:rPr>
              <w:t>17.7%</w:t>
            </w:r>
            <w:r>
              <w:rPr>
                <w:color w:val="000000"/>
                <w:spacing w:val="0"/>
                <w:w w:val="100"/>
                <w:position w:val="0"/>
                <w:sz w:val="18"/>
                <w:szCs w:val="18"/>
              </w:rPr>
              <w:t>股权、季宗生转让持有的</w:t>
            </w:r>
            <w:r>
              <w:rPr>
                <w:rFonts w:ascii="Times New Roman" w:eastAsia="Times New Roman" w:hAnsi="Times New Roman" w:cs="Times New Roman"/>
                <w:color w:val="000000"/>
                <w:spacing w:val="0"/>
                <w:w w:val="100"/>
                <w:position w:val="0"/>
                <w:sz w:val="18"/>
                <w:szCs w:val="18"/>
              </w:rPr>
              <w:t>11.68%</w:t>
            </w:r>
            <w:r>
              <w:rPr>
                <w:color w:val="000000"/>
                <w:spacing w:val="0"/>
                <w:w w:val="100"/>
                <w:position w:val="0"/>
                <w:sz w:val="18"/>
                <w:szCs w:val="18"/>
              </w:rPr>
              <w:t>股权、 冯钊转让持有的</w:t>
            </w:r>
            <w:r>
              <w:rPr>
                <w:rFonts w:ascii="Times New Roman" w:eastAsia="Times New Roman" w:hAnsi="Times New Roman" w:cs="Times New Roman"/>
                <w:color w:val="000000"/>
                <w:spacing w:val="0"/>
                <w:w w:val="100"/>
                <w:position w:val="0"/>
                <w:sz w:val="18"/>
                <w:szCs w:val="18"/>
              </w:rPr>
              <w:t>9.64%</w:t>
            </w:r>
            <w:r>
              <w:rPr>
                <w:color w:val="000000"/>
                <w:spacing w:val="0"/>
                <w:w w:val="100"/>
                <w:position w:val="0"/>
                <w:sz w:val="18"/>
                <w:szCs w:val="18"/>
              </w:rPr>
              <w:t>股权、卢存方转让持有 的</w:t>
            </w:r>
            <w:r>
              <w:rPr>
                <w:rFonts w:ascii="Times New Roman" w:eastAsia="Times New Roman" w:hAnsi="Times New Roman" w:cs="Times New Roman"/>
                <w:color w:val="000000"/>
                <w:spacing w:val="0"/>
                <w:w w:val="100"/>
                <w:position w:val="0"/>
                <w:sz w:val="18"/>
                <w:szCs w:val="18"/>
              </w:rPr>
              <w:t>7.14%</w:t>
            </w:r>
            <w:r>
              <w:rPr>
                <w:color w:val="000000"/>
                <w:spacing w:val="0"/>
                <w:w w:val="100"/>
                <w:position w:val="0"/>
                <w:sz w:val="18"/>
                <w:szCs w:val="18"/>
              </w:rPr>
              <w:t>股权、康剑转让持有的</w:t>
            </w:r>
            <w:r>
              <w:rPr>
                <w:rFonts w:ascii="Times New Roman" w:eastAsia="Times New Roman" w:hAnsi="Times New Roman" w:cs="Times New Roman"/>
                <w:color w:val="000000"/>
                <w:spacing w:val="0"/>
                <w:w w:val="100"/>
                <w:position w:val="0"/>
                <w:sz w:val="18"/>
                <w:szCs w:val="18"/>
              </w:rPr>
              <w:t>2.55%</w:t>
            </w:r>
            <w:r>
              <w:rPr>
                <w:color w:val="000000"/>
                <w:spacing w:val="0"/>
                <w:w w:val="100"/>
                <w:position w:val="0"/>
                <w:sz w:val="18"/>
                <w:szCs w:val="18"/>
              </w:rPr>
              <w:t>股权、 孙慧转让持有的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股权、康瑞鑫抓让持有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、自愿放弃依据《中华人民共和 国公司法》及《北京富华宇祺信息技术有限公 司公司章程》对上述转让之股权所享有的优先 购买权。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截止到报告 期末，上述承 诺人严格信 守承诺，未出 现违反承诺 的的情况发 生</w:t>
            </w:r>
          </w:p>
        </w:tc>
      </w:tr>
      <w:tr>
        <w:trPr>
          <w:trHeight w:val="287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田斌、季宗 生、冯钊、 卢存方、康 佥叭孙慧、 康瑞鑫</w:t>
            </w:r>
          </w:p>
        </w:tc>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tabs>
                <w:tab w:pos="293" w:val="left"/>
              </w:tabs>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已经依法对富华宇祺履行出资义务，不存 在任何虚假出资、延期出资、抽逃出资等违反 其作为股东所应当承担的义务及责任的行为。</w:t>
            </w:r>
          </w:p>
          <w:p>
            <w:pPr>
              <w:pStyle w:val="Style21"/>
              <w:keepNext w:val="0"/>
              <w:keepLines w:val="0"/>
              <w:widowControl w:val="0"/>
              <w:shd w:val="clear" w:color="auto" w:fill="auto"/>
              <w:tabs>
                <w:tab w:pos="283" w:val="left"/>
              </w:tabs>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持有的富华宇祺股权不存在信托安排、不 存在股份代持，不代表其他方的利益，且该股 权未设定任何抵押、质押等他项权利，亦未被 执法部门实施扣押、查封、司法冻结等使其权 利受到限制的任何约束；同时，本人保证此种 状况持续至该股权登记至尤洛卡矿业安全工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截止到报告 期末，上述承 诺人严格信 守承诺，未出 现违反承诺 的的情况发 生</w:t>
            </w:r>
          </w:p>
        </w:tc>
      </w:tr>
    </w:tbl>
    <w:p>
      <w:pPr>
        <w:spacing w:lineRule="exact" w:line="1"/>
        <w:rPr>
          <w:sz w:val="2"/>
          <w:szCs w:val="2"/>
        </w:rPr>
      </w:pPr>
      <w:r>
        <w:br w:type="page"/>
      </w:r>
    </w:p>
    <w:tbl>
      <w:tblPr>
        <w:tblOverlap w:val="never"/>
        <w:jc w:val="center"/>
        <w:tblLayout w:type="fixed"/>
      </w:tblPr>
      <w:tblGrid>
        <w:gridCol w:w="917"/>
        <w:gridCol w:w="1046"/>
        <w:gridCol w:w="3782"/>
        <w:gridCol w:w="1171"/>
        <w:gridCol w:w="1382"/>
        <w:gridCol w:w="128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程股份有限公司名下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695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首次公 开发行 或再融 资时所 作承诺</w:t>
            </w:r>
          </w:p>
        </w:tc>
        <w:tc>
          <w:tcPr>
            <w:tcBorders>
              <w:top w:val="single" w:sz="4"/>
              <w:left w:val="single" w:sz="4"/>
            </w:tcBorders>
            <w:shd w:val="clear" w:color="auto" w:fill="CCE8CF"/>
            <w:vAlign w:val="center"/>
          </w:tcPr>
          <w:p>
            <w:pPr>
              <w:pStyle w:val="Style21"/>
              <w:keepNext w:val="0"/>
              <w:keepLines w:val="0"/>
              <w:widowControl w:val="0"/>
              <w:shd w:val="clear" w:color="auto" w:fill="auto"/>
              <w:tabs>
                <w:tab w:pos="269" w:val="left"/>
              </w:tabs>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第一大 股东王晶 华及其关 联股东（王 晶华、李新 安、张娜、 王洪秋、曹 丽妮）、第 二大股东 闫相宏及 其关联股 东（闫相 宏、王静）</w:t>
            </w:r>
          </w:p>
          <w:p>
            <w:pPr>
              <w:pStyle w:val="Style21"/>
              <w:keepNext w:val="0"/>
              <w:keepLines w:val="0"/>
              <w:widowControl w:val="0"/>
              <w:shd w:val="clear" w:color="auto" w:fill="auto"/>
              <w:tabs>
                <w:tab w:pos="288" w:val="left"/>
              </w:tabs>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公司董 事、监事及 高管人员，</w:t>
            </w:r>
          </w:p>
          <w:p>
            <w:pPr>
              <w:pStyle w:val="Style21"/>
              <w:keepNext w:val="0"/>
              <w:keepLines w:val="0"/>
              <w:widowControl w:val="0"/>
              <w:shd w:val="clear" w:color="auto" w:fill="auto"/>
              <w:tabs>
                <w:tab w:pos="283" w:val="left"/>
              </w:tabs>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公司实 际控制人 及持有</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以上股份 股东</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、自股票上市之日起三十六个月内，不转让 或者委托他人管理其本次发行前已持有的发 行人股份，也不由发行人回购该部分股份。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作为公司董事、监事和高级管理人员的股东王 晶华、闫相宏、李新安、王静、卜照坤、王洪 秋还承诺：前述承诺期满后，在任职期间内每 年转让的股份不超过本人所持公司股份总数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,离职后半年内不转让所持有的公司股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、公司董事、监事和高级管理人员分别 承诺：若在首次公开发行股票上市之日起六个 月内（含第六个月）申报离职，将自申报离职 之日起十八个月（含第十八个月）内不转让本 人直接持有的本公司股份；本人若在首次公开 发行股票上市之日起第七个月至第十二个月</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（含第七个月、第十二个月）之间申报离职， 将自申报离职之日起十二个月内（含第十二个 月）不转让本人直接持有的本公司股份。因 公司进行权益分派等导致本人直接持有本公 司股份发生变化的，本人仍遵守前款承诺。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本公司实际控制人黄自伟和王晶华夫妇，持有 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以上股份的股东闫相宏，均承诺避免 同业竞争和减少关联交易。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自股票上市之 日起三十六个 月</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截止到报告 期末，上述承 诺人严格信 守承诺，未出 现违反承诺 的的情况发 生</w:t>
            </w:r>
          </w:p>
        </w:tc>
      </w:tr>
      <w:tr>
        <w:trPr>
          <w:trHeight w:val="2582" w:hRule="exact"/>
        </w:trPr>
        <w:tc>
          <w:tcPr>
            <w:vMerge/>
            <w:tcBorders>
              <w:left w:val="single" w:sz="4"/>
            </w:tcBorders>
            <w:shd w:val="clear" w:color="auto" w:fill="FFFFFF"/>
            <w:vAlign w:val="center"/>
          </w:tcPr>
          <w:p>
            <w:pP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王晶华、闫 相宏、王 静、李新 安、张娜</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在原承诺的锁定期到期后，延长锁定期十二个 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日，在延长的锁定期内， 本人将严格按照中国证监会、深圳证券交易所 关于股份变动管理的相关规定管理该部分股 票，不通过二级市场转让所持有的上市公司股 份。若在股份锁定期间发生资本公积转增股 本、派送股票红利等使股份数量发生变动的事 项，上述锁定股份数量相应调整。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原限售截止日 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日，自愿延长 锁定</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截止到报告 期末，上述承 诺人严格信 守承诺，未出 现违反承诺 的的情况发 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其他对</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承诺是 否及时 履行</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22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未完成 履行的 具体原 因及下 一步计 划（如 有）</w:t>
            </w:r>
          </w:p>
        </w:tc>
        <w:tc>
          <w:tcPr>
            <w:gridSpan w:val="5"/>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p>
      <w:pPr>
        <w:pStyle w:val="Style36"/>
        <w:keepNext/>
        <w:keepLines/>
        <w:widowControl w:val="0"/>
        <w:shd w:val="clear" w:color="auto" w:fill="auto"/>
        <w:bidi w:val="0"/>
        <w:spacing w:before="0" w:after="320" w:line="317" w:lineRule="exact"/>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2</w:t>
      </w:r>
      <w:bookmarkEnd w:id="243"/>
      <w:r>
        <w:rPr>
          <w:color w:val="000000"/>
          <w:spacing w:val="0"/>
          <w:w w:val="100"/>
          <w:position w:val="0"/>
        </w:rPr>
        <w:t>、公司资产或项目存在盈利预测，且报告期仍处在盈利预测期间，公司就资产或项目达到原盈利预测及 其原因做出说明</w:t>
      </w:r>
      <w:bookmarkEnd w:id="241"/>
      <w:bookmarkEnd w:id="242"/>
      <w:bookmarkEnd w:id="244"/>
    </w:p>
    <w:tbl>
      <w:tblPr>
        <w:tblOverlap w:val="never"/>
        <w:jc w:val="center"/>
        <w:tblLayout w:type="fixed"/>
      </w:tblPr>
      <w:tblGrid>
        <w:gridCol w:w="1195"/>
        <w:gridCol w:w="1195"/>
        <w:gridCol w:w="1200"/>
        <w:gridCol w:w="1195"/>
        <w:gridCol w:w="1195"/>
        <w:gridCol w:w="1195"/>
        <w:gridCol w:w="1200"/>
        <w:gridCol w:w="1205"/>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盈利预测资 产或项目名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预测起始时 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预测终止时 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当期预测业 绩（万元）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当期实际业 绩（万元）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未达预测的 原因（如适</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原预测披露 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原预测披露 索引</w:t>
            </w:r>
          </w:p>
        </w:tc>
      </w:tr>
      <w:tr>
        <w:trPr>
          <w:trHeight w:val="2285" w:hRule="exact"/>
        </w:trPr>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发行股份及 支付现金购 买北京富华 宇祺信息技 术有限公司 </w:t>
            </w:r>
            <w:r>
              <w:rPr>
                <w:rFonts w:ascii="Times New Roman" w:eastAsia="Times New Roman" w:hAnsi="Times New Roman" w:cs="Times New Roman"/>
                <w:color w:val="000000"/>
                <w:spacing w:val="0"/>
                <w:w w:val="100"/>
                <w:position w:val="0"/>
                <w:sz w:val="18"/>
                <w:szCs w:val="18"/>
              </w:rPr>
              <w:t>53.21%</w:t>
            </w:r>
            <w:r>
              <w:rPr>
                <w:color w:val="000000"/>
                <w:spacing w:val="0"/>
                <w:w w:val="100"/>
                <w:position w:val="0"/>
                <w:sz w:val="18"/>
                <w:szCs w:val="18"/>
              </w:rPr>
              <w:t>股权 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2,122.4</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righ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 网，《发行股 份及支付现 金购买资产 报告书》中 的业绩承 诺。</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四</w:t>
      </w:r>
      <w:bookmarkEnd w:id="247"/>
      <w:r>
        <w:rPr>
          <w:color w:val="000000"/>
          <w:spacing w:val="0"/>
          <w:w w:val="100"/>
          <w:position w:val="0"/>
          <w:sz w:val="24"/>
          <w:szCs w:val="24"/>
        </w:rPr>
        <w:t>、聘任、解聘会计师事务所情况</w:t>
      </w:r>
      <w:bookmarkEnd w:id="245"/>
      <w:bookmarkEnd w:id="246"/>
      <w:bookmarkEnd w:id="248"/>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瑞华会计师事务所（特殊普通合伙）</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江涛、郭冬梅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境外会计师事务所名称</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境外会计师事务所报酬（万元）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境外会计师事务所审计服务的连续年限</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境外会计师事务所注册会计师姓名</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5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报告期，公司未改聘会计师事务所</w:t>
      </w:r>
    </w:p>
    <w:p>
      <w:pPr>
        <w:pStyle w:val="Style25"/>
        <w:keepNext/>
        <w:keepLines/>
        <w:widowControl w:val="0"/>
        <w:shd w:val="clear" w:color="auto" w:fill="auto"/>
        <w:tabs>
          <w:tab w:pos="517" w:val="left"/>
        </w:tabs>
        <w:bidi w:val="0"/>
        <w:spacing w:before="0" w:after="26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五</w:t>
      </w:r>
      <w:bookmarkEnd w:id="251"/>
      <w:r>
        <w:rPr>
          <w:color w:val="000000"/>
          <w:spacing w:val="0"/>
          <w:w w:val="100"/>
          <w:position w:val="0"/>
          <w:sz w:val="24"/>
          <w:szCs w:val="24"/>
        </w:rPr>
        <w:t>、</w:t>
        <w:tab/>
        <w:t>公司及其董事、监事、高级管理人员、公司股东、实际控制人和收购人处罚及整改情况</w:t>
      </w:r>
      <w:bookmarkEnd w:id="249"/>
      <w:bookmarkEnd w:id="250"/>
      <w:bookmarkEnd w:id="252"/>
    </w:p>
    <w:p>
      <w:pPr>
        <w:pStyle w:val="Style27"/>
        <w:keepNext w:val="0"/>
        <w:keepLines w:val="0"/>
        <w:widowControl w:val="0"/>
        <w:shd w:val="clear" w:color="auto" w:fill="auto"/>
        <w:bidi w:val="0"/>
        <w:spacing w:before="0" w:after="60" w:line="312" w:lineRule="exact"/>
        <w:ind w:left="0" w:right="0" w:firstLine="0"/>
        <w:jc w:val="left"/>
      </w:pPr>
      <w:r>
        <w:rPr>
          <w:color w:val="000000"/>
          <w:spacing w:val="0"/>
          <w:w w:val="100"/>
          <w:position w:val="0"/>
        </w:rPr>
        <w:t>本报告期，公司及其董事、监事、高级管理人员、公司股东、实际控制人和收购人未有被处罚的情形；</w:t>
      </w:r>
    </w:p>
    <w:p>
      <w:pPr>
        <w:pStyle w:val="Style27"/>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公司及其子公司未被列入环保部门公布的污染严重企业名单；不存在其他重大社会安全问题，也未被行政 处罚过。</w:t>
      </w:r>
    </w:p>
    <w:p>
      <w:pPr>
        <w:pStyle w:val="Style25"/>
        <w:keepNext/>
        <w:keepLines/>
        <w:widowControl w:val="0"/>
        <w:shd w:val="clear" w:color="auto" w:fill="auto"/>
        <w:tabs>
          <w:tab w:pos="522" w:val="left"/>
        </w:tabs>
        <w:bidi w:val="0"/>
        <w:spacing w:before="0" w:after="32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六</w:t>
      </w:r>
      <w:bookmarkEnd w:id="255"/>
      <w:r>
        <w:rPr>
          <w:color w:val="000000"/>
          <w:spacing w:val="0"/>
          <w:w w:val="100"/>
          <w:position w:val="0"/>
          <w:sz w:val="24"/>
          <w:szCs w:val="24"/>
        </w:rPr>
        <w:t>、</w:t>
        <w:tab/>
        <w:t>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以上的股东违规买卖公司股票情况</w:t>
      </w:r>
      <w:bookmarkEnd w:id="253"/>
      <w:bookmarkEnd w:id="254"/>
      <w:bookmarkEnd w:id="256"/>
    </w:p>
    <w:tbl>
      <w:tblPr>
        <w:tblOverlap w:val="never"/>
        <w:jc w:val="center"/>
        <w:tblLayout w:type="fixed"/>
      </w:tblPr>
      <w:tblGrid>
        <w:gridCol w:w="1306"/>
        <w:gridCol w:w="4094"/>
        <w:gridCol w:w="1440"/>
        <w:gridCol w:w="1334"/>
        <w:gridCol w:w="1406"/>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董事、监事、 高级管理人 员、持股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以上的股东名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违规买卖公司股票的具体情况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涉嫌违规所得 收益收回的时 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涉嫌违规所得 收益收回的金 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董事会采取的 问责措施</w:t>
            </w:r>
          </w:p>
        </w:tc>
      </w:tr>
      <w:tr>
        <w:trPr>
          <w:trHeight w:val="418"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夏建文</w:t>
            </w:r>
          </w:p>
        </w:tc>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在成为公司持股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以上股东后，投资者夏建文先</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w:t>
            </w:r>
          </w:p>
        </w:tc>
        <w:tc>
          <w:tcPr>
            <w:tcBorders>
              <w:top w:val="single" w:sz="4"/>
              <w:left w:val="single" w:sz="4"/>
              <w:bottom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发生该事实后，</w:t>
            </w:r>
          </w:p>
        </w:tc>
      </w:tr>
    </w:tbl>
    <w:tbl>
      <w:tblPr>
        <w:tblOverlap w:val="never"/>
        <w:jc w:val="center"/>
        <w:tblLayout w:type="fixed"/>
      </w:tblPr>
      <w:tblGrid>
        <w:gridCol w:w="1306"/>
        <w:gridCol w:w="4094"/>
        <w:gridCol w:w="1440"/>
        <w:gridCol w:w="1334"/>
        <w:gridCol w:w="1406"/>
      </w:tblGrid>
      <w:tr>
        <w:trPr>
          <w:trHeight w:val="3182"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生于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时</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分起至</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日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时</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分又共计买入</w:t>
            </w:r>
            <w:r>
              <w:rPr>
                <w:rFonts w:ascii="Times New Roman" w:eastAsia="Times New Roman" w:hAnsi="Times New Roman" w:cs="Times New Roman"/>
                <w:color w:val="000000"/>
                <w:spacing w:val="0"/>
                <w:w w:val="100"/>
                <w:position w:val="0"/>
                <w:sz w:val="18"/>
                <w:szCs w:val="18"/>
              </w:rPr>
              <w:t>446,600</w:t>
            </w:r>
            <w:r>
              <w:rPr>
                <w:color w:val="000000"/>
                <w:spacing w:val="0"/>
                <w:w w:val="100"/>
                <w:position w:val="0"/>
                <w:sz w:val="18"/>
                <w:szCs w:val="18"/>
              </w:rPr>
              <w:t>股，最高价</w:t>
            </w:r>
            <w:r>
              <w:rPr>
                <w:rFonts w:ascii="Times New Roman" w:eastAsia="Times New Roman" w:hAnsi="Times New Roman" w:cs="Times New Roman"/>
                <w:color w:val="000000"/>
                <w:spacing w:val="0"/>
                <w:w w:val="100"/>
                <w:position w:val="0"/>
                <w:sz w:val="18"/>
                <w:szCs w:val="18"/>
              </w:rPr>
              <w:t xml:space="preserve">15.18 </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股、最低价</w:t>
            </w:r>
            <w:r>
              <w:rPr>
                <w:rFonts w:ascii="Times New Roman" w:eastAsia="Times New Roman" w:hAnsi="Times New Roman" w:cs="Times New Roman"/>
                <w:color w:val="000000"/>
                <w:spacing w:val="0"/>
                <w:w w:val="100"/>
                <w:position w:val="0"/>
                <w:sz w:val="18"/>
                <w:szCs w:val="18"/>
              </w:rPr>
              <w:t>14.83</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股、均价</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时</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分、</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时</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8"/>
                <w:szCs w:val="18"/>
              </w:rPr>
              <w:t>分，由于操作 失误，该投资者分两笔卖出股份</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股和</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股， 价格分别是</w:t>
            </w:r>
            <w:r>
              <w:rPr>
                <w:rFonts w:ascii="Times New Roman" w:eastAsia="Times New Roman" w:hAnsi="Times New Roman" w:cs="Times New Roman"/>
                <w:color w:val="000000"/>
                <w:spacing w:val="0"/>
                <w:w w:val="100"/>
                <w:position w:val="0"/>
                <w:sz w:val="18"/>
                <w:szCs w:val="18"/>
              </w:rPr>
              <w:t>15.11</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股和</w:t>
            </w:r>
            <w:r>
              <w:rPr>
                <w:rFonts w:ascii="Times New Roman" w:eastAsia="Times New Roman" w:hAnsi="Times New Roman" w:cs="Times New Roman"/>
                <w:color w:val="000000"/>
                <w:spacing w:val="0"/>
                <w:w w:val="100"/>
                <w:position w:val="0"/>
                <w:sz w:val="18"/>
                <w:szCs w:val="18"/>
              </w:rPr>
              <w:t>15.10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股;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时</w:t>
            </w: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8"/>
                <w:szCs w:val="18"/>
              </w:rPr>
              <w:t>分起至</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时</w:t>
            </w: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8"/>
                <w:szCs w:val="18"/>
              </w:rPr>
              <w:t>分又 多次买入尤洛卡股份，共计</w:t>
            </w:r>
            <w:r>
              <w:rPr>
                <w:rFonts w:ascii="Times New Roman" w:eastAsia="Times New Roman" w:hAnsi="Times New Roman" w:cs="Times New Roman"/>
                <w:color w:val="000000"/>
                <w:spacing w:val="0"/>
                <w:w w:val="100"/>
                <w:position w:val="0"/>
                <w:sz w:val="18"/>
                <w:szCs w:val="18"/>
              </w:rPr>
              <w:t>1,151,735</w:t>
            </w:r>
            <w:r>
              <w:rPr>
                <w:color w:val="000000"/>
                <w:spacing w:val="0"/>
                <w:w w:val="100"/>
                <w:position w:val="0"/>
                <w:sz w:val="18"/>
                <w:szCs w:val="18"/>
              </w:rPr>
              <w:t xml:space="preserve">股，最高价 </w:t>
            </w:r>
            <w:r>
              <w:rPr>
                <w:rFonts w:ascii="Times New Roman" w:eastAsia="Times New Roman" w:hAnsi="Times New Roman" w:cs="Times New Roman"/>
                <w:color w:val="000000"/>
                <w:spacing w:val="0"/>
                <w:w w:val="100"/>
                <w:position w:val="0"/>
                <w:sz w:val="18"/>
                <w:szCs w:val="18"/>
              </w:rPr>
              <w:t>15.21</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股、最低价</w:t>
            </w:r>
            <w:r>
              <w:rPr>
                <w:rFonts w:ascii="Times New Roman" w:eastAsia="Times New Roman" w:hAnsi="Times New Roman" w:cs="Times New Roman"/>
                <w:color w:val="000000"/>
                <w:spacing w:val="0"/>
                <w:w w:val="100"/>
                <w:position w:val="0"/>
                <w:sz w:val="18"/>
                <w:szCs w:val="18"/>
              </w:rPr>
              <w:t>13.44</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股、均价</w:t>
            </w:r>
            <w:r>
              <w:rPr>
                <w:rFonts w:ascii="Times New Roman" w:eastAsia="Times New Roman" w:hAnsi="Times New Roman" w:cs="Times New Roman"/>
                <w:color w:val="000000"/>
                <w:spacing w:val="0"/>
                <w:w w:val="100"/>
                <w:position w:val="0"/>
                <w:sz w:val="18"/>
                <w:szCs w:val="18"/>
              </w:rPr>
              <w:t>14.08</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公司及时向山 东省证监局汇 报并发布公司， 并责令夏建文 缴纳违规收益。</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七</w:t>
      </w:r>
      <w:bookmarkEnd w:id="259"/>
      <w:r>
        <w:rPr>
          <w:color w:val="000000"/>
          <w:spacing w:val="0"/>
          <w:w w:val="100"/>
          <w:position w:val="0"/>
          <w:sz w:val="24"/>
          <w:szCs w:val="24"/>
        </w:rPr>
        <w:t>、其他重大事项的说明</w:t>
      </w:r>
      <w:bookmarkEnd w:id="257"/>
      <w:bookmarkEnd w:id="258"/>
      <w:bookmarkEnd w:id="260"/>
    </w:p>
    <w:p>
      <w:pPr>
        <w:pStyle w:val="Style27"/>
        <w:keepNext w:val="0"/>
        <w:keepLines w:val="0"/>
        <w:widowControl w:val="0"/>
        <w:shd w:val="clear" w:color="auto" w:fill="auto"/>
        <w:bidi w:val="0"/>
        <w:spacing w:before="0" w:after="360" w:line="432" w:lineRule="exact"/>
        <w:ind w:left="0" w:right="0" w:firstLine="420"/>
        <w:jc w:val="left"/>
      </w:pPr>
      <w:r>
        <w:rPr>
          <w:color w:val="000000"/>
          <w:spacing w:val="0"/>
          <w:w w:val="100"/>
          <w:position w:val="0"/>
        </w:rPr>
        <w:t>报告期内，公司发生了资产重组事项，公司于2013年6月14日在巨潮资讯网发布了《关于重大资产重 组停牌公告》（公告编号</w:t>
      </w:r>
      <w:r>
        <w:rPr>
          <w:color w:val="000000"/>
          <w:spacing w:val="0"/>
          <w:w w:val="100"/>
          <w:position w:val="0"/>
        </w:rPr>
        <w:t>2013—033）,</w:t>
      </w:r>
      <w:r>
        <w:rPr>
          <w:color w:val="000000"/>
          <w:spacing w:val="0"/>
          <w:w w:val="100"/>
          <w:position w:val="0"/>
        </w:rPr>
        <w:t>并根据证监会、深交所相关规定及时发布进展公告。</w:t>
      </w:r>
    </w:p>
    <w:p>
      <w:pPr>
        <w:pStyle w:val="Style25"/>
        <w:keepNext/>
        <w:keepLines/>
        <w:widowControl w:val="0"/>
        <w:shd w:val="clear" w:color="auto" w:fill="auto"/>
        <w:bidi w:val="0"/>
        <w:spacing w:before="0" w:after="26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八</w:t>
      </w:r>
      <w:bookmarkEnd w:id="263"/>
      <w:r>
        <w:rPr>
          <w:color w:val="000000"/>
          <w:spacing w:val="0"/>
          <w:w w:val="100"/>
          <w:position w:val="0"/>
          <w:sz w:val="24"/>
          <w:szCs w:val="24"/>
        </w:rPr>
        <w:t>、控股子公司重要事项</w:t>
      </w:r>
      <w:bookmarkEnd w:id="261"/>
      <w:bookmarkEnd w:id="262"/>
      <w:bookmarkEnd w:id="264"/>
    </w:p>
    <w:p>
      <w:pPr>
        <w:pStyle w:val="Style27"/>
        <w:keepNext w:val="0"/>
        <w:keepLines w:val="0"/>
        <w:widowControl w:val="0"/>
        <w:shd w:val="clear" w:color="auto" w:fill="auto"/>
        <w:tabs>
          <w:tab w:pos="790" w:val="left"/>
        </w:tabs>
        <w:bidi w:val="0"/>
        <w:spacing w:before="0" w:after="0" w:line="432" w:lineRule="exact"/>
        <w:ind w:left="0" w:right="0" w:firstLine="420"/>
        <w:jc w:val="left"/>
      </w:pPr>
      <w:bookmarkStart w:id="265" w:name="bookmark265"/>
      <w:r>
        <w:rPr>
          <w:color w:val="000000"/>
          <w:spacing w:val="0"/>
          <w:w w:val="100"/>
          <w:position w:val="0"/>
        </w:rPr>
        <w:t>1</w:t>
      </w:r>
      <w:bookmarkEnd w:id="265"/>
      <w:r>
        <w:rPr>
          <w:color w:val="000000"/>
          <w:spacing w:val="0"/>
          <w:w w:val="100"/>
          <w:position w:val="0"/>
        </w:rPr>
        <w:t>、</w:t>
        <w:tab/>
        <w:t>报告期内公司通过发行股份购买资产方式开始实施对北京富华宇祺公司并购重组，期末获得中国 证监会核准，期内未能全面完成。至本报告出具之日，公司完成收购工作，将于2014年开始合并报表。公 司占其注册资本的53.21%，相关事宜公司已经实时作了公告。</w:t>
      </w:r>
    </w:p>
    <w:p>
      <w:pPr>
        <w:pStyle w:val="Style27"/>
        <w:keepNext w:val="0"/>
        <w:keepLines w:val="0"/>
        <w:widowControl w:val="0"/>
        <w:shd w:val="clear" w:color="auto" w:fill="auto"/>
        <w:tabs>
          <w:tab w:pos="793" w:val="left"/>
        </w:tabs>
        <w:bidi w:val="0"/>
        <w:spacing w:before="0" w:after="0" w:line="432" w:lineRule="exact"/>
        <w:ind w:left="0" w:right="0" w:firstLine="420"/>
        <w:jc w:val="left"/>
      </w:pPr>
      <w:bookmarkStart w:id="266" w:name="bookmark266"/>
      <w:r>
        <w:rPr>
          <w:color w:val="000000"/>
          <w:spacing w:val="0"/>
          <w:w w:val="100"/>
          <w:position w:val="0"/>
        </w:rPr>
        <w:t>2</w:t>
      </w:r>
      <w:bookmarkEnd w:id="266"/>
      <w:r>
        <w:rPr>
          <w:color w:val="000000"/>
          <w:spacing w:val="0"/>
          <w:w w:val="100"/>
          <w:position w:val="0"/>
        </w:rPr>
        <w:t>、</w:t>
        <w:tab/>
        <w:t>泰安市华得软件科技有限公司注册资本由50万元，报告期内增资至500万元。</w:t>
      </w:r>
    </w:p>
    <w:p>
      <w:pPr>
        <w:pStyle w:val="Style27"/>
        <w:keepNext w:val="0"/>
        <w:keepLines w:val="0"/>
        <w:widowControl w:val="0"/>
        <w:shd w:val="clear" w:color="auto" w:fill="auto"/>
        <w:tabs>
          <w:tab w:pos="793" w:val="left"/>
        </w:tabs>
        <w:bidi w:val="0"/>
        <w:spacing w:before="0" w:after="260" w:line="432" w:lineRule="exact"/>
        <w:ind w:left="0" w:right="0" w:firstLine="420"/>
        <w:jc w:val="left"/>
      </w:pPr>
      <w:bookmarkStart w:id="267" w:name="bookmark267"/>
      <w:r>
        <w:rPr>
          <w:color w:val="000000"/>
          <w:spacing w:val="0"/>
          <w:w w:val="100"/>
          <w:position w:val="0"/>
        </w:rPr>
        <w:t>3</w:t>
      </w:r>
      <w:bookmarkEnd w:id="267"/>
      <w:r>
        <w:rPr>
          <w:color w:val="000000"/>
          <w:spacing w:val="0"/>
          <w:w w:val="100"/>
          <w:position w:val="0"/>
        </w:rPr>
        <w:t>、</w:t>
        <w:tab/>
        <w:t>上海公司、北京子公司本年度首次实现利润。</w:t>
      </w:r>
    </w:p>
    <w:p>
      <w:pPr>
        <w:pStyle w:val="Style10"/>
        <w:keepNext/>
        <w:keepLines/>
        <w:widowControl w:val="0"/>
        <w:shd w:val="clear" w:color="auto" w:fill="auto"/>
        <w:bidi w:val="0"/>
        <w:spacing w:before="0" w:line="240" w:lineRule="auto"/>
        <w:ind w:left="0" w:right="0" w:firstLine="0"/>
        <w:jc w:val="center"/>
      </w:pPr>
      <w:bookmarkStart w:id="268" w:name="bookmark268"/>
      <w:bookmarkStart w:id="269" w:name="bookmark269"/>
      <w:bookmarkStart w:id="270" w:name="bookmark270"/>
      <w:r>
        <w:rPr>
          <w:color w:val="000000"/>
          <w:spacing w:val="0"/>
          <w:w w:val="100"/>
          <w:position w:val="0"/>
        </w:rPr>
        <w:t>第六节股份变动及股东情况</w:t>
      </w:r>
      <w:bookmarkEnd w:id="268"/>
      <w:bookmarkEnd w:id="269"/>
      <w:bookmarkEnd w:id="270"/>
    </w:p>
    <w:p>
      <w:pPr>
        <w:pStyle w:val="Style25"/>
        <w:keepNext/>
        <w:keepLines/>
        <w:widowControl w:val="0"/>
        <w:shd w:val="clear" w:color="auto" w:fill="auto"/>
        <w:bidi w:val="0"/>
        <w:spacing w:before="0" w:after="320" w:line="240" w:lineRule="auto"/>
        <w:ind w:left="0" w:right="0" w:firstLine="0"/>
        <w:jc w:val="both"/>
      </w:pPr>
      <w:bookmarkStart w:id="271" w:name="bookmark271"/>
      <w:bookmarkStart w:id="272" w:name="bookmark272"/>
      <w:bookmarkStart w:id="273" w:name="bookmark273"/>
      <w:bookmarkStart w:id="274" w:name="bookmark274"/>
      <w:r>
        <w:rPr>
          <w:color w:val="000000"/>
          <w:spacing w:val="0"/>
          <w:w w:val="100"/>
          <w:position w:val="0"/>
          <w:sz w:val="24"/>
          <w:szCs w:val="24"/>
        </w:rPr>
        <w:t>一</w:t>
      </w:r>
      <w:bookmarkEnd w:id="273"/>
      <w:r>
        <w:rPr>
          <w:color w:val="000000"/>
          <w:spacing w:val="0"/>
          <w:w w:val="100"/>
          <w:position w:val="0"/>
          <w:sz w:val="24"/>
          <w:szCs w:val="24"/>
        </w:rPr>
        <w:t>、股份变动情况</w:t>
      </w:r>
      <w:bookmarkEnd w:id="271"/>
      <w:bookmarkEnd w:id="272"/>
      <w:bookmarkEnd w:id="274"/>
    </w:p>
    <w:p>
      <w:pPr>
        <w:pStyle w:val="Style36"/>
        <w:keepNext/>
        <w:keepLines/>
        <w:widowControl w:val="0"/>
        <w:shd w:val="clear" w:color="auto" w:fill="auto"/>
        <w:bidi w:val="0"/>
        <w:spacing w:before="0" w:after="360" w:line="240" w:lineRule="auto"/>
        <w:ind w:left="0" w:right="0" w:firstLine="0"/>
        <w:jc w:val="both"/>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、股份变动情况</w:t>
      </w:r>
      <w:bookmarkEnd w:id="275"/>
      <w:bookmarkEnd w:id="276"/>
      <w:bookmarkEnd w:id="27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829"/>
        <w:gridCol w:w="1186"/>
        <w:gridCol w:w="902"/>
        <w:gridCol w:w="648"/>
        <w:gridCol w:w="398"/>
        <w:gridCol w:w="1080"/>
        <w:gridCol w:w="902"/>
        <w:gridCol w:w="994"/>
        <w:gridCol w:w="811"/>
        <w:gridCol w:w="82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发行</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送</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公积金转</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220"/>
              <w:jc w:val="lef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68,908,788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68,908,788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-562,260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68,346,52</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137,255</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68,908,788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68,908,788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68,346,52</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137,255</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68,908,788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68,908,788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-562,260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68,346,52</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137,255</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34,441,212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34,441,212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35,003,47</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34,441,212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34,441,212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35,003,47</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103,350,000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103,350,00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103,350,0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206,700</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7"/>
        <w:keepNext w:val="0"/>
        <w:keepLines w:val="0"/>
        <w:widowControl w:val="0"/>
        <w:shd w:val="clear" w:color="auto" w:fill="auto"/>
        <w:bidi w:val="0"/>
        <w:spacing w:before="0" w:after="0" w:line="441" w:lineRule="exact"/>
        <w:ind w:left="0" w:right="0" w:firstLine="0"/>
        <w:jc w:val="left"/>
      </w:pPr>
      <w:r>
        <w:rPr>
          <w:color w:val="000000"/>
          <w:spacing w:val="0"/>
          <w:w w:val="100"/>
          <w:position w:val="0"/>
        </w:rPr>
        <w:t>股份变动的原因：</w:t>
      </w:r>
    </w:p>
    <w:p>
      <w:pPr>
        <w:pStyle w:val="Style27"/>
        <w:keepNext w:val="0"/>
        <w:keepLines w:val="0"/>
        <w:widowControl w:val="0"/>
        <w:shd w:val="clear" w:color="auto" w:fill="auto"/>
        <w:tabs>
          <w:tab w:pos="368" w:val="left"/>
        </w:tabs>
        <w:bidi w:val="0"/>
        <w:spacing w:before="0" w:after="0" w:line="441" w:lineRule="exact"/>
        <w:ind w:left="0" w:right="0" w:firstLine="0"/>
        <w:jc w:val="left"/>
      </w:pPr>
      <w:bookmarkStart w:id="279" w:name="bookmark279"/>
      <w:r>
        <w:rPr>
          <w:color w:val="000000"/>
          <w:spacing w:val="0"/>
          <w:w w:val="100"/>
          <w:position w:val="0"/>
        </w:rPr>
        <w:t>1</w:t>
      </w:r>
      <w:bookmarkEnd w:id="279"/>
      <w:r>
        <w:rPr>
          <w:color w:val="000000"/>
          <w:spacing w:val="0"/>
          <w:w w:val="100"/>
          <w:position w:val="0"/>
        </w:rPr>
        <w:t>、</w:t>
        <w:tab/>
        <w:t>根据2013年4月9日审议通过的2012年度股东大会决议，以2012年12月31日公司总股本103,350, 000股为 基数，向全体股东每10股转增10股，共计转增103,350,000股，转增后公司总股本将增加至206,700,000股。 已于2013年4月22日实施完毕。</w:t>
      </w:r>
    </w:p>
    <w:p>
      <w:pPr>
        <w:pStyle w:val="Style27"/>
        <w:keepNext w:val="0"/>
        <w:keepLines w:val="0"/>
        <w:widowControl w:val="0"/>
        <w:shd w:val="clear" w:color="auto" w:fill="auto"/>
        <w:tabs>
          <w:tab w:pos="368" w:val="left"/>
        </w:tabs>
        <w:bidi w:val="0"/>
        <w:spacing w:before="0" w:after="0" w:line="441" w:lineRule="exact"/>
        <w:ind w:left="0" w:right="0" w:firstLine="0"/>
        <w:jc w:val="left"/>
      </w:pPr>
      <w:bookmarkStart w:id="280" w:name="bookmark280"/>
      <w:r>
        <w:rPr>
          <w:color w:val="000000"/>
          <w:spacing w:val="0"/>
          <w:w w:val="100"/>
          <w:position w:val="0"/>
        </w:rPr>
        <w:t>2</w:t>
      </w:r>
      <w:bookmarkEnd w:id="280"/>
      <w:r>
        <w:rPr>
          <w:color w:val="000000"/>
          <w:spacing w:val="0"/>
          <w:w w:val="100"/>
          <w:position w:val="0"/>
        </w:rPr>
        <w:t>、</w:t>
        <w:tab/>
        <w:t>股东王洪秋、曹丽妮所持限售股份562,260股于2013年8月6日解禁。</w:t>
      </w:r>
    </w:p>
    <w:p>
      <w:pPr>
        <w:pStyle w:val="Style27"/>
        <w:keepNext w:val="0"/>
        <w:keepLines w:val="0"/>
        <w:widowControl w:val="0"/>
        <w:shd w:val="clear" w:color="auto" w:fill="auto"/>
        <w:bidi w:val="0"/>
        <w:spacing w:before="0" w:after="0" w:line="441" w:lineRule="exact"/>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0" w:line="441" w:lineRule="exact"/>
        <w:ind w:left="0" w:right="0" w:firstLine="0"/>
        <w:jc w:val="left"/>
      </w:pPr>
      <w:r>
        <w:rPr>
          <w:color w:val="000000"/>
          <w:spacing w:val="0"/>
          <w:w w:val="100"/>
          <w:position w:val="0"/>
        </w:rPr>
        <w:t>2013年4月9日，公司2012年度股东大会审议通过了2012年度利润分配的议案：以2012年12月31日公司总股 本103,350,000股为基数向全体股东每10股派发现金股利5元人民币(含税)；同时进行资本公积金转增股 本，以总股本103,350,000股为基数向全体股东每10股转增10股，共计转增103,350,000股，转增后公司总 股本将增加至206,700,000股。</w:t>
      </w:r>
    </w:p>
    <w:p>
      <w:pPr>
        <w:pStyle w:val="Style27"/>
        <w:keepNext w:val="0"/>
        <w:keepLines w:val="0"/>
        <w:widowControl w:val="0"/>
        <w:shd w:val="clear" w:color="auto" w:fill="auto"/>
        <w:bidi w:val="0"/>
        <w:spacing w:before="0" w:after="0" w:line="441" w:lineRule="exact"/>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200" w:line="441" w:lineRule="exact"/>
        <w:ind w:left="0" w:right="0" w:firstLine="0"/>
        <w:jc w:val="left"/>
      </w:pPr>
      <w:r>
        <w:rPr>
          <w:color w:val="000000"/>
          <w:spacing w:val="0"/>
          <w:w w:val="100"/>
          <w:position w:val="0"/>
        </w:rPr>
        <w:t>2013年4月22日，实施完成了2012年度权益分派。</w:t>
      </w:r>
    </w:p>
    <w:p>
      <w:pPr>
        <w:pStyle w:val="Style27"/>
        <w:keepNext w:val="0"/>
        <w:keepLines w:val="0"/>
        <w:widowControl w:val="0"/>
        <w:shd w:val="clear" w:color="auto" w:fill="auto"/>
        <w:bidi w:val="0"/>
        <w:spacing w:before="0" w:after="0" w:line="442"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27"/>
        <w:keepNext w:val="0"/>
        <w:keepLines w:val="0"/>
        <w:widowControl w:val="0"/>
        <w:shd w:val="clear" w:color="auto" w:fill="auto"/>
        <w:bidi w:val="0"/>
        <w:spacing w:before="0" w:after="0" w:line="442" w:lineRule="exact"/>
        <w:ind w:left="0" w:right="0" w:firstLine="0"/>
        <w:jc w:val="left"/>
      </w:pPr>
      <w:r>
        <w:rPr>
          <w:color w:val="000000"/>
          <w:spacing w:val="0"/>
          <w:w w:val="100"/>
          <w:position w:val="0"/>
        </w:rPr>
        <w:t>本次股份变动使得近一年每股收益、稀释每股收益、归属于公司普通股股东的每股净资产下降，具体指标 详见“第二节主要会计数据和财务指标”。</w:t>
      </w:r>
    </w:p>
    <w:p>
      <w:pPr>
        <w:pStyle w:val="Style27"/>
        <w:keepNext w:val="0"/>
        <w:keepLines w:val="0"/>
        <w:widowControl w:val="0"/>
        <w:shd w:val="clear" w:color="auto" w:fill="auto"/>
        <w:bidi w:val="0"/>
        <w:spacing w:before="0" w:after="0" w:line="442" w:lineRule="exact"/>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0" w:line="442" w:lineRule="exact"/>
        <w:ind w:left="0" w:right="0" w:firstLine="320"/>
        <w:jc w:val="both"/>
      </w:pPr>
      <w:r>
        <w:rPr>
          <w:color w:val="000000"/>
          <w:spacing w:val="0"/>
          <w:w w:val="100"/>
          <w:position w:val="0"/>
        </w:rPr>
        <w:t>2013年12月27日，中国证监会下发了证监许可〔2013） 1637号《关于核准尤洛卡矿业安全工程股份有 限公司向田斌等发行股份购买资产的批复》文件，核准了本次交易。</w:t>
      </w:r>
    </w:p>
    <w:p>
      <w:pPr>
        <w:pStyle w:val="Style27"/>
        <w:keepNext w:val="0"/>
        <w:keepLines w:val="0"/>
        <w:widowControl w:val="0"/>
        <w:shd w:val="clear" w:color="auto" w:fill="auto"/>
        <w:tabs>
          <w:tab w:pos="368" w:val="left"/>
        </w:tabs>
        <w:bidi w:val="0"/>
        <w:spacing w:before="0" w:after="0" w:line="442" w:lineRule="exact"/>
        <w:ind w:left="0" w:right="0" w:firstLine="0"/>
        <w:jc w:val="left"/>
      </w:pPr>
      <w:bookmarkStart w:id="281" w:name="bookmark281"/>
      <w:r>
        <w:rPr>
          <w:color w:val="000000"/>
          <w:spacing w:val="0"/>
          <w:w w:val="100"/>
          <w:position w:val="0"/>
        </w:rPr>
        <w:t>2</w:t>
      </w:r>
      <w:bookmarkEnd w:id="281"/>
      <w:r>
        <w:rPr>
          <w:color w:val="000000"/>
          <w:spacing w:val="0"/>
          <w:w w:val="100"/>
          <w:position w:val="0"/>
        </w:rPr>
        <w:t>、</w:t>
        <w:tab/>
        <w:t>2014年2月21日，中登公司登记存管部出具《股份登记申请受理确认书》，中登公司已于2014年2月21日 受理尤洛卡非公开发行新股登记申请材料，相关股份登记到账后将正式列入上市公司股东名册，尤洛卡本 次非公开发行新股数量为7,899,453股（其中限售流通股数量为7,899, 453股），非公开发行后尤洛卡股份 数量为214,599,453股。</w:t>
      </w:r>
    </w:p>
    <w:p>
      <w:pPr>
        <w:pStyle w:val="Style27"/>
        <w:keepNext w:val="0"/>
        <w:keepLines w:val="0"/>
        <w:widowControl w:val="0"/>
        <w:shd w:val="clear" w:color="auto" w:fill="auto"/>
        <w:tabs>
          <w:tab w:pos="373" w:val="left"/>
        </w:tabs>
        <w:bidi w:val="0"/>
        <w:spacing w:before="0" w:after="320" w:line="466" w:lineRule="exact"/>
        <w:ind w:left="0" w:right="0" w:firstLine="0"/>
        <w:jc w:val="left"/>
      </w:pPr>
      <w:bookmarkStart w:id="282" w:name="bookmark282"/>
      <w:r>
        <w:rPr>
          <w:color w:val="000000"/>
          <w:spacing w:val="0"/>
          <w:w w:val="100"/>
          <w:position w:val="0"/>
        </w:rPr>
        <w:t>3</w:t>
      </w:r>
      <w:bookmarkEnd w:id="282"/>
      <w:r>
        <w:rPr>
          <w:color w:val="000000"/>
          <w:spacing w:val="0"/>
          <w:w w:val="100"/>
          <w:position w:val="0"/>
        </w:rPr>
        <w:t>、</w:t>
        <w:tab/>
        <w:t>2014年3月11日，尤洛卡本次非公开发行新股数量为7,899,453股（其中限售流通股数量为7,899, 453股） 在深圳证券交易所上市。</w:t>
      </w:r>
    </w:p>
    <w:p>
      <w:pPr>
        <w:pStyle w:val="Style36"/>
        <w:keepNext/>
        <w:keepLines/>
        <w:widowControl w:val="0"/>
        <w:shd w:val="clear" w:color="auto" w:fill="auto"/>
        <w:bidi w:val="0"/>
        <w:spacing w:before="0" w:after="160" w:line="461" w:lineRule="auto"/>
        <w:ind w:left="0" w:right="0" w:firstLine="0"/>
        <w:jc w:val="left"/>
      </w:pPr>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2</w:t>
      </w:r>
      <w:r>
        <w:rPr>
          <w:color w:val="000000"/>
          <w:spacing w:val="0"/>
          <w:w w:val="100"/>
          <w:position w:val="0"/>
        </w:rPr>
        <w:t>、限售股份变动情况</w:t>
      </w:r>
      <w:bookmarkEnd w:id="283"/>
      <w:bookmarkEnd w:id="284"/>
      <w:bookmarkEnd w:id="28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本期解除限售 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本期增加限售 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解除限售日期</w:t>
            </w:r>
          </w:p>
        </w:tc>
      </w:tr>
      <w:tr>
        <w:trPr>
          <w:trHeight w:val="710"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王洪秋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281,130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281,130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限售期到期</w:t>
            </w:r>
          </w:p>
        </w:tc>
        <w:tc>
          <w:tcPr>
            <w:tcBorders>
              <w:top w:val="single" w:sz="4"/>
              <w:left w:val="single" w:sz="4"/>
              <w:right w:val="single" w:sz="4"/>
            </w:tcBorders>
            <w:shd w:val="clear" w:color="auto" w:fill="CCE8CF"/>
            <w:vAlign w:val="top"/>
          </w:tcPr>
          <w:p>
            <w:pPr>
              <w:pStyle w:val="Style21"/>
              <w:keepNext w:val="0"/>
              <w:keepLines w:val="0"/>
              <w:widowControl w:val="0"/>
              <w:shd w:val="clear" w:color="auto" w:fill="auto"/>
              <w:bidi w:val="0"/>
              <w:spacing w:before="8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曹丽妮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281,130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281,130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限售期到期</w:t>
            </w:r>
          </w:p>
        </w:tc>
        <w:tc>
          <w:tcPr>
            <w:tcBorders>
              <w:top w:val="single" w:sz="4"/>
              <w:left w:val="single" w:sz="4"/>
              <w:right w:val="single" w:sz="4"/>
            </w:tcBorders>
            <w:shd w:val="clear" w:color="auto" w:fill="CCE8CF"/>
            <w:vAlign w:val="top"/>
          </w:tcPr>
          <w:p>
            <w:pPr>
              <w:pStyle w:val="Style21"/>
              <w:keepNext w:val="0"/>
              <w:keepLines w:val="0"/>
              <w:widowControl w:val="0"/>
              <w:shd w:val="clear" w:color="auto" w:fill="auto"/>
              <w:bidi w:val="0"/>
              <w:spacing w:before="8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562,260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562,260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二</w:t>
      </w:r>
      <w:bookmarkEnd w:id="288"/>
      <w:r>
        <w:rPr>
          <w:color w:val="000000"/>
          <w:spacing w:val="0"/>
          <w:w w:val="100"/>
          <w:position w:val="0"/>
          <w:sz w:val="24"/>
          <w:szCs w:val="24"/>
        </w:rPr>
        <w:t>、证券发行与上市情况</w:t>
      </w:r>
      <w:bookmarkEnd w:id="286"/>
      <w:bookmarkEnd w:id="287"/>
      <w:bookmarkEnd w:id="289"/>
    </w:p>
    <w:p>
      <w:pPr>
        <w:pStyle w:val="Style27"/>
        <w:keepNext w:val="0"/>
        <w:keepLines w:val="0"/>
        <w:widowControl w:val="0"/>
        <w:shd w:val="clear" w:color="auto" w:fill="auto"/>
        <w:bidi w:val="0"/>
        <w:spacing w:before="0" w:after="320" w:line="240" w:lineRule="auto"/>
        <w:ind w:left="0" w:right="0" w:firstLine="0"/>
        <w:jc w:val="left"/>
      </w:pPr>
      <w:bookmarkStart w:id="290" w:name="bookmark290"/>
      <w:r>
        <w:rPr>
          <w:rFonts w:ascii="Times New Roman" w:eastAsia="Times New Roman" w:hAnsi="Times New Roman" w:cs="Times New Roman"/>
          <w:b/>
          <w:bCs/>
          <w:color w:val="000000"/>
          <w:spacing w:val="0"/>
          <w:w w:val="100"/>
          <w:position w:val="0"/>
        </w:rPr>
        <w:t>1</w:t>
      </w:r>
      <w:bookmarkEnd w:id="290"/>
      <w:r>
        <w:rPr>
          <w:b/>
          <w:bCs/>
          <w:color w:val="000000"/>
          <w:spacing w:val="0"/>
          <w:w w:val="100"/>
          <w:position w:val="0"/>
        </w:rPr>
        <w:t>、报告期内证券发行情况</w:t>
      </w:r>
    </w:p>
    <w:tbl>
      <w:tblPr>
        <w:tblOverlap w:val="never"/>
        <w:jc w:val="center"/>
        <w:tblLayout w:type="fixed"/>
      </w:tblPr>
      <w:tblGrid>
        <w:gridCol w:w="1373"/>
        <w:gridCol w:w="1363"/>
        <w:gridCol w:w="1368"/>
        <w:gridCol w:w="1368"/>
        <w:gridCol w:w="1368"/>
        <w:gridCol w:w="1363"/>
        <w:gridCol w:w="137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股票及其衍生 证券名称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发行价格（或 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获准上市交易 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股票类</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100" w:after="120" w:line="240" w:lineRule="auto"/>
              <w:ind w:left="0" w:right="0" w:firstLine="0"/>
              <w:jc w:val="left"/>
              <w:rPr>
                <w:sz w:val="18"/>
                <w:szCs w:val="18"/>
              </w:rPr>
            </w:pPr>
            <w:r>
              <w:rPr>
                <w:color w:val="000000"/>
                <w:spacing w:val="0"/>
                <w:w w:val="100"/>
                <w:position w:val="0"/>
                <w:sz w:val="18"/>
                <w:szCs w:val="18"/>
              </w:rPr>
              <w:t>非公开发行股</w:t>
            </w:r>
          </w:p>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票</w:t>
            </w:r>
          </w:p>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perscript"/>
              </w:rPr>
              <w:t>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7,899,453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7,899,453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可转换公司债券、分离交易可转债、公司债类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权证类</w:t>
            </w:r>
          </w:p>
        </w:tc>
      </w:tr>
    </w:tbl>
    <w:p>
      <w:pPr>
        <w:pStyle w:val="Style27"/>
        <w:keepNext w:val="0"/>
        <w:keepLines w:val="0"/>
        <w:widowControl w:val="0"/>
        <w:shd w:val="clear" w:color="auto" w:fill="auto"/>
        <w:bidi w:val="0"/>
        <w:spacing w:before="0" w:after="0" w:line="447" w:lineRule="exact"/>
        <w:ind w:left="0" w:right="0" w:firstLine="0"/>
        <w:jc w:val="left"/>
      </w:pPr>
      <w:r>
        <w:rPr>
          <w:color w:val="000000"/>
          <w:spacing w:val="0"/>
          <w:w w:val="100"/>
          <w:position w:val="0"/>
        </w:rPr>
        <w:t>证券发行情况的说明</w:t>
      </w:r>
    </w:p>
    <w:p>
      <w:pPr>
        <w:pStyle w:val="Style27"/>
        <w:keepNext w:val="0"/>
        <w:keepLines w:val="0"/>
        <w:widowControl w:val="0"/>
        <w:shd w:val="clear" w:color="auto" w:fill="auto"/>
        <w:bidi w:val="0"/>
        <w:spacing w:before="0" w:after="340" w:line="445" w:lineRule="exact"/>
        <w:ind w:left="0" w:right="0" w:firstLine="0"/>
        <w:jc w:val="left"/>
      </w:pPr>
      <w:r>
        <w:rPr>
          <w:color w:val="000000"/>
          <w:spacing w:val="0"/>
          <w:w w:val="100"/>
          <w:position w:val="0"/>
        </w:rPr>
        <w:t>报告期后，公司经中国证监会核准，向富华宇祺田斌等七名股东发行股份7,899,453股，每股价格</w:t>
      </w:r>
      <w:r>
        <w:rPr>
          <w:color w:val="000000"/>
          <w:spacing w:val="0"/>
          <w:w w:val="100"/>
          <w:position w:val="0"/>
        </w:rPr>
        <w:t>10.89</w:t>
      </w:r>
      <w:r>
        <w:rPr>
          <w:color w:val="000000"/>
          <w:spacing w:val="0"/>
          <w:w w:val="100"/>
          <w:position w:val="0"/>
        </w:rPr>
        <w:t>元, 购买富华宇祺53.21%的股权，2014年1月16日，标的资产富华宇祺53.21%股权过户至公司名下。新增股份 7,899,453股于2014年3月11日正式上市。公司股本由原来的206, 700,00。股增加至214,599, 453股。具体内 容详见公司于2014年3月7日发布的《发行股份及支付现金购买资产实施情况暨新增股份上市报告书》等相 关公告。</w:t>
      </w:r>
    </w:p>
    <w:p>
      <w:pPr>
        <w:pStyle w:val="Style36"/>
        <w:keepNext/>
        <w:keepLines/>
        <w:widowControl w:val="0"/>
        <w:shd w:val="clear" w:color="auto" w:fill="auto"/>
        <w:bidi w:val="0"/>
        <w:spacing w:before="0" w:after="0" w:line="466"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2</w:t>
      </w:r>
      <w:bookmarkEnd w:id="293"/>
      <w:r>
        <w:rPr>
          <w:color w:val="000000"/>
          <w:spacing w:val="0"/>
          <w:w w:val="100"/>
          <w:position w:val="0"/>
        </w:rPr>
        <w:t>、公司股份总数及股东结构的变动、公司资产和负债结构的变动情况说明</w:t>
      </w:r>
      <w:bookmarkEnd w:id="291"/>
      <w:bookmarkEnd w:id="292"/>
      <w:bookmarkEnd w:id="294"/>
    </w:p>
    <w:p>
      <w:pPr>
        <w:pStyle w:val="Style27"/>
        <w:keepNext w:val="0"/>
        <w:keepLines w:val="0"/>
        <w:widowControl w:val="0"/>
        <w:shd w:val="clear" w:color="auto" w:fill="auto"/>
        <w:bidi w:val="0"/>
        <w:spacing w:before="0" w:after="340" w:line="448" w:lineRule="exact"/>
        <w:ind w:left="0" w:right="0" w:firstLine="440"/>
        <w:jc w:val="left"/>
      </w:pPr>
      <w:r>
        <w:rPr>
          <w:color w:val="000000"/>
          <w:spacing w:val="0"/>
          <w:w w:val="100"/>
          <w:position w:val="0"/>
        </w:rPr>
        <w:t>根据2013年4月9日审议通过的2012年度股东大会决议，以2012年12月31日公司总股本103,350,000股 为基数，向全体股东每10股转增10股，共计转增103,350,000股，转增后公司总股本将增加至206,700,000 股。已于2013年4月22日实施完毕。以上转增股本事项未引起公司股东结构变动、公司资产和负债结构变 动。</w:t>
      </w:r>
    </w:p>
    <w:p>
      <w:pPr>
        <w:pStyle w:val="Style25"/>
        <w:keepNext/>
        <w:keepLines/>
        <w:widowControl w:val="0"/>
        <w:shd w:val="clear" w:color="auto" w:fill="auto"/>
        <w:bidi w:val="0"/>
        <w:spacing w:before="0" w:after="34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三</w:t>
      </w:r>
      <w:bookmarkEnd w:id="297"/>
      <w:r>
        <w:rPr>
          <w:color w:val="000000"/>
          <w:spacing w:val="0"/>
          <w:w w:val="100"/>
          <w:position w:val="0"/>
          <w:sz w:val="24"/>
          <w:szCs w:val="24"/>
        </w:rPr>
        <w:t>、股东和实际控制人情况</w:t>
      </w:r>
      <w:bookmarkEnd w:id="295"/>
      <w:bookmarkEnd w:id="296"/>
      <w:bookmarkEnd w:id="298"/>
    </w:p>
    <w:p>
      <w:pPr>
        <w:pStyle w:val="Style36"/>
        <w:keepNext/>
        <w:keepLines/>
        <w:widowControl w:val="0"/>
        <w:shd w:val="clear" w:color="auto" w:fill="auto"/>
        <w:bidi w:val="0"/>
        <w:spacing w:before="0" w:after="140" w:line="466"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、公司股东数量及持股情况</w:t>
      </w:r>
      <w:bookmarkEnd w:id="299"/>
      <w:bookmarkEnd w:id="300"/>
      <w:bookmarkEnd w:id="30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037"/>
        <w:gridCol w:w="331"/>
        <w:gridCol w:w="538"/>
        <w:gridCol w:w="1123"/>
        <w:gridCol w:w="154"/>
        <w:gridCol w:w="840"/>
        <w:gridCol w:w="1306"/>
        <w:gridCol w:w="1291"/>
        <w:gridCol w:w="869"/>
        <w:gridCol w:w="730"/>
      </w:tblGrid>
      <w:tr>
        <w:trPr>
          <w:trHeight w:val="720"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12,016</w:t>
            </w:r>
          </w:p>
        </w:tc>
        <w:tc>
          <w:tcPr>
            <w:gridSpan w:val="4"/>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个交易日末股东总 数</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11,365</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股东性质</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报告期末持 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报告期 内增减 变动情 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持有有限售条 件的股份数量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持有无限售 条件的股份</w:t>
            </w:r>
          </w:p>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股份状 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境内自然</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39.16%</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80,934,056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80,934,056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闫相宏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境内自然</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20.65%</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42,675,290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42,675,290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夏建文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境内自然</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5.82%</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12,026,170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12,026,170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境内自然</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6,401,296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6,401,296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李新安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境内自然</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6,401,294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6,401,294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境内自然</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0.82%</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倪秉勤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境内自然</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0.41%</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境内自然</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0.41%</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843,380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倪伟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境内自然</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0.37%</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任月华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境内自然</w:t>
            </w:r>
          </w:p>
        </w:tc>
        <w:tc>
          <w:tcPr>
            <w:gridSpan w:val="2"/>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w:t>
            </w:r>
          </w:p>
        </w:tc>
        <w:tc>
          <w:tcPr>
            <w:gridSpan w:val="2"/>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626,125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626,125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331"/>
        <w:gridCol w:w="4104"/>
        <w:gridCol w:w="1368"/>
        <w:gridCol w:w="1378"/>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战略投资者或一般法人因配 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 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gridSpan w:val="4"/>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上述股东关联关系或一致行 动的说明</w:t>
            </w:r>
          </w:p>
        </w:tc>
        <w:tc>
          <w:tcPr>
            <w:gridSpan w:val="4"/>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公司第一股东王晶华（所持比例</w:t>
            </w:r>
            <w:r>
              <w:rPr>
                <w:rFonts w:ascii="Times New Roman" w:eastAsia="Times New Roman" w:hAnsi="Times New Roman" w:cs="Times New Roman"/>
                <w:color w:val="000000"/>
                <w:spacing w:val="0"/>
                <w:w w:val="100"/>
                <w:position w:val="0"/>
                <w:sz w:val="18"/>
                <w:szCs w:val="18"/>
              </w:rPr>
              <w:t>39.16%</w:t>
            </w:r>
            <w:r>
              <w:rPr>
                <w:color w:val="000000"/>
                <w:spacing w:val="0"/>
                <w:w w:val="100"/>
                <w:position w:val="0"/>
                <w:sz w:val="18"/>
                <w:szCs w:val="18"/>
              </w:rPr>
              <w:t>），股东李新安（所持比例</w:t>
            </w:r>
            <w:r>
              <w:rPr>
                <w:rFonts w:ascii="Times New Roman" w:eastAsia="Times New Roman" w:hAnsi="Times New Roman" w:cs="Times New Roman"/>
                <w:color w:val="000000"/>
                <w:spacing w:val="0"/>
                <w:w w:val="100"/>
                <w:position w:val="0"/>
                <w:sz w:val="18"/>
                <w:szCs w:val="18"/>
              </w:rPr>
              <w:t>3.10%</w:t>
            </w:r>
            <w:r>
              <w:rPr>
                <w:color w:val="000000"/>
                <w:spacing w:val="0"/>
                <w:w w:val="100"/>
                <w:position w:val="0"/>
                <w:sz w:val="18"/>
                <w:szCs w:val="18"/>
              </w:rPr>
              <w:t>）是王晶华的丈 夫的妹夫，股东张娜（所持比例</w:t>
            </w:r>
            <w:r>
              <w:rPr>
                <w:rFonts w:ascii="Times New Roman" w:eastAsia="Times New Roman" w:hAnsi="Times New Roman" w:cs="Times New Roman"/>
                <w:color w:val="000000"/>
                <w:spacing w:val="0"/>
                <w:w w:val="100"/>
                <w:position w:val="0"/>
                <w:sz w:val="18"/>
                <w:szCs w:val="18"/>
              </w:rPr>
              <w:t>0.41%</w:t>
            </w:r>
            <w:r>
              <w:rPr>
                <w:color w:val="000000"/>
                <w:spacing w:val="0"/>
                <w:w w:val="100"/>
                <w:position w:val="0"/>
                <w:sz w:val="18"/>
                <w:szCs w:val="18"/>
              </w:rPr>
              <w:t>）是王晶华的外甥女；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、公司第二大股东闫相宏</w:t>
            </w:r>
          </w:p>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（所持比例</w:t>
            </w:r>
            <w:r>
              <w:rPr>
                <w:rFonts w:ascii="Times New Roman" w:eastAsia="Times New Roman" w:hAnsi="Times New Roman" w:cs="Times New Roman"/>
                <w:color w:val="000000"/>
                <w:spacing w:val="0"/>
                <w:w w:val="100"/>
                <w:position w:val="0"/>
                <w:sz w:val="18"/>
                <w:szCs w:val="18"/>
              </w:rPr>
              <w:t>20.65%</w:t>
            </w:r>
            <w:r>
              <w:rPr>
                <w:color w:val="000000"/>
                <w:spacing w:val="0"/>
                <w:w w:val="100"/>
                <w:position w:val="0"/>
                <w:sz w:val="18"/>
                <w:szCs w:val="18"/>
              </w:rPr>
              <w:t>）与王静（所持比例</w:t>
            </w:r>
            <w:r>
              <w:rPr>
                <w:rFonts w:ascii="Times New Roman" w:eastAsia="Times New Roman" w:hAnsi="Times New Roman" w:cs="Times New Roman"/>
                <w:color w:val="000000"/>
                <w:spacing w:val="0"/>
                <w:w w:val="100"/>
                <w:position w:val="0"/>
                <w:sz w:val="18"/>
                <w:szCs w:val="18"/>
              </w:rPr>
              <w:t>3.10%</w:t>
            </w:r>
            <w:r>
              <w:rPr>
                <w:color w:val="000000"/>
                <w:spacing w:val="0"/>
                <w:w w:val="100"/>
                <w:position w:val="0"/>
                <w:sz w:val="18"/>
                <w:szCs w:val="18"/>
              </w:rPr>
              <w:t>），是夫妻关系。</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03"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数量</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夏建文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12,026,170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12,026,170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1,698,087</w:t>
            </w:r>
          </w:p>
        </w:tc>
      </w:tr>
      <w:tr>
        <w:trPr>
          <w:trHeight w:val="39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倪秉勤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倪伟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765,000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任月华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626,125</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陈敬丰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590,000</w:t>
            </w:r>
          </w:p>
        </w:tc>
      </w:tr>
      <w:tr>
        <w:trPr>
          <w:trHeight w:val="39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刘富强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335,000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郑钦松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329,593</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上海开山投资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307,088</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解忠南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295,500</w:t>
            </w:r>
          </w:p>
        </w:tc>
      </w:tr>
      <w:tr>
        <w:trPr>
          <w:trHeight w:val="1334"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名股东之间关联关系或 一致行动的说明</w:t>
            </w:r>
          </w:p>
        </w:tc>
        <w:tc>
          <w:tcPr>
            <w:gridSpan w:val="3"/>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221"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参与融资融券业务股东情况说 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3"/>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、公司股东夏建文通过普通证券账户持有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股，通过中信证券股份有限公司客户信 用交易担保证券账户持有</w:t>
            </w:r>
            <w:r>
              <w:rPr>
                <w:rFonts w:ascii="Times New Roman" w:eastAsia="Times New Roman" w:hAnsi="Times New Roman" w:cs="Times New Roman"/>
                <w:color w:val="000000"/>
                <w:spacing w:val="0"/>
                <w:w w:val="100"/>
                <w:position w:val="0"/>
                <w:sz w:val="18"/>
                <w:szCs w:val="18"/>
              </w:rPr>
              <w:t>12,026,170</w:t>
            </w:r>
            <w:r>
              <w:rPr>
                <w:color w:val="000000"/>
                <w:spacing w:val="0"/>
                <w:w w:val="100"/>
                <w:position w:val="0"/>
                <w:sz w:val="18"/>
                <w:szCs w:val="18"/>
              </w:rPr>
              <w:t>股，实际合计持有</w:t>
            </w:r>
            <w:r>
              <w:rPr>
                <w:rFonts w:ascii="Times New Roman" w:eastAsia="Times New Roman" w:hAnsi="Times New Roman" w:cs="Times New Roman"/>
                <w:color w:val="000000"/>
                <w:spacing w:val="0"/>
                <w:w w:val="100"/>
                <w:position w:val="0"/>
                <w:sz w:val="18"/>
                <w:szCs w:val="18"/>
              </w:rPr>
              <w:t>12,026,170</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、公司股东 倪伟通过普通证券账户持有</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8"/>
                <w:szCs w:val="18"/>
              </w:rPr>
              <w:t>股，通过湘财证券股份有限公司客户信用交易担保 证券账户持有</w:t>
            </w:r>
            <w:r>
              <w:rPr>
                <w:rFonts w:ascii="Times New Roman" w:eastAsia="Times New Roman" w:hAnsi="Times New Roman" w:cs="Times New Roman"/>
                <w:color w:val="000000"/>
                <w:spacing w:val="0"/>
                <w:w w:val="100"/>
                <w:position w:val="0"/>
                <w:sz w:val="18"/>
                <w:szCs w:val="18"/>
              </w:rPr>
              <w:t>760,000</w:t>
            </w:r>
            <w:r>
              <w:rPr>
                <w:color w:val="000000"/>
                <w:spacing w:val="0"/>
                <w:w w:val="100"/>
                <w:position w:val="0"/>
                <w:sz w:val="18"/>
                <w:szCs w:val="18"/>
              </w:rPr>
              <w:t>股，实际合计持有</w:t>
            </w:r>
            <w:r>
              <w:rPr>
                <w:rFonts w:ascii="Times New Roman" w:eastAsia="Times New Roman" w:hAnsi="Times New Roman" w:cs="Times New Roman"/>
                <w:color w:val="000000"/>
                <w:spacing w:val="0"/>
                <w:w w:val="100"/>
                <w:position w:val="0"/>
                <w:sz w:val="18"/>
                <w:szCs w:val="18"/>
              </w:rPr>
              <w:t>765,000</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、公司股东刘富强通过普通证 券账户持有</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8"/>
                <w:szCs w:val="18"/>
              </w:rPr>
              <w:t xml:space="preserve">股，通过湘财证券股份有限公司客户信用交易担保证券账户持有 </w:t>
            </w:r>
            <w:r>
              <w:rPr>
                <w:rFonts w:ascii="Times New Roman" w:eastAsia="Times New Roman" w:hAnsi="Times New Roman" w:cs="Times New Roman"/>
                <w:color w:val="000000"/>
                <w:spacing w:val="0"/>
                <w:w w:val="100"/>
                <w:position w:val="0"/>
                <w:sz w:val="18"/>
                <w:szCs w:val="18"/>
              </w:rPr>
              <w:t>330,000</w:t>
            </w:r>
            <w:r>
              <w:rPr>
                <w:color w:val="000000"/>
                <w:spacing w:val="0"/>
                <w:w w:val="100"/>
                <w:position w:val="0"/>
                <w:sz w:val="18"/>
                <w:szCs w:val="18"/>
              </w:rPr>
              <w:t>股,实际合计持有</w:t>
            </w:r>
            <w:r>
              <w:rPr>
                <w:rFonts w:ascii="Times New Roman" w:eastAsia="Times New Roman" w:hAnsi="Times New Roman" w:cs="Times New Roman"/>
                <w:color w:val="000000"/>
                <w:spacing w:val="0"/>
                <w:w w:val="100"/>
                <w:position w:val="0"/>
                <w:sz w:val="18"/>
                <w:szCs w:val="18"/>
              </w:rPr>
              <w:t>335,000</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、公司股东郑钦松通过普通证券账户持有</w:t>
            </w:r>
            <w:r>
              <w:rPr>
                <w:rFonts w:ascii="Times New Roman" w:eastAsia="Times New Roman" w:hAnsi="Times New Roman" w:cs="Times New Roman"/>
                <w:color w:val="000000"/>
                <w:spacing w:val="0"/>
                <w:w w:val="100"/>
                <w:position w:val="0"/>
                <w:sz w:val="18"/>
                <w:szCs w:val="18"/>
              </w:rPr>
              <w:t xml:space="preserve">58,800 </w:t>
            </w:r>
            <w:r>
              <w:rPr>
                <w:color w:val="000000"/>
                <w:spacing w:val="0"/>
                <w:w w:val="100"/>
                <w:position w:val="0"/>
                <w:sz w:val="18"/>
                <w:szCs w:val="18"/>
              </w:rPr>
              <w:t>股，通过宏源证券股份有限公司客户信用交易担保证券账户持有</w:t>
            </w:r>
            <w:r>
              <w:rPr>
                <w:rFonts w:ascii="Times New Roman" w:eastAsia="Times New Roman" w:hAnsi="Times New Roman" w:cs="Times New Roman"/>
                <w:color w:val="000000"/>
                <w:spacing w:val="0"/>
                <w:w w:val="100"/>
                <w:position w:val="0"/>
                <w:sz w:val="18"/>
                <w:szCs w:val="18"/>
              </w:rPr>
              <w:t>270,793</w:t>
            </w:r>
            <w:r>
              <w:rPr>
                <w:color w:val="000000"/>
                <w:spacing w:val="0"/>
                <w:w w:val="100"/>
                <w:position w:val="0"/>
                <w:sz w:val="18"/>
                <w:szCs w:val="18"/>
              </w:rPr>
              <w:t>股，实际合 计持有</w:t>
            </w:r>
            <w:r>
              <w:rPr>
                <w:rFonts w:ascii="Times New Roman" w:eastAsia="Times New Roman" w:hAnsi="Times New Roman" w:cs="Times New Roman"/>
                <w:color w:val="000000"/>
                <w:spacing w:val="0"/>
                <w:w w:val="100"/>
                <w:position w:val="0"/>
                <w:sz w:val="18"/>
                <w:szCs w:val="18"/>
              </w:rPr>
              <w:t>29,593</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、公司股东解忠南通过普通证券账户持有</w:t>
            </w:r>
            <w:r>
              <w:rPr>
                <w:rFonts w:ascii="Times New Roman" w:eastAsia="Times New Roman" w:hAnsi="Times New Roman" w:cs="Times New Roman"/>
                <w:color w:val="000000"/>
                <w:spacing w:val="0"/>
                <w:w w:val="100"/>
                <w:position w:val="0"/>
                <w:sz w:val="18"/>
                <w:szCs w:val="18"/>
              </w:rPr>
              <w:t>44,200</w:t>
            </w:r>
            <w:r>
              <w:rPr>
                <w:color w:val="000000"/>
                <w:spacing w:val="0"/>
                <w:w w:val="100"/>
                <w:position w:val="0"/>
                <w:sz w:val="18"/>
                <w:szCs w:val="18"/>
              </w:rPr>
              <w:t>股，通过方正证 券股份有限公司客户信用交易担保证券账户持有</w:t>
            </w:r>
            <w:r>
              <w:rPr>
                <w:rFonts w:ascii="Times New Roman" w:eastAsia="Times New Roman" w:hAnsi="Times New Roman" w:cs="Times New Roman"/>
                <w:color w:val="000000"/>
                <w:spacing w:val="0"/>
                <w:w w:val="100"/>
                <w:position w:val="0"/>
                <w:sz w:val="18"/>
                <w:szCs w:val="18"/>
              </w:rPr>
              <w:t>251,300</w:t>
            </w:r>
            <w:r>
              <w:rPr>
                <w:color w:val="000000"/>
                <w:spacing w:val="0"/>
                <w:w w:val="100"/>
                <w:position w:val="0"/>
                <w:sz w:val="18"/>
                <w:szCs w:val="18"/>
              </w:rPr>
              <w:t>股，实际合计持有</w:t>
            </w:r>
            <w:r>
              <w:rPr>
                <w:rFonts w:ascii="Times New Roman" w:eastAsia="Times New Roman" w:hAnsi="Times New Roman" w:cs="Times New Roman"/>
                <w:color w:val="000000"/>
                <w:spacing w:val="0"/>
                <w:w w:val="100"/>
                <w:position w:val="0"/>
                <w:sz w:val="18"/>
                <w:szCs w:val="18"/>
              </w:rPr>
              <w:t xml:space="preserve">295,500 </w:t>
            </w:r>
            <w:r>
              <w:rPr>
                <w:color w:val="000000"/>
                <w:spacing w:val="0"/>
                <w:w w:val="100"/>
                <w:position w:val="0"/>
                <w:sz w:val="18"/>
                <w:szCs w:val="18"/>
              </w:rPr>
              <w:t>股。</w:t>
            </w:r>
          </w:p>
        </w:tc>
      </w:tr>
    </w:tbl>
    <w:p>
      <w:pPr>
        <w:widowControl w:val="0"/>
        <w:spacing w:after="13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公司股东在报告期内没有进行约定购回交易</w:t>
      </w:r>
    </w:p>
    <w:p>
      <w:pPr>
        <w:pStyle w:val="Style36"/>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、公司控股股东情况</w:t>
      </w:r>
      <w:bookmarkEnd w:id="303"/>
      <w:bookmarkEnd w:id="304"/>
      <w:bookmarkEnd w:id="306"/>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336"/>
        <w:gridCol w:w="2059"/>
        <w:gridCol w:w="4186"/>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bl>
    <w:p>
      <w:pPr>
        <w:spacing w:lineRule="exact" w:line="1"/>
        <w:rPr>
          <w:sz w:val="2"/>
          <w:szCs w:val="2"/>
        </w:rPr>
      </w:pPr>
      <w:r>
        <w:br w:type="page"/>
      </w:r>
    </w:p>
    <w:tbl>
      <w:tblPr>
        <w:tblOverlap w:val="never"/>
        <w:jc w:val="center"/>
        <w:tblLayout w:type="fixed"/>
      </w:tblPr>
      <w:tblGrid>
        <w:gridCol w:w="3336"/>
        <w:gridCol w:w="2059"/>
        <w:gridCol w:w="4186"/>
      </w:tblGrid>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年内的职业及职务</w:t>
            </w:r>
          </w:p>
        </w:tc>
        <w:tc>
          <w:tcPr>
            <w:gridSpan w:val="2"/>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月起历任尤洛卡公司董事、副总经理、董事会秘书，任期三年；</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月起至今任尤洛卡公司副总经理；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月起至今任尤洛卡公司董事。</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年曾控股的境内外上市公司情况</w:t>
            </w:r>
          </w:p>
        </w:tc>
        <w:tc>
          <w:tcPr>
            <w:gridSpan w:val="2"/>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13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控股股东报告期内未发生变更。</w:t>
      </w:r>
    </w:p>
    <w:p>
      <w:pPr>
        <w:pStyle w:val="Style36"/>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3</w:t>
      </w:r>
      <w:bookmarkEnd w:id="309"/>
      <w:r>
        <w:rPr>
          <w:color w:val="000000"/>
          <w:spacing w:val="0"/>
          <w:w w:val="100"/>
          <w:position w:val="0"/>
        </w:rPr>
        <w:t>、公司实际控制人情况</w:t>
      </w:r>
      <w:bookmarkEnd w:id="307"/>
      <w:bookmarkEnd w:id="308"/>
      <w:bookmarkEnd w:id="310"/>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226"/>
        <w:gridCol w:w="2227"/>
        <w:gridCol w:w="41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年内的职业及职务</w:t>
            </w:r>
          </w:p>
        </w:tc>
        <w:tc>
          <w:tcPr>
            <w:gridSpan w:val="2"/>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月起至今任尤洛卡董事、董事长兼总经理。</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年曾控股的境内外上市公司情 况</w:t>
            </w:r>
          </w:p>
        </w:tc>
        <w:tc>
          <w:tcPr>
            <w:gridSpan w:val="2"/>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实际控制人报告期内未发生变更。</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口公司与实际控制人之间的产权及控制关系的方框图</w:t>
      </w:r>
    </w:p>
    <w:p>
      <w:pPr>
        <w:widowControl w:val="0"/>
        <w:jc w:val="center"/>
        <w:rPr>
          <w:sz w:val="2"/>
          <w:szCs w:val="2"/>
        </w:rPr>
      </w:pPr>
      <w:r>
        <w:drawing>
          <wp:inline>
            <wp:extent cx="4572000" cy="215773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72000" cy="2157730"/>
                    </a:xfrm>
                    <a:prstGeom prst="rect"/>
                  </pic:spPr>
                </pic:pic>
              </a:graphicData>
            </a:graphic>
          </wp:inline>
        </w:drawing>
      </w:r>
    </w:p>
    <w:p>
      <w:pPr>
        <w:widowControl w:val="0"/>
        <w:spacing w:after="35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实际控制人没有通过信托或其他资产管理方式控制公司</w:t>
      </w:r>
    </w:p>
    <w:p>
      <w:pPr>
        <w:pStyle w:val="Style36"/>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4</w:t>
      </w:r>
      <w:bookmarkEnd w:id="313"/>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11"/>
      <w:bookmarkEnd w:id="312"/>
      <w:bookmarkEnd w:id="314"/>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限售条件股东名称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持有的限售条件股份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可上市交易时间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新增可上市交易股份 数量（股）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80,934,056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上市承诺</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闫相宏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42,675,290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上市承诺</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6,401,296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上市承诺</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李新安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6,401,294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上市承诺</w:t>
            </w:r>
          </w:p>
        </w:tc>
      </w:tr>
      <w:tr>
        <w:trPr>
          <w:trHeight w:val="40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张娜</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843,380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上市承诺</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315" w:name="bookmark315"/>
      <w:bookmarkStart w:id="316" w:name="bookmark316"/>
      <w:bookmarkStart w:id="317" w:name="bookmark317"/>
      <w:r>
        <w:rPr>
          <w:color w:val="000000"/>
          <w:spacing w:val="0"/>
          <w:w w:val="100"/>
          <w:position w:val="0"/>
        </w:rPr>
        <w:t>第七节董事、监事、高级管理人员和员工情况</w:t>
      </w:r>
      <w:bookmarkEnd w:id="315"/>
      <w:bookmarkEnd w:id="316"/>
      <w:bookmarkEnd w:id="317"/>
    </w:p>
    <w:p>
      <w:pPr>
        <w:pStyle w:val="Style25"/>
        <w:keepNext/>
        <w:keepLines/>
        <w:widowControl w:val="0"/>
        <w:shd w:val="clear" w:color="auto" w:fill="auto"/>
        <w:bidi w:val="0"/>
        <w:spacing w:before="0" w:after="32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一</w:t>
      </w:r>
      <w:bookmarkEnd w:id="320"/>
      <w:r>
        <w:rPr>
          <w:color w:val="000000"/>
          <w:spacing w:val="0"/>
          <w:w w:val="100"/>
          <w:position w:val="0"/>
          <w:sz w:val="24"/>
          <w:szCs w:val="24"/>
        </w:rPr>
        <w:t>、董事、监事和高级管理人员持股变动</w:t>
      </w:r>
      <w:bookmarkEnd w:id="318"/>
      <w:bookmarkEnd w:id="319"/>
      <w:bookmarkEnd w:id="321"/>
    </w:p>
    <w:p>
      <w:pPr>
        <w:pStyle w:val="Style36"/>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、持股情况</w:t>
      </w:r>
      <w:bookmarkEnd w:id="322"/>
      <w:bookmarkEnd w:id="323"/>
      <w:bookmarkEnd w:id="325"/>
    </w:p>
    <w:tbl>
      <w:tblPr>
        <w:tblOverlap w:val="never"/>
        <w:jc w:val="center"/>
        <w:tblLayout w:type="fixed"/>
      </w:tblPr>
      <w:tblGrid>
        <w:gridCol w:w="682"/>
        <w:gridCol w:w="682"/>
        <w:gridCol w:w="682"/>
        <w:gridCol w:w="686"/>
        <w:gridCol w:w="682"/>
        <w:gridCol w:w="682"/>
        <w:gridCol w:w="686"/>
        <w:gridCol w:w="682"/>
        <w:gridCol w:w="686"/>
        <w:gridCol w:w="682"/>
        <w:gridCol w:w="686"/>
        <w:gridCol w:w="682"/>
        <w:gridCol w:w="686"/>
        <w:gridCol w:w="691"/>
      </w:tblGrid>
      <w:tr>
        <w:trPr>
          <w:trHeight w:val="352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任职 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 持股 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本期 增持 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本期 减持 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 持股 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160"/>
              <w:jc w:val="both"/>
              <w:rPr>
                <w:sz w:val="18"/>
                <w:szCs w:val="18"/>
              </w:rPr>
            </w:pPr>
            <w:r>
              <w:rPr>
                <w:color w:val="000000"/>
                <w:spacing w:val="0"/>
                <w:w w:val="100"/>
                <w:position w:val="0"/>
                <w:sz w:val="18"/>
                <w:szCs w:val="18"/>
              </w:rPr>
              <w:t>期初 持有 的股 权激 励获 授予 限制 性股 票数 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40"/>
              <w:jc w:val="both"/>
              <w:rPr>
                <w:sz w:val="18"/>
                <w:szCs w:val="18"/>
              </w:rPr>
            </w:pPr>
            <w:r>
              <w:rPr>
                <w:color w:val="000000"/>
                <w:spacing w:val="0"/>
                <w:w w:val="100"/>
                <w:position w:val="0"/>
                <w:sz w:val="18"/>
                <w:szCs w:val="18"/>
              </w:rPr>
              <w:t>本期 获授 予的 股权 激励 限制 性股 票数</w:t>
            </w:r>
          </w:p>
          <w:p>
            <w:pPr>
              <w:pStyle w:val="Style21"/>
              <w:keepNext w:val="0"/>
              <w:keepLines w:val="0"/>
              <w:widowControl w:val="0"/>
              <w:shd w:val="clear" w:color="auto" w:fill="auto"/>
              <w:bidi w:val="0"/>
              <w:spacing w:before="0" w:after="120" w:line="312" w:lineRule="exact"/>
              <w:ind w:left="0" w:right="0" w:firstLine="240"/>
              <w:jc w:val="left"/>
              <w:rPr>
                <w:sz w:val="18"/>
                <w:szCs w:val="18"/>
              </w:rPr>
            </w:pPr>
            <w:r>
              <w:rPr>
                <w:color w:val="000000"/>
                <w:spacing w:val="0"/>
                <w:w w:val="100"/>
                <w:position w:val="0"/>
                <w:sz w:val="18"/>
                <w:szCs w:val="18"/>
              </w:rPr>
              <w:t>量</w:t>
            </w:r>
          </w:p>
          <w:p>
            <w:pPr>
              <w:pStyle w:val="Style21"/>
              <w:keepNext w:val="0"/>
              <w:keepLines w:val="0"/>
              <w:widowControl w:val="0"/>
              <w:shd w:val="clear" w:color="auto" w:fill="auto"/>
              <w:bidi w:val="0"/>
              <w:spacing w:before="0" w:after="60" w:line="312" w:lineRule="exact"/>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40"/>
              <w:jc w:val="both"/>
              <w:rPr>
                <w:sz w:val="18"/>
                <w:szCs w:val="18"/>
              </w:rPr>
            </w:pPr>
            <w:r>
              <w:rPr>
                <w:color w:val="000000"/>
                <w:spacing w:val="0"/>
                <w:w w:val="100"/>
                <w:position w:val="0"/>
                <w:sz w:val="18"/>
                <w:szCs w:val="18"/>
              </w:rPr>
              <w:t>本期 被注 销的 股权 激励 限制 性股 票数</w:t>
            </w:r>
          </w:p>
          <w:p>
            <w:pPr>
              <w:pStyle w:val="Style21"/>
              <w:keepNext w:val="0"/>
              <w:keepLines w:val="0"/>
              <w:widowControl w:val="0"/>
              <w:shd w:val="clear" w:color="auto" w:fill="auto"/>
              <w:bidi w:val="0"/>
              <w:spacing w:before="0" w:after="120" w:line="312" w:lineRule="exact"/>
              <w:ind w:left="0" w:right="0" w:firstLine="240"/>
              <w:jc w:val="left"/>
              <w:rPr>
                <w:sz w:val="18"/>
                <w:szCs w:val="18"/>
              </w:rPr>
            </w:pPr>
            <w:r>
              <w:rPr>
                <w:color w:val="000000"/>
                <w:spacing w:val="0"/>
                <w:w w:val="100"/>
                <w:position w:val="0"/>
                <w:sz w:val="18"/>
                <w:szCs w:val="18"/>
              </w:rPr>
              <w:t>量</w:t>
            </w:r>
          </w:p>
          <w:p>
            <w:pPr>
              <w:pStyle w:val="Style21"/>
              <w:keepNext w:val="0"/>
              <w:keepLines w:val="0"/>
              <w:widowControl w:val="0"/>
              <w:shd w:val="clear" w:color="auto" w:fill="auto"/>
              <w:bidi w:val="0"/>
              <w:spacing w:before="0" w:after="60" w:line="312" w:lineRule="exact"/>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140"/>
              <w:jc w:val="both"/>
              <w:rPr>
                <w:sz w:val="18"/>
                <w:szCs w:val="18"/>
              </w:rPr>
            </w:pPr>
            <w:r>
              <w:rPr>
                <w:color w:val="000000"/>
                <w:spacing w:val="0"/>
                <w:w w:val="100"/>
                <w:position w:val="0"/>
                <w:sz w:val="18"/>
                <w:szCs w:val="18"/>
              </w:rPr>
              <w:t>期末 持有 的股 权激 励获 授予 限制 性股 票数 量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增减 变动 原因</w:t>
            </w:r>
          </w:p>
        </w:tc>
      </w:tr>
      <w:tr>
        <w:trPr>
          <w:trHeight w:val="1651"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王晶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董事、 副总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 公积 金转 增股 本</w:t>
            </w:r>
          </w:p>
        </w:tc>
      </w:tr>
      <w:tr>
        <w:trPr>
          <w:trHeight w:val="1646"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闫相</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宏</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董事、 副总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CCE8CF"/>
            <w:vAlign w:val="top"/>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资本 公积 金转 增股 本</w:t>
            </w:r>
          </w:p>
        </w:tc>
      </w:tr>
      <w:tr>
        <w:trPr>
          <w:trHeight w:val="1651"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李新</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资本 公积 金转 增股 本</w:t>
            </w:r>
          </w:p>
        </w:tc>
      </w:tr>
      <w:tr>
        <w:trPr>
          <w:trHeight w:val="1651"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张娜</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421,6</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421,6</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CCE8CF"/>
            <w:vAlign w:val="top"/>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资本 公积 金转 增股 本</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keepLines/>
        <w:widowControl w:val="0"/>
        <w:shd w:val="clear" w:color="auto" w:fill="auto"/>
        <w:bidi w:val="0"/>
        <w:spacing w:before="0" w:after="26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二</w:t>
      </w:r>
      <w:bookmarkEnd w:id="328"/>
      <w:r>
        <w:rPr>
          <w:color w:val="000000"/>
          <w:spacing w:val="0"/>
          <w:w w:val="100"/>
          <w:position w:val="0"/>
          <w:sz w:val="24"/>
          <w:szCs w:val="24"/>
        </w:rPr>
        <w:t>、任职情况</w:t>
      </w:r>
      <w:bookmarkEnd w:id="326"/>
      <w:bookmarkEnd w:id="327"/>
      <w:bookmarkEnd w:id="329"/>
    </w:p>
    <w:p>
      <w:pPr>
        <w:pStyle w:val="Style27"/>
        <w:keepNext w:val="0"/>
        <w:keepLines w:val="0"/>
        <w:widowControl w:val="0"/>
        <w:shd w:val="clear" w:color="auto" w:fill="auto"/>
        <w:bidi w:val="0"/>
        <w:spacing w:before="0" w:after="0" w:line="432" w:lineRule="exact"/>
        <w:ind w:left="0" w:right="0" w:firstLine="0"/>
        <w:jc w:val="left"/>
      </w:pPr>
      <w:r>
        <w:rPr>
          <w:color w:val="000000"/>
          <w:spacing w:val="0"/>
          <w:w w:val="100"/>
          <w:position w:val="0"/>
        </w:rPr>
        <w:t>公司现任董事、监事、高级管理人员最近5年的主要工作经历</w:t>
      </w:r>
    </w:p>
    <w:p>
      <w:pPr>
        <w:pStyle w:val="Style27"/>
        <w:keepNext w:val="0"/>
        <w:keepLines w:val="0"/>
        <w:widowControl w:val="0"/>
        <w:shd w:val="clear" w:color="auto" w:fill="auto"/>
        <w:tabs>
          <w:tab w:pos="778" w:val="left"/>
        </w:tabs>
        <w:bidi w:val="0"/>
        <w:spacing w:before="0" w:after="0" w:line="432" w:lineRule="exact"/>
        <w:ind w:left="0" w:right="0" w:firstLine="420"/>
        <w:jc w:val="left"/>
      </w:pPr>
      <w:bookmarkStart w:id="330" w:name="bookmark330"/>
      <w:r>
        <w:rPr>
          <w:color w:val="000000"/>
          <w:spacing w:val="0"/>
          <w:w w:val="100"/>
          <w:position w:val="0"/>
        </w:rPr>
        <w:t>1</w:t>
      </w:r>
      <w:bookmarkEnd w:id="330"/>
      <w:r>
        <w:rPr>
          <w:color w:val="000000"/>
          <w:spacing w:val="0"/>
          <w:w w:val="100"/>
          <w:position w:val="0"/>
        </w:rPr>
        <w:t>、</w:t>
        <w:tab/>
        <w:t>董事</w:t>
      </w:r>
    </w:p>
    <w:p>
      <w:pPr>
        <w:pStyle w:val="Style27"/>
        <w:keepNext w:val="0"/>
        <w:keepLines w:val="0"/>
        <w:widowControl w:val="0"/>
        <w:shd w:val="clear" w:color="auto" w:fill="auto"/>
        <w:bidi w:val="0"/>
        <w:spacing w:before="0" w:after="0" w:line="432" w:lineRule="exact"/>
        <w:ind w:left="0" w:right="0" w:firstLine="420"/>
        <w:jc w:val="both"/>
      </w:pPr>
      <w:r>
        <w:rPr>
          <w:color w:val="000000"/>
          <w:spacing w:val="0"/>
          <w:w w:val="100"/>
          <w:position w:val="0"/>
        </w:rPr>
        <w:t>黄自伟，2008年1月起至今任尤洛卡董事、董事长兼总经理。黄先生同时也是本公司核心技术人员。</w:t>
      </w:r>
    </w:p>
    <w:p>
      <w:pPr>
        <w:pStyle w:val="Style27"/>
        <w:keepNext w:val="0"/>
        <w:keepLines w:val="0"/>
        <w:widowControl w:val="0"/>
        <w:shd w:val="clear" w:color="auto" w:fill="auto"/>
        <w:bidi w:val="0"/>
        <w:spacing w:before="0" w:after="0" w:line="432" w:lineRule="exact"/>
        <w:ind w:left="0" w:right="0" w:firstLine="420"/>
        <w:jc w:val="both"/>
      </w:pPr>
      <w:r>
        <w:rPr>
          <w:color w:val="000000"/>
          <w:spacing w:val="0"/>
          <w:w w:val="100"/>
          <w:position w:val="0"/>
        </w:rPr>
        <w:t>王晶华，2008年1月起历任尤洛卡公司董事、副总经理、董事会秘书，任期三年；2011年3月起至今任 尤洛卡公司副总经理，2012年3月起至今任尤洛卡公司董事、副总经理。</w:t>
      </w:r>
    </w:p>
    <w:p>
      <w:pPr>
        <w:pStyle w:val="Style27"/>
        <w:keepNext w:val="0"/>
        <w:keepLines w:val="0"/>
        <w:widowControl w:val="0"/>
        <w:shd w:val="clear" w:color="auto" w:fill="auto"/>
        <w:bidi w:val="0"/>
        <w:spacing w:before="0" w:after="0" w:line="432" w:lineRule="exact"/>
        <w:ind w:left="0" w:right="0" w:firstLine="420"/>
        <w:jc w:val="both"/>
      </w:pPr>
      <w:r>
        <w:rPr>
          <w:color w:val="000000"/>
          <w:spacing w:val="0"/>
          <w:w w:val="100"/>
          <w:position w:val="0"/>
        </w:rPr>
        <w:t>闫相宏先生，2008年1月起至今任本公司董事、副总经理。</w:t>
      </w:r>
    </w:p>
    <w:p>
      <w:pPr>
        <w:pStyle w:val="Style27"/>
        <w:keepNext w:val="0"/>
        <w:keepLines w:val="0"/>
        <w:widowControl w:val="0"/>
        <w:shd w:val="clear" w:color="auto" w:fill="auto"/>
        <w:bidi w:val="0"/>
        <w:spacing w:before="0" w:after="0" w:line="432" w:lineRule="exact"/>
        <w:ind w:left="0" w:right="0" w:firstLine="420"/>
        <w:jc w:val="both"/>
      </w:pPr>
      <w:r>
        <w:rPr>
          <w:color w:val="000000"/>
          <w:spacing w:val="0"/>
          <w:w w:val="100"/>
          <w:position w:val="0"/>
        </w:rPr>
        <w:t>黄屹峰先生，2008年2月起担任本公司副总经理，任期三年；2011年3月起担任公司董事、副总经理。</w:t>
      </w:r>
    </w:p>
    <w:p>
      <w:pPr>
        <w:pStyle w:val="Style27"/>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李新安先生，2008年1月起任本公司董事，2008年6月</w:t>
      </w:r>
      <w:r>
        <w:rPr>
          <w:color w:val="000000"/>
          <w:spacing w:val="0"/>
          <w:w w:val="100"/>
          <w:position w:val="0"/>
        </w:rPr>
        <w:t>-2010</w:t>
      </w:r>
      <w:r>
        <w:rPr>
          <w:color w:val="000000"/>
          <w:spacing w:val="0"/>
          <w:w w:val="100"/>
          <w:position w:val="0"/>
        </w:rPr>
        <w:t>年8月兼任公司内审部负责人，2010年8月 起兼任公司销售部部长。</w:t>
      </w:r>
    </w:p>
    <w:p>
      <w:pPr>
        <w:pStyle w:val="Style27"/>
        <w:keepNext w:val="0"/>
        <w:keepLines w:val="0"/>
        <w:widowControl w:val="0"/>
        <w:shd w:val="clear" w:color="auto" w:fill="auto"/>
        <w:bidi w:val="0"/>
        <w:spacing w:before="0" w:after="0" w:line="449" w:lineRule="exact"/>
        <w:ind w:left="0" w:right="0" w:firstLine="420"/>
        <w:jc w:val="both"/>
      </w:pPr>
      <w:r>
        <w:rPr>
          <w:color w:val="000000"/>
          <w:spacing w:val="0"/>
          <w:w w:val="100"/>
          <w:position w:val="0"/>
        </w:rPr>
        <w:t>徐兰云女士，2008年1月起任本公司独立董事。</w:t>
      </w:r>
    </w:p>
    <w:p>
      <w:pPr>
        <w:pStyle w:val="Style27"/>
        <w:keepNext w:val="0"/>
        <w:keepLines w:val="0"/>
        <w:widowControl w:val="0"/>
        <w:shd w:val="clear" w:color="auto" w:fill="auto"/>
        <w:bidi w:val="0"/>
        <w:spacing w:before="0" w:after="0" w:line="449" w:lineRule="exact"/>
        <w:ind w:left="0" w:right="0" w:firstLine="420"/>
        <w:jc w:val="both"/>
      </w:pPr>
      <w:r>
        <w:rPr>
          <w:color w:val="000000"/>
          <w:spacing w:val="0"/>
          <w:w w:val="100"/>
          <w:position w:val="0"/>
        </w:rPr>
        <w:t>曹茂永先生，2008年1月起担任本公司独立董事。曹茂永先生同时还担任山东科技大学教授（享受国 务院政府特殊津贴）、博士生导师、教育部矿山生产安全检测技术与设备工程研究中心负责人、图像处理 与模式识别研究所所长。</w:t>
      </w:r>
    </w:p>
    <w:p>
      <w:pPr>
        <w:pStyle w:val="Style27"/>
        <w:keepNext w:val="0"/>
        <w:keepLines w:val="0"/>
        <w:widowControl w:val="0"/>
        <w:shd w:val="clear" w:color="auto" w:fill="auto"/>
        <w:bidi w:val="0"/>
        <w:spacing w:before="0" w:after="0" w:line="447" w:lineRule="exact"/>
        <w:ind w:left="0" w:right="0" w:firstLine="420"/>
        <w:jc w:val="both"/>
      </w:pPr>
      <w:r>
        <w:rPr>
          <w:color w:val="000000"/>
          <w:spacing w:val="0"/>
          <w:w w:val="100"/>
          <w:position w:val="0"/>
        </w:rPr>
        <w:t>王同孝先生2008年5月起任尤洛卡公司独立董事。王同孝先生同时还担任山东科技大学财务处处长、 山东科技大学总会计师。</w:t>
      </w:r>
    </w:p>
    <w:p>
      <w:pPr>
        <w:pStyle w:val="Style27"/>
        <w:keepNext w:val="0"/>
        <w:keepLines w:val="0"/>
        <w:widowControl w:val="0"/>
        <w:shd w:val="clear" w:color="auto" w:fill="auto"/>
        <w:tabs>
          <w:tab w:pos="793" w:val="left"/>
        </w:tabs>
        <w:bidi w:val="0"/>
        <w:spacing w:before="0" w:after="0" w:line="447" w:lineRule="exact"/>
        <w:ind w:left="0" w:right="0" w:firstLine="420"/>
        <w:jc w:val="left"/>
      </w:pPr>
      <w:bookmarkStart w:id="331" w:name="bookmark331"/>
      <w:r>
        <w:rPr>
          <w:color w:val="000000"/>
          <w:spacing w:val="0"/>
          <w:w w:val="100"/>
          <w:position w:val="0"/>
        </w:rPr>
        <w:t>2</w:t>
      </w:r>
      <w:bookmarkEnd w:id="331"/>
      <w:r>
        <w:rPr>
          <w:color w:val="000000"/>
          <w:spacing w:val="0"/>
          <w:w w:val="100"/>
          <w:position w:val="0"/>
        </w:rPr>
        <w:t>、</w:t>
        <w:tab/>
        <w:t>监事</w:t>
      </w:r>
    </w:p>
    <w:p>
      <w:pPr>
        <w:pStyle w:val="Style27"/>
        <w:keepNext w:val="0"/>
        <w:keepLines w:val="0"/>
        <w:widowControl w:val="0"/>
        <w:shd w:val="clear" w:color="auto" w:fill="auto"/>
        <w:bidi w:val="0"/>
        <w:spacing w:before="0" w:after="0" w:line="447" w:lineRule="exact"/>
        <w:ind w:left="0" w:right="0" w:firstLine="420"/>
        <w:jc w:val="both"/>
      </w:pPr>
      <w:r>
        <w:rPr>
          <w:color w:val="000000"/>
          <w:spacing w:val="0"/>
          <w:w w:val="100"/>
          <w:position w:val="0"/>
        </w:rPr>
        <w:t>李宝明先生，2008年2月起任尤洛卡公司财务顾问、财务部长、物资部长，2010年8月任尤洛卡内审部 部长，2011年4月起任尤洛卡供应部部长。</w:t>
      </w:r>
    </w:p>
    <w:p>
      <w:pPr>
        <w:pStyle w:val="Style27"/>
        <w:keepNext w:val="0"/>
        <w:keepLines w:val="0"/>
        <w:widowControl w:val="0"/>
        <w:shd w:val="clear" w:color="auto" w:fill="auto"/>
        <w:bidi w:val="0"/>
        <w:spacing w:before="0" w:after="0" w:line="447" w:lineRule="exact"/>
        <w:ind w:left="0" w:right="0" w:firstLine="420"/>
        <w:jc w:val="both"/>
      </w:pPr>
      <w:r>
        <w:rPr>
          <w:color w:val="000000"/>
          <w:spacing w:val="0"/>
          <w:w w:val="100"/>
          <w:position w:val="0"/>
        </w:rPr>
        <w:t>杨明明先生，2008年11月任泰安加华电力器材有限公司综合办、总经理助理，2009年3月任山尤洛卡 公司企管部副部长。</w:t>
      </w:r>
    </w:p>
    <w:p>
      <w:pPr>
        <w:pStyle w:val="Style27"/>
        <w:keepNext w:val="0"/>
        <w:keepLines w:val="0"/>
        <w:widowControl w:val="0"/>
        <w:shd w:val="clear" w:color="auto" w:fill="auto"/>
        <w:bidi w:val="0"/>
        <w:spacing w:before="0" w:after="0" w:line="447" w:lineRule="exact"/>
        <w:ind w:left="0" w:right="0" w:firstLine="420"/>
        <w:jc w:val="left"/>
      </w:pPr>
      <w:r>
        <w:rPr>
          <w:color w:val="000000"/>
          <w:spacing w:val="0"/>
          <w:w w:val="100"/>
          <w:position w:val="0"/>
        </w:rPr>
        <w:t>王道银先生，2005年起任山东省尤洛卡自动化装备股份有限公司供应部副部长。</w:t>
      </w:r>
    </w:p>
    <w:p>
      <w:pPr>
        <w:pStyle w:val="Style27"/>
        <w:keepNext w:val="0"/>
        <w:keepLines w:val="0"/>
        <w:widowControl w:val="0"/>
        <w:shd w:val="clear" w:color="auto" w:fill="auto"/>
        <w:tabs>
          <w:tab w:pos="793" w:val="left"/>
        </w:tabs>
        <w:bidi w:val="0"/>
        <w:spacing w:before="0" w:after="0" w:line="447" w:lineRule="exact"/>
        <w:ind w:left="0" w:right="0" w:firstLine="420"/>
        <w:jc w:val="left"/>
      </w:pPr>
      <w:bookmarkStart w:id="332" w:name="bookmark332"/>
      <w:r>
        <w:rPr>
          <w:color w:val="000000"/>
          <w:spacing w:val="0"/>
          <w:w w:val="100"/>
          <w:position w:val="0"/>
        </w:rPr>
        <w:t>3</w:t>
      </w:r>
      <w:bookmarkEnd w:id="332"/>
      <w:r>
        <w:rPr>
          <w:color w:val="000000"/>
          <w:spacing w:val="0"/>
          <w:w w:val="100"/>
          <w:position w:val="0"/>
        </w:rPr>
        <w:t>、</w:t>
        <w:tab/>
        <w:t>高级管理人员</w:t>
      </w:r>
    </w:p>
    <w:p>
      <w:pPr>
        <w:pStyle w:val="Style27"/>
        <w:keepNext w:val="0"/>
        <w:keepLines w:val="0"/>
        <w:widowControl w:val="0"/>
        <w:shd w:val="clear" w:color="auto" w:fill="auto"/>
        <w:bidi w:val="0"/>
        <w:spacing w:before="0" w:after="0" w:line="447" w:lineRule="exact"/>
        <w:ind w:left="0" w:right="0" w:firstLine="420"/>
        <w:jc w:val="left"/>
      </w:pPr>
      <w:r>
        <w:rPr>
          <w:color w:val="000000"/>
          <w:spacing w:val="0"/>
          <w:w w:val="100"/>
          <w:position w:val="0"/>
        </w:rPr>
        <w:t>黄自伟先生，简历参见上述“（1）董事”中相关部分。</w:t>
      </w:r>
    </w:p>
    <w:p>
      <w:pPr>
        <w:pStyle w:val="Style27"/>
        <w:keepNext w:val="0"/>
        <w:keepLines w:val="0"/>
        <w:widowControl w:val="0"/>
        <w:shd w:val="clear" w:color="auto" w:fill="auto"/>
        <w:bidi w:val="0"/>
        <w:spacing w:before="0" w:after="0" w:line="447" w:lineRule="exact"/>
        <w:ind w:left="0" w:right="0" w:firstLine="420"/>
        <w:jc w:val="left"/>
      </w:pPr>
      <w:r>
        <w:rPr>
          <w:color w:val="000000"/>
          <w:spacing w:val="0"/>
          <w:w w:val="100"/>
          <w:position w:val="0"/>
        </w:rPr>
        <w:t>王晶华女士，简历参见上述“（1）董事”中相关部分</w:t>
      </w:r>
    </w:p>
    <w:p>
      <w:pPr>
        <w:pStyle w:val="Style27"/>
        <w:keepNext w:val="0"/>
        <w:keepLines w:val="0"/>
        <w:widowControl w:val="0"/>
        <w:shd w:val="clear" w:color="auto" w:fill="auto"/>
        <w:bidi w:val="0"/>
        <w:spacing w:before="0" w:after="0" w:line="447" w:lineRule="exact"/>
        <w:ind w:left="0" w:right="0" w:firstLine="420"/>
        <w:jc w:val="left"/>
      </w:pPr>
      <w:r>
        <w:rPr>
          <w:color w:val="000000"/>
          <w:spacing w:val="0"/>
          <w:w w:val="100"/>
          <w:position w:val="0"/>
        </w:rPr>
        <w:t>闫相宏先生，简历参见上述“（1）董事”中相关部分。</w:t>
      </w:r>
    </w:p>
    <w:p>
      <w:pPr>
        <w:pStyle w:val="Style27"/>
        <w:keepNext w:val="0"/>
        <w:keepLines w:val="0"/>
        <w:widowControl w:val="0"/>
        <w:shd w:val="clear" w:color="auto" w:fill="auto"/>
        <w:bidi w:val="0"/>
        <w:spacing w:before="0" w:after="0" w:line="447" w:lineRule="exact"/>
        <w:ind w:left="0" w:right="0" w:firstLine="420"/>
        <w:jc w:val="left"/>
      </w:pPr>
      <w:r>
        <w:rPr>
          <w:color w:val="000000"/>
          <w:spacing w:val="0"/>
          <w:w w:val="100"/>
          <w:position w:val="0"/>
        </w:rPr>
        <w:t>黄屹峰先生，简历参见上述“（1）董事”中相关部分。</w:t>
      </w:r>
    </w:p>
    <w:p>
      <w:pPr>
        <w:pStyle w:val="Style27"/>
        <w:keepNext w:val="0"/>
        <w:keepLines w:val="0"/>
        <w:widowControl w:val="0"/>
        <w:shd w:val="clear" w:color="auto" w:fill="auto"/>
        <w:bidi w:val="0"/>
        <w:spacing w:before="0" w:after="200" w:line="447" w:lineRule="exact"/>
        <w:ind w:left="0" w:right="0" w:firstLine="420"/>
        <w:jc w:val="both"/>
      </w:pPr>
      <w:r>
        <w:rPr>
          <w:color w:val="000000"/>
          <w:spacing w:val="0"/>
          <w:w w:val="100"/>
          <w:position w:val="0"/>
        </w:rPr>
        <w:t>张娜女士，2007年1月起任山东省尤洛卡自动化有限公司财务部长，2008年2月起任山东省尤洛卡自动 化装备股份有限公司财务负责人，2009年3月起任山东省尤洛卡自动化装备股份有限公司财务部部长。2012 年2月任尤洛卡公司副总经理。</w:t>
      </w:r>
    </w:p>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李彬先生，2006年起任尤洛卡公司销售员、销售部经理。2008年2月起担任公司副总经理。未持有公 </w:t>
      </w:r>
      <w:r>
        <w:rPr>
          <w:color w:val="000000"/>
          <w:spacing w:val="0"/>
          <w:w w:val="100"/>
          <w:position w:val="0"/>
        </w:rPr>
        <w:t>司股份。</w:t>
      </w:r>
    </w:p>
    <w:p>
      <w:pPr>
        <w:pStyle w:val="Style27"/>
        <w:keepNext w:val="0"/>
        <w:keepLines w:val="0"/>
        <w:widowControl w:val="0"/>
        <w:shd w:val="clear" w:color="auto" w:fill="auto"/>
        <w:bidi w:val="0"/>
        <w:spacing w:before="0" w:after="0" w:line="451" w:lineRule="exact"/>
        <w:ind w:left="0" w:right="0" w:firstLine="420"/>
        <w:jc w:val="both"/>
      </w:pPr>
      <w:r>
        <w:rPr>
          <w:color w:val="000000"/>
          <w:spacing w:val="0"/>
          <w:w w:val="100"/>
          <w:position w:val="0"/>
        </w:rPr>
        <w:t>曹洪伟先生，2008年至2010年任山东兴盛矿业股份有限公司常务副总、董事会秘书，2010年10月至2011 年4月任山东省尤洛卡自动化装备股份有限公司证券事务代表。2011年4月起任尤洛卡公司副总经理、董事 会秘书。</w:t>
      </w:r>
    </w:p>
    <w:p>
      <w:pPr>
        <w:pStyle w:val="Style27"/>
        <w:keepNext w:val="0"/>
        <w:keepLines w:val="0"/>
        <w:widowControl w:val="0"/>
        <w:shd w:val="clear" w:color="auto" w:fill="auto"/>
        <w:bidi w:val="0"/>
        <w:spacing w:before="0" w:after="0" w:line="451" w:lineRule="exact"/>
        <w:ind w:left="0" w:right="0" w:firstLine="420"/>
        <w:jc w:val="both"/>
      </w:pPr>
      <w:r>
        <w:rPr>
          <w:color w:val="000000"/>
          <w:spacing w:val="0"/>
          <w:w w:val="100"/>
          <w:position w:val="0"/>
        </w:rPr>
        <w:t>崔保航先生，2006年5月起在本公司担任会计。2008年11月起担任本公司财务部副部长，2009年4月起 担任本公司财务负责人。</w:t>
      </w:r>
    </w:p>
    <w:p>
      <w:pPr>
        <w:pStyle w:val="Style27"/>
        <w:keepNext w:val="0"/>
        <w:keepLines w:val="0"/>
        <w:widowControl w:val="0"/>
        <w:shd w:val="clear" w:color="auto" w:fill="auto"/>
        <w:bidi w:val="0"/>
        <w:spacing w:before="0" w:after="0" w:line="451" w:lineRule="exact"/>
        <w:ind w:left="0" w:right="0" w:firstLine="420"/>
        <w:jc w:val="both"/>
      </w:pPr>
      <w:r>
        <w:rPr>
          <w:color w:val="000000"/>
          <w:spacing w:val="0"/>
          <w:w w:val="100"/>
          <w:position w:val="0"/>
        </w:rPr>
        <w:t>公司所有董事、监事及高级管理人员（包括前任）从未受过证券机构处罚。</w:t>
      </w:r>
    </w:p>
    <w:p>
      <w:pPr>
        <w:pStyle w:val="Style27"/>
        <w:keepNext w:val="0"/>
        <w:keepLines w:val="0"/>
        <w:widowControl w:val="0"/>
        <w:shd w:val="clear" w:color="auto" w:fill="auto"/>
        <w:bidi w:val="0"/>
        <w:spacing w:before="0" w:after="0" w:line="451" w:lineRule="exact"/>
        <w:ind w:left="0" w:right="0" w:firstLine="420"/>
        <w:jc w:val="left"/>
      </w:pPr>
      <w:r>
        <w:rPr>
          <w:color w:val="000000"/>
          <w:spacing w:val="0"/>
          <w:w w:val="100"/>
          <w:position w:val="0"/>
        </w:rPr>
        <w:t>公司所有董事、监事及高级管理人员未在股东单位任职。</w:t>
      </w:r>
    </w:p>
    <w:p>
      <w:pPr>
        <w:pStyle w:val="Style27"/>
        <w:keepNext w:val="0"/>
        <w:keepLines w:val="0"/>
        <w:widowControl w:val="0"/>
        <w:shd w:val="clear" w:color="auto" w:fill="auto"/>
        <w:bidi w:val="0"/>
        <w:spacing w:before="0" w:after="480" w:line="451" w:lineRule="exact"/>
        <w:ind w:left="0" w:right="0" w:firstLine="420"/>
        <w:jc w:val="left"/>
      </w:pPr>
      <w:r>
        <w:rPr>
          <w:color w:val="000000"/>
          <w:spacing w:val="0"/>
          <w:w w:val="100"/>
          <w:position w:val="0"/>
        </w:rPr>
        <w:t>在其他单位任职情况</w:t>
      </w:r>
    </w:p>
    <w:tbl>
      <w:tblPr>
        <w:tblOverlap w:val="never"/>
        <w:jc w:val="center"/>
        <w:tblLayout w:type="fixed"/>
      </w:tblPr>
      <w:tblGrid>
        <w:gridCol w:w="1205"/>
        <w:gridCol w:w="3187"/>
        <w:gridCol w:w="1066"/>
        <w:gridCol w:w="1195"/>
        <w:gridCol w:w="1325"/>
        <w:gridCol w:w="160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任职人员姓</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在其他单 位担任的 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在其他单位是否 领取报酬津贴</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尤洛卡（北京）矿业工程技术研究有限 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泰安市华得软件科技有限责任公司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尤洛卡（上海）国际贸易有限公司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闫相宏</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山东科技大学</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曹茂永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山东科技大学</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教务处处</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王同孝</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山东科技大学</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总会计师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在其他单位 任职情况的 说明</w:t>
            </w:r>
          </w:p>
        </w:tc>
        <w:tc>
          <w:tcPr>
            <w:gridSpan w:val="5"/>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sz w:val="24"/>
          <w:szCs w:val="24"/>
        </w:rPr>
        <w:t>三</w:t>
      </w:r>
      <w:bookmarkEnd w:id="335"/>
      <w:r>
        <w:rPr>
          <w:color w:val="000000"/>
          <w:spacing w:val="0"/>
          <w:w w:val="100"/>
          <w:position w:val="0"/>
          <w:sz w:val="24"/>
          <w:szCs w:val="24"/>
        </w:rPr>
        <w:t>、董事、监事、高级管理人员报酬情况</w:t>
      </w:r>
      <w:bookmarkEnd w:id="333"/>
      <w:bookmarkEnd w:id="334"/>
      <w:bookmarkEnd w:id="336"/>
    </w:p>
    <w:tbl>
      <w:tblPr>
        <w:tblOverlap w:val="never"/>
        <w:jc w:val="center"/>
        <w:tblLayout w:type="fixed"/>
      </w:tblPr>
      <w:tblGrid>
        <w:gridCol w:w="3595"/>
        <w:gridCol w:w="5986"/>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董事、监事、高级管理人员报酬的决策程序</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日，第一届董事会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年第一次会议审议通过了《关于公 司第二届董事会成员薪酬的议案》,该议案经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日召开的</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年年度的股东大会审议通过。</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日，第一届监事会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年第 一次会议审议通过了《关于公司第二届监事会成员薪酬的议案》，该议案 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年年度的股东大会审议通过。</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董事、监事、高级管理人员报酬确定依据</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董事、监事和高级管理人员的报酬按照公司董事会《薪酬与考核委员会议</w:t>
            </w:r>
          </w:p>
        </w:tc>
      </w:tr>
    </w:tbl>
    <w:p>
      <w:pPr>
        <w:spacing w:lineRule="exact" w:line="1"/>
        <w:rPr>
          <w:sz w:val="2"/>
          <w:szCs w:val="2"/>
        </w:rPr>
      </w:pPr>
      <w:r>
        <w:br w:type="page"/>
      </w:r>
    </w:p>
    <w:tbl>
      <w:tblPr>
        <w:tblOverlap w:val="never"/>
        <w:jc w:val="center"/>
        <w:tblLayout w:type="fixed"/>
      </w:tblPr>
      <w:tblGrid>
        <w:gridCol w:w="3595"/>
        <w:gridCol w:w="59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事规则》等规定，结合其经营绩效、工作能力、岗位职责等考核确定并发 放。</w:t>
            </w:r>
          </w:p>
        </w:tc>
      </w:tr>
      <w:tr>
        <w:trPr>
          <w:trHeight w:val="36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董事、监事和高级管理人员报酬的实际支付</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公司现有董事、监事、高级管理人员共</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年实际支付</w:t>
            </w:r>
            <w:r>
              <w:rPr>
                <w:rFonts w:ascii="Times New Roman" w:eastAsia="Times New Roman" w:hAnsi="Times New Roman" w:cs="Times New Roman"/>
                <w:color w:val="000000"/>
                <w:spacing w:val="0"/>
                <w:w w:val="100"/>
                <w:position w:val="0"/>
                <w:sz w:val="18"/>
                <w:szCs w:val="18"/>
              </w:rPr>
              <w:t>190.07</w:t>
            </w:r>
            <w:r>
              <w:rPr>
                <w:color w:val="000000"/>
                <w:spacing w:val="0"/>
                <w:w w:val="100"/>
                <w:position w:val="0"/>
                <w:sz w:val="18"/>
                <w:szCs w:val="18"/>
              </w:rPr>
              <w:t>万</w:t>
            </w:r>
          </w:p>
        </w:tc>
      </w:tr>
      <w:tr>
        <w:trPr>
          <w:trHeight w:val="365"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情况</w:t>
            </w:r>
          </w:p>
        </w:tc>
        <w:tc>
          <w:tcPr>
            <w:tcBorders>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vertAlign w:val="superscript"/>
              </w:rPr>
              <w:t>0</w:t>
            </w:r>
          </w:p>
        </w:tc>
      </w:tr>
    </w:tbl>
    <w:p>
      <w:pPr>
        <w:widowControl w:val="0"/>
        <w:spacing w:after="5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195"/>
        <w:gridCol w:w="1195"/>
        <w:gridCol w:w="1195"/>
        <w:gridCol w:w="1195"/>
        <w:gridCol w:w="1200"/>
        <w:gridCol w:w="1195"/>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从公司获得 的报酬总额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从股东单位 获得的报酬 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报告期末实 际所得报酬</w:t>
            </w:r>
          </w:p>
        </w:tc>
      </w:tr>
      <w:tr>
        <w:trPr>
          <w:trHeight w:val="710"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董事长、总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29.13</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100" w:after="80" w:line="240" w:lineRule="auto"/>
              <w:ind w:left="0" w:right="0" w:firstLine="0"/>
              <w:jc w:val="left"/>
              <w:rPr>
                <w:sz w:val="18"/>
                <w:szCs w:val="18"/>
              </w:rPr>
            </w:pPr>
            <w:r>
              <w:rPr>
                <w:color w:val="000000"/>
                <w:spacing w:val="0"/>
                <w:w w:val="100"/>
                <w:position w:val="0"/>
                <w:sz w:val="18"/>
                <w:szCs w:val="18"/>
              </w:rPr>
              <w:t>董事、副总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23.22</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闫相宏</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100" w:after="80" w:line="240" w:lineRule="auto"/>
              <w:ind w:left="0" w:right="0" w:firstLine="0"/>
              <w:jc w:val="left"/>
              <w:rPr>
                <w:sz w:val="18"/>
                <w:szCs w:val="18"/>
              </w:rPr>
            </w:pPr>
            <w:r>
              <w:rPr>
                <w:color w:val="000000"/>
                <w:spacing w:val="0"/>
                <w:w w:val="100"/>
                <w:position w:val="0"/>
                <w:sz w:val="18"/>
                <w:szCs w:val="18"/>
              </w:rPr>
              <w:t>董事、副总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26.17</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黄屹峰</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color w:val="000000"/>
                <w:spacing w:val="0"/>
                <w:w w:val="100"/>
                <w:position w:val="0"/>
                <w:sz w:val="18"/>
                <w:szCs w:val="18"/>
              </w:rPr>
              <w:t>董事、副总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17.94</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李彬</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12.23</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崔保航</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11.85</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曹洪伟</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副总经理、 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17.73</w:t>
            </w:r>
          </w:p>
        </w:tc>
      </w:tr>
      <w:tr>
        <w:trPr>
          <w:trHeight w:val="403"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张娜</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12.45</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李新安</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403"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徐兰云</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3"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曹茂永</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3"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王同孝</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李宝明</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杨明明</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王道银</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w:t>
            </w:r>
          </w:p>
        </w:tc>
      </w:tr>
    </w:tbl>
    <w:p>
      <w:pPr>
        <w:widowControl w:val="0"/>
        <w:spacing w:after="5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报告期内公司未实施股权激励。</w:t>
      </w:r>
    </w:p>
    <w:p>
      <w:pPr>
        <w:pStyle w:val="Style25"/>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四</w:t>
      </w:r>
      <w:bookmarkEnd w:id="339"/>
      <w:r>
        <w:rPr>
          <w:color w:val="000000"/>
          <w:spacing w:val="0"/>
          <w:w w:val="100"/>
          <w:position w:val="0"/>
          <w:sz w:val="24"/>
          <w:szCs w:val="24"/>
        </w:rPr>
        <w:t>、报告期核心技术团队或关键技术人员变动情况（非董事、监事、高级管理人员）</w:t>
      </w:r>
      <w:bookmarkEnd w:id="337"/>
      <w:bookmarkEnd w:id="338"/>
      <w:bookmarkEnd w:id="340"/>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4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sz w:val="24"/>
          <w:szCs w:val="24"/>
        </w:rPr>
        <w:t>五</w:t>
      </w:r>
      <w:bookmarkEnd w:id="343"/>
      <w:r>
        <w:rPr>
          <w:color w:val="000000"/>
          <w:spacing w:val="0"/>
          <w:w w:val="100"/>
          <w:position w:val="0"/>
          <w:sz w:val="24"/>
          <w:szCs w:val="24"/>
        </w:rPr>
        <w:t>、公司员工情况</w:t>
      </w:r>
      <w:bookmarkEnd w:id="341"/>
      <w:bookmarkEnd w:id="342"/>
      <w:bookmarkEnd w:id="344"/>
    </w:p>
    <w:p>
      <w:pPr>
        <w:pStyle w:val="Style52"/>
        <w:keepNext w:val="0"/>
        <w:keepLines w:val="0"/>
        <w:widowControl w:val="0"/>
        <w:shd w:val="clear" w:color="auto" w:fill="auto"/>
        <w:tabs>
          <w:tab w:pos="1126" w:val="left"/>
        </w:tabs>
        <w:bidi w:val="0"/>
        <w:spacing w:before="0" w:after="120" w:line="240" w:lineRule="auto"/>
        <w:ind w:left="0" w:right="0"/>
        <w:jc w:val="left"/>
      </w:pPr>
      <w:bookmarkStart w:id="345" w:name="bookmark345"/>
      <w:r>
        <w:rPr>
          <w:color w:val="000000"/>
          <w:spacing w:val="0"/>
          <w:w w:val="100"/>
          <w:position w:val="0"/>
          <w:sz w:val="24"/>
          <w:szCs w:val="24"/>
        </w:rPr>
        <w:t>（</w:t>
      </w:r>
      <w:bookmarkEnd w:id="345"/>
      <w:r>
        <w:rPr>
          <w:color w:val="000000"/>
          <w:spacing w:val="0"/>
          <w:w w:val="100"/>
          <w:position w:val="0"/>
          <w:sz w:val="24"/>
          <w:szCs w:val="24"/>
        </w:rPr>
        <w:t>一）</w:t>
        <w:tab/>
        <w:t>员工总数</w:t>
      </w:r>
    </w:p>
    <w:p>
      <w:pPr>
        <w:pStyle w:val="Style52"/>
        <w:keepNext w:val="0"/>
        <w:keepLines w:val="0"/>
        <w:widowControl w:val="0"/>
        <w:shd w:val="clear" w:color="auto" w:fill="auto"/>
        <w:bidi w:val="0"/>
        <w:spacing w:before="0" w:after="120" w:line="240" w:lineRule="auto"/>
        <w:ind w:left="0" w:right="0"/>
        <w:jc w:val="left"/>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日公司共有员工</w:t>
      </w:r>
      <w:r>
        <w:rPr>
          <w:color w:val="000000"/>
          <w:spacing w:val="0"/>
          <w:w w:val="100"/>
          <w:position w:val="0"/>
          <w:sz w:val="24"/>
          <w:szCs w:val="24"/>
        </w:rPr>
        <w:t>446</w:t>
      </w:r>
      <w:r>
        <w:rPr>
          <w:color w:val="000000"/>
          <w:spacing w:val="0"/>
          <w:w w:val="100"/>
          <w:position w:val="0"/>
          <w:sz w:val="24"/>
          <w:szCs w:val="24"/>
        </w:rPr>
        <w:t>人。</w:t>
      </w:r>
    </w:p>
    <w:p>
      <w:pPr>
        <w:pStyle w:val="Style52"/>
        <w:keepNext w:val="0"/>
        <w:keepLines w:val="0"/>
        <w:widowControl w:val="0"/>
        <w:shd w:val="clear" w:color="auto" w:fill="auto"/>
        <w:tabs>
          <w:tab w:pos="1126" w:val="left"/>
        </w:tabs>
        <w:bidi w:val="0"/>
        <w:spacing w:before="0" w:after="460" w:line="240" w:lineRule="auto"/>
        <w:ind w:left="0" w:right="0"/>
        <w:jc w:val="left"/>
      </w:pPr>
      <w:bookmarkStart w:id="346" w:name="bookmark346"/>
      <w:r>
        <w:rPr>
          <w:color w:val="000000"/>
          <w:spacing w:val="0"/>
          <w:w w:val="100"/>
          <w:position w:val="0"/>
          <w:sz w:val="24"/>
          <w:szCs w:val="24"/>
        </w:rPr>
        <w:t>（</w:t>
      </w:r>
      <w:bookmarkEnd w:id="346"/>
      <w:r>
        <w:rPr>
          <w:color w:val="000000"/>
          <w:spacing w:val="0"/>
          <w:w w:val="100"/>
          <w:position w:val="0"/>
          <w:sz w:val="24"/>
          <w:szCs w:val="24"/>
        </w:rPr>
        <w:t>二）</w:t>
        <w:tab/>
        <w:t>员工构成情况</w:t>
      </w:r>
    </w:p>
    <w:p>
      <w:pPr>
        <w:widowControl w:val="0"/>
        <w:jc w:val="left"/>
        <w:rPr>
          <w:sz w:val="2"/>
          <w:szCs w:val="2"/>
        </w:rPr>
        <w:sectPr>
          <w:footnotePr>
            <w:pos w:val="pageBottom"/>
            <w:numFmt w:val="decimal"/>
            <w:numRestart w:val="continuous"/>
          </w:footnotePr>
          <w:pgSz w:w="11900" w:h="16840"/>
          <w:pgMar w:top="1388" w:right="1059" w:bottom="1446" w:left="1055" w:header="0" w:footer="3" w:gutter="0"/>
          <w:cols w:space="720"/>
          <w:noEndnote/>
          <w:rtlGutter w:val="0"/>
          <w:docGrid w:linePitch="360"/>
        </w:sectPr>
      </w:pPr>
      <w:r>
        <w:drawing>
          <wp:inline>
            <wp:extent cx="5706110" cy="25844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706110" cy="2584450"/>
                    </a:xfrm>
                    <a:prstGeom prst="rect"/>
                  </pic:spPr>
                </pic:pic>
              </a:graphicData>
            </a:graphic>
          </wp:inline>
        </w:drawing>
      </w:r>
    </w:p>
    <w:p>
      <w:pPr>
        <w:pStyle w:val="Style10"/>
        <w:keepNext/>
        <w:keepLines/>
        <w:widowControl w:val="0"/>
        <w:shd w:val="clear" w:color="auto" w:fill="auto"/>
        <w:bidi w:val="0"/>
        <w:spacing w:before="220" w:after="480" w:line="240" w:lineRule="auto"/>
        <w:ind w:left="0" w:right="0" w:firstLine="0"/>
        <w:jc w:val="center"/>
      </w:pPr>
      <w:bookmarkStart w:id="347" w:name="bookmark347"/>
      <w:bookmarkStart w:id="348" w:name="bookmark348"/>
      <w:bookmarkStart w:id="349" w:name="bookmark349"/>
      <w:r>
        <w:rPr>
          <w:color w:val="000000"/>
          <w:spacing w:val="0"/>
          <w:w w:val="100"/>
          <w:position w:val="0"/>
        </w:rPr>
        <w:t>第八节公司治理</w:t>
      </w:r>
      <w:bookmarkEnd w:id="347"/>
      <w:bookmarkEnd w:id="348"/>
      <w:bookmarkEnd w:id="349"/>
    </w:p>
    <w:p>
      <w:pPr>
        <w:pStyle w:val="Style36"/>
        <w:keepNext/>
        <w:keepLines/>
        <w:widowControl w:val="0"/>
        <w:shd w:val="clear" w:color="auto" w:fill="auto"/>
        <w:bidi w:val="0"/>
        <w:spacing w:before="0" w:after="280" w:line="443" w:lineRule="exact"/>
        <w:ind w:left="0" w:right="0" w:firstLine="440"/>
        <w:jc w:val="both"/>
      </w:pPr>
      <w:bookmarkStart w:id="350" w:name="bookmark350"/>
      <w:bookmarkStart w:id="351" w:name="bookmark351"/>
      <w:bookmarkStart w:id="352" w:name="bookmark352"/>
      <w:bookmarkStart w:id="353" w:name="bookmark353"/>
      <w:r>
        <w:rPr>
          <w:color w:val="000000"/>
          <w:spacing w:val="0"/>
          <w:w w:val="100"/>
          <w:position w:val="0"/>
        </w:rPr>
        <w:t>一</w:t>
      </w:r>
      <w:bookmarkEnd w:id="352"/>
      <w:r>
        <w:rPr>
          <w:color w:val="000000"/>
          <w:spacing w:val="0"/>
          <w:w w:val="100"/>
          <w:position w:val="0"/>
        </w:rPr>
        <w:t>、公司治理的基本状况</w:t>
      </w:r>
      <w:bookmarkEnd w:id="350"/>
      <w:bookmarkEnd w:id="351"/>
      <w:bookmarkEnd w:id="353"/>
    </w:p>
    <w:p>
      <w:pPr>
        <w:pStyle w:val="Style27"/>
        <w:keepNext w:val="0"/>
        <w:keepLines w:val="0"/>
        <w:widowControl w:val="0"/>
        <w:shd w:val="clear" w:color="auto" w:fill="auto"/>
        <w:bidi w:val="0"/>
        <w:spacing w:before="0" w:after="80" w:line="440" w:lineRule="exact"/>
        <w:ind w:left="0" w:right="0" w:firstLine="440"/>
        <w:jc w:val="both"/>
      </w:pPr>
      <w:r>
        <w:rPr>
          <w:color w:val="000000"/>
          <w:spacing w:val="0"/>
          <w:w w:val="100"/>
          <w:position w:val="0"/>
        </w:rPr>
        <w:t>报告期内，公司严格按照《公司法》、《证券法》、《上市公司治理准则》、《深圳证券交易所创业板股票 上市规则》、《深圳证券交易所创业板上市公司规范运作指引》等法律、法规和中国证监会、深交所相关文 件的要求，继续完善公司的法人治理结构，建立健全公司内部管理和控制制度，持续深入开展公司治理活 动，促进了公司规范运作，提高了公司治理水平。截至报告期末，公司治理的实际状况符合《上市公司治 理准则》和《深圳证券交易所创业板上市公司规范运作指引》的要求。</w:t>
      </w:r>
    </w:p>
    <w:p>
      <w:pPr>
        <w:pStyle w:val="Style27"/>
        <w:keepNext w:val="0"/>
        <w:keepLines w:val="0"/>
        <w:widowControl w:val="0"/>
        <w:shd w:val="clear" w:color="auto" w:fill="auto"/>
        <w:tabs>
          <w:tab w:pos="998" w:val="left"/>
        </w:tabs>
        <w:bidi w:val="0"/>
        <w:spacing w:before="0" w:after="80" w:line="443" w:lineRule="exact"/>
        <w:ind w:left="0" w:right="0" w:firstLine="440"/>
        <w:jc w:val="both"/>
      </w:pPr>
      <w:bookmarkStart w:id="354" w:name="bookmark354"/>
      <w:r>
        <w:rPr>
          <w:color w:val="000000"/>
          <w:spacing w:val="0"/>
          <w:w w:val="100"/>
          <w:position w:val="0"/>
        </w:rPr>
        <w:t>（</w:t>
      </w:r>
      <w:bookmarkEnd w:id="354"/>
      <w:r>
        <w:rPr>
          <w:color w:val="000000"/>
          <w:spacing w:val="0"/>
          <w:w w:val="100"/>
          <w:position w:val="0"/>
        </w:rPr>
        <w:t>一）</w:t>
        <w:tab/>
        <w:t>关于股东与股东大会</w:t>
      </w:r>
    </w:p>
    <w:p>
      <w:pPr>
        <w:pStyle w:val="Style27"/>
        <w:keepNext w:val="0"/>
        <w:keepLines w:val="0"/>
        <w:widowControl w:val="0"/>
        <w:shd w:val="clear" w:color="auto" w:fill="auto"/>
        <w:bidi w:val="0"/>
        <w:spacing w:before="0" w:after="80" w:line="442" w:lineRule="exact"/>
        <w:ind w:left="0" w:right="0" w:firstLine="440"/>
        <w:jc w:val="both"/>
      </w:pPr>
      <w:r>
        <w:rPr>
          <w:color w:val="000000"/>
          <w:spacing w:val="0"/>
          <w:w w:val="100"/>
          <w:position w:val="0"/>
        </w:rPr>
        <w:t>公司股东按照《公司章程》的规定按其所持股份享有平等地位，并承担相应义务。报告期内公司严格 按照《公司章程》、《股东大会议事规则》等规定和要求，规范地召集、召开股东大会，给予中小股东以充 分的机会，反映其诉求，确保股东合法行使权益，平等对待所有股东。</w:t>
      </w:r>
    </w:p>
    <w:p>
      <w:pPr>
        <w:pStyle w:val="Style27"/>
        <w:keepNext w:val="0"/>
        <w:keepLines w:val="0"/>
        <w:widowControl w:val="0"/>
        <w:shd w:val="clear" w:color="auto" w:fill="auto"/>
        <w:tabs>
          <w:tab w:pos="998" w:val="left"/>
        </w:tabs>
        <w:bidi w:val="0"/>
        <w:spacing w:before="0" w:after="80" w:line="443" w:lineRule="exact"/>
        <w:ind w:left="0" w:right="0" w:firstLine="440"/>
        <w:jc w:val="both"/>
      </w:pPr>
      <w:bookmarkStart w:id="355" w:name="bookmark355"/>
      <w:r>
        <w:rPr>
          <w:color w:val="000000"/>
          <w:spacing w:val="0"/>
          <w:w w:val="100"/>
          <w:position w:val="0"/>
        </w:rPr>
        <w:t>（</w:t>
      </w:r>
      <w:bookmarkEnd w:id="355"/>
      <w:r>
        <w:rPr>
          <w:color w:val="000000"/>
          <w:spacing w:val="0"/>
          <w:w w:val="100"/>
          <w:position w:val="0"/>
        </w:rPr>
        <w:t>二）</w:t>
        <w:tab/>
        <w:t>关于公司与控股股东</w:t>
      </w:r>
    </w:p>
    <w:p>
      <w:pPr>
        <w:pStyle w:val="Style27"/>
        <w:keepNext w:val="0"/>
        <w:keepLines w:val="0"/>
        <w:widowControl w:val="0"/>
        <w:shd w:val="clear" w:color="auto" w:fill="auto"/>
        <w:bidi w:val="0"/>
        <w:spacing w:before="0" w:after="80" w:line="444" w:lineRule="exact"/>
        <w:ind w:left="0" w:right="0" w:firstLine="440"/>
        <w:jc w:val="both"/>
      </w:pPr>
      <w:r>
        <w:rPr>
          <w:color w:val="000000"/>
          <w:spacing w:val="0"/>
          <w:w w:val="100"/>
          <w:position w:val="0"/>
        </w:rPr>
        <w:t>公司控股股东根据法律法规的规定依法行使其权利并承担义务，没有超越股东大会直接或间接干预公 司经营活动。报告期内公司没有为控股股东及其关联企业提供担保，亦不存在控股股东占用公司资金的行 为，同时遵守了相关承诺。</w:t>
      </w:r>
    </w:p>
    <w:p>
      <w:pPr>
        <w:pStyle w:val="Style27"/>
        <w:keepNext w:val="0"/>
        <w:keepLines w:val="0"/>
        <w:widowControl w:val="0"/>
        <w:shd w:val="clear" w:color="auto" w:fill="auto"/>
        <w:tabs>
          <w:tab w:pos="998" w:val="left"/>
        </w:tabs>
        <w:bidi w:val="0"/>
        <w:spacing w:before="0" w:after="80" w:line="443" w:lineRule="exact"/>
        <w:ind w:left="0" w:right="0" w:firstLine="440"/>
        <w:jc w:val="both"/>
      </w:pPr>
      <w:bookmarkStart w:id="356" w:name="bookmark356"/>
      <w:r>
        <w:rPr>
          <w:color w:val="000000"/>
          <w:spacing w:val="0"/>
          <w:w w:val="100"/>
          <w:position w:val="0"/>
        </w:rPr>
        <w:t>（</w:t>
      </w:r>
      <w:bookmarkEnd w:id="356"/>
      <w:r>
        <w:rPr>
          <w:color w:val="000000"/>
          <w:spacing w:val="0"/>
          <w:w w:val="100"/>
          <w:position w:val="0"/>
        </w:rPr>
        <w:t>三）</w:t>
        <w:tab/>
        <w:t>关于董事和董事会</w:t>
      </w:r>
    </w:p>
    <w:p>
      <w:pPr>
        <w:pStyle w:val="Style27"/>
        <w:keepNext w:val="0"/>
        <w:keepLines w:val="0"/>
        <w:widowControl w:val="0"/>
        <w:shd w:val="clear" w:color="auto" w:fill="auto"/>
        <w:bidi w:val="0"/>
        <w:spacing w:before="0" w:after="80" w:line="443" w:lineRule="exact"/>
        <w:ind w:left="0" w:right="0" w:firstLine="440"/>
        <w:jc w:val="both"/>
      </w:pPr>
      <w:r>
        <w:rPr>
          <w:color w:val="000000"/>
          <w:spacing w:val="0"/>
          <w:w w:val="100"/>
          <w:position w:val="0"/>
        </w:rPr>
        <w:t>公司董事会设董事8名，其中独立董事3名，董事会的人数及人员构成符合法律、法规和《公司章程》 的要求。各位董事能够依据《董事会议事规则》、《独立董事工作细则》、《深圳证券交易所创业板上市公司 规范运作指引》等开展工作，出席董事会和股东大会，勤勉尽责地履行职责和义务。公司董事通过参加培 训、出外学习和自学熟悉并掌握相关法律法规，从根本上保证董事立足于维护公司和全体股东的最大利益, 忠实、诚信、勤勉地履行职责。全体董事均能做到以认真负责、勤勉诚信的态度忠实履行职责。公司设置 董事会秘书、董事会办公室负责信息披露和投资者关系工作。</w:t>
      </w:r>
    </w:p>
    <w:p>
      <w:pPr>
        <w:pStyle w:val="Style27"/>
        <w:keepNext w:val="0"/>
        <w:keepLines w:val="0"/>
        <w:widowControl w:val="0"/>
        <w:shd w:val="clear" w:color="auto" w:fill="auto"/>
        <w:tabs>
          <w:tab w:pos="998" w:val="left"/>
        </w:tabs>
        <w:bidi w:val="0"/>
        <w:spacing w:before="0" w:after="80" w:line="443" w:lineRule="exact"/>
        <w:ind w:left="0" w:right="0" w:firstLine="440"/>
        <w:jc w:val="both"/>
      </w:pPr>
      <w:bookmarkStart w:id="357" w:name="bookmark357"/>
      <w:r>
        <w:rPr>
          <w:color w:val="000000"/>
          <w:spacing w:val="0"/>
          <w:w w:val="100"/>
          <w:position w:val="0"/>
        </w:rPr>
        <w:t>（</w:t>
      </w:r>
      <w:bookmarkEnd w:id="357"/>
      <w:r>
        <w:rPr>
          <w:color w:val="000000"/>
          <w:spacing w:val="0"/>
          <w:w w:val="100"/>
          <w:position w:val="0"/>
        </w:rPr>
        <w:t>四）</w:t>
        <w:tab/>
        <w:t>关于监事和监事会</w:t>
      </w:r>
    </w:p>
    <w:p>
      <w:pPr>
        <w:pStyle w:val="Style27"/>
        <w:keepNext w:val="0"/>
        <w:keepLines w:val="0"/>
        <w:widowControl w:val="0"/>
        <w:shd w:val="clear" w:color="auto" w:fill="auto"/>
        <w:bidi w:val="0"/>
        <w:spacing w:before="0" w:after="80" w:line="446" w:lineRule="exact"/>
        <w:ind w:left="0" w:right="0" w:firstLine="440"/>
        <w:jc w:val="both"/>
      </w:pPr>
      <w:r>
        <w:rPr>
          <w:color w:val="000000"/>
          <w:spacing w:val="0"/>
          <w:w w:val="100"/>
          <w:position w:val="0"/>
        </w:rPr>
        <w:t>公司监事会设监事3名，其中设置职工代表监事1名，人数和人员构成符合法律、法规和《公司章程》 的规定与要求；监事会会议的召集、召开程序，完全按照《监事会议事规则》的要求履行，并按照拟定的 会议议程进行。公司监事能够认真履行自己的职责，本着对公司和全体股东负责的精神，依法、独立对公 司财务以及公司董事、经理和其他高级管理人员履行职责的合法性、合规性进行监督。</w:t>
      </w:r>
    </w:p>
    <w:p>
      <w:pPr>
        <w:pStyle w:val="Style27"/>
        <w:keepNext w:val="0"/>
        <w:keepLines w:val="0"/>
        <w:widowControl w:val="0"/>
        <w:shd w:val="clear" w:color="auto" w:fill="auto"/>
        <w:tabs>
          <w:tab w:pos="1026" w:val="left"/>
        </w:tabs>
        <w:bidi w:val="0"/>
        <w:spacing w:before="0" w:after="80" w:line="440" w:lineRule="exact"/>
        <w:ind w:left="0" w:right="0" w:firstLine="440"/>
        <w:jc w:val="both"/>
      </w:pPr>
      <w:bookmarkStart w:id="358" w:name="bookmark358"/>
      <w:r>
        <w:rPr>
          <w:color w:val="000000"/>
          <w:spacing w:val="0"/>
          <w:w w:val="100"/>
          <w:position w:val="0"/>
        </w:rPr>
        <w:t>（</w:t>
      </w:r>
      <w:bookmarkEnd w:id="358"/>
      <w:r>
        <w:rPr>
          <w:color w:val="000000"/>
          <w:spacing w:val="0"/>
          <w:w w:val="100"/>
          <w:position w:val="0"/>
        </w:rPr>
        <w:t>五）</w:t>
        <w:tab/>
        <w:t>关于绩效评价与激励约束机制</w:t>
      </w:r>
    </w:p>
    <w:p>
      <w:pPr>
        <w:pStyle w:val="Style27"/>
        <w:keepNext w:val="0"/>
        <w:keepLines w:val="0"/>
        <w:widowControl w:val="0"/>
        <w:shd w:val="clear" w:color="auto" w:fill="auto"/>
        <w:bidi w:val="0"/>
        <w:spacing w:before="0" w:after="80" w:line="437" w:lineRule="exact"/>
        <w:ind w:left="0" w:right="0" w:firstLine="440"/>
        <w:jc w:val="both"/>
      </w:pPr>
      <w:r>
        <w:rPr>
          <w:color w:val="000000"/>
          <w:spacing w:val="0"/>
          <w:w w:val="100"/>
          <w:position w:val="0"/>
        </w:rPr>
        <w:t>公司董事会下设的薪酬和考核委员会负责对公司的董事、监事、高管进行绩效考核，公司现有的考核 及激励约束机制基本符合公司的发展现状。</w:t>
      </w:r>
    </w:p>
    <w:p>
      <w:pPr>
        <w:pStyle w:val="Style27"/>
        <w:keepNext w:val="0"/>
        <w:keepLines w:val="0"/>
        <w:widowControl w:val="0"/>
        <w:shd w:val="clear" w:color="auto" w:fill="auto"/>
        <w:tabs>
          <w:tab w:pos="1026" w:val="left"/>
        </w:tabs>
        <w:bidi w:val="0"/>
        <w:spacing w:before="0" w:after="80" w:line="440" w:lineRule="exact"/>
        <w:ind w:left="0" w:right="0" w:firstLine="440"/>
        <w:jc w:val="both"/>
      </w:pPr>
      <w:bookmarkStart w:id="359" w:name="bookmark359"/>
      <w:r>
        <w:rPr>
          <w:color w:val="000000"/>
          <w:spacing w:val="0"/>
          <w:w w:val="100"/>
          <w:position w:val="0"/>
        </w:rPr>
        <w:t>（</w:t>
      </w:r>
      <w:bookmarkEnd w:id="359"/>
      <w:r>
        <w:rPr>
          <w:color w:val="000000"/>
          <w:spacing w:val="0"/>
          <w:w w:val="100"/>
          <w:position w:val="0"/>
        </w:rPr>
        <w:t>六）</w:t>
        <w:tab/>
        <w:t>关于信息披露与投资者关系</w:t>
      </w:r>
    </w:p>
    <w:p>
      <w:pPr>
        <w:pStyle w:val="Style27"/>
        <w:keepNext w:val="0"/>
        <w:keepLines w:val="0"/>
        <w:widowControl w:val="0"/>
        <w:shd w:val="clear" w:color="auto" w:fill="auto"/>
        <w:bidi w:val="0"/>
        <w:spacing w:before="0" w:after="80" w:line="440" w:lineRule="exact"/>
        <w:ind w:left="0" w:right="0" w:firstLine="440"/>
        <w:jc w:val="both"/>
      </w:pPr>
      <w:r>
        <w:rPr>
          <w:color w:val="000000"/>
          <w:spacing w:val="0"/>
          <w:w w:val="100"/>
          <w:position w:val="0"/>
        </w:rPr>
        <w:t>公司严格按照有关法律法规以及《信息披露制度》、《投资者关系管理制度》等的要求，真实、准确、 及时、公平、完整地披露有关信息；并指定公司董事会秘书、董事会办公室负责信息披露工作，协调公司 与投资者的关系。公司除日常接待股东来访，回答投资者咨询，向投资者提供公司已披露的资料以外，还 专门将每月的15日设置为投资者集中接待日，由公司董事长、总经理和相关高管人员直接与投资者面对面 交流，以便投资者更好地了解公司信息；同时指定《中国证券报》、《证券时报》、《上海证券报》、《证券日 报》和巨潮网</w:t>
      </w:r>
      <w:r>
        <w:rPr>
          <w:color w:val="000000"/>
          <w:spacing w:val="0"/>
          <w:w w:val="100"/>
          <w:position w:val="0"/>
        </w:rPr>
        <w:t>（www.cninfo.com.cn）</w:t>
      </w:r>
      <w:r>
        <w:rPr>
          <w:color w:val="000000"/>
          <w:spacing w:val="0"/>
          <w:w w:val="100"/>
          <w:position w:val="0"/>
        </w:rPr>
        <w:t>为公司信息披露的指定报纸和网站，确保公司所有股东能够以平等 的机会获得信息。</w:t>
      </w:r>
    </w:p>
    <w:p>
      <w:pPr>
        <w:pStyle w:val="Style27"/>
        <w:keepNext w:val="0"/>
        <w:keepLines w:val="0"/>
        <w:widowControl w:val="0"/>
        <w:shd w:val="clear" w:color="auto" w:fill="auto"/>
        <w:tabs>
          <w:tab w:pos="1026" w:val="left"/>
        </w:tabs>
        <w:bidi w:val="0"/>
        <w:spacing w:before="0" w:after="80" w:line="440" w:lineRule="exact"/>
        <w:ind w:left="0" w:right="0" w:firstLine="440"/>
        <w:jc w:val="both"/>
      </w:pPr>
      <w:bookmarkStart w:id="360" w:name="bookmark360"/>
      <w:r>
        <w:rPr>
          <w:color w:val="000000"/>
          <w:spacing w:val="0"/>
          <w:w w:val="100"/>
          <w:position w:val="0"/>
        </w:rPr>
        <w:t>（</w:t>
      </w:r>
      <w:bookmarkEnd w:id="360"/>
      <w:r>
        <w:rPr>
          <w:color w:val="000000"/>
          <w:spacing w:val="0"/>
          <w:w w:val="100"/>
          <w:position w:val="0"/>
        </w:rPr>
        <w:t>七）</w:t>
        <w:tab/>
        <w:t>关于相关利益者</w:t>
      </w:r>
    </w:p>
    <w:p>
      <w:pPr>
        <w:pStyle w:val="Style27"/>
        <w:keepNext w:val="0"/>
        <w:keepLines w:val="0"/>
        <w:widowControl w:val="0"/>
        <w:shd w:val="clear" w:color="auto" w:fill="auto"/>
        <w:bidi w:val="0"/>
        <w:spacing w:before="0" w:after="80" w:line="437" w:lineRule="exact"/>
        <w:ind w:left="0" w:right="0" w:firstLine="440"/>
        <w:jc w:val="both"/>
      </w:pPr>
      <w:r>
        <w:rPr>
          <w:color w:val="000000"/>
          <w:spacing w:val="0"/>
          <w:w w:val="100"/>
          <w:position w:val="0"/>
        </w:rPr>
        <w:t>公司充分尊重和维护相关利益者的合法权益，实现股东、员工、社会等各方利益的协调平衡，共同推 动公司持续、健康的发展。</w:t>
      </w:r>
    </w:p>
    <w:p>
      <w:pPr>
        <w:pStyle w:val="Style27"/>
        <w:keepNext w:val="0"/>
        <w:keepLines w:val="0"/>
        <w:widowControl w:val="0"/>
        <w:shd w:val="clear" w:color="auto" w:fill="auto"/>
        <w:tabs>
          <w:tab w:pos="1026" w:val="left"/>
        </w:tabs>
        <w:bidi w:val="0"/>
        <w:spacing w:before="0" w:after="80" w:line="440" w:lineRule="exact"/>
        <w:ind w:left="0" w:right="0" w:firstLine="440"/>
        <w:jc w:val="both"/>
      </w:pPr>
      <w:bookmarkStart w:id="361" w:name="bookmark361"/>
      <w:r>
        <w:rPr>
          <w:color w:val="000000"/>
          <w:spacing w:val="0"/>
          <w:w w:val="100"/>
          <w:position w:val="0"/>
        </w:rPr>
        <w:t>（</w:t>
      </w:r>
      <w:bookmarkEnd w:id="361"/>
      <w:r>
        <w:rPr>
          <w:color w:val="000000"/>
          <w:spacing w:val="0"/>
          <w:w w:val="100"/>
          <w:position w:val="0"/>
        </w:rPr>
        <w:t>八）</w:t>
        <w:tab/>
        <w:t>公司独立性情况</w:t>
      </w:r>
    </w:p>
    <w:p>
      <w:pPr>
        <w:pStyle w:val="Style27"/>
        <w:keepNext w:val="0"/>
        <w:keepLines w:val="0"/>
        <w:widowControl w:val="0"/>
        <w:shd w:val="clear" w:color="auto" w:fill="auto"/>
        <w:bidi w:val="0"/>
        <w:spacing w:before="0" w:after="80" w:line="444" w:lineRule="exact"/>
        <w:ind w:left="0" w:right="0" w:firstLine="440"/>
        <w:jc w:val="both"/>
      </w:pPr>
      <w:r>
        <w:rPr>
          <w:color w:val="000000"/>
          <w:spacing w:val="0"/>
          <w:w w:val="100"/>
          <w:position w:val="0"/>
        </w:rPr>
        <w:t>公司自成立以来，严格按照《公司法》、《证券法》及《公司章程》等规定和要求规范运作，逐步建立、 健全了公司法人治理结构，在业务、人员、资产、机构、财务等方面做到了与控股股东完全分开，具有独 立、完整的资产和业务及自主经营的能力。</w:t>
      </w:r>
    </w:p>
    <w:p>
      <w:pPr>
        <w:pStyle w:val="Style27"/>
        <w:keepNext w:val="0"/>
        <w:keepLines w:val="0"/>
        <w:widowControl w:val="0"/>
        <w:shd w:val="clear" w:color="auto" w:fill="auto"/>
        <w:tabs>
          <w:tab w:pos="786" w:val="left"/>
        </w:tabs>
        <w:bidi w:val="0"/>
        <w:spacing w:before="0" w:after="80" w:line="440" w:lineRule="exact"/>
        <w:ind w:left="0" w:right="0" w:firstLine="440"/>
        <w:jc w:val="both"/>
      </w:pPr>
      <w:bookmarkStart w:id="362" w:name="bookmark362"/>
      <w:r>
        <w:rPr>
          <w:color w:val="000000"/>
          <w:spacing w:val="0"/>
          <w:w w:val="100"/>
          <w:position w:val="0"/>
        </w:rPr>
        <w:t>1</w:t>
      </w:r>
      <w:bookmarkEnd w:id="362"/>
      <w:r>
        <w:rPr>
          <w:color w:val="000000"/>
          <w:spacing w:val="0"/>
          <w:w w:val="100"/>
          <w:position w:val="0"/>
        </w:rPr>
        <w:t>、</w:t>
        <w:tab/>
        <w:t>业务独立性</w:t>
      </w:r>
    </w:p>
    <w:p>
      <w:pPr>
        <w:pStyle w:val="Style27"/>
        <w:keepNext w:val="0"/>
        <w:keepLines w:val="0"/>
        <w:widowControl w:val="0"/>
        <w:shd w:val="clear" w:color="auto" w:fill="auto"/>
        <w:bidi w:val="0"/>
        <w:spacing w:before="0" w:after="80" w:line="439" w:lineRule="exact"/>
        <w:ind w:left="0" w:right="0" w:firstLine="440"/>
        <w:jc w:val="both"/>
      </w:pPr>
      <w:r>
        <w:rPr>
          <w:color w:val="000000"/>
          <w:spacing w:val="0"/>
          <w:w w:val="100"/>
          <w:position w:val="0"/>
        </w:rPr>
        <w:t>公司拥有独立完整的采购、生产、销售、和研发设计等业务体系，具有面向市场独立经营的能力，不 存在依赖控股股东或其他关联方的情况。公司与控股股东之间不存在关联交易，控股股东除行使股东权利 之外，没有对公司的业务活动进行干预。</w:t>
      </w:r>
    </w:p>
    <w:p>
      <w:pPr>
        <w:pStyle w:val="Style27"/>
        <w:keepNext w:val="0"/>
        <w:keepLines w:val="0"/>
        <w:widowControl w:val="0"/>
        <w:shd w:val="clear" w:color="auto" w:fill="auto"/>
        <w:tabs>
          <w:tab w:pos="800" w:val="left"/>
        </w:tabs>
        <w:bidi w:val="0"/>
        <w:spacing w:before="0" w:after="80" w:line="440" w:lineRule="exact"/>
        <w:ind w:left="0" w:right="0" w:firstLine="440"/>
        <w:jc w:val="both"/>
      </w:pPr>
      <w:bookmarkStart w:id="363" w:name="bookmark363"/>
      <w:r>
        <w:rPr>
          <w:color w:val="000000"/>
          <w:spacing w:val="0"/>
          <w:w w:val="100"/>
          <w:position w:val="0"/>
        </w:rPr>
        <w:t>2</w:t>
      </w:r>
      <w:bookmarkEnd w:id="363"/>
      <w:r>
        <w:rPr>
          <w:color w:val="000000"/>
          <w:spacing w:val="0"/>
          <w:w w:val="100"/>
          <w:position w:val="0"/>
        </w:rPr>
        <w:t>、</w:t>
        <w:tab/>
        <w:t>资产独立性</w:t>
      </w:r>
    </w:p>
    <w:p>
      <w:pPr>
        <w:pStyle w:val="Style27"/>
        <w:keepNext w:val="0"/>
        <w:keepLines w:val="0"/>
        <w:widowControl w:val="0"/>
        <w:shd w:val="clear" w:color="auto" w:fill="auto"/>
        <w:bidi w:val="0"/>
        <w:spacing w:before="0" w:after="80" w:line="444" w:lineRule="exact"/>
        <w:ind w:left="0" w:right="0" w:firstLine="440"/>
        <w:jc w:val="both"/>
      </w:pPr>
      <w:r>
        <w:rPr>
          <w:color w:val="000000"/>
          <w:spacing w:val="0"/>
          <w:w w:val="100"/>
          <w:position w:val="0"/>
        </w:rPr>
        <w:t>本公司与控股股东之间资产权属明确，不存在控股股东违规占用本公司资金、资产及其他资源的情况。 本公司拥有独立的土地、厂房、机器设备以及商标、专利、非专利技术的所有权或者使用权，各种资产权 属清晰、完整，没有依赖股东资产进行生产经营的情况。</w:t>
      </w:r>
    </w:p>
    <w:p>
      <w:pPr>
        <w:pStyle w:val="Style27"/>
        <w:keepNext w:val="0"/>
        <w:keepLines w:val="0"/>
        <w:widowControl w:val="0"/>
        <w:shd w:val="clear" w:color="auto" w:fill="auto"/>
        <w:tabs>
          <w:tab w:pos="800" w:val="left"/>
        </w:tabs>
        <w:bidi w:val="0"/>
        <w:spacing w:before="0" w:after="80" w:line="440" w:lineRule="exact"/>
        <w:ind w:left="0" w:right="0" w:firstLine="440"/>
        <w:jc w:val="both"/>
      </w:pPr>
      <w:bookmarkStart w:id="364" w:name="bookmark364"/>
      <w:r>
        <w:rPr>
          <w:color w:val="000000"/>
          <w:spacing w:val="0"/>
          <w:w w:val="100"/>
          <w:position w:val="0"/>
        </w:rPr>
        <w:t>3</w:t>
      </w:r>
      <w:bookmarkEnd w:id="364"/>
      <w:r>
        <w:rPr>
          <w:color w:val="000000"/>
          <w:spacing w:val="0"/>
          <w:w w:val="100"/>
          <w:position w:val="0"/>
        </w:rPr>
        <w:t>、</w:t>
        <w:tab/>
        <w:t>人员独立性</w:t>
      </w:r>
    </w:p>
    <w:p>
      <w:pPr>
        <w:pStyle w:val="Style27"/>
        <w:keepNext w:val="0"/>
        <w:keepLines w:val="0"/>
        <w:widowControl w:val="0"/>
        <w:shd w:val="clear" w:color="auto" w:fill="auto"/>
        <w:bidi w:val="0"/>
        <w:spacing w:before="0" w:after="80" w:line="440" w:lineRule="exact"/>
        <w:ind w:left="0" w:right="0" w:firstLine="440"/>
        <w:jc w:val="both"/>
      </w:pPr>
      <w:r>
        <w:rPr>
          <w:color w:val="000000"/>
          <w:spacing w:val="0"/>
          <w:w w:val="100"/>
          <w:position w:val="0"/>
        </w:rPr>
        <w:t xml:space="preserve">公司拥有完整独立的劳动、人事及薪酬管理体系，该体系和控股股东之间完全独立。公司总经理、副 </w:t>
      </w:r>
      <w:r>
        <w:rPr>
          <w:color w:val="000000"/>
          <w:spacing w:val="0"/>
          <w:w w:val="100"/>
          <w:position w:val="0"/>
        </w:rPr>
        <w:t>总经理、财务总监、董事会秘书等高级管理人员，没有在控股股东、实际控制人及其控制的其他企业中兼 职。部分董事、监事和高管人员在其它单位兼职情况见“第七节董事、监事、高级管理人员和员工情况”。</w:t>
      </w:r>
    </w:p>
    <w:p>
      <w:pPr>
        <w:pStyle w:val="Style27"/>
        <w:keepNext w:val="0"/>
        <w:keepLines w:val="0"/>
        <w:widowControl w:val="0"/>
        <w:shd w:val="clear" w:color="auto" w:fill="auto"/>
        <w:tabs>
          <w:tab w:pos="799" w:val="left"/>
        </w:tabs>
        <w:bidi w:val="0"/>
        <w:spacing w:before="0" w:after="80" w:line="442" w:lineRule="exact"/>
        <w:ind w:left="0" w:right="0" w:firstLine="440"/>
        <w:jc w:val="both"/>
      </w:pPr>
      <w:bookmarkStart w:id="365" w:name="bookmark365"/>
      <w:r>
        <w:rPr>
          <w:color w:val="000000"/>
          <w:spacing w:val="0"/>
          <w:w w:val="100"/>
          <w:position w:val="0"/>
        </w:rPr>
        <w:t>4</w:t>
      </w:r>
      <w:bookmarkEnd w:id="365"/>
      <w:r>
        <w:rPr>
          <w:color w:val="000000"/>
          <w:spacing w:val="0"/>
          <w:w w:val="100"/>
          <w:position w:val="0"/>
        </w:rPr>
        <w:t>、</w:t>
        <w:tab/>
        <w:t>机构独立性</w:t>
      </w:r>
    </w:p>
    <w:p>
      <w:pPr>
        <w:pStyle w:val="Style27"/>
        <w:keepNext w:val="0"/>
        <w:keepLines w:val="0"/>
        <w:widowControl w:val="0"/>
        <w:shd w:val="clear" w:color="auto" w:fill="auto"/>
        <w:bidi w:val="0"/>
        <w:spacing w:before="0" w:after="80" w:line="442" w:lineRule="exact"/>
        <w:ind w:left="0" w:right="0" w:firstLine="440"/>
        <w:jc w:val="both"/>
      </w:pPr>
      <w:r>
        <w:rPr>
          <w:color w:val="000000"/>
          <w:spacing w:val="0"/>
          <w:w w:val="100"/>
          <w:position w:val="0"/>
        </w:rPr>
        <w:t>公司已经建立了适合公司生产经营所需的独立完整的组织机构，公司机构及生产经营场所与控股股东 完全分开，不存在混合经营、合署办公的情况，也不存在股东单位和其他关联单位或个人干预公司机构设 置情况。公司及其职能部门与股东单位及其职能部门之间不存在上下级关系，不存在股东单位干预公司生 产经营活动的情况。公司的股东大会、董事会、独立董事、监事会、总经理等依照法律、法规和公司章程 独立行使职权。</w:t>
      </w:r>
    </w:p>
    <w:p>
      <w:pPr>
        <w:pStyle w:val="Style27"/>
        <w:keepNext w:val="0"/>
        <w:keepLines w:val="0"/>
        <w:widowControl w:val="0"/>
        <w:shd w:val="clear" w:color="auto" w:fill="auto"/>
        <w:tabs>
          <w:tab w:pos="799" w:val="left"/>
        </w:tabs>
        <w:bidi w:val="0"/>
        <w:spacing w:before="0" w:after="80" w:line="442" w:lineRule="exact"/>
        <w:ind w:left="0" w:right="0" w:firstLine="440"/>
        <w:jc w:val="both"/>
      </w:pPr>
      <w:bookmarkStart w:id="366" w:name="bookmark366"/>
      <w:r>
        <w:rPr>
          <w:color w:val="000000"/>
          <w:spacing w:val="0"/>
          <w:w w:val="100"/>
          <w:position w:val="0"/>
        </w:rPr>
        <w:t>5</w:t>
      </w:r>
      <w:bookmarkEnd w:id="366"/>
      <w:r>
        <w:rPr>
          <w:color w:val="000000"/>
          <w:spacing w:val="0"/>
          <w:w w:val="100"/>
          <w:position w:val="0"/>
        </w:rPr>
        <w:t>、</w:t>
        <w:tab/>
        <w:t>财务独立性</w:t>
      </w:r>
    </w:p>
    <w:p>
      <w:pPr>
        <w:pStyle w:val="Style27"/>
        <w:keepNext w:val="0"/>
        <w:keepLines w:val="0"/>
        <w:widowControl w:val="0"/>
        <w:shd w:val="clear" w:color="auto" w:fill="auto"/>
        <w:bidi w:val="0"/>
        <w:spacing w:before="0" w:after="80" w:line="442" w:lineRule="exact"/>
        <w:ind w:left="0" w:right="0" w:firstLine="440"/>
        <w:jc w:val="both"/>
      </w:pPr>
      <w:r>
        <w:rPr>
          <w:color w:val="000000"/>
          <w:spacing w:val="0"/>
          <w:w w:val="100"/>
          <w:position w:val="0"/>
        </w:rPr>
        <w:t>公司拥有独立的财务部门，建立和完善了独立完整的会计核算体系和财务管理制度。公司财务人员独 立，未有在控股股东单位及其控制的其他企业内兼职和领取报酬的情况。公司开设了独立的银行帐户，未 与股东共用银行账户，不存在股东违规占用本公司资金、资产及其他资源的情况。公司独立进行税务登记 并依法独立纳税。公司能够独立做出财务决策，自主决定资金使用事项，不存在控股股东干预公司资金使 用安排的情况。</w:t>
      </w:r>
    </w:p>
    <w:p>
      <w:pPr>
        <w:pStyle w:val="Style27"/>
        <w:keepNext w:val="0"/>
        <w:keepLines w:val="0"/>
        <w:widowControl w:val="0"/>
        <w:shd w:val="clear" w:color="auto" w:fill="auto"/>
        <w:bidi w:val="0"/>
        <w:spacing w:before="0" w:after="340" w:line="442" w:lineRule="exact"/>
        <w:ind w:left="0" w:right="0" w:firstLine="0"/>
        <w:jc w:val="left"/>
      </w:pPr>
      <w:r>
        <w:rPr>
          <w:color w:val="000000"/>
          <w:spacing w:val="0"/>
          <w:w w:val="100"/>
          <w:position w:val="0"/>
        </w:rPr>
        <w:t>公司治理与《公司法》和中国证监会相关规定的要求不存在差异</w:t>
      </w:r>
    </w:p>
    <w:p>
      <w:pPr>
        <w:pStyle w:val="Style25"/>
        <w:keepNext/>
        <w:keepLines/>
        <w:widowControl w:val="0"/>
        <w:shd w:val="clear" w:color="auto" w:fill="auto"/>
        <w:bidi w:val="0"/>
        <w:spacing w:before="0" w:after="34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二、报告期内召开的年度股东大会和临时股东大会的有关情况</w:t>
      </w:r>
      <w:bookmarkEnd w:id="367"/>
      <w:bookmarkEnd w:id="368"/>
      <w:bookmarkEnd w:id="369"/>
    </w:p>
    <w:p>
      <w:pPr>
        <w:pStyle w:val="Style27"/>
        <w:keepNext w:val="0"/>
        <w:keepLines w:val="0"/>
        <w:widowControl w:val="0"/>
        <w:shd w:val="clear" w:color="auto" w:fill="auto"/>
        <w:bidi w:val="0"/>
        <w:spacing w:before="0" w:after="80" w:line="461"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、本报告期年度股东大会情况</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会议决议刊登的指定网站查 询索引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会议决议刊登的信息披露日 期</w:t>
            </w:r>
          </w:p>
        </w:tc>
      </w:tr>
      <w:tr>
        <w:trPr>
          <w:trHeight w:val="720"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年度股东 大会决议公告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、本报告期临时股东大会情况</w:t>
      </w:r>
    </w:p>
    <w:p>
      <w:pPr>
        <w:widowControl w:val="0"/>
        <w:spacing w:after="279" w:line="1" w:lineRule="exact"/>
      </w:pP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会议决议刊登的指定网站查 询索引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会议决议刊登的信息披露日 期</w:t>
            </w:r>
          </w:p>
        </w:tc>
      </w:tr>
      <w:tr>
        <w:trPr>
          <w:trHeight w:val="715"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年第一次临时股东大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年第一次 临时股东大会决议公告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r>
      <w:tr>
        <w:trPr>
          <w:trHeight w:val="725" w:hRule="exact"/>
        </w:trPr>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年第二次临时股东大 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年第二次 临时股东大会决议公告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r>
    </w:tbl>
    <w:p>
      <w:pPr>
        <w:spacing w:lineRule="exact" w:line="1"/>
        <w:rPr>
          <w:sz w:val="2"/>
          <w:szCs w:val="2"/>
        </w:rPr>
      </w:pPr>
      <w:r>
        <w:br w:type="page"/>
      </w:r>
    </w:p>
    <w:p>
      <w:pPr>
        <w:pStyle w:val="Style25"/>
        <w:keepNext/>
        <w:keepLines/>
        <w:widowControl w:val="0"/>
        <w:shd w:val="clear" w:color="auto" w:fill="auto"/>
        <w:bidi w:val="0"/>
        <w:spacing w:before="0" w:after="300" w:line="240" w:lineRule="auto"/>
        <w:ind w:left="0" w:right="0" w:firstLine="0"/>
        <w:jc w:val="left"/>
      </w:pPr>
      <w:bookmarkStart w:id="370" w:name="bookmark370"/>
      <w:bookmarkStart w:id="371" w:name="bookmark371"/>
      <w:bookmarkStart w:id="372" w:name="bookmark372"/>
      <w:r>
        <w:rPr>
          <w:color w:val="000000"/>
          <w:spacing w:val="0"/>
          <w:w w:val="100"/>
          <w:position w:val="0"/>
          <w:sz w:val="24"/>
          <w:szCs w:val="24"/>
        </w:rPr>
        <w:t>三、报告期董事会召开情况</w:t>
      </w:r>
      <w:bookmarkEnd w:id="370"/>
      <w:bookmarkEnd w:id="371"/>
      <w:bookmarkEnd w:id="372"/>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会议决议刊登的指定网站查 询索引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会议决议刊登的信息披露日 期</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71" w:lineRule="exact"/>
              <w:ind w:left="0" w:right="0" w:firstLine="0"/>
              <w:jc w:val="left"/>
              <w:rPr>
                <w:sz w:val="30"/>
                <w:szCs w:val="30"/>
              </w:rPr>
            </w:pPr>
            <w:r>
              <w:rPr>
                <w:color w:val="000000"/>
                <w:spacing w:val="0"/>
                <w:w w:val="100"/>
                <w:position w:val="0"/>
                <w:sz w:val="18"/>
                <w:szCs w:val="18"/>
              </w:rPr>
              <w:t xml:space="preserve">巨潮资讯网第二届董事会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年第一次会议决议公 </w:t>
            </w:r>
            <w:r>
              <w:rPr>
                <w:color w:val="000000"/>
                <w:spacing w:val="0"/>
                <w:w w:val="100"/>
                <w:position w:val="0"/>
                <w:sz w:val="30"/>
                <w:szCs w:val="30"/>
                <w:vertAlign w:val="subscript"/>
              </w:rPr>
              <w:t>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35" w:lineRule="exact"/>
              <w:ind w:left="0" w:right="0" w:firstLine="0"/>
              <w:jc w:val="left"/>
              <w:rPr>
                <w:sz w:val="18"/>
                <w:szCs w:val="18"/>
              </w:rPr>
            </w:pPr>
            <w:r>
              <w:rPr>
                <w:color w:val="000000"/>
                <w:spacing w:val="0"/>
                <w:w w:val="100"/>
                <w:position w:val="0"/>
                <w:sz w:val="18"/>
                <w:szCs w:val="18"/>
              </w:rPr>
              <w:t>巨潮资讯网第二届董事会</w:t>
            </w:r>
          </w:p>
          <w:p>
            <w:pPr>
              <w:pStyle w:val="Style21"/>
              <w:keepNext w:val="0"/>
              <w:keepLines w:val="0"/>
              <w:widowControl w:val="0"/>
              <w:shd w:val="clear" w:color="auto" w:fill="auto"/>
              <w:bidi w:val="0"/>
              <w:spacing w:before="0" w:after="0" w:line="235" w:lineRule="exact"/>
              <w:ind w:left="0" w:right="0" w:firstLine="0"/>
              <w:jc w:val="left"/>
              <w:rPr>
                <w:sz w:val="30"/>
                <w:szCs w:val="30"/>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年第二次会议决议公 </w:t>
            </w:r>
            <w:r>
              <w:rPr>
                <w:color w:val="000000"/>
                <w:spacing w:val="0"/>
                <w:w w:val="100"/>
                <w:position w:val="0"/>
                <w:sz w:val="30"/>
                <w:szCs w:val="30"/>
                <w:vertAlign w:val="subscript"/>
              </w:rPr>
              <w:t>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r>
      <w:tr>
        <w:trPr>
          <w:trHeight w:val="1022"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年第三</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76" w:lineRule="exact"/>
              <w:ind w:left="0" w:right="0" w:firstLine="0"/>
              <w:jc w:val="left"/>
              <w:rPr>
                <w:sz w:val="30"/>
                <w:szCs w:val="30"/>
              </w:rPr>
            </w:pPr>
            <w:r>
              <w:rPr>
                <w:color w:val="000000"/>
                <w:spacing w:val="0"/>
                <w:w w:val="100"/>
                <w:position w:val="0"/>
                <w:sz w:val="18"/>
                <w:szCs w:val="18"/>
              </w:rPr>
              <w:t xml:space="preserve">巨潮资讯网第二届董事会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年第三次会议决议公 </w:t>
            </w:r>
            <w:r>
              <w:rPr>
                <w:color w:val="000000"/>
                <w:spacing w:val="0"/>
                <w:w w:val="100"/>
                <w:position w:val="0"/>
                <w:sz w:val="30"/>
                <w:szCs w:val="30"/>
                <w:vertAlign w:val="subscript"/>
              </w:rPr>
              <w:t>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年第四</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exact"/>
              <w:ind w:left="0" w:right="0" w:firstLine="0"/>
              <w:jc w:val="left"/>
              <w:rPr>
                <w:sz w:val="18"/>
                <w:szCs w:val="18"/>
              </w:rPr>
            </w:pPr>
            <w:r>
              <w:rPr>
                <w:color w:val="000000"/>
                <w:spacing w:val="0"/>
                <w:w w:val="100"/>
                <w:position w:val="0"/>
                <w:sz w:val="18"/>
                <w:szCs w:val="18"/>
              </w:rPr>
              <w:t>巨潮资讯网第二届董事会</w:t>
            </w:r>
          </w:p>
          <w:p>
            <w:pPr>
              <w:pStyle w:val="Style21"/>
              <w:keepNext w:val="0"/>
              <w:keepLines w:val="0"/>
              <w:widowControl w:val="0"/>
              <w:shd w:val="clear" w:color="auto" w:fill="auto"/>
              <w:bidi w:val="0"/>
              <w:spacing w:before="0" w:after="0" w:line="240" w:lineRule="exact"/>
              <w:ind w:left="0" w:right="0" w:firstLine="0"/>
              <w:jc w:val="left"/>
              <w:rPr>
                <w:sz w:val="30"/>
                <w:szCs w:val="30"/>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年第四次会议决议公 </w:t>
            </w:r>
            <w:r>
              <w:rPr>
                <w:color w:val="000000"/>
                <w:spacing w:val="0"/>
                <w:w w:val="100"/>
                <w:position w:val="0"/>
                <w:sz w:val="30"/>
                <w:szCs w:val="30"/>
                <w:vertAlign w:val="subscript"/>
              </w:rPr>
              <w:t>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年第五</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exact"/>
              <w:ind w:left="0" w:right="0" w:firstLine="0"/>
              <w:jc w:val="left"/>
              <w:rPr>
                <w:sz w:val="18"/>
                <w:szCs w:val="18"/>
              </w:rPr>
            </w:pPr>
            <w:r>
              <w:rPr>
                <w:color w:val="000000"/>
                <w:spacing w:val="0"/>
                <w:w w:val="100"/>
                <w:position w:val="0"/>
                <w:sz w:val="18"/>
                <w:szCs w:val="18"/>
              </w:rPr>
              <w:t>巨潮资讯网第二届董事会</w:t>
            </w:r>
          </w:p>
          <w:p>
            <w:pPr>
              <w:pStyle w:val="Style21"/>
              <w:keepNext w:val="0"/>
              <w:keepLines w:val="0"/>
              <w:widowControl w:val="0"/>
              <w:shd w:val="clear" w:color="auto" w:fill="auto"/>
              <w:bidi w:val="0"/>
              <w:spacing w:before="0" w:after="0" w:line="240" w:lineRule="exact"/>
              <w:ind w:left="0" w:right="0" w:firstLine="0"/>
              <w:jc w:val="left"/>
              <w:rPr>
                <w:sz w:val="30"/>
                <w:szCs w:val="30"/>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年第五次会议决议公 </w:t>
            </w:r>
            <w:r>
              <w:rPr>
                <w:color w:val="000000"/>
                <w:spacing w:val="0"/>
                <w:w w:val="100"/>
                <w:position w:val="0"/>
                <w:sz w:val="30"/>
                <w:szCs w:val="30"/>
                <w:vertAlign w:val="subscript"/>
              </w:rPr>
              <w:t>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r>
      <w:tr>
        <w:trPr>
          <w:trHeight w:val="1022"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年第六</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exact"/>
              <w:ind w:left="0" w:right="0" w:firstLine="0"/>
              <w:jc w:val="left"/>
              <w:rPr>
                <w:sz w:val="18"/>
                <w:szCs w:val="18"/>
              </w:rPr>
            </w:pPr>
            <w:r>
              <w:rPr>
                <w:color w:val="000000"/>
                <w:spacing w:val="0"/>
                <w:w w:val="100"/>
                <w:position w:val="0"/>
                <w:sz w:val="18"/>
                <w:szCs w:val="18"/>
              </w:rPr>
              <w:t>巨潮资讯网第二届董事会</w:t>
            </w:r>
          </w:p>
          <w:p>
            <w:pPr>
              <w:pStyle w:val="Style21"/>
              <w:keepNext w:val="0"/>
              <w:keepLines w:val="0"/>
              <w:widowControl w:val="0"/>
              <w:shd w:val="clear" w:color="auto" w:fill="auto"/>
              <w:bidi w:val="0"/>
              <w:spacing w:before="0" w:after="0" w:line="240" w:lineRule="exact"/>
              <w:ind w:left="0" w:right="0" w:firstLine="0"/>
              <w:jc w:val="left"/>
              <w:rPr>
                <w:sz w:val="30"/>
                <w:szCs w:val="30"/>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年第六次会议决议公 </w:t>
            </w:r>
            <w:r>
              <w:rPr>
                <w:color w:val="000000"/>
                <w:spacing w:val="0"/>
                <w:w w:val="100"/>
                <w:position w:val="0"/>
                <w:sz w:val="30"/>
                <w:szCs w:val="30"/>
                <w:vertAlign w:val="subscript"/>
              </w:rPr>
              <w:t>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年第七</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exact"/>
              <w:ind w:left="0" w:right="0" w:firstLine="0"/>
              <w:jc w:val="left"/>
              <w:rPr>
                <w:sz w:val="18"/>
                <w:szCs w:val="18"/>
              </w:rPr>
            </w:pPr>
            <w:r>
              <w:rPr>
                <w:color w:val="000000"/>
                <w:spacing w:val="0"/>
                <w:w w:val="100"/>
                <w:position w:val="0"/>
                <w:sz w:val="18"/>
                <w:szCs w:val="18"/>
              </w:rPr>
              <w:t>巨潮资讯网第二届董事会</w:t>
            </w:r>
          </w:p>
          <w:p>
            <w:pPr>
              <w:pStyle w:val="Style21"/>
              <w:keepNext w:val="0"/>
              <w:keepLines w:val="0"/>
              <w:widowControl w:val="0"/>
              <w:shd w:val="clear" w:color="auto" w:fill="auto"/>
              <w:bidi w:val="0"/>
              <w:spacing w:before="0" w:after="0" w:line="240" w:lineRule="exact"/>
              <w:ind w:left="0" w:right="0" w:firstLine="0"/>
              <w:jc w:val="left"/>
              <w:rPr>
                <w:sz w:val="30"/>
                <w:szCs w:val="30"/>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年第七次会议决议公 </w:t>
            </w:r>
            <w:r>
              <w:rPr>
                <w:color w:val="000000"/>
                <w:spacing w:val="0"/>
                <w:w w:val="100"/>
                <w:position w:val="0"/>
                <w:sz w:val="30"/>
                <w:szCs w:val="30"/>
                <w:vertAlign w:val="subscript"/>
              </w:rPr>
              <w:t>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年第八</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exact"/>
              <w:ind w:left="0" w:right="0" w:firstLine="0"/>
              <w:jc w:val="left"/>
              <w:rPr>
                <w:sz w:val="18"/>
                <w:szCs w:val="18"/>
              </w:rPr>
            </w:pPr>
            <w:r>
              <w:rPr>
                <w:color w:val="000000"/>
                <w:spacing w:val="0"/>
                <w:w w:val="100"/>
                <w:position w:val="0"/>
                <w:sz w:val="18"/>
                <w:szCs w:val="18"/>
              </w:rPr>
              <w:t>巨潮资讯网第二届董事会</w:t>
            </w:r>
          </w:p>
          <w:p>
            <w:pPr>
              <w:pStyle w:val="Style21"/>
              <w:keepNext w:val="0"/>
              <w:keepLines w:val="0"/>
              <w:widowControl w:val="0"/>
              <w:shd w:val="clear" w:color="auto" w:fill="auto"/>
              <w:bidi w:val="0"/>
              <w:spacing w:before="0" w:after="0" w:line="240" w:lineRule="exact"/>
              <w:ind w:left="0" w:right="0" w:firstLine="0"/>
              <w:jc w:val="left"/>
              <w:rPr>
                <w:sz w:val="30"/>
                <w:szCs w:val="30"/>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年第八次会议决议公 </w:t>
            </w:r>
            <w:r>
              <w:rPr>
                <w:color w:val="000000"/>
                <w:spacing w:val="0"/>
                <w:w w:val="100"/>
                <w:position w:val="0"/>
                <w:sz w:val="30"/>
                <w:szCs w:val="30"/>
                <w:vertAlign w:val="subscript"/>
              </w:rPr>
              <w:t>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r>
      <w:tr>
        <w:trPr>
          <w:trHeight w:val="1037"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80" w:line="240" w:lineRule="exact"/>
              <w:ind w:left="0" w:right="0" w:firstLine="0"/>
              <w:jc w:val="left"/>
              <w:rPr>
                <w:sz w:val="18"/>
                <w:szCs w:val="18"/>
              </w:rPr>
            </w:pPr>
            <w:r>
              <w:rPr>
                <w:color w:val="000000"/>
                <w:spacing w:val="0"/>
                <w:w w:val="100"/>
                <w:position w:val="0"/>
                <w:sz w:val="18"/>
                <w:szCs w:val="18"/>
              </w:rPr>
              <w:t>巨潮资讯网第二届董事会</w:t>
            </w:r>
          </w:p>
          <w:p>
            <w:pPr>
              <w:pStyle w:val="Style21"/>
              <w:keepNext w:val="0"/>
              <w:keepLines w:val="0"/>
              <w:widowControl w:val="0"/>
              <w:shd w:val="clear" w:color="auto" w:fill="auto"/>
              <w:bidi w:val="0"/>
              <w:spacing w:before="0" w:after="0" w:line="240" w:lineRule="exact"/>
              <w:ind w:left="0" w:right="0" w:firstLine="0"/>
              <w:jc w:val="left"/>
              <w:rPr>
                <w:sz w:val="30"/>
                <w:szCs w:val="30"/>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年第九次会议决议公 </w:t>
            </w:r>
            <w:r>
              <w:rPr>
                <w:color w:val="000000"/>
                <w:spacing w:val="0"/>
                <w:w w:val="100"/>
                <w:position w:val="0"/>
                <w:sz w:val="30"/>
                <w:szCs w:val="30"/>
                <w:vertAlign w:val="subscript"/>
              </w:rPr>
              <w:t>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sz w:val="24"/>
          <w:szCs w:val="24"/>
        </w:rPr>
        <w:t>四</w:t>
      </w:r>
      <w:bookmarkEnd w:id="375"/>
      <w:r>
        <w:rPr>
          <w:color w:val="000000"/>
          <w:spacing w:val="0"/>
          <w:w w:val="100"/>
          <w:position w:val="0"/>
          <w:sz w:val="24"/>
          <w:szCs w:val="24"/>
        </w:rPr>
        <w:t>、年度报告重大差错责任追究制度的建立与执行情况</w:t>
      </w:r>
      <w:bookmarkEnd w:id="373"/>
      <w:bookmarkEnd w:id="374"/>
      <w:bookmarkEnd w:id="376"/>
    </w:p>
    <w:p>
      <w:pPr>
        <w:pStyle w:val="Style27"/>
        <w:keepNext w:val="0"/>
        <w:keepLines w:val="0"/>
        <w:widowControl w:val="0"/>
        <w:shd w:val="clear" w:color="auto" w:fill="auto"/>
        <w:bidi w:val="0"/>
        <w:spacing w:before="0" w:after="360" w:line="440" w:lineRule="exact"/>
        <w:ind w:left="0" w:right="0" w:firstLine="420"/>
        <w:jc w:val="left"/>
      </w:pPr>
      <w:r>
        <w:rPr>
          <w:color w:val="000000"/>
          <w:spacing w:val="0"/>
          <w:w w:val="100"/>
          <w:position w:val="0"/>
        </w:rPr>
        <w:t xml:space="preserve">为进一步健全公司的信息披露管理制度，提高公司规范运作水平，增强信息披露的真实性、准确性、 完整性和及时性，提高年报信息披露的质量和透明度，根据《中华人民共和国证券法》、《中华人民共和国 会计法》、《上市公司信息披露管理办法》、《上市公司治理准则》和《深圳证券交易所创业板股票上市规则》 等法律、法规、规范性文件及公司《公司章程》、《信息披露管理制度》的有关规定，结合公司的实际情况, 制定了《年报信息披露重大差错责任追究制度》。报告期内公司未发生重大会计差错更正、重大遗漏信息 </w:t>
      </w:r>
      <w:r>
        <w:rPr>
          <w:color w:val="000000"/>
          <w:spacing w:val="0"/>
          <w:w w:val="100"/>
          <w:position w:val="0"/>
        </w:rPr>
        <w:t>补充以及业绩预告修正等情况。</w:t>
      </w:r>
    </w:p>
    <w:p>
      <w:pPr>
        <w:pStyle w:val="Style25"/>
        <w:keepNext/>
        <w:keepLines/>
        <w:widowControl w:val="0"/>
        <w:shd w:val="clear" w:color="auto" w:fill="auto"/>
        <w:bidi w:val="0"/>
        <w:spacing w:before="0" w:after="48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sz w:val="24"/>
          <w:szCs w:val="24"/>
        </w:rPr>
        <w:t>五</w:t>
      </w:r>
      <w:bookmarkEnd w:id="379"/>
      <w:r>
        <w:rPr>
          <w:color w:val="000000"/>
          <w:spacing w:val="0"/>
          <w:w w:val="100"/>
          <w:position w:val="0"/>
          <w:sz w:val="24"/>
          <w:szCs w:val="24"/>
        </w:rPr>
        <w:t>、监事会工作情况</w:t>
      </w:r>
      <w:bookmarkEnd w:id="377"/>
      <w:bookmarkEnd w:id="378"/>
      <w:bookmarkEnd w:id="380"/>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监事会在报告期内的未发现公司存在风险</w:t>
      </w:r>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02" w:bottom="1743" w:left="1106" w:header="0" w:footer="3" w:gutter="0"/>
          <w:cols w:space="720"/>
          <w:noEndnote/>
          <w:rtlGutter w:val="0"/>
          <w:docGrid w:linePitch="360"/>
        </w:sectPr>
      </w:pPr>
      <w:r>
        <w:rPr>
          <w:color w:val="000000"/>
          <w:spacing w:val="0"/>
          <w:w w:val="100"/>
          <w:position w:val="0"/>
        </w:rPr>
        <w:t>公司监事会对报告期内的监督事项无异议。</w:t>
      </w:r>
    </w:p>
    <w:p>
      <w:pPr>
        <w:pStyle w:val="Style10"/>
        <w:keepNext/>
        <w:keepLines/>
        <w:widowControl w:val="0"/>
        <w:shd w:val="clear" w:color="auto" w:fill="auto"/>
        <w:bidi w:val="0"/>
        <w:spacing w:before="660" w:line="240" w:lineRule="auto"/>
        <w:ind w:left="0" w:right="0" w:firstLine="0"/>
        <w:jc w:val="center"/>
      </w:pPr>
      <w:bookmarkStart w:id="381" w:name="bookmark381"/>
      <w:bookmarkStart w:id="382" w:name="bookmark382"/>
      <w:bookmarkStart w:id="383" w:name="bookmark383"/>
      <w:r>
        <w:rPr>
          <w:color w:val="000000"/>
          <w:spacing w:val="0"/>
          <w:w w:val="100"/>
          <w:position w:val="0"/>
        </w:rPr>
        <w:t>第九节财务报告</w:t>
      </w:r>
      <w:bookmarkEnd w:id="381"/>
      <w:bookmarkEnd w:id="382"/>
      <w:bookmarkEnd w:id="383"/>
    </w:p>
    <w:p>
      <w:pPr>
        <w:pStyle w:val="Style25"/>
        <w:keepNext/>
        <w:keepLines/>
        <w:widowControl w:val="0"/>
        <w:shd w:val="clear" w:color="auto" w:fill="auto"/>
        <w:bidi w:val="0"/>
        <w:spacing w:before="0" w:after="300" w:line="240" w:lineRule="auto"/>
        <w:ind w:left="0" w:right="0" w:firstLine="240"/>
        <w:jc w:val="left"/>
      </w:pPr>
      <w:bookmarkStart w:id="384" w:name="bookmark384"/>
      <w:bookmarkStart w:id="385" w:name="bookmark385"/>
      <w:bookmarkStart w:id="386" w:name="bookmark386"/>
      <w:r>
        <w:rPr>
          <w:color w:val="000000"/>
          <w:spacing w:val="0"/>
          <w:w w:val="100"/>
          <w:position w:val="0"/>
          <w:sz w:val="24"/>
          <w:szCs w:val="24"/>
        </w:rPr>
        <w:t>、审计报告</w:t>
      </w:r>
      <w:bookmarkEnd w:id="384"/>
      <w:bookmarkEnd w:id="385"/>
      <w:bookmarkEnd w:id="38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标准无保留审计意见</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瑞华会计师事务所（特殊普通合伙）</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瑞华审字【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37050007</w:t>
            </w:r>
            <w:r>
              <w:rPr>
                <w:color w:val="000000"/>
                <w:spacing w:val="0"/>
                <w:w w:val="100"/>
                <w:position w:val="0"/>
                <w:sz w:val="18"/>
                <w:szCs w:val="18"/>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江涛、郭冬梅</w:t>
            </w:r>
          </w:p>
        </w:tc>
      </w:tr>
    </w:tbl>
    <w:p>
      <w:pPr>
        <w:widowControl w:val="0"/>
        <w:spacing w:after="379" w:line="1" w:lineRule="exact"/>
      </w:pPr>
    </w:p>
    <w:p>
      <w:pPr>
        <w:pStyle w:val="Style27"/>
        <w:keepNext w:val="0"/>
        <w:keepLines w:val="0"/>
        <w:widowControl w:val="0"/>
        <w:shd w:val="clear" w:color="auto" w:fill="auto"/>
        <w:bidi w:val="0"/>
        <w:spacing w:before="0" w:after="0" w:line="430" w:lineRule="exact"/>
        <w:ind w:left="0" w:right="0" w:firstLine="0"/>
        <w:jc w:val="left"/>
      </w:pPr>
      <w:r>
        <w:rPr>
          <w:color w:val="000000"/>
          <w:spacing w:val="0"/>
          <w:w w:val="100"/>
          <w:position w:val="0"/>
        </w:rPr>
        <w:t>尤洛卡矿业安全工程股份有限公司全体股东：</w:t>
      </w:r>
    </w:p>
    <w:p>
      <w:pPr>
        <w:pStyle w:val="Style27"/>
        <w:keepNext w:val="0"/>
        <w:keepLines w:val="0"/>
        <w:widowControl w:val="0"/>
        <w:shd w:val="clear" w:color="auto" w:fill="auto"/>
        <w:bidi w:val="0"/>
        <w:spacing w:before="0" w:after="0" w:line="430" w:lineRule="exact"/>
        <w:ind w:left="0" w:right="0" w:firstLine="420"/>
        <w:jc w:val="both"/>
      </w:pPr>
      <w:r>
        <w:rPr>
          <w:color w:val="000000"/>
          <w:spacing w:val="0"/>
          <w:w w:val="100"/>
          <w:position w:val="0"/>
        </w:rPr>
        <w:t>我们审计了后附的尤洛卡矿业安全工程股份有限公司（以下简称“尤洛卡公司”）的财务报表，包括 2013年12月31日合并及公司的资产负债表，2013年度合并及公司的利润表、合并及公司的现金流量表和合 并及公司的股东权益变动表以及财务报表附注。</w:t>
      </w:r>
    </w:p>
    <w:p>
      <w:pPr>
        <w:pStyle w:val="Style27"/>
        <w:keepNext w:val="0"/>
        <w:keepLines w:val="0"/>
        <w:widowControl w:val="0"/>
        <w:shd w:val="clear" w:color="auto" w:fill="auto"/>
        <w:tabs>
          <w:tab w:pos="889" w:val="left"/>
        </w:tabs>
        <w:bidi w:val="0"/>
        <w:spacing w:before="0" w:after="0" w:line="430" w:lineRule="exact"/>
        <w:ind w:left="0" w:right="0" w:firstLine="420"/>
        <w:jc w:val="both"/>
      </w:pPr>
      <w:bookmarkStart w:id="387" w:name="bookmark387"/>
      <w:r>
        <w:rPr>
          <w:color w:val="000000"/>
          <w:spacing w:val="0"/>
          <w:w w:val="100"/>
          <w:position w:val="0"/>
        </w:rPr>
        <w:t>一</w:t>
      </w:r>
      <w:bookmarkEnd w:id="387"/>
      <w:r>
        <w:rPr>
          <w:color w:val="000000"/>
          <w:spacing w:val="0"/>
          <w:w w:val="100"/>
          <w:position w:val="0"/>
        </w:rPr>
        <w:t>、</w:t>
        <w:tab/>
        <w:t>管理层对财务报表的责任</w:t>
      </w:r>
    </w:p>
    <w:p>
      <w:pPr>
        <w:pStyle w:val="Style27"/>
        <w:keepNext w:val="0"/>
        <w:keepLines w:val="0"/>
        <w:widowControl w:val="0"/>
        <w:shd w:val="clear" w:color="auto" w:fill="auto"/>
        <w:bidi w:val="0"/>
        <w:spacing w:before="0" w:after="0" w:line="430" w:lineRule="exact"/>
        <w:ind w:left="0" w:right="0" w:firstLine="420"/>
        <w:jc w:val="both"/>
      </w:pPr>
      <w:r>
        <w:rPr>
          <w:color w:val="000000"/>
          <w:spacing w:val="0"/>
          <w:w w:val="100"/>
          <w:position w:val="0"/>
        </w:rPr>
        <w:t>编制和公允列报财务报表是尤洛卡公司管理层的责任。这种责任包括：（1）按照企业会计准则的规定 编制财务报表，并使其实现公允反映；（2）设计、执行和维护必要的内部控制，以使财务报表不存在由于 舞弊或错误导致的重大错报。</w:t>
      </w:r>
    </w:p>
    <w:p>
      <w:pPr>
        <w:pStyle w:val="Style27"/>
        <w:keepNext w:val="0"/>
        <w:keepLines w:val="0"/>
        <w:widowControl w:val="0"/>
        <w:shd w:val="clear" w:color="auto" w:fill="auto"/>
        <w:tabs>
          <w:tab w:pos="889" w:val="left"/>
        </w:tabs>
        <w:bidi w:val="0"/>
        <w:spacing w:before="0" w:after="0" w:line="430" w:lineRule="exact"/>
        <w:ind w:left="0" w:right="0" w:firstLine="420"/>
        <w:jc w:val="both"/>
      </w:pPr>
      <w:bookmarkStart w:id="388" w:name="bookmark388"/>
      <w:r>
        <w:rPr>
          <w:color w:val="000000"/>
          <w:spacing w:val="0"/>
          <w:w w:val="100"/>
          <w:position w:val="0"/>
        </w:rPr>
        <w:t>二</w:t>
      </w:r>
      <w:bookmarkEnd w:id="388"/>
      <w:r>
        <w:rPr>
          <w:color w:val="000000"/>
          <w:spacing w:val="0"/>
          <w:w w:val="100"/>
          <w:position w:val="0"/>
        </w:rPr>
        <w:t>、</w:t>
        <w:tab/>
        <w:t>注册会计师的责任</w:t>
      </w:r>
    </w:p>
    <w:p>
      <w:pPr>
        <w:pStyle w:val="Style27"/>
        <w:keepNext w:val="0"/>
        <w:keepLines w:val="0"/>
        <w:widowControl w:val="0"/>
        <w:shd w:val="clear" w:color="auto" w:fill="auto"/>
        <w:bidi w:val="0"/>
        <w:spacing w:before="0" w:after="0" w:line="420" w:lineRule="exact"/>
        <w:ind w:left="0" w:right="0" w:firstLine="42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27"/>
        <w:keepNext w:val="0"/>
        <w:keepLines w:val="0"/>
        <w:widowControl w:val="0"/>
        <w:shd w:val="clear" w:color="auto" w:fill="auto"/>
        <w:bidi w:val="0"/>
        <w:spacing w:before="0" w:after="0" w:line="438" w:lineRule="exact"/>
        <w:ind w:left="0" w:right="0" w:firstLine="42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27"/>
        <w:keepNext w:val="0"/>
        <w:keepLines w:val="0"/>
        <w:widowControl w:val="0"/>
        <w:shd w:val="clear" w:color="auto" w:fill="auto"/>
        <w:bidi w:val="0"/>
        <w:spacing w:before="0" w:after="0" w:line="438" w:lineRule="exact"/>
        <w:ind w:left="0" w:right="0" w:firstLine="420"/>
        <w:jc w:val="left"/>
      </w:pPr>
      <w:r>
        <w:rPr>
          <w:color w:val="000000"/>
          <w:spacing w:val="0"/>
          <w:w w:val="100"/>
          <w:position w:val="0"/>
        </w:rPr>
        <w:t>我们相信，我们获取的审计证据是充分、适当的，为发表审计意见提供了基础。</w:t>
      </w:r>
    </w:p>
    <w:p>
      <w:pPr>
        <w:pStyle w:val="Style27"/>
        <w:keepNext w:val="0"/>
        <w:keepLines w:val="0"/>
        <w:widowControl w:val="0"/>
        <w:shd w:val="clear" w:color="auto" w:fill="auto"/>
        <w:tabs>
          <w:tab w:pos="894" w:val="left"/>
        </w:tabs>
        <w:bidi w:val="0"/>
        <w:spacing w:before="0" w:after="0" w:line="438" w:lineRule="exact"/>
        <w:ind w:left="0" w:right="0" w:firstLine="420"/>
        <w:jc w:val="both"/>
      </w:pPr>
      <w:bookmarkStart w:id="389" w:name="bookmark389"/>
      <w:r>
        <w:rPr>
          <w:color w:val="000000"/>
          <w:spacing w:val="0"/>
          <w:w w:val="100"/>
          <w:position w:val="0"/>
        </w:rPr>
        <w:t>三</w:t>
      </w:r>
      <w:bookmarkEnd w:id="389"/>
      <w:r>
        <w:rPr>
          <w:color w:val="000000"/>
          <w:spacing w:val="0"/>
          <w:w w:val="100"/>
          <w:position w:val="0"/>
        </w:rPr>
        <w:t>、</w:t>
        <w:tab/>
        <w:t>审计意见</w:t>
      </w:r>
    </w:p>
    <w:p>
      <w:pPr>
        <w:pStyle w:val="Style27"/>
        <w:keepNext w:val="0"/>
        <w:keepLines w:val="0"/>
        <w:widowControl w:val="0"/>
        <w:shd w:val="clear" w:color="auto" w:fill="auto"/>
        <w:bidi w:val="0"/>
        <w:spacing w:before="0" w:after="0" w:line="438" w:lineRule="exact"/>
        <w:ind w:left="0" w:right="0" w:firstLine="420"/>
        <w:jc w:val="both"/>
      </w:pPr>
      <w:r>
        <w:rPr>
          <w:color w:val="000000"/>
          <w:spacing w:val="0"/>
          <w:w w:val="100"/>
          <w:position w:val="0"/>
        </w:rPr>
        <w:t>我们认为，上述财务报表在所有重大方面按照企业会计准则的规定编制，公允反映了尤洛卡矿业安全 工程股份有限公司2013年12月31日合并及公司的财务状况以及2013年度合并及公司的经营成果和现金流</w:t>
      </w:r>
    </w:p>
    <w:p>
      <w:pPr>
        <w:pStyle w:val="Style27"/>
        <w:keepNext w:val="0"/>
        <w:keepLines w:val="0"/>
        <w:widowControl w:val="0"/>
        <w:shd w:val="clear" w:color="auto" w:fill="auto"/>
        <w:bidi w:val="0"/>
        <w:spacing w:before="0" w:after="1100" w:line="240" w:lineRule="auto"/>
        <w:ind w:left="0" w:right="0" w:firstLine="0"/>
        <w:jc w:val="left"/>
      </w:pPr>
      <w:r>
        <w:rPr>
          <w:color w:val="000000"/>
          <w:spacing w:val="0"/>
          <w:w w:val="100"/>
          <w:position w:val="0"/>
        </w:rPr>
        <w:t>量。</w:t>
      </w:r>
    </w:p>
    <w:p>
      <w:pPr>
        <w:pStyle w:val="Style27"/>
        <w:keepNext w:val="0"/>
        <w:keepLines w:val="0"/>
        <w:widowControl w:val="0"/>
        <w:shd w:val="clear" w:color="auto" w:fill="auto"/>
        <w:tabs>
          <w:tab w:pos="3842" w:val="left"/>
        </w:tabs>
        <w:bidi w:val="0"/>
        <w:spacing w:before="0" w:after="640" w:line="240" w:lineRule="auto"/>
        <w:ind w:left="0" w:right="0" w:firstLine="0"/>
        <w:jc w:val="right"/>
      </w:pPr>
      <w:r>
        <w:rPr>
          <w:color w:val="000000"/>
          <w:spacing w:val="0"/>
          <w:w w:val="100"/>
          <w:position w:val="0"/>
        </w:rPr>
        <w:t>瑞华会计师事务所（特殊普通合伙）</w:t>
        <w:tab/>
        <w:t>中国注册会计师：江涛</w:t>
      </w:r>
    </w:p>
    <w:p>
      <w:pPr>
        <w:pStyle w:val="Style27"/>
        <w:keepNext w:val="0"/>
        <w:keepLines w:val="0"/>
        <w:widowControl w:val="0"/>
        <w:shd w:val="clear" w:color="auto" w:fill="auto"/>
        <w:tabs>
          <w:tab w:pos="3842" w:val="left"/>
        </w:tabs>
        <w:bidi w:val="0"/>
        <w:spacing w:before="0" w:after="640" w:line="240" w:lineRule="auto"/>
        <w:ind w:left="0" w:right="0" w:firstLine="0"/>
        <w:jc w:val="right"/>
      </w:pPr>
      <w:r>
        <w:rPr>
          <w:color w:val="000000"/>
          <w:spacing w:val="0"/>
          <w:w w:val="100"/>
          <w:position w:val="0"/>
        </w:rPr>
        <w:t>中国•北京</w:t>
        <w:tab/>
        <w:t>中国注册会计师：郭冬梅</w:t>
      </w:r>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二。一四年三月二十六日</w:t>
      </w:r>
    </w:p>
    <w:p>
      <w:pPr>
        <w:pStyle w:val="Style25"/>
        <w:keepNext/>
        <w:keepLines/>
        <w:widowControl w:val="0"/>
        <w:shd w:val="clear" w:color="auto" w:fill="auto"/>
        <w:bidi w:val="0"/>
        <w:spacing w:before="0" w:after="36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二、财务报表</w:t>
      </w:r>
      <w:bookmarkEnd w:id="390"/>
      <w:bookmarkEnd w:id="391"/>
      <w:bookmarkEnd w:id="39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60" w:line="240" w:lineRule="auto"/>
        <w:ind w:left="0" w:right="0" w:firstLine="0"/>
        <w:jc w:val="left"/>
      </w:pPr>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393"/>
      <w:bookmarkEnd w:id="394"/>
      <w:bookmarkEnd w:id="39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编制单位：尤洛卡矿业安全工程股份有限公司</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245,219,929.94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302,722,961.89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21,990,887.24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45,954,692.23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166,970,679.95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136,539,600.29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5,724,756.36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3,043,306.70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5,793,962.10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2,529,751.49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4,156,258.29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2,843,917.99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37,907,408.27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30,363,337.03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84,057,381.75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60,049,615.47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571,821,263.90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584,047,183.09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113,558,152.94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106,846,009.06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39,342,454.80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22,485,561.76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5,259,887.32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50,083,041.55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52,365,906.43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20,085,053.07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8,390,130.94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760,059.65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524,575.66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2,289,168.54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1,411,599.24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6,175,385.61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18,184,789.27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232,293,316.16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215,468,459.68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804,114,580.06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799,515,642.77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13,401,769.31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22,767,184.33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14,885,423.36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15,155,625.80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1,190,128.00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1,364,695.00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2,289,595.62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2,517,585.83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9,208,543.99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9,045,519.63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2,052,725.56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3,584,484.33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43,028,185.84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54,435,094.92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67,711.32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43,095,897.16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54,435,094.92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206,700,000.00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103,350,000.00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302,395,739.86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405,745,739.86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38,401,723.15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21,907,203.60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213,521,219.89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214,077,604.39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761,018,682.90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745,080,547.85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761,018,682.90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745,080,547.85</w:t>
            </w:r>
          </w:p>
        </w:tc>
      </w:tr>
    </w:tbl>
    <w:p>
      <w:pPr>
        <w:widowControl w:val="0"/>
        <w:spacing w:line="1" w:lineRule="exact"/>
      </w:pPr>
      <w:r>
        <w:br w:type="page"/>
      </w:r>
    </w:p>
    <w:tbl>
      <w:tblPr>
        <w:tblOverlap w:val="never"/>
        <w:jc w:val="center"/>
        <w:tblLayout w:type="fixed"/>
      </w:tblPr>
      <w:tblGrid>
        <w:gridCol w:w="2971"/>
        <w:gridCol w:w="3298"/>
        <w:gridCol w:w="3312"/>
      </w:tblGrid>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负债和所有者权益（或股东权益） 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804,114,580.06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799,515,642.77</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78" behindDoc="0" locked="0" layoutInCell="1" allowOverlap="1">
                <wp:simplePos x="0" y="0"/>
                <wp:positionH relativeFrom="page">
                  <wp:posOffset>699770</wp:posOffset>
                </wp:positionH>
                <wp:positionV relativeFrom="margin">
                  <wp:posOffset>783590</wp:posOffset>
                </wp:positionV>
                <wp:extent cx="1051560" cy="149225"/>
                <wp:wrapTopAndBottom/>
                <wp:docPr id="13" name="Shape 1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wps:txbx>
                      <wps:bodyPr wrap="none" lIns="0" tIns="0" rIns="0" bIns="0">
                        <a:noAutoFit/>
                      </wps:bodyPr>
                    </wps:wsp>
                  </a:graphicData>
                </a:graphic>
              </wp:anchor>
            </w:drawing>
          </mc:Choice>
          <mc:Fallback>
            <w:pict>
              <v:shape id="_x0000_s1039" type="#_x0000_t202" style="position:absolute;margin-left:55.100000000000001pt;margin-top:61.700000000000003pt;width:82.799999999999997pt;height:11.75pt;z-index:-125829375;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v:textbox>
                <w10:wrap type="topAndBottom" anchorx="page" anchory="margin"/>
              </v:shape>
            </w:pict>
          </mc:Fallback>
        </mc:AlternateContent>
      </w:r>
      <w:r>
        <mc:AlternateContent>
          <mc:Choice Requires="wps">
            <w:drawing>
              <wp:anchor distT="152400" distB="0" distL="2345690" distR="2458085" simplePos="0" relativeHeight="125829380" behindDoc="0" locked="0" layoutInCell="1" allowOverlap="1">
                <wp:simplePos x="0" y="0"/>
                <wp:positionH relativeFrom="page">
                  <wp:posOffset>2931160</wp:posOffset>
                </wp:positionH>
                <wp:positionV relativeFrom="margin">
                  <wp:posOffset>783590</wp:posOffset>
                </wp:positionV>
                <wp:extent cx="1508760" cy="149225"/>
                <wp:wrapTopAndBottom/>
                <wp:docPr id="15" name="Shape 15"/>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wps:txbx>
                      <wps:bodyPr wrap="none" lIns="0" tIns="0" rIns="0" bIns="0">
                        <a:noAutoFit/>
                      </wps:bodyPr>
                    </wps:wsp>
                  </a:graphicData>
                </a:graphic>
              </wp:anchor>
            </w:drawing>
          </mc:Choice>
          <mc:Fallback>
            <w:pict>
              <v:shape id="_x0000_s1041" type="#_x0000_t202" style="position:absolute;margin-left:230.80000000000001pt;margin-top:61.700000000000003pt;width:118.8pt;height:11.75pt;z-index:-125829373;mso-wrap-distance-left:184.70000000000002pt;mso-wrap-distance-top:12.pt;mso-wrap-distance-right:193.5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v:textbox>
                <w10:wrap type="topAndBottom" anchorx="page" anchory="margin"/>
              </v:shape>
            </w:pict>
          </mc:Fallback>
        </mc:AlternateContent>
      </w:r>
      <w:r>
        <mc:AlternateContent>
          <mc:Choice Requires="wps">
            <w:drawing>
              <wp:anchor distT="152400" distB="0" distL="5024755" distR="114300" simplePos="0" relativeHeight="125829382" behindDoc="0" locked="0" layoutInCell="1" allowOverlap="1">
                <wp:simplePos x="0" y="0"/>
                <wp:positionH relativeFrom="page">
                  <wp:posOffset>5610225</wp:posOffset>
                </wp:positionH>
                <wp:positionV relativeFrom="margin">
                  <wp:posOffset>783590</wp:posOffset>
                </wp:positionV>
                <wp:extent cx="1173480" cy="149225"/>
                <wp:wrapTopAndBottom/>
                <wp:docPr id="17" name="Shape 17"/>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wps:txbx>
                      <wps:bodyPr wrap="none" lIns="0" tIns="0" rIns="0" bIns="0">
                        <a:noAutoFit/>
                      </wps:bodyPr>
                    </wps:wsp>
                  </a:graphicData>
                </a:graphic>
              </wp:anchor>
            </w:drawing>
          </mc:Choice>
          <mc:Fallback>
            <w:pict>
              <v:shape id="_x0000_s1043" type="#_x0000_t202" style="position:absolute;margin-left:441.75pt;margin-top:61.700000000000003pt;width:92.400000000000006pt;height:11.75pt;z-index:-125829371;mso-wrap-distance-left:395.65000000000003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v:textbox>
                <w10:wrap type="topAndBottom" anchorx="page" anchory="margin"/>
              </v:shape>
            </w:pict>
          </mc:Fallback>
        </mc:AlternateContent>
      </w: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、母公司资产负债表</w:t>
      </w:r>
      <w:bookmarkEnd w:id="396"/>
      <w:bookmarkEnd w:id="397"/>
      <w:bookmarkEnd w:id="39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编制单位：尤洛卡矿业安全工程股份有限公司</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167,938,465.56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201,049,586.31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21,990,887.24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45,954,692.23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161,683,742.16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136,539,600.29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4,918,389.17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2,793,399.19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3,276,443.10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1,487,039.56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1,733,775.81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2,764,672.13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37,618,019.09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30,342,243.08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81,605,130.39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511,764,852.52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420,931,232.79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112,338,050.99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106,559,165.93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39,342,454.80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22,485,561.76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5,259,887.32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50,083,041.55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52,365,906.43</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20,085,053.07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8,390,130.94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516,226.98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524,575.66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2,289,165.48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1,411,591.74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6,175,385.61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18,184,789.27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305,829,378.48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285,681,609.05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817,594,231.00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706,612,841.84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13,401,769.31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22,767,184.33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46,228,047.66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39,531,269.45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1,190,128.00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1,364,695.00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2,163,427.49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2,191,682.45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7,131,254.79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5,245,631.57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1,004,532.90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2,375,215.01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71,119,160.15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73,475,677.81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71,186,871.47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73,475,677.81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206,700,000.00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103,350,000.00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302,447,128.11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405,797,128.11</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38,401,723.15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21,907,203.60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198,858,508.27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102,082,832.32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746,407,359.53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633,137,164.03</w:t>
            </w: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负债和所有者权益（或股东权益） 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817,594,231.00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706,612,841.84</w:t>
            </w:r>
          </w:p>
        </w:tc>
      </w:tr>
    </w:tbl>
    <w:p>
      <w:pPr>
        <w:pStyle w:val="Style36"/>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146675" simplePos="0" relativeHeight="125829384" behindDoc="0" locked="0" layoutInCell="1" allowOverlap="1">
                <wp:simplePos x="0" y="0"/>
                <wp:positionH relativeFrom="page">
                  <wp:posOffset>699770</wp:posOffset>
                </wp:positionH>
                <wp:positionV relativeFrom="margin">
                  <wp:posOffset>2569210</wp:posOffset>
                </wp:positionV>
                <wp:extent cx="1051560" cy="149225"/>
                <wp:wrapTopAndBottom/>
                <wp:docPr id="19" name="Shape 1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wps:txbx>
                      <wps:bodyPr wrap="none" lIns="0" tIns="0" rIns="0" bIns="0">
                        <a:noAutoFit/>
                      </wps:bodyPr>
                    </wps:wsp>
                  </a:graphicData>
                </a:graphic>
              </wp:anchor>
            </w:drawing>
          </mc:Choice>
          <mc:Fallback>
            <w:pict>
              <v:shape id="_x0000_s1045" type="#_x0000_t202" style="position:absolute;margin-left:55.100000000000001pt;margin-top:202.30000000000001pt;width:82.799999999999997pt;height:11.75pt;z-index:-125829369;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v:textbox>
                <w10:wrap type="topAndBottom" anchorx="page" anchory="margin"/>
              </v:shape>
            </w:pict>
          </mc:Fallback>
        </mc:AlternateContent>
      </w:r>
      <w:r>
        <mc:AlternateContent>
          <mc:Choice Requires="wps">
            <w:drawing>
              <wp:anchor distT="152400" distB="0" distL="2345690" distR="2458085" simplePos="0" relativeHeight="125829386" behindDoc="0" locked="0" layoutInCell="1" allowOverlap="1">
                <wp:simplePos x="0" y="0"/>
                <wp:positionH relativeFrom="page">
                  <wp:posOffset>2931160</wp:posOffset>
                </wp:positionH>
                <wp:positionV relativeFrom="margin">
                  <wp:posOffset>2569210</wp:posOffset>
                </wp:positionV>
                <wp:extent cx="1508760" cy="149225"/>
                <wp:wrapTopAndBottom/>
                <wp:docPr id="21" name="Shape 21"/>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wps:txbx>
                      <wps:bodyPr wrap="none" lIns="0" tIns="0" rIns="0" bIns="0">
                        <a:noAutoFit/>
                      </wps:bodyPr>
                    </wps:wsp>
                  </a:graphicData>
                </a:graphic>
              </wp:anchor>
            </w:drawing>
          </mc:Choice>
          <mc:Fallback>
            <w:pict>
              <v:shape id="_x0000_s1047" type="#_x0000_t202" style="position:absolute;margin-left:230.80000000000001pt;margin-top:202.30000000000001pt;width:118.8pt;height:11.75pt;z-index:-125829367;mso-wrap-distance-left:184.70000000000002pt;mso-wrap-distance-top:12.pt;mso-wrap-distance-right:193.5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v:textbox>
                <w10:wrap type="topAndBottom" anchorx="page" anchory="margin"/>
              </v:shape>
            </w:pict>
          </mc:Fallback>
        </mc:AlternateContent>
      </w:r>
      <w:r>
        <mc:AlternateContent>
          <mc:Choice Requires="wps">
            <w:drawing>
              <wp:anchor distT="152400" distB="0" distL="5024755" distR="114300" simplePos="0" relativeHeight="125829388" behindDoc="0" locked="0" layoutInCell="1" allowOverlap="1">
                <wp:simplePos x="0" y="0"/>
                <wp:positionH relativeFrom="page">
                  <wp:posOffset>5610225</wp:posOffset>
                </wp:positionH>
                <wp:positionV relativeFrom="margin">
                  <wp:posOffset>2569210</wp:posOffset>
                </wp:positionV>
                <wp:extent cx="1173480" cy="149225"/>
                <wp:wrapTopAndBottom/>
                <wp:docPr id="23" name="Shape 23"/>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wps:txbx>
                      <wps:bodyPr wrap="none" lIns="0" tIns="0" rIns="0" bIns="0">
                        <a:noAutoFit/>
                      </wps:bodyPr>
                    </wps:wsp>
                  </a:graphicData>
                </a:graphic>
              </wp:anchor>
            </w:drawing>
          </mc:Choice>
          <mc:Fallback>
            <w:pict>
              <v:shape id="_x0000_s1049" type="#_x0000_t202" style="position:absolute;margin-left:441.75pt;margin-top:202.30000000000001pt;width:92.400000000000006pt;height:11.75pt;z-index:-125829365;mso-wrap-distance-left:395.65000000000003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v:textbox>
                <w10:wrap type="topAndBottom" anchorx="page" anchory="margin"/>
              </v:shape>
            </w:pict>
          </mc:Fallback>
        </mc:AlternateContent>
      </w: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3</w:t>
      </w:r>
      <w:bookmarkEnd w:id="402"/>
      <w:r>
        <w:rPr>
          <w:color w:val="000000"/>
          <w:spacing w:val="0"/>
          <w:w w:val="100"/>
          <w:position w:val="0"/>
        </w:rPr>
        <w:t>、合并利润表</w:t>
      </w:r>
      <w:bookmarkEnd w:id="400"/>
      <w:bookmarkEnd w:id="401"/>
      <w:bookmarkEnd w:id="403"/>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编制单位：尤洛卡矿业安全工程股份有限公司</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173,864,168.55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194,995,210.21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173,864,168.55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194,995,210.21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111,323,487.18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111,161,406.09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43,640,053.80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45,634,945.35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000"/>
              <w:jc w:val="left"/>
              <w:rPr>
                <w:sz w:val="18"/>
                <w:szCs w:val="18"/>
              </w:rPr>
            </w:pPr>
            <w:r>
              <w:rPr>
                <w:color w:val="000000"/>
                <w:spacing w:val="0"/>
                <w:w w:val="100"/>
                <w:position w:val="0"/>
                <w:sz w:val="18"/>
                <w:szCs w:val="18"/>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2,830,681.81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3,328,363.56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37,870,163.90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40,398,127.53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29,719,102.74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28,112,374.97</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财务费用</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-8,601,664.49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-10,057,753.64</w:t>
            </w:r>
          </w:p>
        </w:tc>
      </w:tr>
    </w:tbl>
    <w:p>
      <w:pPr>
        <w:widowControl w:val="0"/>
        <w:spacing w:line="1" w:lineRule="exact"/>
      </w:pPr>
      <w:r>
        <w:br w:type="page"/>
      </w:r>
    </w:p>
    <w:p>
      <w:pPr>
        <w:widowControl w:val="0"/>
        <w:spacing w:line="1" w:lineRule="exact"/>
      </w:pPr>
      <w:r>
        <mc:AlternateContent>
          <mc:Choice Requires="wps">
            <w:drawing>
              <wp:anchor distT="152400" distB="0" distL="114300" distR="5146675" simplePos="0" relativeHeight="125829390" behindDoc="0" locked="0" layoutInCell="1" allowOverlap="1">
                <wp:simplePos x="0" y="0"/>
                <wp:positionH relativeFrom="page">
                  <wp:posOffset>719455</wp:posOffset>
                </wp:positionH>
                <wp:positionV relativeFrom="margin">
                  <wp:posOffset>8126095</wp:posOffset>
                </wp:positionV>
                <wp:extent cx="1051560" cy="149225"/>
                <wp:wrapTopAndBottom/>
                <wp:docPr id="25" name="Shape 2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wps:txbx>
                      <wps:bodyPr wrap="none" lIns="0" tIns="0" rIns="0" bIns="0">
                        <a:noAutoFit/>
                      </wps:bodyPr>
                    </wps:wsp>
                  </a:graphicData>
                </a:graphic>
              </wp:anchor>
            </w:drawing>
          </mc:Choice>
          <mc:Fallback>
            <w:pict>
              <v:shape id="_x0000_s1051" type="#_x0000_t202" style="position:absolute;margin-left:56.649999999999999pt;margin-top:639.85000000000002pt;width:82.799999999999997pt;height:11.75pt;z-index:-125829363;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v:textbox>
                <w10:wrap type="topAndBottom" anchorx="page" anchory="margin"/>
              </v:shape>
            </w:pict>
          </mc:Fallback>
        </mc:AlternateContent>
      </w:r>
      <w:r>
        <mc:AlternateContent>
          <mc:Choice Requires="wps">
            <w:drawing>
              <wp:anchor distT="152400" distB="0" distL="2345690" distR="2458085" simplePos="0" relativeHeight="125829392" behindDoc="0" locked="0" layoutInCell="1" allowOverlap="1">
                <wp:simplePos x="0" y="0"/>
                <wp:positionH relativeFrom="page">
                  <wp:posOffset>2950845</wp:posOffset>
                </wp:positionH>
                <wp:positionV relativeFrom="margin">
                  <wp:posOffset>8126095</wp:posOffset>
                </wp:positionV>
                <wp:extent cx="1508760" cy="149225"/>
                <wp:wrapTopAndBottom/>
                <wp:docPr id="27" name="Shape 27"/>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wps:txbx>
                      <wps:bodyPr wrap="none" lIns="0" tIns="0" rIns="0" bIns="0">
                        <a:noAutoFit/>
                      </wps:bodyPr>
                    </wps:wsp>
                  </a:graphicData>
                </a:graphic>
              </wp:anchor>
            </w:drawing>
          </mc:Choice>
          <mc:Fallback>
            <w:pict>
              <v:shape id="_x0000_s1053" type="#_x0000_t202" style="position:absolute;margin-left:232.34999999999999pt;margin-top:639.85000000000002pt;width:118.8pt;height:11.75pt;z-index:-125829361;mso-wrap-distance-left:184.70000000000002pt;mso-wrap-distance-top:12.pt;mso-wrap-distance-right:193.5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v:textbox>
                <w10:wrap type="topAndBottom" anchorx="page" anchory="margin"/>
              </v:shape>
            </w:pict>
          </mc:Fallback>
        </mc:AlternateContent>
      </w:r>
      <w:r>
        <mc:AlternateContent>
          <mc:Choice Requires="wps">
            <w:drawing>
              <wp:anchor distT="152400" distB="0" distL="5024755" distR="114300" simplePos="0" relativeHeight="125829394" behindDoc="0" locked="0" layoutInCell="1" allowOverlap="1">
                <wp:simplePos x="0" y="0"/>
                <wp:positionH relativeFrom="page">
                  <wp:posOffset>5629910</wp:posOffset>
                </wp:positionH>
                <wp:positionV relativeFrom="margin">
                  <wp:posOffset>8126095</wp:posOffset>
                </wp:positionV>
                <wp:extent cx="1173480" cy="149225"/>
                <wp:wrapTopAndBottom/>
                <wp:docPr id="29" name="Shape 29"/>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wps:txbx>
                      <wps:bodyPr wrap="none" lIns="0" tIns="0" rIns="0" bIns="0">
                        <a:noAutoFit/>
                      </wps:bodyPr>
                    </wps:wsp>
                  </a:graphicData>
                </a:graphic>
              </wp:anchor>
            </w:drawing>
          </mc:Choice>
          <mc:Fallback>
            <w:pict>
              <v:shape id="_x0000_s1055" type="#_x0000_t202" style="position:absolute;margin-left:443.30000000000001pt;margin-top:639.85000000000002pt;width:92.400000000000006pt;height:11.75pt;z-index:-125829359;mso-wrap-distance-left:395.65000000000003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5,865,149.42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3,745,348.32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5" w:lineRule="exact"/>
              <w:ind w:left="0" w:right="0" w:firstLine="460"/>
              <w:jc w:val="both"/>
              <w:rPr>
                <w:sz w:val="18"/>
                <w:szCs w:val="18"/>
              </w:rPr>
            </w:pPr>
            <w:r>
              <w:rPr>
                <w:color w:val="000000"/>
                <w:spacing w:val="0"/>
                <w:w w:val="100"/>
                <w:position w:val="0"/>
                <w:sz w:val="18"/>
                <w:szCs w:val="18"/>
              </w:rPr>
              <w:t>加：公允价值变动收益（损失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1000"/>
              <w:jc w:val="left"/>
              <w:rPr>
                <w:sz w:val="18"/>
                <w:szCs w:val="18"/>
              </w:rPr>
            </w:pPr>
            <w:r>
              <w:rPr>
                <w:color w:val="000000"/>
                <w:spacing w:val="0"/>
                <w:w w:val="100"/>
                <w:position w:val="0"/>
                <w:sz w:val="18"/>
                <w:szCs w:val="18"/>
              </w:rPr>
              <w:t>投资收益（损失以“一”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3,196,090.12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3,056,178.08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000"/>
              <w:jc w:val="left"/>
              <w:rPr>
                <w:sz w:val="18"/>
                <w:szCs w:val="18"/>
              </w:rPr>
            </w:pPr>
            <w:r>
              <w:rPr>
                <w:color w:val="000000"/>
                <w:spacing w:val="0"/>
                <w:w w:val="100"/>
                <w:position w:val="0"/>
                <w:sz w:val="18"/>
                <w:szCs w:val="18"/>
              </w:rPr>
              <w:t>其中：对联营企业和合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000"/>
              <w:jc w:val="left"/>
              <w:rPr>
                <w:sz w:val="18"/>
                <w:szCs w:val="18"/>
              </w:rPr>
            </w:pPr>
            <w:r>
              <w:rPr>
                <w:color w:val="000000"/>
                <w:spacing w:val="0"/>
                <w:w w:val="100"/>
                <w:position w:val="0"/>
                <w:sz w:val="18"/>
                <w:szCs w:val="18"/>
              </w:rPr>
              <w:t>汇兑收益（损失以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三、营业利润（亏损以“一”号填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65,736,771.49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86,889,982.20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7,807,159.74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23,292,833.16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39,255.60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483,380.01</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1000"/>
              <w:jc w:val="both"/>
              <w:rPr>
                <w:sz w:val="18"/>
                <w:szCs w:val="18"/>
              </w:rPr>
            </w:pPr>
            <w:r>
              <w:rPr>
                <w:color w:val="000000"/>
                <w:spacing w:val="0"/>
                <w:w w:val="100"/>
                <w:position w:val="0"/>
                <w:sz w:val="18"/>
                <w:szCs w:val="18"/>
              </w:rPr>
              <w:t>其中：非流动资产处置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25,172.50</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四、利润总额（亏损总额以“一”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73,504,675.63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109,699,435.35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5,891,540.58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12,597,807.95</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五、净利润（净亏损以“一”号填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67,613,135.05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97,101,627.40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其中：被合并方在合并前实现 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归属于母公司所有者的净利润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67,613,135.05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97,101,627.40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67,613,135.05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97,101,627.40</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归属于母公司所有者的综合收 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67,613,135.05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97,101,627.40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归属于少数股东的综合收益总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4</w:t>
      </w:r>
      <w:bookmarkEnd w:id="406"/>
      <w:r>
        <w:rPr>
          <w:color w:val="000000"/>
          <w:spacing w:val="0"/>
          <w:w w:val="100"/>
          <w:position w:val="0"/>
        </w:rPr>
        <w:t>、母公司利润表</w:t>
      </w:r>
      <w:bookmarkEnd w:id="404"/>
      <w:bookmarkEnd w:id="405"/>
      <w:bookmarkEnd w:id="407"/>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编制单位：尤洛卡矿业安全工程股份有限公司</w:t>
      </w:r>
    </w:p>
    <w:p>
      <w:pPr>
        <w:widowControl w:val="0"/>
        <w:spacing w:line="1" w:lineRule="exact"/>
      </w:pPr>
      <w:r>
        <mc:AlternateContent>
          <mc:Choice Requires="wps">
            <w:drawing>
              <wp:anchor distT="152400" distB="0" distL="0" distR="0" simplePos="0" relativeHeight="125829396" behindDoc="0" locked="0" layoutInCell="1" allowOverlap="1">
                <wp:simplePos x="0" y="0"/>
                <wp:positionH relativeFrom="page">
                  <wp:posOffset>699770</wp:posOffset>
                </wp:positionH>
                <wp:positionV relativeFrom="paragraph">
                  <wp:posOffset>152400</wp:posOffset>
                </wp:positionV>
                <wp:extent cx="1051560" cy="149225"/>
                <wp:wrapTopAndBottom/>
                <wp:docPr id="31" name="Shape 3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wps:txbx>
                      <wps:bodyPr wrap="none" lIns="0" tIns="0" rIns="0" bIns="0">
                        <a:noAutoFit/>
                      </wps:bodyPr>
                    </wps:wsp>
                  </a:graphicData>
                </a:graphic>
              </wp:anchor>
            </w:drawing>
          </mc:Choice>
          <mc:Fallback>
            <w:pict>
              <v:shape id="_x0000_s1057" type="#_x0000_t202" style="position:absolute;margin-left:55.100000000000001pt;margin-top:12.pt;width:82.799999999999997pt;height:11.75pt;z-index:-125829357;mso-wrap-distance-left:0;mso-wrap-distance-top:12.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v:textbox>
                <w10:wrap type="topAndBottom" anchorx="page"/>
              </v:shape>
            </w:pict>
          </mc:Fallback>
        </mc:AlternateContent>
      </w:r>
      <w:r>
        <mc:AlternateContent>
          <mc:Choice Requires="wps">
            <w:drawing>
              <wp:anchor distT="152400" distB="0" distL="0" distR="0" simplePos="0" relativeHeight="125829398" behindDoc="0" locked="0" layoutInCell="1" allowOverlap="1">
                <wp:simplePos x="0" y="0"/>
                <wp:positionH relativeFrom="page">
                  <wp:posOffset>2931160</wp:posOffset>
                </wp:positionH>
                <wp:positionV relativeFrom="paragraph">
                  <wp:posOffset>152400</wp:posOffset>
                </wp:positionV>
                <wp:extent cx="1508760" cy="149225"/>
                <wp:wrapTopAndBottom/>
                <wp:docPr id="33" name="Shape 33"/>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wps:txbx>
                      <wps:bodyPr wrap="none" lIns="0" tIns="0" rIns="0" bIns="0">
                        <a:noAutoFit/>
                      </wps:bodyPr>
                    </wps:wsp>
                  </a:graphicData>
                </a:graphic>
              </wp:anchor>
            </w:drawing>
          </mc:Choice>
          <mc:Fallback>
            <w:pict>
              <v:shape id="_x0000_s1059" type="#_x0000_t202" style="position:absolute;margin-left:230.80000000000001pt;margin-top:12.pt;width:118.8pt;height:11.75pt;z-index:-125829355;mso-wrap-distance-left:0;mso-wrap-distance-top:12.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v:textbox>
                <w10:wrap type="topAndBottom" anchorx="page"/>
              </v:shape>
            </w:pict>
          </mc:Fallback>
        </mc:AlternateContent>
      </w:r>
      <w:r>
        <mc:AlternateContent>
          <mc:Choice Requires="wps">
            <w:drawing>
              <wp:anchor distT="152400" distB="0" distL="0" distR="0" simplePos="0" relativeHeight="125829400" behindDoc="0" locked="0" layoutInCell="1" allowOverlap="1">
                <wp:simplePos x="0" y="0"/>
                <wp:positionH relativeFrom="page">
                  <wp:posOffset>5610225</wp:posOffset>
                </wp:positionH>
                <wp:positionV relativeFrom="paragraph">
                  <wp:posOffset>152400</wp:posOffset>
                </wp:positionV>
                <wp:extent cx="1173480" cy="149225"/>
                <wp:wrapTopAndBottom/>
                <wp:docPr id="35" name="Shape 35"/>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wps:txbx>
                      <wps:bodyPr wrap="none" lIns="0" tIns="0" rIns="0" bIns="0">
                        <a:noAutoFit/>
                      </wps:bodyPr>
                    </wps:wsp>
                  </a:graphicData>
                </a:graphic>
              </wp:anchor>
            </w:drawing>
          </mc:Choice>
          <mc:Fallback>
            <w:pict>
              <v:shape id="_x0000_s1061" type="#_x0000_t202" style="position:absolute;margin-left:441.75pt;margin-top:12.pt;width:92.400000000000006pt;height:11.75pt;z-index:-125829353;mso-wrap-distance-left:0;mso-wrap-distance-top:12.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v:textbox>
                <w10:wrap type="topAndBottom" anchorx="page"/>
              </v:shape>
            </w:pict>
          </mc:Fallback>
        </mc:AlternateConten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169,505,418.19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196,505,210.21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76,590,556.84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109,567,577.29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2,118,304.55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2,021,626.24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37,870,163.90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40,398,127.53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24,286,395.22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22,316,783.91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-5,423,452.61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-6,989,572.09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5,850,491.65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3,726,515.64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5" w:lineRule="exact"/>
              <w:ind w:left="0" w:right="0" w:firstLine="460"/>
              <w:jc w:val="both"/>
              <w:rPr>
                <w:sz w:val="18"/>
                <w:szCs w:val="18"/>
              </w:rPr>
            </w:pPr>
            <w:r>
              <w:rPr>
                <w:color w:val="000000"/>
                <w:spacing w:val="0"/>
                <w:w w:val="100"/>
                <w:position w:val="0"/>
                <w:sz w:val="18"/>
                <w:szCs w:val="18"/>
              </w:rPr>
              <w:t>加：公允价值变动收益（损失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投资收益（损失以“一”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140,465,435.54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1,087,520.54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其中：对联营企业和合营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二、营业利润（亏损以“一”号填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168,678,394.18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26,551,672.23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838,367.45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13,695,884.95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39,255.60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483,378.48</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25,172.50</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三、利润总额（亏损总额以“一”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169,477,506.03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39,764,178.70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4,532,310.53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5,972,296.23</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四、净利润（净亏损以“一”号填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164,945,195.50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33,791,882.47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五、每股收益：</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164,945,195.50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33,791,882.47</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5</w:t>
      </w:r>
      <w:bookmarkEnd w:id="410"/>
      <w:r>
        <w:rPr>
          <w:color w:val="000000"/>
          <w:spacing w:val="0"/>
          <w:w w:val="100"/>
          <w:position w:val="0"/>
        </w:rPr>
        <w:t>、合并现金流量表</w:t>
      </w:r>
      <w:bookmarkEnd w:id="408"/>
      <w:bookmarkEnd w:id="409"/>
      <w:bookmarkEnd w:id="411"/>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编制单位：尤洛卡矿业安全工程股份有限公司</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169,508,653.33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169,460,031.88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4,901,315.30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9,595,898.70</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13,528,951.84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30,754,331.05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187,938,920.47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209,810,261.63</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37,422,984.94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54,171,617.84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支付给职工以及为职工支付的</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23,511,742.21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23,082,683.32</w:t>
            </w:r>
          </w:p>
        </w:tc>
      </w:tr>
    </w:tbl>
    <w:p>
      <w:pPr>
        <w:widowControl w:val="0"/>
        <w:spacing w:line="1" w:lineRule="exact"/>
      </w:pPr>
      <w:r>
        <w:br w:type="page"/>
      </w:r>
    </w:p>
    <w:tbl>
      <w:tblPr>
        <w:tblOverlap w:val="never"/>
        <w:jc w:val="center"/>
        <w:tblLayout w:type="fixed"/>
      </w:tblPr>
      <w:tblGrid>
        <w:gridCol w:w="2966"/>
        <w:gridCol w:w="3302"/>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36,166,931.43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43,477,900.48</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47,806,011.52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49,349,599.10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144,907,670.10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170,081,800.74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43,031,250.37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39,728,460.89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265,100,000.00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2,612,068.20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2,469,493.14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961,069.00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267,750,952.13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253,430,562.14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31,357,694.61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43,582,923.91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285,100,000.00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316,457,694.61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223,582,923.91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-48,706,742.48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29,847,638.23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收到其他与筹资活动有关的现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2,353,011.04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11,531,355.49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2,353,011.04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11,531,355.49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51,675,000.00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51,675,000.00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支付其他与筹资活动有关的现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152,539.84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51,827,539.84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51,675,000.00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-49,474,528.80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-40,143,644.51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-55,150,020.91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29,432,454.61</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286,736,092.76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257,303,638.15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231,586,071.85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286,736,092.76</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402" behindDoc="0" locked="0" layoutInCell="1" allowOverlap="1">
                <wp:simplePos x="0" y="0"/>
                <wp:positionH relativeFrom="page">
                  <wp:posOffset>699770</wp:posOffset>
                </wp:positionH>
                <wp:positionV relativeFrom="margin">
                  <wp:posOffset>3618230</wp:posOffset>
                </wp:positionV>
                <wp:extent cx="1051560" cy="149225"/>
                <wp:wrapTopAndBottom/>
                <wp:docPr id="37" name="Shape 3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wps:txbx>
                      <wps:bodyPr wrap="none" lIns="0" tIns="0" rIns="0" bIns="0">
                        <a:noAutoFit/>
                      </wps:bodyPr>
                    </wps:wsp>
                  </a:graphicData>
                </a:graphic>
              </wp:anchor>
            </w:drawing>
          </mc:Choice>
          <mc:Fallback>
            <w:pict>
              <v:shape id="_x0000_s1063" type="#_x0000_t202" style="position:absolute;margin-left:55.100000000000001pt;margin-top:284.90000000000003pt;width:82.799999999999997pt;height:11.75pt;z-index:-125829351;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v:textbox>
                <w10:wrap type="topAndBottom" anchorx="page" anchory="margin"/>
              </v:shape>
            </w:pict>
          </mc:Fallback>
        </mc:AlternateContent>
      </w:r>
      <w:r>
        <mc:AlternateContent>
          <mc:Choice Requires="wps">
            <w:drawing>
              <wp:anchor distT="152400" distB="0" distL="2345690" distR="2458085" simplePos="0" relativeHeight="125829404" behindDoc="0" locked="0" layoutInCell="1" allowOverlap="1">
                <wp:simplePos x="0" y="0"/>
                <wp:positionH relativeFrom="page">
                  <wp:posOffset>2931160</wp:posOffset>
                </wp:positionH>
                <wp:positionV relativeFrom="margin">
                  <wp:posOffset>3618230</wp:posOffset>
                </wp:positionV>
                <wp:extent cx="1508760" cy="149225"/>
                <wp:wrapTopAndBottom/>
                <wp:docPr id="39" name="Shape 39"/>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wps:txbx>
                      <wps:bodyPr wrap="none" lIns="0" tIns="0" rIns="0" bIns="0">
                        <a:noAutoFit/>
                      </wps:bodyPr>
                    </wps:wsp>
                  </a:graphicData>
                </a:graphic>
              </wp:anchor>
            </w:drawing>
          </mc:Choice>
          <mc:Fallback>
            <w:pict>
              <v:shape id="_x0000_s1065" type="#_x0000_t202" style="position:absolute;margin-left:230.80000000000001pt;margin-top:284.90000000000003pt;width:118.8pt;height:11.75pt;z-index:-125829349;mso-wrap-distance-left:184.70000000000002pt;mso-wrap-distance-top:12.pt;mso-wrap-distance-right:193.5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v:textbox>
                <w10:wrap type="topAndBottom" anchorx="page" anchory="margin"/>
              </v:shape>
            </w:pict>
          </mc:Fallback>
        </mc:AlternateContent>
      </w:r>
      <w:r>
        <mc:AlternateContent>
          <mc:Choice Requires="wps">
            <w:drawing>
              <wp:anchor distT="152400" distB="0" distL="5024755" distR="114300" simplePos="0" relativeHeight="125829406" behindDoc="0" locked="0" layoutInCell="1" allowOverlap="1">
                <wp:simplePos x="0" y="0"/>
                <wp:positionH relativeFrom="page">
                  <wp:posOffset>5610225</wp:posOffset>
                </wp:positionH>
                <wp:positionV relativeFrom="margin">
                  <wp:posOffset>3618230</wp:posOffset>
                </wp:positionV>
                <wp:extent cx="1173480" cy="149225"/>
                <wp:wrapTopAndBottom/>
                <wp:docPr id="41" name="Shape 4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wps:txbx>
                      <wps:bodyPr wrap="none" lIns="0" tIns="0" rIns="0" bIns="0">
                        <a:noAutoFit/>
                      </wps:bodyPr>
                    </wps:wsp>
                  </a:graphicData>
                </a:graphic>
              </wp:anchor>
            </w:drawing>
          </mc:Choice>
          <mc:Fallback>
            <w:pict>
              <v:shape id="_x0000_s1067" type="#_x0000_t202" style="position:absolute;margin-left:441.75pt;margin-top:284.90000000000003pt;width:92.400000000000006pt;height:11.75pt;z-index:-125829347;mso-wrap-distance-left:395.65000000000003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v:textbox>
                <w10:wrap type="topAndBottom" anchorx="page" anchory="margin"/>
              </v:shape>
            </w:pict>
          </mc:Fallback>
        </mc:AlternateContent>
      </w: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6</w:t>
      </w:r>
      <w:bookmarkEnd w:id="414"/>
      <w:r>
        <w:rPr>
          <w:color w:val="000000"/>
          <w:spacing w:val="0"/>
          <w:w w:val="100"/>
          <w:position w:val="0"/>
        </w:rPr>
        <w:t>、母公司现金流量表</w:t>
      </w:r>
      <w:bookmarkEnd w:id="412"/>
      <w:bookmarkEnd w:id="413"/>
      <w:bookmarkEnd w:id="41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编制单位：尤洛卡矿业安全工程股份有限公司</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169,207,198.43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160,074,549.76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12,794,136.17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28,134,702.29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182,001,334.60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188,209,252.05</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67,496,123.64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136,667,580.95</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21,498,441.25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21,789,371.97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24,098,383.39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24,574,020.91</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43,928,065.94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45,306,750.27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157,021,014.22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228,337,724.10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24,980,320.38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-40,128,472.05</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158,420,000.00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85,000,000.00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108,294,728.69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1,087,520.54</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903,364.00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266,753,612.62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86,990,884.54</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30,097,513.91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43,399,114.35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242,920,000.00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273,017,513.91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68,399,114.35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-6,263,901.29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18,591,770.19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收到其他与筹资活动有关的现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2,353,011.04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11,531,355.49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2,353,011.04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11,531,355.49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51,675,000.00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51,675,000.00</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支付其他与筹资活动有关的现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152,539.84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51,827,539.84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51,675,000.00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-49,474,528.80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-40,143,644.51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-30,758,109.71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-61,680,346.37</w:t>
            </w:r>
          </w:p>
        </w:tc>
      </w:tr>
    </w:tbl>
    <w:p>
      <w:pPr>
        <w:widowControl w:val="0"/>
        <w:spacing w:line="1" w:lineRule="exact"/>
      </w:pPr>
      <w:r>
        <w:br w:type="page"/>
      </w:r>
    </w:p>
    <w:tbl>
      <w:tblPr>
        <w:tblOverlap w:val="never"/>
        <w:jc w:val="center"/>
        <w:tblLayout w:type="fixed"/>
      </w:tblPr>
      <w:tblGrid>
        <w:gridCol w:w="2966"/>
        <w:gridCol w:w="3302"/>
        <w:gridCol w:w="3312"/>
      </w:tblGrid>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185,062,717.18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246,743,063.55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154,304,607.47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185,062,717.18</w:t>
            </w:r>
          </w:p>
        </w:tc>
      </w:tr>
    </w:tbl>
    <w:p>
      <w:pPr>
        <w:widowControl w:val="0"/>
        <w:spacing w:after="359" w:line="1" w:lineRule="exact"/>
      </w:pPr>
    </w:p>
    <w:p>
      <w:pPr>
        <w:pStyle w:val="Style30"/>
        <w:keepNext w:val="0"/>
        <w:keepLines w:val="0"/>
        <w:widowControl w:val="0"/>
        <w:shd w:val="clear" w:color="auto" w:fill="auto"/>
        <w:tabs>
          <w:tab w:pos="3456" w:val="left"/>
          <w:tab w:pos="7666" w:val="left"/>
        </w:tabs>
        <w:bidi w:val="0"/>
        <w:spacing w:before="0" w:after="360" w:line="240" w:lineRule="auto"/>
        <w:ind w:left="0" w:right="0" w:firstLine="0"/>
        <w:jc w:val="left"/>
      </w:pPr>
      <w:r>
        <w:rPr>
          <w:color w:val="000000"/>
          <w:spacing w:val="0"/>
          <w:w w:val="100"/>
          <w:position w:val="0"/>
        </w:rPr>
        <w:t>法定代表人：黄自伟</w:t>
        <w:tab/>
        <w:t>主管会计工作负责人：崔保航</w:t>
        <w:tab/>
        <w:t>会计机构负责人：张娜</w:t>
      </w:r>
    </w:p>
    <w:p>
      <w:pPr>
        <w:pStyle w:val="Style36"/>
        <w:keepNext/>
        <w:keepLines/>
        <w:widowControl w:val="0"/>
        <w:shd w:val="clear" w:color="auto" w:fill="auto"/>
        <w:bidi w:val="0"/>
        <w:spacing w:before="0" w:after="36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7</w:t>
      </w:r>
      <w:bookmarkEnd w:id="418"/>
      <w:r>
        <w:rPr>
          <w:color w:val="000000"/>
          <w:spacing w:val="0"/>
          <w:w w:val="100"/>
          <w:position w:val="0"/>
        </w:rPr>
        <w:t>、合并所有者权益变动表</w:t>
      </w:r>
      <w:bookmarkEnd w:id="416"/>
      <w:bookmarkEnd w:id="417"/>
      <w:bookmarkEnd w:id="41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编制单位：尤洛卡矿业安全工程股份有限公司</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86"/>
        <w:gridCol w:w="686"/>
        <w:gridCol w:w="686"/>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所有者 权益合 计</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实收</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60"/>
              <w:jc w:val="left"/>
              <w:rPr>
                <w:sz w:val="18"/>
                <w:szCs w:val="18"/>
              </w:rPr>
            </w:pPr>
            <w:r>
              <w:rPr>
                <w:color w:val="000000"/>
                <w:spacing w:val="0"/>
                <w:w w:val="100"/>
                <w:position w:val="0"/>
                <w:sz w:val="18"/>
                <w:szCs w:val="18"/>
              </w:rPr>
              <w:t>资本 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专项 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140"/>
              <w:jc w:val="left"/>
              <w:rPr>
                <w:sz w:val="18"/>
                <w:szCs w:val="18"/>
              </w:rPr>
            </w:pPr>
            <w:r>
              <w:rPr>
                <w:color w:val="000000"/>
                <w:spacing w:val="0"/>
                <w:w w:val="100"/>
                <w:position w:val="0"/>
                <w:sz w:val="18"/>
                <w:szCs w:val="18"/>
              </w:rPr>
              <w:t>盈余 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一般</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风险</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 配利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45,73</w:t>
            </w:r>
          </w:p>
          <w:p>
            <w:pPr>
              <w:pStyle w:val="Style21"/>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7,203.</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77,60</w:t>
            </w:r>
          </w:p>
          <w:p>
            <w:pPr>
              <w:pStyle w:val="Style21"/>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745,080,</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547.85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45,73</w:t>
            </w:r>
          </w:p>
          <w:p>
            <w:pPr>
              <w:pStyle w:val="Style21"/>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7,203.</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77,60</w:t>
            </w:r>
          </w:p>
          <w:p>
            <w:pPr>
              <w:pStyle w:val="Style21"/>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745,080,</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547.85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三、本期增减变动金额（减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4,519.</w:t>
            </w:r>
          </w:p>
          <w:p>
            <w:pPr>
              <w:pStyle w:val="Style21"/>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15,938,1</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35.05</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67,61</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3,135.</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67,613,1</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67,61</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3,135.</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67,613,1</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35.05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86"/>
        <w:gridCol w:w="686"/>
        <w:gridCol w:w="686"/>
        <w:gridCol w:w="686"/>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4,519.</w:t>
            </w:r>
          </w:p>
          <w:p>
            <w:pPr>
              <w:pStyle w:val="Style21"/>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-68,16</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9,519.</w:t>
            </w:r>
          </w:p>
          <w:p>
            <w:pPr>
              <w:pStyle w:val="Style21"/>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-51,675,</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4,519.</w:t>
            </w:r>
          </w:p>
          <w:p>
            <w:pPr>
              <w:pStyle w:val="Style21"/>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4,519.</w:t>
            </w:r>
          </w:p>
          <w:p>
            <w:pPr>
              <w:pStyle w:val="Style21"/>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-51,675,</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206,7</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95,73</w:t>
            </w:r>
          </w:p>
          <w:p>
            <w:pPr>
              <w:pStyle w:val="Style21"/>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w:t>
            </w:r>
          </w:p>
          <w:p>
            <w:pPr>
              <w:pStyle w:val="Style21"/>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21,21</w:t>
            </w:r>
          </w:p>
          <w:p>
            <w:pPr>
              <w:pStyle w:val="Style21"/>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24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761,018,</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682.90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86"/>
        <w:gridCol w:w="686"/>
        <w:gridCol w:w="686"/>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所有者 权益合 计</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实收</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资本</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60"/>
              <w:jc w:val="left"/>
              <w:rPr>
                <w:sz w:val="18"/>
                <w:szCs w:val="18"/>
              </w:rPr>
            </w:pPr>
            <w:r>
              <w:rPr>
                <w:color w:val="000000"/>
                <w:spacing w:val="0"/>
                <w:w w:val="100"/>
                <w:position w:val="0"/>
                <w:sz w:val="18"/>
                <w:szCs w:val="18"/>
              </w:rPr>
              <w:t>资本 公积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专项 储备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40"/>
              <w:jc w:val="left"/>
              <w:rPr>
                <w:sz w:val="18"/>
                <w:szCs w:val="18"/>
              </w:rPr>
            </w:pPr>
            <w:r>
              <w:rPr>
                <w:color w:val="000000"/>
                <w:spacing w:val="0"/>
                <w:w w:val="100"/>
                <w:position w:val="0"/>
                <w:sz w:val="18"/>
                <w:szCs w:val="18"/>
              </w:rPr>
              <w:t>盈余 公积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一般</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风险</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 配利 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371"/>
        <w:gridCol w:w="682"/>
        <w:gridCol w:w="686"/>
        <w:gridCol w:w="686"/>
        <w:gridCol w:w="686"/>
        <w:gridCol w:w="686"/>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405,7</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45,73</w:t>
            </w:r>
          </w:p>
          <w:p>
            <w:pPr>
              <w:pStyle w:val="Style21"/>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8,015.</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30,16</w:t>
            </w:r>
          </w:p>
          <w:p>
            <w:pPr>
              <w:pStyle w:val="Style21"/>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699,653,</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920.45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加：同一控制下企业合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405,7</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45,73</w:t>
            </w:r>
          </w:p>
          <w:p>
            <w:pPr>
              <w:pStyle w:val="Style21"/>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8,015.</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30,16</w:t>
            </w:r>
          </w:p>
          <w:p>
            <w:pPr>
              <w:pStyle w:val="Style21"/>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699,653,</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920.45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三、本期增减变动金额（减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7,439.</w:t>
            </w:r>
          </w:p>
          <w:p>
            <w:pPr>
              <w:pStyle w:val="Style21"/>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45,426,6</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27.40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1,627.</w:t>
            </w:r>
          </w:p>
          <w:p>
            <w:pPr>
              <w:pStyle w:val="Style21"/>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97,101,6</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1,627.</w:t>
            </w:r>
          </w:p>
          <w:p>
            <w:pPr>
              <w:pStyle w:val="Style21"/>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97,101,6</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4,188.</w:t>
            </w:r>
          </w:p>
          <w:p>
            <w:pPr>
              <w:pStyle w:val="Style21"/>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-51,675,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-51,675,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86"/>
        <w:gridCol w:w="686"/>
        <w:gridCol w:w="686"/>
        <w:gridCol w:w="686"/>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405,7</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45,73</w:t>
            </w:r>
          </w:p>
          <w:p>
            <w:pPr>
              <w:pStyle w:val="Style21"/>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7,203.</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214,0</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77,60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24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547.85</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408" behindDoc="0" locked="0" layoutInCell="1" allowOverlap="1">
                <wp:simplePos x="0" y="0"/>
                <wp:positionH relativeFrom="page">
                  <wp:posOffset>699770</wp:posOffset>
                </wp:positionH>
                <wp:positionV relativeFrom="margin">
                  <wp:posOffset>3676015</wp:posOffset>
                </wp:positionV>
                <wp:extent cx="1051560" cy="149225"/>
                <wp:wrapTopAndBottom/>
                <wp:docPr id="43" name="Shape 4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wps:txbx>
                      <wps:bodyPr wrap="none" lIns="0" tIns="0" rIns="0" bIns="0">
                        <a:noAutoFit/>
                      </wps:bodyPr>
                    </wps:wsp>
                  </a:graphicData>
                </a:graphic>
              </wp:anchor>
            </w:drawing>
          </mc:Choice>
          <mc:Fallback>
            <w:pict>
              <v:shape id="_x0000_s1069" type="#_x0000_t202" style="position:absolute;margin-left:55.100000000000001pt;margin-top:289.44999999999999pt;width:82.799999999999997pt;height:11.75pt;z-index:-125829345;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v:textbox>
                <w10:wrap type="topAndBottom" anchorx="page" anchory="margin"/>
              </v:shape>
            </w:pict>
          </mc:Fallback>
        </mc:AlternateContent>
      </w:r>
      <w:r>
        <mc:AlternateContent>
          <mc:Choice Requires="wps">
            <w:drawing>
              <wp:anchor distT="152400" distB="0" distL="2345690" distR="2458085" simplePos="0" relativeHeight="125829410" behindDoc="0" locked="0" layoutInCell="1" allowOverlap="1">
                <wp:simplePos x="0" y="0"/>
                <wp:positionH relativeFrom="page">
                  <wp:posOffset>2931160</wp:posOffset>
                </wp:positionH>
                <wp:positionV relativeFrom="margin">
                  <wp:posOffset>3676015</wp:posOffset>
                </wp:positionV>
                <wp:extent cx="1508760" cy="149225"/>
                <wp:wrapTopAndBottom/>
                <wp:docPr id="45" name="Shape 45"/>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wps:txbx>
                      <wps:bodyPr wrap="none" lIns="0" tIns="0" rIns="0" bIns="0">
                        <a:noAutoFit/>
                      </wps:bodyPr>
                    </wps:wsp>
                  </a:graphicData>
                </a:graphic>
              </wp:anchor>
            </w:drawing>
          </mc:Choice>
          <mc:Fallback>
            <w:pict>
              <v:shape id="_x0000_s1071" type="#_x0000_t202" style="position:absolute;margin-left:230.80000000000001pt;margin-top:289.44999999999999pt;width:118.8pt;height:11.75pt;z-index:-125829343;mso-wrap-distance-left:184.70000000000002pt;mso-wrap-distance-top:12.pt;mso-wrap-distance-right:193.5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v:textbox>
                <w10:wrap type="topAndBottom" anchorx="page" anchory="margin"/>
              </v:shape>
            </w:pict>
          </mc:Fallback>
        </mc:AlternateContent>
      </w:r>
      <w:r>
        <mc:AlternateContent>
          <mc:Choice Requires="wps">
            <w:drawing>
              <wp:anchor distT="152400" distB="0" distL="5024755" distR="114300" simplePos="0" relativeHeight="125829412" behindDoc="0" locked="0" layoutInCell="1" allowOverlap="1">
                <wp:simplePos x="0" y="0"/>
                <wp:positionH relativeFrom="page">
                  <wp:posOffset>5610225</wp:posOffset>
                </wp:positionH>
                <wp:positionV relativeFrom="margin">
                  <wp:posOffset>3676015</wp:posOffset>
                </wp:positionV>
                <wp:extent cx="1173480" cy="149225"/>
                <wp:wrapTopAndBottom/>
                <wp:docPr id="47" name="Shape 47"/>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wps:txbx>
                      <wps:bodyPr wrap="none" lIns="0" tIns="0" rIns="0" bIns="0">
                        <a:noAutoFit/>
                      </wps:bodyPr>
                    </wps:wsp>
                  </a:graphicData>
                </a:graphic>
              </wp:anchor>
            </w:drawing>
          </mc:Choice>
          <mc:Fallback>
            <w:pict>
              <v:shape id="_x0000_s1073" type="#_x0000_t202" style="position:absolute;margin-left:441.75pt;margin-top:289.44999999999999pt;width:92.400000000000006pt;height:11.75pt;z-index:-125829341;mso-wrap-distance-left:395.65000000000003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会计机构负责人：张娜</w:t>
                      </w:r>
                    </w:p>
                  </w:txbxContent>
                </v:textbox>
                <w10:wrap type="topAndBottom" anchorx="page" anchory="margin"/>
              </v:shape>
            </w:pict>
          </mc:Fallback>
        </mc:AlternateContent>
      </w: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8</w:t>
      </w:r>
      <w:bookmarkEnd w:id="422"/>
      <w:r>
        <w:rPr>
          <w:color w:val="000000"/>
          <w:spacing w:val="0"/>
          <w:w w:val="100"/>
          <w:position w:val="0"/>
        </w:rPr>
        <w:t>、母公司所有者权益变动表</w:t>
      </w:r>
      <w:bookmarkEnd w:id="420"/>
      <w:bookmarkEnd w:id="421"/>
      <w:bookmarkEnd w:id="423"/>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编制单位：尤洛卡矿业安全工程股份有限公司 </w:t>
      </w:r>
      <w:r>
        <w:rPr>
          <w:color w:val="000000"/>
          <w:spacing w:val="0"/>
          <w:w w:val="100"/>
          <w:position w:val="0"/>
        </w:rPr>
        <w:t>本期金额</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888"/>
        <w:gridCol w:w="883"/>
        <w:gridCol w:w="883"/>
        <w:gridCol w:w="888"/>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实收资 本（或股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资本公</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减：库存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未分配 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所有者</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权益合</w:t>
            </w:r>
          </w:p>
          <w:p>
            <w:pPr>
              <w:pStyle w:val="Style21"/>
              <w:keepNext w:val="0"/>
              <w:keepLines w:val="0"/>
              <w:widowControl w:val="0"/>
              <w:shd w:val="clear" w:color="auto" w:fill="auto"/>
              <w:bidi w:val="0"/>
              <w:spacing w:before="0" w:after="100" w:line="240" w:lineRule="auto"/>
              <w:ind w:left="0" w:right="0" w:firstLine="340"/>
              <w:jc w:val="left"/>
              <w:rPr>
                <w:sz w:val="18"/>
                <w:szCs w:val="18"/>
              </w:rPr>
            </w:pPr>
            <w:r>
              <w:rPr>
                <w:color w:val="000000"/>
                <w:spacing w:val="0"/>
                <w:w w:val="100"/>
                <w:position w:val="0"/>
                <w:sz w:val="18"/>
                <w:szCs w:val="18"/>
              </w:rPr>
              <w:t>计</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103,350,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405,797,</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102,082,</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832.32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633,137,</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164.03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103,350,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405,797,</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102,082,</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832.32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633,137,</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164.03</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三、本期增减变动金额（减少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103,350,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-103,350</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96,775,6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113,270,</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164,945,</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164,945,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195.50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7"/>
        <w:gridCol w:w="888"/>
        <w:gridCol w:w="883"/>
        <w:gridCol w:w="883"/>
        <w:gridCol w:w="888"/>
        <w:gridCol w:w="888"/>
        <w:gridCol w:w="883"/>
        <w:gridCol w:w="888"/>
        <w:gridCol w:w="90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164,945,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164,945,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-68,169,</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-51,675,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-16,494,</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519.55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-51,675,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-51,675,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103,350,</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-103,350</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103,350,</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-103,350</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240" w:after="0" w:line="240" w:lineRule="auto"/>
              <w:ind w:left="0" w:right="0" w:firstLine="0"/>
              <w:jc w:val="both"/>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206,700,</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302,447,</w:t>
            </w:r>
          </w:p>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198,858,</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508.27</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746,407,</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359.53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888"/>
        <w:gridCol w:w="883"/>
        <w:gridCol w:w="883"/>
        <w:gridCol w:w="888"/>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上年金额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实收资 本（或股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资本公</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减：库存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未分配 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所有者 权益合 计</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24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103,350,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405,797,</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18,528,0</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123,345,</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138.10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651,020,</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281.56</w:t>
            </w:r>
          </w:p>
        </w:tc>
      </w:tr>
    </w:tbl>
    <w:p>
      <w:pPr>
        <w:widowControl w:val="0"/>
        <w:spacing w:line="1" w:lineRule="exact"/>
      </w:pPr>
      <w:r>
        <w:br w:type="page"/>
      </w:r>
    </w:p>
    <w:tbl>
      <w:tblPr>
        <w:tblOverlap w:val="never"/>
        <w:jc w:val="center"/>
        <w:tblLayout w:type="fixed"/>
      </w:tblPr>
      <w:tblGrid>
        <w:gridCol w:w="2496"/>
        <w:gridCol w:w="888"/>
        <w:gridCol w:w="883"/>
        <w:gridCol w:w="883"/>
        <w:gridCol w:w="888"/>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103,350,</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405,797,</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123,345,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651,020,</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281.56</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三、本期增减变动金额（减少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-21,262,</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305.78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-17,883,</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117.53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33,791,8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33,791,8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33,791,8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33,791,8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-55,054,</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-51,675,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-3,379,1</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-51,675,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-51,675,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96"/>
        <w:gridCol w:w="888"/>
        <w:gridCol w:w="883"/>
        <w:gridCol w:w="883"/>
        <w:gridCol w:w="888"/>
        <w:gridCol w:w="883"/>
        <w:gridCol w:w="883"/>
        <w:gridCol w:w="883"/>
        <w:gridCol w:w="893"/>
      </w:tblGrid>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24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103,350,</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405,797,</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832.32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164.03</w:t>
            </w:r>
          </w:p>
        </w:tc>
      </w:tr>
    </w:tbl>
    <w:p>
      <w:pPr>
        <w:pStyle w:val="Style34"/>
        <w:keepNext w:val="0"/>
        <w:keepLines w:val="0"/>
        <w:widowControl w:val="0"/>
        <w:shd w:val="clear" w:color="auto" w:fill="auto"/>
        <w:tabs>
          <w:tab w:pos="3485" w:val="left"/>
          <w:tab w:pos="7728" w:val="left"/>
        </w:tabs>
        <w:bidi w:val="0"/>
        <w:spacing w:before="0" w:after="0" w:line="240" w:lineRule="auto"/>
        <w:ind w:left="0" w:right="0" w:firstLine="0"/>
        <w:jc w:val="left"/>
      </w:pPr>
      <w:r>
        <w:rPr>
          <w:color w:val="000000"/>
          <w:spacing w:val="0"/>
          <w:w w:val="100"/>
          <w:position w:val="0"/>
        </w:rPr>
        <w:t>法定代表人：黄自伟</w:t>
        <w:tab/>
        <w:t>主管会计工作负责人：崔保航</w:t>
        <w:tab/>
        <w:t>会计机构负责人：张娜</w:t>
      </w:r>
    </w:p>
    <w:p>
      <w:pPr>
        <w:widowControl w:val="0"/>
        <w:spacing w:after="359" w:line="1" w:lineRule="exact"/>
      </w:pPr>
    </w:p>
    <w:p>
      <w:pPr>
        <w:pStyle w:val="Style25"/>
        <w:keepNext/>
        <w:keepLines/>
        <w:widowControl w:val="0"/>
        <w:shd w:val="clear" w:color="auto" w:fill="auto"/>
        <w:tabs>
          <w:tab w:pos="495" w:val="left"/>
        </w:tabs>
        <w:bidi w:val="0"/>
        <w:spacing w:before="0" w:after="28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三</w:t>
      </w:r>
      <w:bookmarkEnd w:id="426"/>
      <w:r>
        <w:rPr>
          <w:color w:val="000000"/>
          <w:spacing w:val="0"/>
          <w:w w:val="100"/>
          <w:position w:val="0"/>
          <w:sz w:val="24"/>
          <w:szCs w:val="24"/>
        </w:rPr>
        <w:t>、</w:t>
        <w:tab/>
        <w:t>公司基本情况</w:t>
      </w:r>
      <w:bookmarkEnd w:id="424"/>
      <w:bookmarkEnd w:id="425"/>
      <w:bookmarkEnd w:id="427"/>
    </w:p>
    <w:p>
      <w:pPr>
        <w:pStyle w:val="Style27"/>
        <w:keepNext w:val="0"/>
        <w:keepLines w:val="0"/>
        <w:widowControl w:val="0"/>
        <w:shd w:val="clear" w:color="auto" w:fill="auto"/>
        <w:bidi w:val="0"/>
        <w:spacing w:before="0" w:after="0" w:line="444" w:lineRule="exact"/>
        <w:ind w:left="0" w:right="0" w:firstLine="420"/>
        <w:jc w:val="left"/>
      </w:pPr>
      <w:r>
        <w:rPr>
          <w:color w:val="000000"/>
          <w:spacing w:val="0"/>
          <w:w w:val="100"/>
          <w:position w:val="0"/>
        </w:rPr>
        <w:t>尤洛卡矿业安全工程股份有限公司（以下简称“公司”或“本公司”）前身为泰安市尤洛卡自动化仪 表有限公司，于1998年10月29日经泰安市工商行政管理局核准成立。2008年1月29日公司整体变更设立为 股份有限公司，股本为人民币2,890万元。公司企业法人营业执照注册号：370924228007290。注册地及营 业办公地：山东省泰安市高新区凤祥路以西规划支路以北。本公司及子公司主要从事自动化仪器仪表、计 算机软硬件、电子电气设备集成系统开发、生产、销售、维护；计算机系统集成、机电一体化产品、光学 仪器的研发、生产、销售、维修；矿山安全防治工程，属设备制造业。</w:t>
      </w:r>
    </w:p>
    <w:p>
      <w:pPr>
        <w:pStyle w:val="Style27"/>
        <w:keepNext w:val="0"/>
        <w:keepLines w:val="0"/>
        <w:widowControl w:val="0"/>
        <w:shd w:val="clear" w:color="auto" w:fill="auto"/>
        <w:bidi w:val="0"/>
        <w:spacing w:before="0" w:after="0" w:line="444" w:lineRule="exact"/>
        <w:ind w:left="0" w:right="0" w:firstLine="420"/>
        <w:jc w:val="left"/>
      </w:pPr>
      <w:r>
        <w:rPr>
          <w:color w:val="000000"/>
          <w:spacing w:val="0"/>
          <w:w w:val="100"/>
          <w:position w:val="0"/>
        </w:rPr>
        <w:t>2008年3月19日增加注册资本人民币210万元，变更后的注册资本为人民币3,10 0万元。</w:t>
      </w:r>
    </w:p>
    <w:p>
      <w:pPr>
        <w:pStyle w:val="Style27"/>
        <w:keepNext w:val="0"/>
        <w:keepLines w:val="0"/>
        <w:widowControl w:val="0"/>
        <w:shd w:val="clear" w:color="auto" w:fill="auto"/>
        <w:bidi w:val="0"/>
        <w:spacing w:before="0" w:after="0" w:line="444" w:lineRule="exact"/>
        <w:ind w:left="0" w:right="0" w:firstLine="420"/>
        <w:jc w:val="left"/>
      </w:pPr>
      <w:r>
        <w:rPr>
          <w:color w:val="000000"/>
          <w:spacing w:val="0"/>
          <w:w w:val="100"/>
          <w:position w:val="0"/>
        </w:rPr>
        <w:t>经中国证券监督管理委员会证监许可[2010]955号文核准，本公司于2010年7月26日首次公开发行 1,034万股人民币普通股股票，发行价格为</w:t>
      </w:r>
      <w:r>
        <w:rPr>
          <w:color w:val="000000"/>
          <w:spacing w:val="0"/>
          <w:w w:val="100"/>
          <w:position w:val="0"/>
        </w:rPr>
        <w:t>48.65</w:t>
      </w:r>
      <w:r>
        <w:rPr>
          <w:color w:val="000000"/>
          <w:spacing w:val="0"/>
          <w:w w:val="100"/>
          <w:position w:val="0"/>
        </w:rPr>
        <w:t>元/股。2010年8月6日本公司发行的人民币普通股股票在 深圳证券交易所创业板上市。</w:t>
      </w:r>
    </w:p>
    <w:p>
      <w:pPr>
        <w:pStyle w:val="Style27"/>
        <w:keepNext w:val="0"/>
        <w:keepLines w:val="0"/>
        <w:widowControl w:val="0"/>
        <w:shd w:val="clear" w:color="auto" w:fill="auto"/>
        <w:bidi w:val="0"/>
        <w:spacing w:before="0" w:after="0" w:line="439" w:lineRule="exact"/>
        <w:ind w:left="0" w:right="0" w:firstLine="420"/>
        <w:jc w:val="left"/>
      </w:pPr>
      <w:r>
        <w:rPr>
          <w:color w:val="000000"/>
          <w:spacing w:val="0"/>
          <w:w w:val="100"/>
          <w:position w:val="0"/>
        </w:rPr>
        <w:t>根据2011年3月18日通过的2010年年度股东大会决议，以2010年12月31日股本</w:t>
      </w:r>
      <w:r>
        <w:rPr>
          <w:color w:val="000000"/>
          <w:spacing w:val="0"/>
          <w:w w:val="100"/>
          <w:position w:val="0"/>
        </w:rPr>
        <w:t xml:space="preserve">4,134. </w:t>
      </w:r>
      <w:r>
        <w:rPr>
          <w:color w:val="000000"/>
          <w:spacing w:val="0"/>
          <w:w w:val="100"/>
          <w:position w:val="0"/>
        </w:rPr>
        <w:t>00万股为基数， 按每10股由资本公积转增15股，共计转增</w:t>
      </w:r>
      <w:r>
        <w:rPr>
          <w:color w:val="000000"/>
          <w:spacing w:val="0"/>
          <w:w w:val="100"/>
          <w:position w:val="0"/>
        </w:rPr>
        <w:t>6,201.00</w:t>
      </w:r>
      <w:r>
        <w:rPr>
          <w:color w:val="000000"/>
          <w:spacing w:val="0"/>
          <w:w w:val="100"/>
          <w:position w:val="0"/>
        </w:rPr>
        <w:t>万股。转增后，注册资本增至人民币</w:t>
      </w:r>
      <w:r>
        <w:rPr>
          <w:color w:val="000000"/>
          <w:spacing w:val="0"/>
          <w:w w:val="100"/>
          <w:position w:val="0"/>
        </w:rPr>
        <w:t>103,350,000.00</w:t>
      </w:r>
      <w:r>
        <w:rPr>
          <w:color w:val="000000"/>
          <w:spacing w:val="0"/>
          <w:w w:val="100"/>
          <w:position w:val="0"/>
        </w:rPr>
        <w:t>元。</w:t>
      </w:r>
    </w:p>
    <w:p>
      <w:pPr>
        <w:pStyle w:val="Style27"/>
        <w:keepNext w:val="0"/>
        <w:keepLines w:val="0"/>
        <w:widowControl w:val="0"/>
        <w:shd w:val="clear" w:color="auto" w:fill="auto"/>
        <w:bidi w:val="0"/>
        <w:spacing w:before="0" w:after="0" w:line="439" w:lineRule="exact"/>
        <w:ind w:left="0" w:right="0" w:firstLine="420"/>
        <w:jc w:val="left"/>
      </w:pPr>
      <w:r>
        <w:rPr>
          <w:color w:val="000000"/>
          <w:spacing w:val="0"/>
          <w:w w:val="100"/>
          <w:position w:val="0"/>
        </w:rPr>
        <w:t>经本公司第二届董事会2013年第三次会议、2013年5月10日股东大会决议，本公司以2012年末总股本 为基数，以资本公积向全体股东每10股转增10股股本。</w:t>
      </w:r>
    </w:p>
    <w:p>
      <w:pPr>
        <w:pStyle w:val="Style27"/>
        <w:keepNext w:val="0"/>
        <w:keepLines w:val="0"/>
        <w:widowControl w:val="0"/>
        <w:shd w:val="clear" w:color="auto" w:fill="auto"/>
        <w:bidi w:val="0"/>
        <w:spacing w:before="0" w:after="0" w:line="466" w:lineRule="exact"/>
        <w:ind w:left="0" w:right="0" w:firstLine="420"/>
        <w:jc w:val="left"/>
      </w:pPr>
      <w:r>
        <w:rPr>
          <w:color w:val="000000"/>
          <w:spacing w:val="0"/>
          <w:w w:val="100"/>
          <w:position w:val="0"/>
        </w:rPr>
        <w:t>2013年6月4日，本公司取得变更后的企业法人营业执照，注册号：370924228007290，注册地：高新 区凤祥路以西规划支路以北。</w:t>
      </w:r>
    </w:p>
    <w:p>
      <w:pPr>
        <w:pStyle w:val="Style27"/>
        <w:keepNext w:val="0"/>
        <w:keepLines w:val="0"/>
        <w:widowControl w:val="0"/>
        <w:shd w:val="clear" w:color="auto" w:fill="auto"/>
        <w:bidi w:val="0"/>
        <w:spacing w:before="0" w:after="0" w:line="444" w:lineRule="exact"/>
        <w:ind w:left="0" w:right="0" w:firstLine="380"/>
        <w:jc w:val="left"/>
      </w:pPr>
      <w:r>
        <w:rPr>
          <w:color w:val="000000"/>
          <w:spacing w:val="0"/>
          <w:w w:val="100"/>
          <w:position w:val="0"/>
        </w:rPr>
        <w:t>截至2013年12月31日，本公司注册资本为人民币</w:t>
      </w:r>
      <w:r>
        <w:rPr>
          <w:color w:val="000000"/>
          <w:spacing w:val="0"/>
          <w:w w:val="100"/>
          <w:position w:val="0"/>
        </w:rPr>
        <w:t>206,700,000.00</w:t>
      </w:r>
      <w:r>
        <w:rPr>
          <w:color w:val="000000"/>
          <w:spacing w:val="0"/>
          <w:w w:val="100"/>
          <w:position w:val="0"/>
        </w:rPr>
        <w:t>元，总股本为</w:t>
      </w:r>
      <w:r>
        <w:rPr>
          <w:color w:val="000000"/>
          <w:spacing w:val="0"/>
          <w:w w:val="100"/>
          <w:position w:val="0"/>
        </w:rPr>
        <w:t xml:space="preserve">206,700,000. </w:t>
      </w:r>
      <w:r>
        <w:rPr>
          <w:color w:val="000000"/>
          <w:spacing w:val="0"/>
          <w:w w:val="100"/>
          <w:position w:val="0"/>
        </w:rPr>
        <w:t>00股。</w:t>
      </w:r>
    </w:p>
    <w:p>
      <w:pPr>
        <w:pStyle w:val="Style27"/>
        <w:keepNext w:val="0"/>
        <w:keepLines w:val="0"/>
        <w:widowControl w:val="0"/>
        <w:shd w:val="clear" w:color="auto" w:fill="auto"/>
        <w:bidi w:val="0"/>
        <w:spacing w:before="0" w:after="0" w:line="440" w:lineRule="exact"/>
        <w:ind w:left="0" w:right="0" w:firstLine="420"/>
        <w:jc w:val="left"/>
      </w:pPr>
      <w:r>
        <w:rPr>
          <w:color w:val="000000"/>
          <w:spacing w:val="0"/>
          <w:w w:val="100"/>
          <w:position w:val="0"/>
        </w:rPr>
        <w:t>公司所属行业为专用设备制造行业，经营范围：自动化仪器仪表、计算机软硬件、电子电气设备集成 系统开发、生产、销售、维护；计算机系统集成、机电一体化产品、光学仪器的研发、生产、销售、维修； 自动化应用技术培训、转让、咨询服务；有机高分子材料和无机粉料的混装与销售（危险化学品除外）； 进出口贸易（出口国营贸易经营除外）；房屋租赁；矿山机械、电子产品工程的安装与施工；矿山地质、 水文、粉尘、有害气体的检测；矿山安全防治工程。</w:t>
      </w:r>
    </w:p>
    <w:p>
      <w:pPr>
        <w:pStyle w:val="Style27"/>
        <w:keepNext w:val="0"/>
        <w:keepLines w:val="0"/>
        <w:widowControl w:val="0"/>
        <w:shd w:val="clear" w:color="auto" w:fill="auto"/>
        <w:bidi w:val="0"/>
        <w:spacing w:before="0" w:after="360" w:line="440" w:lineRule="exact"/>
        <w:ind w:left="0" w:right="0" w:firstLine="420"/>
        <w:jc w:val="left"/>
      </w:pPr>
      <w:r>
        <w:rPr>
          <w:color w:val="000000"/>
          <w:spacing w:val="0"/>
          <w:w w:val="100"/>
          <w:position w:val="0"/>
        </w:rPr>
        <w:t>本财务报表业经本公司董事会于2014年3月26日决议批准报出。</w:t>
      </w:r>
    </w:p>
    <w:p>
      <w:pPr>
        <w:pStyle w:val="Style25"/>
        <w:keepNext/>
        <w:keepLines/>
        <w:widowControl w:val="0"/>
        <w:shd w:val="clear" w:color="auto" w:fill="auto"/>
        <w:tabs>
          <w:tab w:pos="495" w:val="left"/>
        </w:tabs>
        <w:bidi w:val="0"/>
        <w:spacing w:before="0" w:after="48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sz w:val="24"/>
          <w:szCs w:val="24"/>
        </w:rPr>
        <w:t>四</w:t>
      </w:r>
      <w:bookmarkEnd w:id="430"/>
      <w:r>
        <w:rPr>
          <w:color w:val="000000"/>
          <w:spacing w:val="0"/>
          <w:w w:val="100"/>
          <w:position w:val="0"/>
          <w:sz w:val="24"/>
          <w:szCs w:val="24"/>
        </w:rPr>
        <w:t>、</w:t>
        <w:tab/>
        <w:t>公司主要会计政策、会计估计和前期差错</w:t>
      </w:r>
      <w:bookmarkEnd w:id="428"/>
      <w:bookmarkEnd w:id="429"/>
      <w:bookmarkEnd w:id="431"/>
    </w:p>
    <w:p>
      <w:pPr>
        <w:pStyle w:val="Style27"/>
        <w:keepNext w:val="0"/>
        <w:keepLines w:val="0"/>
        <w:widowControl w:val="0"/>
        <w:shd w:val="clear" w:color="auto" w:fill="auto"/>
        <w:bidi w:val="0"/>
        <w:spacing w:before="0" w:after="36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、财务报表的编制基础</w:t>
      </w:r>
    </w:p>
    <w:p>
      <w:pPr>
        <w:pStyle w:val="Style27"/>
        <w:keepNext w:val="0"/>
        <w:keepLines w:val="0"/>
        <w:widowControl w:val="0"/>
        <w:shd w:val="clear" w:color="auto" w:fill="auto"/>
        <w:bidi w:val="0"/>
        <w:spacing w:before="0" w:after="0" w:line="434" w:lineRule="exact"/>
        <w:ind w:left="0" w:right="0" w:firstLine="440"/>
        <w:jc w:val="both"/>
      </w:pPr>
      <w:r>
        <w:rPr>
          <w:color w:val="000000"/>
          <w:spacing w:val="0"/>
          <w:w w:val="100"/>
          <w:position w:val="0"/>
        </w:rPr>
        <w:t>本集团财务报表以持续经营假设为基础编制，根据实际发生的交易和事项，按照财政部于2006年2月 15日颁布的《企业会计准则一一基本准则》和38项具体会计准则、其后颁布的企业会计准则应用指南、企 业会计准则解释及其他相关规定（以下合称“企业会计准则”）、以及中国证券监督管理委员会《公开发行 证券的公司信息披露编报规则第15号一一财务报告的一般规定》（2010年修订）的披露规定编制。</w:t>
      </w:r>
    </w:p>
    <w:p>
      <w:pPr>
        <w:pStyle w:val="Style27"/>
        <w:keepNext w:val="0"/>
        <w:keepLines w:val="0"/>
        <w:widowControl w:val="0"/>
        <w:shd w:val="clear" w:color="auto" w:fill="auto"/>
        <w:bidi w:val="0"/>
        <w:spacing w:before="0" w:after="360" w:line="442" w:lineRule="exact"/>
        <w:ind w:left="0" w:right="0" w:firstLine="440"/>
        <w:jc w:val="both"/>
      </w:pPr>
      <w:r>
        <w:rPr>
          <w:color w:val="000000"/>
          <w:spacing w:val="0"/>
          <w:w w:val="100"/>
          <w:position w:val="0"/>
        </w:rPr>
        <w:t>根据企业会计准则的相关规定，本集团会计核算以权责发生制为基础。除某些金融工具外，本财务报 表均以历史成本为计量基础。资产如果发生减值，则按照相关规定计提相应的减值准备。</w:t>
      </w:r>
    </w:p>
    <w:p>
      <w:pPr>
        <w:pStyle w:val="Style36"/>
        <w:keepNext/>
        <w:keepLines/>
        <w:widowControl w:val="0"/>
        <w:shd w:val="clear" w:color="auto" w:fill="auto"/>
        <w:tabs>
          <w:tab w:pos="378" w:val="left"/>
        </w:tabs>
        <w:bidi w:val="0"/>
        <w:spacing w:before="0" w:after="60" w:line="461" w:lineRule="auto"/>
        <w:ind w:left="0" w:right="0" w:firstLine="0"/>
        <w:jc w:val="both"/>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w:t>
        <w:tab/>
        <w:t>遵循企业会计准则的声明</w:t>
      </w:r>
      <w:bookmarkEnd w:id="432"/>
      <w:bookmarkEnd w:id="433"/>
      <w:bookmarkEnd w:id="435"/>
    </w:p>
    <w:p>
      <w:pPr>
        <w:pStyle w:val="Style27"/>
        <w:keepNext w:val="0"/>
        <w:keepLines w:val="0"/>
        <w:widowControl w:val="0"/>
        <w:shd w:val="clear" w:color="auto" w:fill="auto"/>
        <w:bidi w:val="0"/>
        <w:spacing w:before="0" w:after="360" w:line="442" w:lineRule="exact"/>
        <w:ind w:left="0" w:right="0" w:firstLine="440"/>
        <w:jc w:val="both"/>
      </w:pPr>
      <w:r>
        <w:rPr>
          <w:color w:val="000000"/>
          <w:spacing w:val="0"/>
          <w:w w:val="100"/>
          <w:position w:val="0"/>
        </w:rPr>
        <w:t>本集团编制的财务报表符合企业会计准则的要求，真实、完整地反映了本公司及本集团2013年12月31 日的财务状况及2013年度的经营成果和现金流量等有关信息。此外，本公司及本集团的财务报表在所有重 大方面符合中国证券监督管理委员会2010年修订的《公开发行证券的公司信息披露编报规则第15号一财务 报告的一般规定》有关财务报表及其附注的披露要求。</w:t>
      </w:r>
    </w:p>
    <w:p>
      <w:pPr>
        <w:pStyle w:val="Style36"/>
        <w:keepNext/>
        <w:keepLines/>
        <w:widowControl w:val="0"/>
        <w:shd w:val="clear" w:color="auto" w:fill="auto"/>
        <w:tabs>
          <w:tab w:pos="378" w:val="left"/>
        </w:tabs>
        <w:bidi w:val="0"/>
        <w:spacing w:before="0" w:after="60" w:line="461" w:lineRule="auto"/>
        <w:ind w:left="0" w:right="0" w:firstLine="0"/>
        <w:jc w:val="both"/>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3</w:t>
      </w:r>
      <w:bookmarkEnd w:id="438"/>
      <w:r>
        <w:rPr>
          <w:color w:val="000000"/>
          <w:spacing w:val="0"/>
          <w:w w:val="100"/>
          <w:position w:val="0"/>
        </w:rPr>
        <w:t>、</w:t>
        <w:tab/>
        <w:t>会计期间</w:t>
      </w:r>
      <w:bookmarkEnd w:id="436"/>
      <w:bookmarkEnd w:id="437"/>
      <w:bookmarkEnd w:id="439"/>
    </w:p>
    <w:p>
      <w:pPr>
        <w:pStyle w:val="Style27"/>
        <w:keepNext w:val="0"/>
        <w:keepLines w:val="0"/>
        <w:widowControl w:val="0"/>
        <w:shd w:val="clear" w:color="auto" w:fill="auto"/>
        <w:bidi w:val="0"/>
        <w:spacing w:before="0" w:after="360" w:line="422" w:lineRule="exact"/>
        <w:ind w:left="0" w:right="0" w:firstLine="440"/>
        <w:jc w:val="both"/>
      </w:pPr>
      <w:r>
        <w:rPr>
          <w:color w:val="000000"/>
          <w:spacing w:val="0"/>
          <w:w w:val="100"/>
          <w:position w:val="0"/>
        </w:rPr>
        <w:t>本集团的会计期间分为年度和中期，会计中期指短于一个完整的会计年度的报告期间。本集团会计年 度采用公历年度，即每年自1月1日起至12月31日止。</w:t>
      </w:r>
    </w:p>
    <w:p>
      <w:pPr>
        <w:pStyle w:val="Style36"/>
        <w:keepNext/>
        <w:keepLines/>
        <w:widowControl w:val="0"/>
        <w:shd w:val="clear" w:color="auto" w:fill="auto"/>
        <w:tabs>
          <w:tab w:pos="378" w:val="left"/>
        </w:tabs>
        <w:bidi w:val="0"/>
        <w:spacing w:before="0" w:after="60" w:line="461" w:lineRule="auto"/>
        <w:ind w:left="0" w:right="0" w:firstLine="0"/>
        <w:jc w:val="both"/>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4</w:t>
      </w:r>
      <w:bookmarkEnd w:id="442"/>
      <w:r>
        <w:rPr>
          <w:color w:val="000000"/>
          <w:spacing w:val="0"/>
          <w:w w:val="100"/>
          <w:position w:val="0"/>
        </w:rPr>
        <w:t>、</w:t>
        <w:tab/>
        <w:t>记账本位币</w:t>
      </w:r>
      <w:bookmarkEnd w:id="440"/>
      <w:bookmarkEnd w:id="441"/>
      <w:bookmarkEnd w:id="443"/>
    </w:p>
    <w:p>
      <w:pPr>
        <w:pStyle w:val="Style27"/>
        <w:keepNext w:val="0"/>
        <w:keepLines w:val="0"/>
        <w:widowControl w:val="0"/>
        <w:shd w:val="clear" w:color="auto" w:fill="auto"/>
        <w:bidi w:val="0"/>
        <w:spacing w:before="0" w:after="360" w:line="437" w:lineRule="exact"/>
        <w:ind w:left="0" w:right="0" w:firstLine="440"/>
        <w:jc w:val="both"/>
      </w:pPr>
      <w:r>
        <w:rPr>
          <w:color w:val="000000"/>
          <w:spacing w:val="0"/>
          <w:w w:val="100"/>
          <w:position w:val="0"/>
        </w:rPr>
        <w:t>人民币为本公司及境内子公司经营所处的主要经济环境中的货币，本公司及境内子公司以人民币为记 账本位币。本集团编制本财务报表时所采用的货币为人民币。</w:t>
      </w:r>
    </w:p>
    <w:p>
      <w:pPr>
        <w:pStyle w:val="Style36"/>
        <w:keepNext/>
        <w:keepLines/>
        <w:widowControl w:val="0"/>
        <w:shd w:val="clear" w:color="auto" w:fill="auto"/>
        <w:tabs>
          <w:tab w:pos="378" w:val="left"/>
        </w:tabs>
        <w:bidi w:val="0"/>
        <w:spacing w:before="0" w:after="0" w:line="461" w:lineRule="auto"/>
        <w:ind w:left="0" w:right="0" w:firstLine="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5</w:t>
      </w:r>
      <w:bookmarkEnd w:id="446"/>
      <w:r>
        <w:rPr>
          <w:color w:val="000000"/>
          <w:spacing w:val="0"/>
          <w:w w:val="100"/>
          <w:position w:val="0"/>
        </w:rPr>
        <w:t>、</w:t>
        <w:tab/>
        <w:t>同一控制下和非同一控制下企业合并的会计处理方法</w:t>
      </w:r>
      <w:bookmarkEnd w:id="444"/>
      <w:bookmarkEnd w:id="445"/>
      <w:bookmarkEnd w:id="447"/>
    </w:p>
    <w:p>
      <w:pPr>
        <w:pStyle w:val="Style36"/>
        <w:keepNext/>
        <w:keepLines/>
        <w:widowControl w:val="0"/>
        <w:shd w:val="clear" w:color="auto" w:fill="auto"/>
        <w:bidi w:val="0"/>
        <w:spacing w:before="0" w:after="280" w:line="440" w:lineRule="exact"/>
        <w:ind w:left="0" w:right="0" w:firstLine="0"/>
        <w:jc w:val="both"/>
      </w:pPr>
      <w:bookmarkStart w:id="444" w:name="bookmark444"/>
      <w:bookmarkStart w:id="445" w:name="bookmark445"/>
      <w:bookmarkStart w:id="448" w:name="bookmark448"/>
      <w:bookmarkStart w:id="449" w:name="bookmark449"/>
      <w:r>
        <w:rPr>
          <w:color w:val="000000"/>
          <w:spacing w:val="0"/>
          <w:w w:val="100"/>
          <w:position w:val="0"/>
        </w:rPr>
        <w:t>（</w:t>
      </w:r>
      <w:bookmarkEnd w:id="448"/>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444"/>
      <w:bookmarkEnd w:id="445"/>
      <w:bookmarkEnd w:id="449"/>
    </w:p>
    <w:p>
      <w:pPr>
        <w:pStyle w:val="Style27"/>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27"/>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27"/>
        <w:keepNext w:val="0"/>
        <w:keepLines w:val="0"/>
        <w:widowControl w:val="0"/>
        <w:shd w:val="clear" w:color="auto" w:fill="auto"/>
        <w:bidi w:val="0"/>
        <w:spacing w:before="0" w:after="320" w:line="440" w:lineRule="exact"/>
        <w:ind w:left="0" w:right="0" w:firstLine="440"/>
        <w:jc w:val="both"/>
      </w:pPr>
      <w:r>
        <w:rPr>
          <w:color w:val="000000"/>
          <w:spacing w:val="0"/>
          <w:w w:val="100"/>
          <w:position w:val="0"/>
        </w:rPr>
        <w:t>合并方为进行企业合并发生的各项直接费用，于发生时计入当期损益。</w:t>
      </w:r>
    </w:p>
    <w:p>
      <w:pPr>
        <w:pStyle w:val="Style36"/>
        <w:keepNext/>
        <w:keepLines/>
        <w:widowControl w:val="0"/>
        <w:numPr>
          <w:ilvl w:val="0"/>
          <w:numId w:val="17"/>
        </w:numPr>
        <w:shd w:val="clear" w:color="auto" w:fill="auto"/>
        <w:bidi w:val="0"/>
        <w:spacing w:before="0" w:after="280" w:line="439" w:lineRule="exact"/>
        <w:ind w:left="0" w:right="0" w:firstLine="0"/>
        <w:jc w:val="both"/>
      </w:pPr>
      <w:bookmarkStart w:id="450" w:name="bookmark450"/>
      <w:bookmarkStart w:id="451" w:name="bookmark451"/>
      <w:bookmarkStart w:id="452" w:name="bookmark452"/>
      <w:bookmarkStart w:id="453" w:name="bookmark453"/>
      <w:bookmarkEnd w:id="452"/>
      <w:r>
        <w:rPr>
          <w:color w:val="000000"/>
          <w:spacing w:val="0"/>
          <w:w w:val="100"/>
          <w:position w:val="0"/>
        </w:rPr>
        <w:t>非同一控制下的企业合并</w:t>
      </w:r>
      <w:bookmarkEnd w:id="450"/>
      <w:bookmarkEnd w:id="451"/>
      <w:bookmarkEnd w:id="453"/>
    </w:p>
    <w:p>
      <w:pPr>
        <w:pStyle w:val="Style27"/>
        <w:keepNext w:val="0"/>
        <w:keepLines w:val="0"/>
        <w:widowControl w:val="0"/>
        <w:shd w:val="clear" w:color="auto" w:fill="auto"/>
        <w:bidi w:val="0"/>
        <w:spacing w:before="0" w:after="0" w:line="439" w:lineRule="exact"/>
        <w:ind w:left="0" w:right="0" w:firstLine="420"/>
        <w:jc w:val="both"/>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27"/>
        <w:keepNext w:val="0"/>
        <w:keepLines w:val="0"/>
        <w:widowControl w:val="0"/>
        <w:shd w:val="clear" w:color="auto" w:fill="auto"/>
        <w:bidi w:val="0"/>
        <w:spacing w:before="0" w:after="0" w:line="439" w:lineRule="exact"/>
        <w:ind w:left="0" w:right="0" w:firstLine="420"/>
        <w:jc w:val="both"/>
      </w:pPr>
      <w:r>
        <w:rPr>
          <w:color w:val="000000"/>
          <w:spacing w:val="0"/>
          <w:w w:val="100"/>
          <w:position w:val="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值计入合并成本，购买日后12个月内出现对购买日已存在情况的新的或进一步证据而需要调整或有对价 的，相应调整合并商誉。通过多次交换交易分步实现的企业合并，在本集团合并财务报表中，对于购买日 之前持有的被购买方的股权，按照该股权在购买日的公允价值进行重新计量，公允价值与其账面价值的差 额计入购买日所属当期投资收益，同时将与购买日之前持有的被购买方的股权相关的其他综合收益转为当 期投资收益，合并成本为购买日之前持有的被购买方的股权在购买日的公允价值与购买日增持的被购买方 股权在购买日的公允价值之和。</w:t>
      </w:r>
    </w:p>
    <w:p>
      <w:pPr>
        <w:pStyle w:val="Style27"/>
        <w:keepNext w:val="0"/>
        <w:keepLines w:val="0"/>
        <w:widowControl w:val="0"/>
        <w:shd w:val="clear" w:color="auto" w:fill="auto"/>
        <w:bidi w:val="0"/>
        <w:spacing w:before="0" w:after="0" w:line="439" w:lineRule="exact"/>
        <w:ind w:left="0" w:right="0" w:firstLine="420"/>
        <w:jc w:val="both"/>
      </w:pPr>
      <w:r>
        <w:rPr>
          <w:color w:val="000000"/>
          <w:spacing w:val="0"/>
          <w:w w:val="100"/>
          <w:position w:val="0"/>
        </w:rPr>
        <w:t>购买方发生的合并成本及在合并中取得的可辨认净资产按购买日的公允价值计量。合并成本大于合并 中取得的被购买方于购买日可辨认净资产公允价值份额的差额，确认为商誉。合并成本小于合并中取得的 被购买方可辨认净资产公允价值份额的，首先对取得的被购买方各项可辨认资产、负债及或有负债的公允 价值以及合并成本的计量进行复核，复核后合并成本仍小于合并中取得的被购买方可辨认净资产公允价值 份额的，其差额计入当期损益。</w:t>
      </w:r>
    </w:p>
    <w:p>
      <w:pPr>
        <w:pStyle w:val="Style27"/>
        <w:keepNext w:val="0"/>
        <w:keepLines w:val="0"/>
        <w:widowControl w:val="0"/>
        <w:shd w:val="clear" w:color="auto" w:fill="auto"/>
        <w:bidi w:val="0"/>
        <w:spacing w:before="0" w:after="140" w:line="439" w:lineRule="exact"/>
        <w:ind w:left="0" w:right="0" w:firstLine="420"/>
        <w:jc w:val="both"/>
        <w:sectPr>
          <w:footnotePr>
            <w:pos w:val="pageBottom"/>
            <w:numFmt w:val="decimal"/>
            <w:numRestart w:val="continuous"/>
          </w:footnotePr>
          <w:pgSz w:w="11900" w:h="16840"/>
          <w:pgMar w:top="1273" w:right="1068" w:bottom="1460" w:left="1044" w:header="0" w:footer="3" w:gutter="0"/>
          <w:cols w:space="720"/>
          <w:noEndnote/>
          <w:rtlGutter w:val="0"/>
          <w:docGrid w:linePitch="360"/>
        </w:sectPr>
      </w:pPr>
      <w:r>
        <w:rPr>
          <w:color w:val="000000"/>
          <w:spacing w:val="0"/>
          <w:w w:val="100"/>
          <w:position w:val="0"/>
        </w:rPr>
        <w:t>购买方取得被购买方的可抵扣暂时性差异，在购买日因不符合递延所得税资产确认条件而未予确认 的，在购买日后12个月内，如取得新的或进一步的信息表明购买日的相关情况已经存在，预期被购买方在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27"/>
        <w:keepNext w:val="0"/>
        <w:keepLines w:val="0"/>
        <w:widowControl w:val="0"/>
        <w:shd w:val="clear" w:color="auto" w:fill="auto"/>
        <w:tabs>
          <w:tab w:pos="412" w:val="left"/>
        </w:tabs>
        <w:bidi w:val="0"/>
        <w:spacing w:before="0" w:after="160" w:line="442" w:lineRule="exact"/>
        <w:ind w:left="0" w:right="0" w:firstLine="0"/>
        <w:jc w:val="left"/>
      </w:pPr>
      <w:bookmarkStart w:id="454" w:name="bookmark454"/>
      <w:r>
        <w:rPr>
          <w:rFonts w:ascii="Times New Roman" w:eastAsia="Times New Roman" w:hAnsi="Times New Roman" w:cs="Times New Roman"/>
          <w:b/>
          <w:bCs/>
          <w:color w:val="000000"/>
          <w:spacing w:val="0"/>
          <w:w w:val="100"/>
          <w:position w:val="0"/>
        </w:rPr>
        <w:t>6</w:t>
      </w:r>
      <w:bookmarkEnd w:id="454"/>
      <w:r>
        <w:rPr>
          <w:b/>
          <w:bCs/>
          <w:color w:val="000000"/>
          <w:spacing w:val="0"/>
          <w:w w:val="100"/>
          <w:position w:val="0"/>
        </w:rPr>
        <w:t>、</w:t>
        <w:tab/>
        <w:t>分步处置股权至丧失控制权相关的具体会计政策</w:t>
      </w:r>
    </w:p>
    <w:p>
      <w:pPr>
        <w:pStyle w:val="Style27"/>
        <w:keepNext w:val="0"/>
        <w:keepLines w:val="0"/>
        <w:widowControl w:val="0"/>
        <w:numPr>
          <w:ilvl w:val="0"/>
          <w:numId w:val="19"/>
        </w:numPr>
        <w:shd w:val="clear" w:color="auto" w:fill="auto"/>
        <w:tabs>
          <w:tab w:pos="498" w:val="left"/>
        </w:tabs>
        <w:bidi w:val="0"/>
        <w:spacing w:before="0" w:after="160" w:line="442" w:lineRule="exact"/>
        <w:ind w:left="0" w:right="0" w:firstLine="0"/>
        <w:jc w:val="left"/>
      </w:pPr>
      <w:bookmarkStart w:id="455" w:name="bookmark455"/>
      <w:bookmarkEnd w:id="455"/>
      <w:r>
        <w:rPr>
          <w:b/>
          <w:bCs/>
          <w:color w:val="000000"/>
          <w:spacing w:val="0"/>
          <w:w w:val="100"/>
          <w:position w:val="0"/>
        </w:rPr>
        <w:t>“ 一揽子交易"的判断原则</w:t>
      </w:r>
    </w:p>
    <w:p>
      <w:pPr>
        <w:pStyle w:val="Style27"/>
        <w:keepNext w:val="0"/>
        <w:keepLines w:val="0"/>
        <w:widowControl w:val="0"/>
        <w:numPr>
          <w:ilvl w:val="0"/>
          <w:numId w:val="19"/>
        </w:numPr>
        <w:shd w:val="clear" w:color="auto" w:fill="auto"/>
        <w:tabs>
          <w:tab w:pos="498" w:val="left"/>
        </w:tabs>
        <w:bidi w:val="0"/>
        <w:spacing w:before="0" w:after="160" w:line="442" w:lineRule="exact"/>
        <w:ind w:left="0" w:right="0" w:firstLine="0"/>
        <w:jc w:val="left"/>
      </w:pPr>
      <w:bookmarkStart w:id="456" w:name="bookmark456"/>
      <w:bookmarkEnd w:id="456"/>
      <w:r>
        <w:rPr>
          <w:b/>
          <w:bCs/>
          <w:color w:val="000000"/>
          <w:spacing w:val="0"/>
          <w:w w:val="100"/>
          <w:position w:val="0"/>
        </w:rPr>
        <w:t>“ 一揽子交易''的会计处理方法</w:t>
      </w:r>
    </w:p>
    <w:p>
      <w:pPr>
        <w:pStyle w:val="Style27"/>
        <w:keepNext w:val="0"/>
        <w:keepLines w:val="0"/>
        <w:widowControl w:val="0"/>
        <w:numPr>
          <w:ilvl w:val="0"/>
          <w:numId w:val="19"/>
        </w:numPr>
        <w:shd w:val="clear" w:color="auto" w:fill="auto"/>
        <w:tabs>
          <w:tab w:pos="498" w:val="left"/>
        </w:tabs>
        <w:bidi w:val="0"/>
        <w:spacing w:before="0" w:after="160" w:line="442" w:lineRule="exact"/>
        <w:ind w:left="0" w:right="0" w:firstLine="0"/>
        <w:jc w:val="left"/>
      </w:pPr>
      <w:bookmarkStart w:id="457" w:name="bookmark457"/>
      <w:bookmarkEnd w:id="457"/>
      <w:r>
        <w:rPr>
          <w:b/>
          <w:bCs/>
          <w:color w:val="000000"/>
          <w:spacing w:val="0"/>
          <w:w w:val="100"/>
          <w:position w:val="0"/>
        </w:rPr>
        <w:t>非“一揽子交易</w:t>
      </w:r>
      <w:r>
        <w:rPr>
          <w:b/>
          <w:bCs/>
          <w:color w:val="000000"/>
          <w:spacing w:val="0"/>
          <w:w w:val="100"/>
          <w:position w:val="0"/>
        </w:rPr>
        <w:t>"</w:t>
      </w:r>
      <w:r>
        <w:rPr>
          <w:b/>
          <w:bCs/>
          <w:color w:val="000000"/>
          <w:spacing w:val="0"/>
          <w:w w:val="100"/>
          <w:position w:val="0"/>
        </w:rPr>
        <w:t>的会计处理方法</w:t>
      </w:r>
    </w:p>
    <w:p>
      <w:pPr>
        <w:pStyle w:val="Style27"/>
        <w:keepNext w:val="0"/>
        <w:keepLines w:val="0"/>
        <w:widowControl w:val="0"/>
        <w:shd w:val="clear" w:color="auto" w:fill="auto"/>
        <w:tabs>
          <w:tab w:pos="412" w:val="left"/>
        </w:tabs>
        <w:bidi w:val="0"/>
        <w:spacing w:before="0" w:after="160" w:line="442" w:lineRule="exact"/>
        <w:ind w:left="0" w:right="0" w:firstLine="0"/>
        <w:jc w:val="left"/>
      </w:pPr>
      <w:bookmarkStart w:id="458" w:name="bookmark458"/>
      <w:r>
        <w:rPr>
          <w:rFonts w:ascii="Times New Roman" w:eastAsia="Times New Roman" w:hAnsi="Times New Roman" w:cs="Times New Roman"/>
          <w:b/>
          <w:bCs/>
          <w:color w:val="000000"/>
          <w:spacing w:val="0"/>
          <w:w w:val="100"/>
          <w:position w:val="0"/>
        </w:rPr>
        <w:t>7</w:t>
      </w:r>
      <w:bookmarkEnd w:id="458"/>
      <w:r>
        <w:rPr>
          <w:b/>
          <w:bCs/>
          <w:color w:val="000000"/>
          <w:spacing w:val="0"/>
          <w:w w:val="100"/>
          <w:position w:val="0"/>
        </w:rPr>
        <w:t>、</w:t>
        <w:tab/>
        <w:t>合并财务报表的编制方法</w:t>
      </w:r>
    </w:p>
    <w:p>
      <w:pPr>
        <w:pStyle w:val="Style27"/>
        <w:keepNext w:val="0"/>
        <w:keepLines w:val="0"/>
        <w:widowControl w:val="0"/>
        <w:numPr>
          <w:ilvl w:val="0"/>
          <w:numId w:val="21"/>
        </w:numPr>
        <w:shd w:val="clear" w:color="auto" w:fill="auto"/>
        <w:tabs>
          <w:tab w:pos="498" w:val="left"/>
        </w:tabs>
        <w:bidi w:val="0"/>
        <w:spacing w:before="0" w:after="260" w:line="442" w:lineRule="exact"/>
        <w:ind w:left="0" w:right="0" w:firstLine="0"/>
        <w:jc w:val="left"/>
      </w:pPr>
      <w:bookmarkStart w:id="459" w:name="bookmark459"/>
      <w:bookmarkEnd w:id="459"/>
      <w:r>
        <w:rPr>
          <w:b/>
          <w:bCs/>
          <w:color w:val="000000"/>
          <w:spacing w:val="0"/>
          <w:w w:val="100"/>
          <w:position w:val="0"/>
        </w:rPr>
        <w:t>合并财务报表的编制方法</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合并财务报表范围的确定原则：</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合并财务报表的合并范围以控制为基础予以确定。控制是指本公司能够决定被投资单位的财务和经营 政策,并能据以从被投资单位的经营活动中获取利益的权力。合并范围包括本集团及全部子公司。子公司， 是指被本公司控制的企业或主体。</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合并财务报表编制的方法：</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从取得子公司的净资产和生产经营决策的实际控制权之日起，本集团开始将其纳入合并范围；从丧失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量表中，且不调整合并财务报表的期初数和对比数。同一控制下企业合并增加的子公司，其自合并当期期 初至合并日的经营成果和现金流量已经适当地包括在合并利润表和合并现金流量表中，并且同时调整合并 财务报表的期初数和对比数。</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27"/>
        <w:keepNext w:val="0"/>
        <w:keepLines w:val="0"/>
        <w:widowControl w:val="0"/>
        <w:shd w:val="clear" w:color="auto" w:fill="auto"/>
        <w:bidi w:val="0"/>
        <w:spacing w:before="0" w:after="0" w:line="442" w:lineRule="exact"/>
        <w:ind w:left="0" w:right="0" w:firstLine="440"/>
        <w:jc w:val="left"/>
      </w:pPr>
      <w:r>
        <w:rPr>
          <w:color w:val="000000"/>
          <w:spacing w:val="0"/>
          <w:w w:val="100"/>
          <w:position w:val="0"/>
        </w:rPr>
        <w:t>集团内所有重大往来余额、交易及未实现利润在合并财务报表编制时予以抵销。</w:t>
      </w:r>
    </w:p>
    <w:p>
      <w:pPr>
        <w:pStyle w:val="Style27"/>
        <w:keepNext w:val="0"/>
        <w:keepLines w:val="0"/>
        <w:widowControl w:val="0"/>
        <w:shd w:val="clear" w:color="auto" w:fill="auto"/>
        <w:bidi w:val="0"/>
        <w:spacing w:before="0" w:after="160" w:line="442" w:lineRule="exact"/>
        <w:ind w:left="0" w:right="0" w:firstLine="440"/>
        <w:jc w:val="left"/>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合并利润表中净利润项目下以“少数股东损益”项目列示。少数股东分担的子公司的亏损超过了少数股东 在该子公司期初所有者权益中所享有的份额，冲减少数股东权益。</w:t>
      </w:r>
    </w:p>
    <w:p>
      <w:pPr>
        <w:pStyle w:val="Style36"/>
        <w:keepNext/>
        <w:keepLines/>
        <w:widowControl w:val="0"/>
        <w:numPr>
          <w:ilvl w:val="0"/>
          <w:numId w:val="21"/>
        </w:numPr>
        <w:shd w:val="clear" w:color="auto" w:fill="auto"/>
        <w:tabs>
          <w:tab w:pos="498" w:val="left"/>
        </w:tabs>
        <w:bidi w:val="0"/>
        <w:spacing w:before="0" w:after="380" w:line="442" w:lineRule="exact"/>
        <w:ind w:left="0" w:right="0" w:firstLine="0"/>
        <w:jc w:val="left"/>
      </w:pPr>
      <w:bookmarkStart w:id="460" w:name="bookmark460"/>
      <w:bookmarkStart w:id="461" w:name="bookmark461"/>
      <w:bookmarkStart w:id="462" w:name="bookmark462"/>
      <w:bookmarkStart w:id="463" w:name="bookmark463"/>
      <w:bookmarkEnd w:id="462"/>
      <w:r>
        <w:rPr>
          <w:color w:val="000000"/>
          <w:spacing w:val="0"/>
          <w:w w:val="100"/>
          <w:position w:val="0"/>
        </w:rPr>
        <w:t>对同一子公司的股权在连续两个会计年度买入再卖出，或卖出再买入的应披露相关的会计处理方法</w:t>
      </w:r>
      <w:bookmarkEnd w:id="460"/>
      <w:bookmarkEnd w:id="461"/>
      <w:bookmarkEnd w:id="46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389" w:val="left"/>
        </w:tabs>
        <w:bidi w:val="0"/>
        <w:spacing w:before="0" w:after="280" w:line="441" w:lineRule="exact"/>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8</w:t>
      </w:r>
      <w:bookmarkEnd w:id="466"/>
      <w:r>
        <w:rPr>
          <w:color w:val="000000"/>
          <w:spacing w:val="0"/>
          <w:w w:val="100"/>
          <w:position w:val="0"/>
        </w:rPr>
        <w:t>、</w:t>
        <w:tab/>
        <w:t>现金及现金等价物的确定标准</w:t>
      </w:r>
      <w:bookmarkEnd w:id="464"/>
      <w:bookmarkEnd w:id="465"/>
      <w:bookmarkEnd w:id="467"/>
    </w:p>
    <w:p>
      <w:pPr>
        <w:pStyle w:val="Style27"/>
        <w:keepNext w:val="0"/>
        <w:keepLines w:val="0"/>
        <w:widowControl w:val="0"/>
        <w:shd w:val="clear" w:color="auto" w:fill="auto"/>
        <w:bidi w:val="0"/>
        <w:spacing w:before="0" w:after="180" w:line="437" w:lineRule="exact"/>
        <w:ind w:left="0" w:right="0" w:firstLine="440"/>
        <w:jc w:val="both"/>
      </w:pPr>
      <w:r>
        <w:rPr>
          <w:color w:val="000000"/>
          <w:spacing w:val="0"/>
          <w:w w:val="100"/>
          <w:position w:val="0"/>
        </w:rPr>
        <w:t>本集团现金及现金等价物包括库存现金、可以随时用于支付的存款以及本集团持有的期限短（一般为 从购买日起，三个月内到期）、流动性强、易于转换为已知金额的现金、价值变动风险很小的投资。</w:t>
      </w:r>
    </w:p>
    <w:p>
      <w:pPr>
        <w:pStyle w:val="Style36"/>
        <w:keepNext/>
        <w:keepLines/>
        <w:widowControl w:val="0"/>
        <w:shd w:val="clear" w:color="auto" w:fill="auto"/>
        <w:tabs>
          <w:tab w:pos="389" w:val="left"/>
        </w:tabs>
        <w:bidi w:val="0"/>
        <w:spacing w:before="0" w:after="180" w:line="441" w:lineRule="exact"/>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9</w:t>
      </w:r>
      <w:bookmarkEnd w:id="470"/>
      <w:r>
        <w:rPr>
          <w:color w:val="000000"/>
          <w:spacing w:val="0"/>
          <w:w w:val="100"/>
          <w:position w:val="0"/>
        </w:rPr>
        <w:t>、</w:t>
        <w:tab/>
        <w:t>外币业务和外币报表折算</w:t>
      </w:r>
      <w:bookmarkEnd w:id="468"/>
      <w:bookmarkEnd w:id="469"/>
      <w:bookmarkEnd w:id="471"/>
    </w:p>
    <w:p>
      <w:pPr>
        <w:pStyle w:val="Style36"/>
        <w:keepNext/>
        <w:keepLines/>
        <w:widowControl w:val="0"/>
        <w:shd w:val="clear" w:color="auto" w:fill="auto"/>
        <w:tabs>
          <w:tab w:pos="498" w:val="left"/>
        </w:tabs>
        <w:bidi w:val="0"/>
        <w:spacing w:before="0" w:after="360" w:line="441" w:lineRule="exact"/>
        <w:ind w:left="0" w:right="0" w:firstLine="0"/>
        <w:jc w:val="left"/>
      </w:pPr>
      <w:bookmarkStart w:id="468" w:name="bookmark468"/>
      <w:bookmarkStart w:id="469" w:name="bookmark469"/>
      <w:bookmarkStart w:id="472" w:name="bookmark472"/>
      <w:bookmarkStart w:id="473" w:name="bookmark473"/>
      <w:r>
        <w:rPr>
          <w:color w:val="000000"/>
          <w:spacing w:val="0"/>
          <w:w w:val="100"/>
          <w:position w:val="0"/>
        </w:rPr>
        <w:t>（</w:t>
      </w:r>
      <w:bookmarkEnd w:id="472"/>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468"/>
      <w:bookmarkEnd w:id="469"/>
      <w:bookmarkEnd w:id="473"/>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98" w:val="left"/>
        </w:tabs>
        <w:bidi w:val="0"/>
        <w:spacing w:before="0" w:after="360" w:line="441" w:lineRule="exact"/>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w:t>
      </w:r>
      <w:bookmarkEnd w:id="476"/>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474"/>
      <w:bookmarkEnd w:id="475"/>
      <w:bookmarkEnd w:id="47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4" w:val="left"/>
        </w:tabs>
        <w:bidi w:val="0"/>
        <w:spacing w:before="0" w:after="60" w:line="461"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478"/>
      <w:bookmarkEnd w:id="479"/>
      <w:bookmarkEnd w:id="481"/>
    </w:p>
    <w:p>
      <w:pPr>
        <w:pStyle w:val="Style27"/>
        <w:keepNext w:val="0"/>
        <w:keepLines w:val="0"/>
        <w:widowControl w:val="0"/>
        <w:shd w:val="clear" w:color="auto" w:fill="auto"/>
        <w:bidi w:val="0"/>
        <w:spacing w:before="0" w:after="0" w:line="441" w:lineRule="exact"/>
        <w:ind w:left="0" w:right="0" w:firstLine="440"/>
        <w:jc w:val="both"/>
      </w:pPr>
      <w:r>
        <w:rPr>
          <w:color w:val="000000"/>
          <w:spacing w:val="0"/>
          <w:w w:val="100"/>
          <w:position w:val="0"/>
        </w:rPr>
        <w:t>金融资产和金融负债的公允价值确定方法</w:t>
      </w:r>
    </w:p>
    <w:p>
      <w:pPr>
        <w:pStyle w:val="Style27"/>
        <w:keepNext w:val="0"/>
        <w:keepLines w:val="0"/>
        <w:widowControl w:val="0"/>
        <w:shd w:val="clear" w:color="auto" w:fill="auto"/>
        <w:bidi w:val="0"/>
        <w:spacing w:before="0" w:after="180" w:line="441" w:lineRule="exact"/>
        <w:ind w:left="0" w:right="0" w:firstLine="440"/>
        <w:jc w:val="both"/>
      </w:pPr>
      <w:r>
        <w:rPr>
          <w:color w:val="000000"/>
          <w:spacing w:val="0"/>
          <w:w w:val="100"/>
          <w:position w:val="0"/>
        </w:rPr>
        <w:t>公允价值，指在公平交易中，熟悉情况的交易双方自愿进行资产交换或债务清偿的金额。金融工具存 在活跃市场的，本集团采用活跃市场中的报价确定其公允价值。活跃市场中的报价是指易于定期从交易所、 经纪商、行业协会、定价服务机构等获得的价格，且代表了在公平交易中实际发生的市场交易的价格。金 融工具不存在活跃市场的，本集团采用估值技术确定其公允价值。估值技术包括参考熟悉情况并自愿交易 的各方最近进行的市场交易中使用的价格、参照实质上相同的其他金融工具当前的公允价值、现金流量折 现法和期权定价模型等。</w:t>
      </w:r>
    </w:p>
    <w:p>
      <w:pPr>
        <w:pStyle w:val="Style36"/>
        <w:keepNext/>
        <w:keepLines/>
        <w:widowControl w:val="0"/>
        <w:shd w:val="clear" w:color="auto" w:fill="auto"/>
        <w:tabs>
          <w:tab w:pos="498" w:val="left"/>
        </w:tabs>
        <w:bidi w:val="0"/>
        <w:spacing w:before="0" w:after="280" w:line="441" w:lineRule="exact"/>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w:t>
      </w:r>
      <w:bookmarkEnd w:id="484"/>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482"/>
      <w:bookmarkEnd w:id="483"/>
      <w:bookmarkEnd w:id="485"/>
    </w:p>
    <w:p>
      <w:pPr>
        <w:pStyle w:val="Style27"/>
        <w:keepNext w:val="0"/>
        <w:keepLines w:val="0"/>
        <w:widowControl w:val="0"/>
        <w:shd w:val="clear" w:color="auto" w:fill="auto"/>
        <w:bidi w:val="0"/>
        <w:spacing w:before="0" w:after="180" w:line="443" w:lineRule="exact"/>
        <w:ind w:left="0" w:right="0" w:firstLine="440"/>
        <w:jc w:val="both"/>
      </w:pPr>
      <w:r>
        <w:rPr>
          <w:color w:val="000000"/>
          <w:spacing w:val="0"/>
          <w:w w:val="100"/>
          <w:position w:val="0"/>
        </w:rPr>
        <w:t>以常规方式买卖金融资产，按交易日进行会计确认和终止确认。金融资产在初始确认时划分为以公允 价值计量且其变动计入当期损益的金融资产、持有至到期投资、贷款和应收款项以及可供出售金融资产。 初始确认金融资产，以公允价值计量。对于以公允价值计量且其变动计入当期损益的金融资产，相关的交 易费用直接计入当期损益，对于其他类别的金融资产，相关交易费用计入初始确认金额。</w:t>
      </w:r>
    </w:p>
    <w:p>
      <w:pPr>
        <w:pStyle w:val="Style36"/>
        <w:keepNext/>
        <w:keepLines/>
        <w:widowControl w:val="0"/>
        <w:shd w:val="clear" w:color="auto" w:fill="auto"/>
        <w:tabs>
          <w:tab w:pos="498" w:val="left"/>
        </w:tabs>
        <w:bidi w:val="0"/>
        <w:spacing w:before="0" w:after="280" w:line="441" w:lineRule="exact"/>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486"/>
      <w:bookmarkEnd w:id="487"/>
      <w:bookmarkEnd w:id="489"/>
    </w:p>
    <w:p>
      <w:pPr>
        <w:pStyle w:val="Style27"/>
        <w:keepNext w:val="0"/>
        <w:keepLines w:val="0"/>
        <w:widowControl w:val="0"/>
        <w:numPr>
          <w:ilvl w:val="0"/>
          <w:numId w:val="23"/>
        </w:numPr>
        <w:shd w:val="clear" w:color="auto" w:fill="auto"/>
        <w:tabs>
          <w:tab w:pos="832" w:val="left"/>
        </w:tabs>
        <w:bidi w:val="0"/>
        <w:spacing w:before="0" w:after="0" w:line="441" w:lineRule="exact"/>
        <w:ind w:left="0" w:right="0" w:firstLine="440"/>
        <w:jc w:val="both"/>
      </w:pPr>
      <w:bookmarkStart w:id="490" w:name="bookmark490"/>
      <w:bookmarkEnd w:id="490"/>
      <w:r>
        <w:rPr>
          <w:color w:val="000000"/>
          <w:spacing w:val="0"/>
          <w:w w:val="100"/>
          <w:position w:val="0"/>
        </w:rPr>
        <w:t>以公允价值计量且其变动计入当期损益的金融资产</w:t>
      </w:r>
    </w:p>
    <w:p>
      <w:pPr>
        <w:pStyle w:val="Style27"/>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包括交易性金融资产和指定为以公允价值计量且其变动计入当期损益的金融资产。</w:t>
      </w:r>
    </w:p>
    <w:p>
      <w:pPr>
        <w:pStyle w:val="Style27"/>
        <w:keepNext w:val="0"/>
        <w:keepLines w:val="0"/>
        <w:widowControl w:val="0"/>
        <w:numPr>
          <w:ilvl w:val="0"/>
          <w:numId w:val="23"/>
        </w:numPr>
        <w:shd w:val="clear" w:color="auto" w:fill="auto"/>
        <w:tabs>
          <w:tab w:pos="837" w:val="left"/>
        </w:tabs>
        <w:bidi w:val="0"/>
        <w:spacing w:before="0" w:after="0" w:line="441" w:lineRule="exact"/>
        <w:ind w:left="0" w:right="0" w:firstLine="440"/>
        <w:jc w:val="both"/>
      </w:pPr>
      <w:bookmarkStart w:id="491" w:name="bookmark491"/>
      <w:bookmarkEnd w:id="491"/>
      <w:r>
        <w:rPr>
          <w:color w:val="000000"/>
          <w:spacing w:val="0"/>
          <w:w w:val="100"/>
          <w:position w:val="0"/>
        </w:rPr>
        <w:t>持有至到期投资</w:t>
      </w:r>
    </w:p>
    <w:p>
      <w:pPr>
        <w:pStyle w:val="Style27"/>
        <w:keepNext w:val="0"/>
        <w:keepLines w:val="0"/>
        <w:widowControl w:val="0"/>
        <w:shd w:val="clear" w:color="auto" w:fill="auto"/>
        <w:bidi w:val="0"/>
        <w:spacing w:before="0" w:after="220" w:line="441" w:lineRule="exact"/>
        <w:ind w:left="0" w:right="0" w:firstLine="440"/>
        <w:jc w:val="both"/>
      </w:pPr>
      <w:r>
        <w:rPr>
          <w:color w:val="000000"/>
          <w:spacing w:val="0"/>
          <w:w w:val="100"/>
          <w:position w:val="0"/>
        </w:rPr>
        <w:t>是指到期日固定、回收金额固定或可确定，且本集团有明确意图和能力持有至到期的非衍生金融资产。</w:t>
      </w:r>
    </w:p>
    <w:p>
      <w:pPr>
        <w:pStyle w:val="Style27"/>
        <w:keepNext w:val="0"/>
        <w:keepLines w:val="0"/>
        <w:widowControl w:val="0"/>
        <w:numPr>
          <w:ilvl w:val="0"/>
          <w:numId w:val="23"/>
        </w:numPr>
        <w:shd w:val="clear" w:color="auto" w:fill="auto"/>
        <w:tabs>
          <w:tab w:pos="818" w:val="left"/>
        </w:tabs>
        <w:bidi w:val="0"/>
        <w:spacing w:before="0" w:after="0" w:line="444" w:lineRule="exact"/>
        <w:ind w:left="0" w:right="0" w:firstLine="440"/>
        <w:jc w:val="left"/>
      </w:pPr>
      <w:bookmarkStart w:id="492" w:name="bookmark492"/>
      <w:bookmarkEnd w:id="492"/>
      <w:r>
        <w:rPr>
          <w:color w:val="000000"/>
          <w:spacing w:val="0"/>
          <w:w w:val="100"/>
          <w:position w:val="0"/>
        </w:rPr>
        <w:t>贷款和应收款项</w:t>
      </w:r>
    </w:p>
    <w:p>
      <w:pPr>
        <w:pStyle w:val="Style27"/>
        <w:keepNext w:val="0"/>
        <w:keepLines w:val="0"/>
        <w:widowControl w:val="0"/>
        <w:shd w:val="clear" w:color="auto" w:fill="auto"/>
        <w:bidi w:val="0"/>
        <w:spacing w:before="0" w:after="0" w:line="444" w:lineRule="exact"/>
        <w:ind w:left="0" w:right="0" w:firstLine="440"/>
        <w:jc w:val="both"/>
      </w:pPr>
      <w:r>
        <w:rPr>
          <w:color w:val="000000"/>
          <w:spacing w:val="0"/>
          <w:w w:val="100"/>
          <w:position w:val="0"/>
        </w:rPr>
        <w:t>是指在活跃市场中没有报价、回收金额固定或可确定的非衍生金融资产。本集团划分为贷款和应收款 的金融资产包括应收票据、应收账款、应收利息、应收股利及其他应收款等。</w:t>
      </w:r>
    </w:p>
    <w:p>
      <w:pPr>
        <w:pStyle w:val="Style27"/>
        <w:keepNext w:val="0"/>
        <w:keepLines w:val="0"/>
        <w:widowControl w:val="0"/>
        <w:numPr>
          <w:ilvl w:val="0"/>
          <w:numId w:val="23"/>
        </w:numPr>
        <w:shd w:val="clear" w:color="auto" w:fill="auto"/>
        <w:tabs>
          <w:tab w:pos="818" w:val="left"/>
        </w:tabs>
        <w:bidi w:val="0"/>
        <w:spacing w:before="0" w:after="0" w:line="444" w:lineRule="exact"/>
        <w:ind w:left="0" w:right="0" w:firstLine="440"/>
        <w:jc w:val="left"/>
      </w:pPr>
      <w:bookmarkStart w:id="493" w:name="bookmark493"/>
      <w:bookmarkEnd w:id="493"/>
      <w:r>
        <w:rPr>
          <w:color w:val="000000"/>
          <w:spacing w:val="0"/>
          <w:w w:val="100"/>
          <w:position w:val="0"/>
        </w:rPr>
        <w:t>可供出售金融资产</w:t>
      </w:r>
    </w:p>
    <w:p>
      <w:pPr>
        <w:pStyle w:val="Style27"/>
        <w:keepNext w:val="0"/>
        <w:keepLines w:val="0"/>
        <w:widowControl w:val="0"/>
        <w:shd w:val="clear" w:color="auto" w:fill="auto"/>
        <w:bidi w:val="0"/>
        <w:spacing w:before="0" w:after="160" w:line="444" w:lineRule="exact"/>
        <w:ind w:left="0" w:right="0" w:firstLine="440"/>
        <w:jc w:val="both"/>
      </w:pPr>
      <w:r>
        <w:rPr>
          <w:color w:val="000000"/>
          <w:spacing w:val="0"/>
          <w:w w:val="100"/>
          <w:position w:val="0"/>
        </w:rPr>
        <w:t>包括初始确认时即被指定为可供出售的非衍生金融资产，以及除了以公允价值计量且其变动计入当期 损益的金融资产、贷款和应收款项、持有至到期投资以外的金融资产。</w:t>
      </w:r>
    </w:p>
    <w:p>
      <w:pPr>
        <w:pStyle w:val="Style36"/>
        <w:keepNext/>
        <w:keepLines/>
        <w:widowControl w:val="0"/>
        <w:numPr>
          <w:ilvl w:val="0"/>
          <w:numId w:val="21"/>
        </w:numPr>
        <w:shd w:val="clear" w:color="auto" w:fill="auto"/>
        <w:tabs>
          <w:tab w:pos="478" w:val="left"/>
        </w:tabs>
        <w:bidi w:val="0"/>
        <w:spacing w:before="0" w:after="280" w:line="442" w:lineRule="exact"/>
        <w:ind w:left="0" w:right="0" w:firstLine="0"/>
        <w:jc w:val="left"/>
      </w:pPr>
      <w:bookmarkStart w:id="494" w:name="bookmark494"/>
      <w:bookmarkStart w:id="495" w:name="bookmark495"/>
      <w:bookmarkStart w:id="496" w:name="bookmark496"/>
      <w:bookmarkStart w:id="497" w:name="bookmark497"/>
      <w:bookmarkEnd w:id="496"/>
      <w:r>
        <w:rPr>
          <w:color w:val="000000"/>
          <w:spacing w:val="0"/>
          <w:w w:val="100"/>
          <w:position w:val="0"/>
        </w:rPr>
        <w:t>金融资产转移的确认依据和计量方法</w:t>
      </w:r>
      <w:bookmarkEnd w:id="494"/>
      <w:bookmarkEnd w:id="495"/>
      <w:bookmarkEnd w:id="497"/>
    </w:p>
    <w:p>
      <w:pPr>
        <w:pStyle w:val="Style27"/>
        <w:keepNext w:val="0"/>
        <w:keepLines w:val="0"/>
        <w:widowControl w:val="0"/>
        <w:shd w:val="clear" w:color="auto" w:fill="auto"/>
        <w:bidi w:val="0"/>
        <w:spacing w:before="0" w:after="160" w:line="442" w:lineRule="exact"/>
        <w:ind w:left="0" w:right="0" w:firstLine="440"/>
        <w:jc w:val="both"/>
      </w:pPr>
      <w:r>
        <w:rPr>
          <w:color w:val="000000"/>
          <w:spacing w:val="0"/>
          <w:w w:val="100"/>
          <w:position w:val="0"/>
        </w:rPr>
        <w:t>满足下列条件之一的金融资产，予以终止确认：①收取该金融资产现金流量的合同权利终止；②该 金融资产已转移，且将金融资产所有权上几乎所有的风险和报酬转移给转入方；③该金融资产已转移，虽 然企业既没有转移也没有保留金融资产所有权上几乎所有的风险和报酬，但是放弃了对该金融资产控制。</w:t>
      </w:r>
    </w:p>
    <w:p>
      <w:pPr>
        <w:pStyle w:val="Style36"/>
        <w:keepNext/>
        <w:keepLines/>
        <w:widowControl w:val="0"/>
        <w:numPr>
          <w:ilvl w:val="0"/>
          <w:numId w:val="21"/>
        </w:numPr>
        <w:shd w:val="clear" w:color="auto" w:fill="auto"/>
        <w:tabs>
          <w:tab w:pos="478" w:val="left"/>
        </w:tabs>
        <w:bidi w:val="0"/>
        <w:spacing w:before="0" w:after="280" w:line="442" w:lineRule="exact"/>
        <w:ind w:left="0" w:right="0" w:firstLine="0"/>
        <w:jc w:val="left"/>
      </w:pPr>
      <w:bookmarkStart w:id="498" w:name="bookmark498"/>
      <w:bookmarkStart w:id="499" w:name="bookmark499"/>
      <w:bookmarkStart w:id="500" w:name="bookmark500"/>
      <w:bookmarkStart w:id="501" w:name="bookmark501"/>
      <w:bookmarkEnd w:id="500"/>
      <w:r>
        <w:rPr>
          <w:color w:val="000000"/>
          <w:spacing w:val="0"/>
          <w:w w:val="100"/>
          <w:position w:val="0"/>
        </w:rPr>
        <w:t>金融负债终止确认条件</w:t>
      </w:r>
      <w:bookmarkEnd w:id="498"/>
      <w:bookmarkEnd w:id="499"/>
      <w:bookmarkEnd w:id="501"/>
    </w:p>
    <w:p>
      <w:pPr>
        <w:pStyle w:val="Style27"/>
        <w:keepNext w:val="0"/>
        <w:keepLines w:val="0"/>
        <w:widowControl w:val="0"/>
        <w:shd w:val="clear" w:color="auto" w:fill="auto"/>
        <w:bidi w:val="0"/>
        <w:spacing w:before="0" w:after="0" w:line="443" w:lineRule="exact"/>
        <w:ind w:left="0" w:right="0" w:firstLine="440"/>
        <w:jc w:val="left"/>
      </w:pPr>
      <w:r>
        <w:rPr>
          <w:color w:val="000000"/>
          <w:spacing w:val="0"/>
          <w:w w:val="100"/>
          <w:position w:val="0"/>
        </w:rPr>
        <w:t>金融负债的现时义务全部或部分已经解除的，才能终止确认该金融负债或其一部分。本集团(债务人) 与债权人之间签订协议，以承担新金融负债方式替换现存金融负债，且新金融负债与现存金融负债的合同 条款实质上不同的，终止确认现存金融负债，并同时确认新金融负债。</w:t>
      </w:r>
    </w:p>
    <w:p>
      <w:pPr>
        <w:pStyle w:val="Style27"/>
        <w:keepNext w:val="0"/>
        <w:keepLines w:val="0"/>
        <w:widowControl w:val="0"/>
        <w:shd w:val="clear" w:color="auto" w:fill="auto"/>
        <w:bidi w:val="0"/>
        <w:spacing w:before="0" w:after="160" w:line="443" w:lineRule="exact"/>
        <w:ind w:left="0" w:right="0" w:firstLine="440"/>
        <w:jc w:val="left"/>
      </w:pPr>
      <w:r>
        <w:rPr>
          <w:color w:val="000000"/>
          <w:spacing w:val="0"/>
          <w:w w:val="100"/>
          <w:position w:val="0"/>
        </w:rPr>
        <w:t>金融负债全部或部分终止确认的，将终止确认部分的账面价值与支付的对价(包括转出的非现金资产 或承担的新金融负债)之间的差额，计入当期损益。</w:t>
      </w:r>
    </w:p>
    <w:p>
      <w:pPr>
        <w:pStyle w:val="Style36"/>
        <w:keepNext/>
        <w:keepLines/>
        <w:widowControl w:val="0"/>
        <w:numPr>
          <w:ilvl w:val="0"/>
          <w:numId w:val="21"/>
        </w:numPr>
        <w:shd w:val="clear" w:color="auto" w:fill="auto"/>
        <w:tabs>
          <w:tab w:pos="478" w:val="left"/>
        </w:tabs>
        <w:bidi w:val="0"/>
        <w:spacing w:before="0" w:after="280" w:line="442" w:lineRule="exact"/>
        <w:ind w:left="0" w:right="0" w:firstLine="0"/>
        <w:jc w:val="left"/>
      </w:pPr>
      <w:bookmarkStart w:id="502" w:name="bookmark502"/>
      <w:bookmarkStart w:id="503" w:name="bookmark503"/>
      <w:bookmarkStart w:id="504" w:name="bookmark504"/>
      <w:bookmarkStart w:id="505" w:name="bookmark505"/>
      <w:bookmarkEnd w:id="504"/>
      <w:r>
        <w:rPr>
          <w:color w:val="000000"/>
          <w:spacing w:val="0"/>
          <w:w w:val="100"/>
          <w:position w:val="0"/>
        </w:rPr>
        <w:t>金融资产和金融负债公允价值的确定方法</w:t>
      </w:r>
      <w:bookmarkEnd w:id="502"/>
      <w:bookmarkEnd w:id="503"/>
      <w:bookmarkEnd w:id="505"/>
    </w:p>
    <w:p>
      <w:pPr>
        <w:pStyle w:val="Style27"/>
        <w:keepNext w:val="0"/>
        <w:keepLines w:val="0"/>
        <w:widowControl w:val="0"/>
        <w:shd w:val="clear" w:color="auto" w:fill="auto"/>
        <w:bidi w:val="0"/>
        <w:spacing w:before="0" w:after="0" w:line="441" w:lineRule="exact"/>
        <w:ind w:left="0" w:right="0" w:firstLine="440"/>
        <w:jc w:val="left"/>
      </w:pPr>
      <w:r>
        <w:rPr>
          <w:color w:val="000000"/>
          <w:spacing w:val="0"/>
          <w:w w:val="100"/>
          <w:position w:val="0"/>
        </w:rPr>
        <w:t>满足下列条件之一的金融资产，予以终止确认：①收取该金融资产现金流量的合同权利终止；②该 金融资产已转移，且将金融资产所有权上几乎所有的风险和报酬转移给转入方；③该金融资产已转移，虽 然企业既没有转移也没有保留金融资产所有权上几乎所有的风险和报酬，但是放弃了对该金融资产控制。 若企业既没有转移也没有保留金融资产所有权上几乎所有的风险和报酬，且未放弃对该金融资产的控制 的，则按照继续涉入所转移金融资产的程度确认有关金融资产，并相应确认有关负债。继续涉入所转移</w:t>
      </w:r>
    </w:p>
    <w:p>
      <w:pPr>
        <w:pStyle w:val="Style27"/>
        <w:keepNext w:val="0"/>
        <w:keepLines w:val="0"/>
        <w:widowControl w:val="0"/>
        <w:shd w:val="clear" w:color="auto" w:fill="auto"/>
        <w:bidi w:val="0"/>
        <w:spacing w:before="0" w:after="60" w:line="441" w:lineRule="exact"/>
        <w:ind w:left="0" w:right="0" w:firstLine="440"/>
        <w:jc w:val="left"/>
      </w:pPr>
      <w:r>
        <w:rPr>
          <w:color w:val="000000"/>
          <w:spacing w:val="0"/>
          <w:w w:val="100"/>
          <w:position w:val="0"/>
        </w:rPr>
        <w:t>金融资产的程度，是指该金融资产价值变动使企业面临的风险水平。金融资产整体转移满足终止确 认条件的，将所转移金融资产的账面价值及因转移而收到的对价与原计入其他综合收益的公允价值变动累 计额之和的差额计入当期损益。金融资产部分转移满足终止确认条件的，将所转移金融资产的账面价值 在终止确认及未终止确认部分之间按其相对的公允价值进行分摊，并将因转移而收到的对价与应分摊至终 止确认部分的原计入其他综合收益的公允价值变动累计额之和与分摊的前述账面金额之差额计入当期损</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益。</w:t>
      </w:r>
    </w:p>
    <w:p>
      <w:pPr>
        <w:pStyle w:val="Style36"/>
        <w:keepNext/>
        <w:keepLines/>
        <w:widowControl w:val="0"/>
        <w:shd w:val="clear" w:color="auto" w:fill="auto"/>
        <w:tabs>
          <w:tab w:pos="494" w:val="left"/>
        </w:tabs>
        <w:bidi w:val="0"/>
        <w:spacing w:before="0" w:after="280" w:line="440" w:lineRule="exact"/>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w:t>
      </w:r>
      <w:bookmarkEnd w:id="508"/>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06"/>
      <w:bookmarkEnd w:id="507"/>
      <w:bookmarkEnd w:id="509"/>
    </w:p>
    <w:p>
      <w:pPr>
        <w:pStyle w:val="Style27"/>
        <w:keepNext w:val="0"/>
        <w:keepLines w:val="0"/>
        <w:widowControl w:val="0"/>
        <w:shd w:val="clear" w:color="auto" w:fill="auto"/>
        <w:bidi w:val="0"/>
        <w:spacing w:before="0" w:after="0" w:line="440" w:lineRule="exact"/>
        <w:ind w:left="0" w:right="0" w:firstLine="540"/>
        <w:jc w:val="left"/>
      </w:pPr>
      <w:r>
        <w:rPr>
          <w:color w:val="000000"/>
          <w:spacing w:val="0"/>
          <w:w w:val="100"/>
          <w:position w:val="0"/>
        </w:rPr>
        <w:t>除了以公允价值计量且其变动计入当期损益的金融资产外，本集团在每个资产负债表日对其他金融 资产的账面价值进行检查，有客观证据表明金融资产发生减值的，计提减值准备。本集团对单项金额重 大的金融资产单独进行减值测试；对单项金额不重大的金融资产，单独进行减值测试或包括在具有类似信 用风险特征的金融资产组合中进行减值测试。单独测试未发生减值的金融资产（包括单项金额重大和不重 大的金融资产），包括在具有类似信用风险特征的金融资产组合中再进行减值测试。己单项确认减值损失 的金融资产，不包括在具有类似信用风险特征的金融资产组合中进行减值测试。</w:t>
      </w:r>
    </w:p>
    <w:p>
      <w:pPr>
        <w:pStyle w:val="Style27"/>
        <w:keepNext w:val="0"/>
        <w:keepLines w:val="0"/>
        <w:widowControl w:val="0"/>
        <w:shd w:val="clear" w:color="auto" w:fill="auto"/>
        <w:tabs>
          <w:tab w:pos="794" w:val="left"/>
        </w:tabs>
        <w:bidi w:val="0"/>
        <w:spacing w:before="0" w:after="0" w:line="440" w:lineRule="exact"/>
        <w:ind w:left="0" w:right="0" w:firstLine="440"/>
        <w:jc w:val="left"/>
      </w:pPr>
      <w:bookmarkStart w:id="510" w:name="bookmark510"/>
      <w:r>
        <w:rPr>
          <w:color w:val="000000"/>
          <w:spacing w:val="0"/>
          <w:w w:val="100"/>
          <w:position w:val="0"/>
        </w:rPr>
        <w:t>1</w:t>
      </w:r>
      <w:bookmarkEnd w:id="510"/>
      <w:r>
        <w:rPr>
          <w:color w:val="000000"/>
          <w:spacing w:val="0"/>
          <w:w w:val="100"/>
          <w:position w:val="0"/>
        </w:rPr>
        <w:t>、</w:t>
        <w:tab/>
        <w:t>持有至到期投资、贷款和应收款项减值</w:t>
      </w:r>
    </w:p>
    <w:p>
      <w:pPr>
        <w:pStyle w:val="Style27"/>
        <w:keepNext w:val="0"/>
        <w:keepLines w:val="0"/>
        <w:widowControl w:val="0"/>
        <w:shd w:val="clear" w:color="auto" w:fill="auto"/>
        <w:bidi w:val="0"/>
        <w:spacing w:before="0" w:after="0" w:line="440" w:lineRule="exact"/>
        <w:ind w:left="0" w:right="0" w:firstLine="440"/>
        <w:jc w:val="both"/>
      </w:pPr>
      <w:r>
        <w:rPr>
          <w:color w:val="000000"/>
          <w:spacing w:val="0"/>
          <w:w w:val="100"/>
          <w:position w:val="0"/>
        </w:rPr>
        <w:t>以成本或摊余成本计量的金融资产将其账面价值减记至预计未来现金流量现值，减记金额确认为减值 损失，计入当期损益。金融资产在确认减值损失后，如有客观证据表明该金融资产价值已恢复，且客观上 与确认该损失后发生的事项有关，原确认的减值损失予以转回，金融资产转回减值损失后的账面价值不超 过假定不计提减值准备情况下该金融资产在转回日的摊余成本。</w:t>
      </w:r>
    </w:p>
    <w:p>
      <w:pPr>
        <w:pStyle w:val="Style27"/>
        <w:keepNext w:val="0"/>
        <w:keepLines w:val="0"/>
        <w:widowControl w:val="0"/>
        <w:shd w:val="clear" w:color="auto" w:fill="auto"/>
        <w:tabs>
          <w:tab w:pos="809" w:val="left"/>
        </w:tabs>
        <w:bidi w:val="0"/>
        <w:spacing w:before="0" w:after="0" w:line="440" w:lineRule="exact"/>
        <w:ind w:left="0" w:right="0" w:firstLine="440"/>
        <w:jc w:val="both"/>
      </w:pPr>
      <w:bookmarkStart w:id="511" w:name="bookmark511"/>
      <w:r>
        <w:rPr>
          <w:color w:val="000000"/>
          <w:spacing w:val="0"/>
          <w:w w:val="100"/>
          <w:position w:val="0"/>
        </w:rPr>
        <w:t>2</w:t>
      </w:r>
      <w:bookmarkEnd w:id="511"/>
      <w:r>
        <w:rPr>
          <w:color w:val="000000"/>
          <w:spacing w:val="0"/>
          <w:w w:val="100"/>
          <w:position w:val="0"/>
        </w:rPr>
        <w:t>、</w:t>
        <w:tab/>
        <w:t>可供出售金融资产减值</w:t>
      </w:r>
    </w:p>
    <w:p>
      <w:pPr>
        <w:pStyle w:val="Style27"/>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可供出售金融资产发生减值时，将原计入资本公积的因公允价值下降形成的累计损失予以转出并计入 当期损益，该转出的累计损失为该资产初始取得成本扣除已收回本金和已摊销金额、当前公允价值和原己 计入损益的减值损失后的余额。在确认减值损失后，期后如有客观证据表明该金融资产价值已恢复，且客 观上与确认该损失后发生的事项有关，原确认的减值损失予以转回，可供出售权益工具投资的减值损失转 回确认为其他综合收益，可供出售债务工具的减值损失转回计入当期损益。在活跃市场中没有报价且其 公允价值不能可靠计量的权益工具投资，或与该权益工具挂钩并须通过交付该权益工具结算的衍生金融资 产的减值损失，不予转回。</w:t>
      </w:r>
    </w:p>
    <w:p>
      <w:pPr>
        <w:pStyle w:val="Style27"/>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各类可供出售金融资产减值的各项认定标准</w:t>
      </w:r>
    </w:p>
    <w:p>
      <w:pPr>
        <w:pStyle w:val="Style27"/>
        <w:keepNext w:val="0"/>
        <w:keepLines w:val="0"/>
        <w:widowControl w:val="0"/>
        <w:shd w:val="clear" w:color="auto" w:fill="auto"/>
        <w:bidi w:val="0"/>
        <w:spacing w:before="0" w:after="160" w:line="440" w:lineRule="exact"/>
        <w:ind w:left="0" w:right="0" w:firstLine="440"/>
        <w:jc w:val="both"/>
      </w:pPr>
      <w:r>
        <w:rPr>
          <w:color w:val="000000"/>
          <w:spacing w:val="0"/>
          <w:w w:val="100"/>
          <w:position w:val="0"/>
        </w:rPr>
        <w:t>不适用</w:t>
      </w:r>
    </w:p>
    <w:p>
      <w:pPr>
        <w:pStyle w:val="Style36"/>
        <w:keepNext/>
        <w:keepLines/>
        <w:widowControl w:val="0"/>
        <w:shd w:val="clear" w:color="auto" w:fill="auto"/>
        <w:tabs>
          <w:tab w:pos="494" w:val="left"/>
        </w:tabs>
        <w:bidi w:val="0"/>
        <w:spacing w:before="0" w:after="280" w:line="440" w:lineRule="exact"/>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512"/>
      <w:bookmarkEnd w:id="513"/>
      <w:bookmarkEnd w:id="515"/>
    </w:p>
    <w:p>
      <w:pPr>
        <w:pStyle w:val="Style27"/>
        <w:keepNext w:val="0"/>
        <w:keepLines w:val="0"/>
        <w:widowControl w:val="0"/>
        <w:shd w:val="clear" w:color="auto" w:fill="auto"/>
        <w:bidi w:val="0"/>
        <w:spacing w:before="0" w:after="0" w:line="442" w:lineRule="exact"/>
        <w:ind w:left="0" w:right="0" w:firstLine="440"/>
        <w:jc w:val="left"/>
      </w:pPr>
      <w:r>
        <w:rPr>
          <w:color w:val="000000"/>
          <w:spacing w:val="0"/>
          <w:w w:val="100"/>
          <w:position w:val="0"/>
        </w:rPr>
        <w:t>集团存在下列情况之一的，应将尚未到期的持有至到期投资重分类为可供出售金融资产：</w:t>
      </w:r>
    </w:p>
    <w:p>
      <w:pPr>
        <w:pStyle w:val="Style27"/>
        <w:keepNext w:val="0"/>
        <w:keepLines w:val="0"/>
        <w:widowControl w:val="0"/>
        <w:shd w:val="clear" w:color="auto" w:fill="auto"/>
        <w:tabs>
          <w:tab w:pos="794" w:val="left"/>
        </w:tabs>
        <w:bidi w:val="0"/>
        <w:spacing w:before="0" w:after="0" w:line="442" w:lineRule="exact"/>
        <w:ind w:left="0" w:right="0" w:firstLine="440"/>
        <w:jc w:val="left"/>
      </w:pPr>
      <w:bookmarkStart w:id="516" w:name="bookmark516"/>
      <w:r>
        <w:rPr>
          <w:color w:val="000000"/>
          <w:spacing w:val="0"/>
          <w:w w:val="100"/>
          <w:position w:val="0"/>
        </w:rPr>
        <w:t>1</w:t>
      </w:r>
      <w:bookmarkEnd w:id="516"/>
      <w:r>
        <w:rPr>
          <w:color w:val="000000"/>
          <w:spacing w:val="0"/>
          <w:w w:val="100"/>
          <w:position w:val="0"/>
        </w:rPr>
        <w:t>、</w:t>
        <w:tab/>
        <w:t>持有该金融资产的期限不确定</w:t>
      </w:r>
    </w:p>
    <w:p>
      <w:pPr>
        <w:pStyle w:val="Style27"/>
        <w:keepNext w:val="0"/>
        <w:keepLines w:val="0"/>
        <w:widowControl w:val="0"/>
        <w:shd w:val="clear" w:color="auto" w:fill="auto"/>
        <w:tabs>
          <w:tab w:pos="782" w:val="left"/>
        </w:tabs>
        <w:bidi w:val="0"/>
        <w:spacing w:before="0" w:after="0" w:line="442" w:lineRule="exact"/>
        <w:ind w:left="0" w:right="0" w:firstLine="440"/>
        <w:jc w:val="left"/>
      </w:pPr>
      <w:bookmarkStart w:id="517" w:name="bookmark517"/>
      <w:r>
        <w:rPr>
          <w:color w:val="000000"/>
          <w:spacing w:val="0"/>
          <w:w w:val="100"/>
          <w:position w:val="0"/>
        </w:rPr>
        <w:t>2</w:t>
      </w:r>
      <w:bookmarkEnd w:id="517"/>
      <w:r>
        <w:rPr>
          <w:color w:val="000000"/>
          <w:spacing w:val="0"/>
          <w:w w:val="100"/>
          <w:position w:val="0"/>
        </w:rPr>
        <w:t>、</w:t>
        <w:tab/>
        <w:t>发生市场利率变化、流动性需要变化、替代投资机会及其投资收益率变化、融资来源和条件变化、 外汇风险变化等</w:t>
      </w:r>
    </w:p>
    <w:p>
      <w:pPr>
        <w:pStyle w:val="Style27"/>
        <w:keepNext w:val="0"/>
        <w:keepLines w:val="0"/>
        <w:widowControl w:val="0"/>
        <w:shd w:val="clear" w:color="auto" w:fill="auto"/>
        <w:tabs>
          <w:tab w:pos="809" w:val="left"/>
        </w:tabs>
        <w:bidi w:val="0"/>
        <w:spacing w:before="0" w:after="0" w:line="442" w:lineRule="exact"/>
        <w:ind w:left="0" w:right="0" w:firstLine="440"/>
        <w:jc w:val="left"/>
      </w:pPr>
      <w:bookmarkStart w:id="518" w:name="bookmark518"/>
      <w:r>
        <w:rPr>
          <w:color w:val="000000"/>
          <w:spacing w:val="0"/>
          <w:w w:val="100"/>
          <w:position w:val="0"/>
        </w:rPr>
        <w:t>3</w:t>
      </w:r>
      <w:bookmarkEnd w:id="518"/>
      <w:r>
        <w:rPr>
          <w:color w:val="000000"/>
          <w:spacing w:val="0"/>
          <w:w w:val="100"/>
          <w:position w:val="0"/>
        </w:rPr>
        <w:t>、</w:t>
        <w:tab/>
        <w:t>金融资产的发行方可以按照明显低于其摊余成本的金额清偿</w:t>
      </w:r>
    </w:p>
    <w:p>
      <w:pPr>
        <w:pStyle w:val="Style27"/>
        <w:keepNext w:val="0"/>
        <w:keepLines w:val="0"/>
        <w:widowControl w:val="0"/>
        <w:shd w:val="clear" w:color="auto" w:fill="auto"/>
        <w:tabs>
          <w:tab w:pos="809" w:val="left"/>
        </w:tabs>
        <w:bidi w:val="0"/>
        <w:spacing w:before="0" w:after="0" w:line="442" w:lineRule="exact"/>
        <w:ind w:left="0" w:right="0" w:firstLine="440"/>
        <w:jc w:val="left"/>
      </w:pPr>
      <w:bookmarkStart w:id="519" w:name="bookmark519"/>
      <w:r>
        <w:rPr>
          <w:color w:val="000000"/>
          <w:spacing w:val="0"/>
          <w:w w:val="100"/>
          <w:position w:val="0"/>
        </w:rPr>
        <w:t>4</w:t>
      </w:r>
      <w:bookmarkEnd w:id="519"/>
      <w:r>
        <w:rPr>
          <w:color w:val="000000"/>
          <w:spacing w:val="0"/>
          <w:w w:val="100"/>
          <w:position w:val="0"/>
        </w:rPr>
        <w:t>、</w:t>
        <w:tab/>
        <w:t>没有可利用的财务资源持续地为金融资产投资提供资金支持，以使金融资产投资持有至到期</w:t>
      </w:r>
    </w:p>
    <w:p>
      <w:pPr>
        <w:pStyle w:val="Style27"/>
        <w:keepNext w:val="0"/>
        <w:keepLines w:val="0"/>
        <w:widowControl w:val="0"/>
        <w:shd w:val="clear" w:color="auto" w:fill="auto"/>
        <w:tabs>
          <w:tab w:pos="809" w:val="left"/>
        </w:tabs>
        <w:bidi w:val="0"/>
        <w:spacing w:before="0" w:after="220" w:line="442" w:lineRule="exact"/>
        <w:ind w:left="0" w:right="0" w:firstLine="440"/>
        <w:jc w:val="left"/>
      </w:pPr>
      <w:bookmarkStart w:id="520" w:name="bookmark520"/>
      <w:r>
        <w:rPr>
          <w:color w:val="000000"/>
          <w:spacing w:val="0"/>
          <w:w w:val="100"/>
          <w:position w:val="0"/>
        </w:rPr>
        <w:t>5</w:t>
      </w:r>
      <w:bookmarkEnd w:id="520"/>
      <w:r>
        <w:rPr>
          <w:color w:val="000000"/>
          <w:spacing w:val="0"/>
          <w:w w:val="100"/>
          <w:position w:val="0"/>
        </w:rPr>
        <w:t>、</w:t>
        <w:tab/>
        <w:t>受法律、行政法规的限制，使本集团难以将金融资产投资持有至到期</w:t>
      </w:r>
    </w:p>
    <w:p>
      <w:pPr>
        <w:pStyle w:val="Style27"/>
        <w:keepNext w:val="0"/>
        <w:keepLines w:val="0"/>
        <w:widowControl w:val="0"/>
        <w:shd w:val="clear" w:color="auto" w:fill="auto"/>
        <w:bidi w:val="0"/>
        <w:spacing w:before="0" w:after="360" w:line="442" w:lineRule="exact"/>
        <w:ind w:left="0" w:right="0" w:firstLine="420"/>
        <w:jc w:val="left"/>
      </w:pPr>
      <w:bookmarkStart w:id="521" w:name="bookmark521"/>
      <w:r>
        <w:rPr>
          <w:color w:val="000000"/>
          <w:spacing w:val="0"/>
          <w:w w:val="100"/>
          <w:position w:val="0"/>
        </w:rPr>
        <w:t>6</w:t>
      </w:r>
      <w:bookmarkEnd w:id="521"/>
      <w:r>
        <w:rPr>
          <w:color w:val="000000"/>
          <w:spacing w:val="0"/>
          <w:w w:val="100"/>
          <w:position w:val="0"/>
        </w:rPr>
        <w:t>、其他表明本集团没有能力将固定期限的金融资产投资持有至到期的情况</w:t>
      </w:r>
    </w:p>
    <w:p>
      <w:pPr>
        <w:pStyle w:val="Style36"/>
        <w:keepNext/>
        <w:keepLines/>
        <w:widowControl w:val="0"/>
        <w:shd w:val="clear" w:color="auto" w:fill="auto"/>
        <w:bidi w:val="0"/>
        <w:spacing w:before="0" w:after="60" w:line="461"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w:t>
      </w:r>
      <w:bookmarkEnd w:id="524"/>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22"/>
      <w:bookmarkEnd w:id="523"/>
      <w:bookmarkEnd w:id="525"/>
    </w:p>
    <w:p>
      <w:pPr>
        <w:pStyle w:val="Style27"/>
        <w:keepNext w:val="0"/>
        <w:keepLines w:val="0"/>
        <w:widowControl w:val="0"/>
        <w:shd w:val="clear" w:color="auto" w:fill="auto"/>
        <w:tabs>
          <w:tab w:pos="908" w:val="left"/>
        </w:tabs>
        <w:bidi w:val="0"/>
        <w:spacing w:before="0" w:after="0" w:line="442" w:lineRule="exact"/>
        <w:ind w:left="0" w:right="0" w:firstLine="420"/>
        <w:jc w:val="left"/>
      </w:pPr>
      <w:bookmarkStart w:id="526" w:name="bookmark526"/>
      <w:r>
        <w:rPr>
          <w:color w:val="000000"/>
          <w:spacing w:val="0"/>
          <w:w w:val="100"/>
          <w:position w:val="0"/>
        </w:rPr>
        <w:t>（</w:t>
      </w:r>
      <w:bookmarkEnd w:id="526"/>
      <w:r>
        <w:rPr>
          <w:color w:val="000000"/>
          <w:spacing w:val="0"/>
          <w:w w:val="100"/>
          <w:position w:val="0"/>
        </w:rPr>
        <w:t>1）</w:t>
        <w:tab/>
        <w:t>坏账准备的确认标准</w:t>
      </w:r>
    </w:p>
    <w:p>
      <w:pPr>
        <w:pStyle w:val="Style27"/>
        <w:keepNext w:val="0"/>
        <w:keepLines w:val="0"/>
        <w:widowControl w:val="0"/>
        <w:shd w:val="clear" w:color="auto" w:fill="auto"/>
        <w:bidi w:val="0"/>
        <w:spacing w:before="0" w:after="0" w:line="442" w:lineRule="exact"/>
        <w:ind w:left="0" w:right="0" w:firstLine="420"/>
        <w:jc w:val="both"/>
      </w:pPr>
      <w:r>
        <w:rPr>
          <w:color w:val="000000"/>
          <w:spacing w:val="0"/>
          <w:w w:val="100"/>
          <w:position w:val="0"/>
        </w:rPr>
        <w:t>本集团在资产负债表日对应收款项账面价值进行检查，对存在下列客观证据表明应收款项发生减值 的，计提减值准备：①债务人发生严重的财务困难；②债务人违反合同条款（如偿付利息或本金发生违约 或逾期等）；③债务人很可能倒闭或进行其他财务重组；④其他表明应收款项发生减值的客观依据。</w:t>
      </w:r>
    </w:p>
    <w:p>
      <w:pPr>
        <w:pStyle w:val="Style27"/>
        <w:keepNext w:val="0"/>
        <w:keepLines w:val="0"/>
        <w:widowControl w:val="0"/>
        <w:shd w:val="clear" w:color="auto" w:fill="auto"/>
        <w:tabs>
          <w:tab w:pos="908" w:val="left"/>
        </w:tabs>
        <w:bidi w:val="0"/>
        <w:spacing w:before="0" w:after="0" w:line="442" w:lineRule="exact"/>
        <w:ind w:left="0" w:right="0" w:firstLine="420"/>
        <w:jc w:val="both"/>
      </w:pPr>
      <w:bookmarkStart w:id="527" w:name="bookmark527"/>
      <w:r>
        <w:rPr>
          <w:color w:val="000000"/>
          <w:spacing w:val="0"/>
          <w:w w:val="100"/>
          <w:position w:val="0"/>
        </w:rPr>
        <w:t>（</w:t>
      </w:r>
      <w:bookmarkEnd w:id="527"/>
      <w:r>
        <w:rPr>
          <w:color w:val="000000"/>
          <w:spacing w:val="0"/>
          <w:w w:val="100"/>
          <w:position w:val="0"/>
        </w:rPr>
        <w:t>2）</w:t>
        <w:tab/>
        <w:t>坏账准备的计提方法</w:t>
      </w:r>
    </w:p>
    <w:p>
      <w:pPr>
        <w:pStyle w:val="Style27"/>
        <w:keepNext w:val="0"/>
        <w:keepLines w:val="0"/>
        <w:widowControl w:val="0"/>
        <w:numPr>
          <w:ilvl w:val="0"/>
          <w:numId w:val="25"/>
        </w:numPr>
        <w:shd w:val="clear" w:color="auto" w:fill="auto"/>
        <w:tabs>
          <w:tab w:pos="812" w:val="left"/>
        </w:tabs>
        <w:bidi w:val="0"/>
        <w:spacing w:before="0" w:after="0" w:line="442" w:lineRule="exact"/>
        <w:ind w:left="0" w:right="0" w:firstLine="420"/>
        <w:jc w:val="both"/>
      </w:pPr>
      <w:bookmarkStart w:id="528" w:name="bookmark528"/>
      <w:bookmarkEnd w:id="528"/>
      <w:r>
        <w:rPr>
          <w:color w:val="000000"/>
          <w:spacing w:val="0"/>
          <w:w w:val="100"/>
          <w:position w:val="0"/>
        </w:rPr>
        <w:t>单项金额重大并单项计提坏账准备的应收款项坏账准备的确认标准、计提方法</w:t>
      </w:r>
    </w:p>
    <w:p>
      <w:pPr>
        <w:pStyle w:val="Style27"/>
        <w:keepNext w:val="0"/>
        <w:keepLines w:val="0"/>
        <w:widowControl w:val="0"/>
        <w:shd w:val="clear" w:color="auto" w:fill="auto"/>
        <w:bidi w:val="0"/>
        <w:spacing w:before="0" w:after="0" w:line="442" w:lineRule="exact"/>
        <w:ind w:left="0" w:right="0" w:firstLine="420"/>
        <w:jc w:val="both"/>
      </w:pPr>
      <w:r>
        <w:rPr>
          <w:color w:val="000000"/>
          <w:spacing w:val="0"/>
          <w:w w:val="100"/>
          <w:position w:val="0"/>
        </w:rPr>
        <w:t>本集团将金额为人民币50万元以上的应收款项确认为单项金额重大的应收款项。</w:t>
      </w:r>
    </w:p>
    <w:p>
      <w:pPr>
        <w:pStyle w:val="Style27"/>
        <w:keepNext w:val="0"/>
        <w:keepLines w:val="0"/>
        <w:widowControl w:val="0"/>
        <w:shd w:val="clear" w:color="auto" w:fill="auto"/>
        <w:bidi w:val="0"/>
        <w:spacing w:before="0" w:after="0" w:line="442" w:lineRule="exact"/>
        <w:ind w:left="0" w:right="0" w:firstLine="420"/>
        <w:jc w:val="both"/>
      </w:pPr>
      <w:r>
        <w:rPr>
          <w:color w:val="000000"/>
          <w:spacing w:val="0"/>
          <w:w w:val="100"/>
          <w:position w:val="0"/>
        </w:rPr>
        <w:t>本集团对单项金额重大的应收款项单独进行减值测试，单独测试未发生减值的金融资产，包括在具有 类似信用风险特征的金融资产组合中进行减值测试。单项测试已确认减值损失的应收款项，不再包括在具 有类似信用风险特征的应收款项组合中进行减值测试。</w:t>
      </w:r>
    </w:p>
    <w:p>
      <w:pPr>
        <w:pStyle w:val="Style27"/>
        <w:keepNext w:val="0"/>
        <w:keepLines w:val="0"/>
        <w:widowControl w:val="0"/>
        <w:numPr>
          <w:ilvl w:val="0"/>
          <w:numId w:val="25"/>
        </w:numPr>
        <w:shd w:val="clear" w:color="auto" w:fill="auto"/>
        <w:tabs>
          <w:tab w:pos="817" w:val="left"/>
        </w:tabs>
        <w:bidi w:val="0"/>
        <w:spacing w:before="0" w:after="0" w:line="442" w:lineRule="exact"/>
        <w:ind w:left="0" w:right="0" w:firstLine="420"/>
        <w:jc w:val="left"/>
      </w:pPr>
      <w:bookmarkStart w:id="529" w:name="bookmark529"/>
      <w:bookmarkEnd w:id="529"/>
      <w:r>
        <w:rPr>
          <w:color w:val="000000"/>
          <w:spacing w:val="0"/>
          <w:w w:val="100"/>
          <w:position w:val="0"/>
        </w:rPr>
        <w:t>按信用风险组合计提坏账准备的应收款项的确定依据、坏账准备计提方法</w:t>
      </w:r>
    </w:p>
    <w:p>
      <w:pPr>
        <w:pStyle w:val="Style27"/>
        <w:keepNext w:val="0"/>
        <w:keepLines w:val="0"/>
        <w:widowControl w:val="0"/>
        <w:shd w:val="clear" w:color="auto" w:fill="auto"/>
        <w:bidi w:val="0"/>
        <w:spacing w:before="0" w:after="0" w:line="442" w:lineRule="exact"/>
        <w:ind w:left="0" w:right="0" w:firstLine="420"/>
        <w:jc w:val="left"/>
      </w:pPr>
      <w:r>
        <w:rPr>
          <w:color w:val="000000"/>
          <w:spacing w:val="0"/>
          <w:w w:val="100"/>
          <w:position w:val="0"/>
        </w:rPr>
        <w:t>A.</w:t>
      </w:r>
      <w:r>
        <w:rPr>
          <w:color w:val="000000"/>
          <w:spacing w:val="0"/>
          <w:w w:val="100"/>
          <w:position w:val="0"/>
        </w:rPr>
        <w:t>信用风险特征组合的确定依据</w:t>
      </w:r>
    </w:p>
    <w:p>
      <w:pPr>
        <w:pStyle w:val="Style27"/>
        <w:keepNext w:val="0"/>
        <w:keepLines w:val="0"/>
        <w:widowControl w:val="0"/>
        <w:shd w:val="clear" w:color="auto" w:fill="auto"/>
        <w:bidi w:val="0"/>
        <w:spacing w:before="0" w:after="200" w:line="442" w:lineRule="exact"/>
        <w:ind w:left="0" w:right="0" w:firstLine="420"/>
        <w:jc w:val="both"/>
      </w:pPr>
      <w:r>
        <w:rPr>
          <w:color w:val="000000"/>
          <w:spacing w:val="0"/>
          <w:w w:val="100"/>
          <w:position w:val="0"/>
        </w:rPr>
        <w:t xml:space="preserve">本集团对单项金额不重大以及金额重大但单项测试未发生减值的应收款项，按信用风险特征的相似性 和相关性对金融资产进行分组。这些信用风险通常反映债务人按照该等资产的合同条款偿还所有到期金额 </w:t>
      </w:r>
      <w:r>
        <w:rPr>
          <w:color w:val="000000"/>
          <w:spacing w:val="0"/>
          <w:w w:val="100"/>
          <w:position w:val="0"/>
        </w:rPr>
        <w:t>的能力，并且与被检查资产的未来现金流量测算相关。</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不同组合的确定依据：</w:t>
      </w:r>
    </w:p>
    <w:tbl>
      <w:tblPr>
        <w:tblOverlap w:val="never"/>
        <w:jc w:val="center"/>
        <w:tblLayout w:type="fixed"/>
      </w:tblPr>
      <w:tblGrid>
        <w:gridCol w:w="5059"/>
        <w:gridCol w:w="45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确定组合的依据</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单项金额重大并单项计提坏账准备的计提方法</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本集团对单项金额重大的应收款项单独进行减值测试， 单独测试未发生减值的金融资产，包括在具有类似信用 风险特征的金融资产组合中进行减值测试。单项测试已 确认减值损失的应收款项，不再包括在具有类似信用风 险特征的应收款项组合中进行减值测试。</w:t>
            </w:r>
          </w:p>
        </w:tc>
      </w:tr>
    </w:tbl>
    <w:p>
      <w:pPr>
        <w:pStyle w:val="Style34"/>
        <w:keepNext w:val="0"/>
        <w:keepLines w:val="0"/>
        <w:widowControl w:val="0"/>
        <w:shd w:val="clear" w:color="auto" w:fill="auto"/>
        <w:bidi w:val="0"/>
        <w:spacing w:before="0" w:after="0" w:line="240" w:lineRule="auto"/>
        <w:ind w:left="9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）按组合计提坏账准备的应收款项</w:t>
      </w:r>
    </w:p>
    <w:p>
      <w:pPr>
        <w:widowControl w:val="0"/>
        <w:spacing w:after="279" w:line="1" w:lineRule="exact"/>
      </w:pPr>
    </w:p>
    <w:tbl>
      <w:tblPr>
        <w:tblOverlap w:val="never"/>
        <w:jc w:val="center"/>
        <w:tblLayout w:type="fixed"/>
      </w:tblPr>
      <w:tblGrid>
        <w:gridCol w:w="2602"/>
        <w:gridCol w:w="2184"/>
        <w:gridCol w:w="479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按组合计提坏账准备的 计提方法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r>
      <w:tr>
        <w:trPr>
          <w:trHeight w:val="398"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以账龄为基准确定信用风险特征组合</w:t>
            </w:r>
          </w:p>
        </w:tc>
      </w:tr>
      <w:tr>
        <w:trPr>
          <w:trHeight w:val="413"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其他方法</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以合并范围内关联方为基准确定信用风险特征组合</w:t>
            </w:r>
          </w:p>
        </w:tc>
      </w:tr>
    </w:tbl>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V</w:t>
      </w:r>
      <w:r>
        <w:rPr>
          <w:color w:val="000000"/>
          <w:spacing w:val="0"/>
          <w:w w:val="100"/>
          <w:position w:val="0"/>
        </w:rPr>
        <w:t>适用口不适用</w:t>
      </w:r>
    </w:p>
    <w:tbl>
      <w:tblPr>
        <w:tblOverlap w:val="never"/>
        <w:jc w:val="center"/>
        <w:tblLayout w:type="fixed"/>
      </w:tblPr>
      <w:tblGrid>
        <w:gridCol w:w="2602"/>
        <w:gridCol w:w="2976"/>
        <w:gridCol w:w="4003"/>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numPr>
          <w:ilvl w:val="0"/>
          <w:numId w:val="17"/>
        </w:numPr>
        <w:shd w:val="clear" w:color="auto" w:fill="auto"/>
        <w:bidi w:val="0"/>
        <w:spacing w:before="0" w:after="360" w:line="240" w:lineRule="auto"/>
        <w:ind w:left="0" w:right="0" w:firstLine="0"/>
        <w:jc w:val="left"/>
      </w:pPr>
      <w:bookmarkStart w:id="530" w:name="bookmark530"/>
      <w:bookmarkStart w:id="531" w:name="bookmark531"/>
      <w:bookmarkStart w:id="532" w:name="bookmark532"/>
      <w:bookmarkStart w:id="533" w:name="bookmark533"/>
      <w:bookmarkEnd w:id="532"/>
      <w:r>
        <w:rPr>
          <w:color w:val="000000"/>
          <w:spacing w:val="0"/>
          <w:w w:val="100"/>
          <w:position w:val="0"/>
        </w:rPr>
        <w:t>单项金额虽不重大但单项计提坏账准备的应收账款</w:t>
      </w:r>
      <w:bookmarkEnd w:id="530"/>
      <w:bookmarkEnd w:id="531"/>
      <w:bookmarkEnd w:id="533"/>
    </w:p>
    <w:tbl>
      <w:tblPr>
        <w:tblOverlap w:val="never"/>
        <w:jc w:val="center"/>
        <w:tblLayout w:type="fixed"/>
      </w:tblPr>
      <w:tblGrid>
        <w:gridCol w:w="3355"/>
        <w:gridCol w:w="622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单项计提坏账准备的理由</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本集团对存在如下特征的单项金额虽不重大的应收款项，考虑其未来可收回 的风险，计提坏账准备：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、与对方存在争议或涉及诉讼、仲裁的应收款项；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、已有明显迹象表明债务人很可能无法履行还款义务的应收款项。</w:t>
            </w:r>
          </w:p>
        </w:tc>
      </w:tr>
      <w:tr>
        <w:trPr>
          <w:trHeight w:val="165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坏账准备的计提方法</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本集团对于单项金额虽不重大但具备以下特征的应收款项，单独进行减值测 试，有客观证据表明其发生了减值的，根据其未来现金流量现值低于其账面 价值的差额，确认减值损失，计提坏账准备：应收关联方款项；与对方存在 争议或涉及诉讼、仲裁的应收款项；已有明显迹象表明债务人很可能无法履 行还款义务的应收款项；等等。</w:t>
            </w:r>
          </w:p>
        </w:tc>
      </w:tr>
    </w:tbl>
    <w:p>
      <w:pPr>
        <w:widowControl w:val="0"/>
        <w:spacing w:after="139" w:line="1" w:lineRule="exact"/>
      </w:pPr>
    </w:p>
    <w:p>
      <w:pPr>
        <w:pStyle w:val="Style36"/>
        <w:keepNext/>
        <w:keepLines/>
        <w:widowControl w:val="0"/>
        <w:shd w:val="clear" w:color="auto" w:fill="auto"/>
        <w:bidi w:val="0"/>
        <w:spacing w:before="0" w:after="140" w:line="443" w:lineRule="exact"/>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534"/>
      <w:bookmarkEnd w:id="535"/>
      <w:bookmarkEnd w:id="537"/>
    </w:p>
    <w:p>
      <w:pPr>
        <w:pStyle w:val="Style36"/>
        <w:keepNext/>
        <w:keepLines/>
        <w:widowControl w:val="0"/>
        <w:numPr>
          <w:ilvl w:val="0"/>
          <w:numId w:val="27"/>
        </w:numPr>
        <w:shd w:val="clear" w:color="auto" w:fill="auto"/>
        <w:tabs>
          <w:tab w:pos="498" w:val="left"/>
        </w:tabs>
        <w:bidi w:val="0"/>
        <w:spacing w:before="0" w:after="140" w:line="443" w:lineRule="exact"/>
        <w:ind w:left="0" w:right="0" w:firstLine="0"/>
        <w:jc w:val="left"/>
      </w:pPr>
      <w:bookmarkStart w:id="534" w:name="bookmark534"/>
      <w:bookmarkStart w:id="535" w:name="bookmark535"/>
      <w:bookmarkStart w:id="538" w:name="bookmark538"/>
      <w:bookmarkStart w:id="539" w:name="bookmark539"/>
      <w:bookmarkEnd w:id="538"/>
      <w:r>
        <w:rPr>
          <w:color w:val="000000"/>
          <w:spacing w:val="0"/>
          <w:w w:val="100"/>
          <w:position w:val="0"/>
        </w:rPr>
        <w:t>存货的分类</w:t>
      </w:r>
      <w:bookmarkEnd w:id="534"/>
      <w:bookmarkEnd w:id="535"/>
      <w:bookmarkEnd w:id="539"/>
    </w:p>
    <w:p>
      <w:pPr>
        <w:pStyle w:val="Style27"/>
        <w:keepNext w:val="0"/>
        <w:keepLines w:val="0"/>
        <w:widowControl w:val="0"/>
        <w:shd w:val="clear" w:color="auto" w:fill="auto"/>
        <w:bidi w:val="0"/>
        <w:spacing w:before="0" w:after="140" w:line="443" w:lineRule="exact"/>
        <w:ind w:left="0" w:right="0" w:firstLine="0"/>
        <w:jc w:val="left"/>
      </w:pPr>
      <w:r>
        <w:rPr>
          <w:color w:val="000000"/>
          <w:spacing w:val="0"/>
          <w:w w:val="100"/>
          <w:position w:val="0"/>
        </w:rPr>
        <w:t>存货主要包括原材料、在产品、库存商品、委托加工物资、发出商品等。</w:t>
      </w:r>
    </w:p>
    <w:p>
      <w:pPr>
        <w:pStyle w:val="Style36"/>
        <w:keepNext/>
        <w:keepLines/>
        <w:widowControl w:val="0"/>
        <w:numPr>
          <w:ilvl w:val="0"/>
          <w:numId w:val="27"/>
        </w:numPr>
        <w:shd w:val="clear" w:color="auto" w:fill="auto"/>
        <w:tabs>
          <w:tab w:pos="498" w:val="left"/>
        </w:tabs>
        <w:bidi w:val="0"/>
        <w:spacing w:before="0" w:after="360" w:line="443" w:lineRule="exact"/>
        <w:ind w:left="0" w:right="0" w:firstLine="0"/>
        <w:jc w:val="left"/>
      </w:pPr>
      <w:bookmarkStart w:id="540" w:name="bookmark540"/>
      <w:bookmarkStart w:id="541" w:name="bookmark541"/>
      <w:bookmarkStart w:id="542" w:name="bookmark542"/>
      <w:bookmarkStart w:id="543" w:name="bookmark543"/>
      <w:bookmarkEnd w:id="542"/>
      <w:r>
        <w:rPr>
          <w:color w:val="000000"/>
          <w:spacing w:val="0"/>
          <w:w w:val="100"/>
          <w:position w:val="0"/>
        </w:rPr>
        <w:t>发出存货的计价方法</w:t>
      </w:r>
      <w:bookmarkEnd w:id="540"/>
      <w:bookmarkEnd w:id="541"/>
      <w:bookmarkEnd w:id="543"/>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计价方法：加权平均法</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领用和发出时按加权平均法计价。</w:t>
      </w:r>
    </w:p>
    <w:p>
      <w:pPr>
        <w:pStyle w:val="Style36"/>
        <w:keepNext/>
        <w:keepLines/>
        <w:widowControl w:val="0"/>
        <w:numPr>
          <w:ilvl w:val="0"/>
          <w:numId w:val="27"/>
        </w:numPr>
        <w:shd w:val="clear" w:color="auto" w:fill="auto"/>
        <w:tabs>
          <w:tab w:pos="498" w:val="left"/>
        </w:tabs>
        <w:bidi w:val="0"/>
        <w:spacing w:before="0" w:after="280" w:line="443" w:lineRule="exact"/>
        <w:ind w:left="0" w:right="0" w:firstLine="0"/>
        <w:jc w:val="left"/>
      </w:pPr>
      <w:bookmarkStart w:id="544" w:name="bookmark544"/>
      <w:bookmarkStart w:id="545" w:name="bookmark545"/>
      <w:bookmarkStart w:id="546" w:name="bookmark546"/>
      <w:bookmarkStart w:id="547" w:name="bookmark547"/>
      <w:bookmarkEnd w:id="546"/>
      <w:r>
        <w:rPr>
          <w:color w:val="000000"/>
          <w:spacing w:val="0"/>
          <w:w w:val="100"/>
          <w:position w:val="0"/>
        </w:rPr>
        <w:t>存货可变现净值的确定依据及存货跌价准备的计提方法</w:t>
      </w:r>
      <w:bookmarkEnd w:id="544"/>
      <w:bookmarkEnd w:id="545"/>
      <w:bookmarkEnd w:id="547"/>
    </w:p>
    <w:p>
      <w:pPr>
        <w:pStyle w:val="Style27"/>
        <w:keepNext w:val="0"/>
        <w:keepLines w:val="0"/>
        <w:widowControl w:val="0"/>
        <w:shd w:val="clear" w:color="auto" w:fill="auto"/>
        <w:bidi w:val="0"/>
        <w:spacing w:before="0" w:after="0" w:line="443" w:lineRule="exact"/>
        <w:ind w:left="0" w:right="0" w:firstLine="42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27"/>
        <w:keepNext w:val="0"/>
        <w:keepLines w:val="0"/>
        <w:widowControl w:val="0"/>
        <w:shd w:val="clear" w:color="auto" w:fill="auto"/>
        <w:bidi w:val="0"/>
        <w:spacing w:before="0" w:after="0" w:line="443" w:lineRule="exact"/>
        <w:ind w:left="0" w:right="0" w:firstLine="420"/>
        <w:jc w:val="both"/>
      </w:pPr>
      <w:r>
        <w:rPr>
          <w:color w:val="000000"/>
          <w:spacing w:val="0"/>
          <w:w w:val="100"/>
          <w:position w:val="0"/>
        </w:rPr>
        <w:t xml:space="preserve">在资产负债表日，存货按照成本与可变现净值孰低计量。当其可变现净值低于成本时，提取存货跌价 准备。存货跌价准备通常按单个存货项目的成本高于其可变现净值的差额提取。对于数量繁多、单价较低 的存货，按存货类别计提存货跌价准备；对在同一地区生产和销售的产品系列相关、具有相同或类似最终 </w:t>
      </w:r>
      <w:r>
        <w:rPr>
          <w:color w:val="000000"/>
          <w:spacing w:val="0"/>
          <w:w w:val="100"/>
          <w:position w:val="0"/>
        </w:rPr>
        <w:t>用途或目的，且难以与其他项目分开计量的存货，可合并计提存货跌价准备。</w:t>
      </w:r>
    </w:p>
    <w:p>
      <w:pPr>
        <w:pStyle w:val="Style27"/>
        <w:keepNext w:val="0"/>
        <w:keepLines w:val="0"/>
        <w:widowControl w:val="0"/>
        <w:shd w:val="clear" w:color="auto" w:fill="auto"/>
        <w:bidi w:val="0"/>
        <w:spacing w:before="0" w:after="160" w:line="442" w:lineRule="exact"/>
        <w:ind w:left="0" w:right="0" w:firstLine="42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36"/>
        <w:keepNext/>
        <w:keepLines/>
        <w:widowControl w:val="0"/>
        <w:shd w:val="clear" w:color="auto" w:fill="auto"/>
        <w:tabs>
          <w:tab w:pos="498" w:val="left"/>
        </w:tabs>
        <w:bidi w:val="0"/>
        <w:spacing w:before="0" w:after="280" w:line="440" w:lineRule="exact"/>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48"/>
      <w:bookmarkEnd w:id="549"/>
      <w:bookmarkEnd w:id="551"/>
    </w:p>
    <w:p>
      <w:pPr>
        <w:pStyle w:val="Style27"/>
        <w:keepNext w:val="0"/>
        <w:keepLines w:val="0"/>
        <w:widowControl w:val="0"/>
        <w:shd w:val="clear" w:color="auto" w:fill="auto"/>
        <w:bidi w:val="0"/>
        <w:spacing w:before="0" w:after="0" w:line="440" w:lineRule="exact"/>
        <w:ind w:left="0" w:right="0" w:firstLine="0"/>
        <w:jc w:val="left"/>
      </w:pPr>
      <w:r>
        <w:rPr>
          <w:color w:val="000000"/>
          <w:spacing w:val="0"/>
          <w:w w:val="100"/>
          <w:position w:val="0"/>
        </w:rPr>
        <w:t>盘存制度：永续盘存制</w:t>
      </w:r>
    </w:p>
    <w:p>
      <w:pPr>
        <w:pStyle w:val="Style27"/>
        <w:keepNext w:val="0"/>
        <w:keepLines w:val="0"/>
        <w:widowControl w:val="0"/>
        <w:shd w:val="clear" w:color="auto" w:fill="auto"/>
        <w:bidi w:val="0"/>
        <w:spacing w:before="0" w:after="160" w:line="440" w:lineRule="exact"/>
        <w:ind w:left="0" w:right="0" w:firstLine="0"/>
        <w:jc w:val="left"/>
      </w:pPr>
      <w:r>
        <w:rPr>
          <w:color w:val="000000"/>
          <w:spacing w:val="0"/>
          <w:w w:val="100"/>
          <w:position w:val="0"/>
        </w:rPr>
        <w:t>存货的盘存制度为永续盘存制。</w:t>
      </w:r>
    </w:p>
    <w:p>
      <w:pPr>
        <w:pStyle w:val="Style36"/>
        <w:keepNext/>
        <w:keepLines/>
        <w:widowControl w:val="0"/>
        <w:shd w:val="clear" w:color="auto" w:fill="auto"/>
        <w:tabs>
          <w:tab w:pos="498" w:val="left"/>
        </w:tabs>
        <w:bidi w:val="0"/>
        <w:spacing w:before="0" w:after="280" w:line="440" w:lineRule="exact"/>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52"/>
      <w:bookmarkEnd w:id="553"/>
      <w:bookmarkEnd w:id="555"/>
    </w:p>
    <w:p>
      <w:pPr>
        <w:pStyle w:val="Style27"/>
        <w:keepNext w:val="0"/>
        <w:keepLines w:val="0"/>
        <w:widowControl w:val="0"/>
        <w:shd w:val="clear" w:color="auto" w:fill="auto"/>
        <w:bidi w:val="0"/>
        <w:spacing w:before="0" w:after="0" w:line="440" w:lineRule="exact"/>
        <w:ind w:left="0" w:right="0" w:firstLine="0"/>
        <w:jc w:val="left"/>
      </w:pPr>
      <w:r>
        <w:rPr>
          <w:color w:val="000000"/>
          <w:spacing w:val="0"/>
          <w:w w:val="100"/>
          <w:position w:val="0"/>
        </w:rPr>
        <w:t>低值易耗品</w:t>
      </w:r>
    </w:p>
    <w:p>
      <w:pPr>
        <w:pStyle w:val="Style27"/>
        <w:keepNext w:val="0"/>
        <w:keepLines w:val="0"/>
        <w:widowControl w:val="0"/>
        <w:shd w:val="clear" w:color="auto" w:fill="auto"/>
        <w:bidi w:val="0"/>
        <w:spacing w:before="0" w:after="0" w:line="440" w:lineRule="exact"/>
        <w:ind w:left="0" w:right="0" w:firstLine="0"/>
        <w:jc w:val="left"/>
      </w:pPr>
      <w:r>
        <w:rPr>
          <w:color w:val="000000"/>
          <w:spacing w:val="0"/>
          <w:w w:val="100"/>
          <w:position w:val="0"/>
        </w:rPr>
        <w:t>摊销方法：一次摊销法</w:t>
      </w:r>
    </w:p>
    <w:p>
      <w:pPr>
        <w:pStyle w:val="Style27"/>
        <w:keepNext w:val="0"/>
        <w:keepLines w:val="0"/>
        <w:widowControl w:val="0"/>
        <w:shd w:val="clear" w:color="auto" w:fill="auto"/>
        <w:bidi w:val="0"/>
        <w:spacing w:before="0" w:after="0" w:line="440" w:lineRule="exact"/>
        <w:ind w:left="0" w:right="0" w:firstLine="0"/>
        <w:jc w:val="left"/>
      </w:pPr>
      <w:r>
        <w:rPr>
          <w:color w:val="000000"/>
          <w:spacing w:val="0"/>
          <w:w w:val="100"/>
          <w:position w:val="0"/>
        </w:rPr>
        <w:t>低值易耗品于领用时按一次摊销法摊销。</w:t>
      </w:r>
    </w:p>
    <w:p>
      <w:pPr>
        <w:pStyle w:val="Style27"/>
        <w:keepNext w:val="0"/>
        <w:keepLines w:val="0"/>
        <w:widowControl w:val="0"/>
        <w:shd w:val="clear" w:color="auto" w:fill="auto"/>
        <w:bidi w:val="0"/>
        <w:spacing w:before="0" w:after="0" w:line="440" w:lineRule="exact"/>
        <w:ind w:left="0" w:right="0" w:firstLine="0"/>
        <w:jc w:val="left"/>
      </w:pPr>
      <w:r>
        <w:rPr>
          <w:color w:val="000000"/>
          <w:spacing w:val="0"/>
          <w:w w:val="100"/>
          <w:position w:val="0"/>
        </w:rPr>
        <w:t>包装物</w:t>
      </w:r>
    </w:p>
    <w:p>
      <w:pPr>
        <w:pStyle w:val="Style27"/>
        <w:keepNext w:val="0"/>
        <w:keepLines w:val="0"/>
        <w:widowControl w:val="0"/>
        <w:shd w:val="clear" w:color="auto" w:fill="auto"/>
        <w:bidi w:val="0"/>
        <w:spacing w:before="0" w:after="0" w:line="440" w:lineRule="exact"/>
        <w:ind w:left="0" w:right="0" w:firstLine="0"/>
        <w:jc w:val="left"/>
      </w:pPr>
      <w:r>
        <w:rPr>
          <w:color w:val="000000"/>
          <w:spacing w:val="0"/>
          <w:w w:val="100"/>
          <w:position w:val="0"/>
        </w:rPr>
        <w:t>摊销方法：一次摊销法</w:t>
      </w:r>
    </w:p>
    <w:p>
      <w:pPr>
        <w:pStyle w:val="Style27"/>
        <w:keepNext w:val="0"/>
        <w:keepLines w:val="0"/>
        <w:widowControl w:val="0"/>
        <w:shd w:val="clear" w:color="auto" w:fill="auto"/>
        <w:bidi w:val="0"/>
        <w:spacing w:before="0" w:after="360" w:line="440" w:lineRule="exact"/>
        <w:ind w:left="0" w:right="0" w:firstLine="0"/>
        <w:jc w:val="left"/>
      </w:pPr>
      <w:r>
        <w:rPr>
          <w:color w:val="000000"/>
          <w:spacing w:val="0"/>
          <w:w w:val="100"/>
          <w:position w:val="0"/>
        </w:rPr>
        <w:t>包装物于领用时按一次摊销法摊销。</w:t>
      </w:r>
    </w:p>
    <w:p>
      <w:pPr>
        <w:pStyle w:val="Style36"/>
        <w:keepNext/>
        <w:keepLines/>
        <w:widowControl w:val="0"/>
        <w:shd w:val="clear" w:color="auto" w:fill="auto"/>
        <w:bidi w:val="0"/>
        <w:spacing w:before="0" w:after="0" w:line="461"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556"/>
      <w:bookmarkEnd w:id="557"/>
      <w:bookmarkEnd w:id="559"/>
    </w:p>
    <w:p>
      <w:pPr>
        <w:pStyle w:val="Style36"/>
        <w:keepNext/>
        <w:keepLines/>
        <w:widowControl w:val="0"/>
        <w:shd w:val="clear" w:color="auto" w:fill="auto"/>
        <w:tabs>
          <w:tab w:pos="498" w:val="left"/>
        </w:tabs>
        <w:bidi w:val="0"/>
        <w:spacing w:before="0" w:after="280" w:line="440" w:lineRule="exact"/>
        <w:ind w:left="0" w:right="0" w:firstLine="0"/>
        <w:jc w:val="left"/>
      </w:pPr>
      <w:bookmarkStart w:id="556" w:name="bookmark556"/>
      <w:bookmarkStart w:id="557" w:name="bookmark557"/>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556"/>
      <w:bookmarkEnd w:id="557"/>
      <w:bookmarkEnd w:id="561"/>
    </w:p>
    <w:p>
      <w:pPr>
        <w:pStyle w:val="Style27"/>
        <w:keepNext w:val="0"/>
        <w:keepLines w:val="0"/>
        <w:widowControl w:val="0"/>
        <w:shd w:val="clear" w:color="auto" w:fill="auto"/>
        <w:bidi w:val="0"/>
        <w:spacing w:before="0" w:after="160" w:line="440" w:lineRule="exact"/>
        <w:ind w:left="0" w:right="0" w:firstLine="420"/>
        <w:jc w:val="both"/>
      </w:pPr>
      <w:r>
        <w:rPr>
          <w:color w:val="000000"/>
          <w:spacing w:val="0"/>
          <w:w w:val="100"/>
          <w:position w:val="0"/>
        </w:rPr>
        <w:t>对于企业合并形成的长期股权投资，如为同一控制下的企业合并取得的长期股权投资，在合并日按照 取得被合并方所有者权益账面价值的份额作为初始投资成本。通过非同一控制下的企业合并取得的长期股 权投资，企业合并成本包括购买方付出的资产、发生或承担的负债、发行的权益性证券的公允价值之和； 购买方为企业合并发生的审计、法律服务、评估咨询等中介费用以及其他相关管理费用，应当于发生时计 入当期损益；购买方作为合并对价发行的权益性证券或债务性证券的交易费用，应当计入权益性证券或债 务性证券的初始确认金额。除企业合并形成的长期股权投资外的其他股权投资，按成本进行初始计量，该 成本视长期股权投资取得方式的不同，分别按照本集团实际支付的现金购买价款、本集团发行的权益性证 券的公允价值、投资合同或协议约定的价值、非货币性资产交换交易中换出资产的公允价值或原账面价值、 该项长期股权投资自身的公允价值等方式确定。与取得长期股权投资直接相关的费用、税金及其他必要支 出也计入投资成本。</w:t>
      </w:r>
    </w:p>
    <w:p>
      <w:pPr>
        <w:pStyle w:val="Style36"/>
        <w:keepNext/>
        <w:keepLines/>
        <w:widowControl w:val="0"/>
        <w:shd w:val="clear" w:color="auto" w:fill="auto"/>
        <w:tabs>
          <w:tab w:pos="498" w:val="left"/>
        </w:tabs>
        <w:bidi w:val="0"/>
        <w:spacing w:before="0" w:after="520" w:line="440" w:lineRule="exact"/>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62"/>
      <w:bookmarkEnd w:id="563"/>
      <w:bookmarkEnd w:id="565"/>
    </w:p>
    <w:p>
      <w:pPr>
        <w:pStyle w:val="Style27"/>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 xml:space="preserve">对被投资单位不具有共同控制或重大影响并且在活跃市场中没有报价、公允价值不能可靠计量的长期 </w:t>
      </w:r>
      <w:r>
        <w:rPr>
          <w:color w:val="000000"/>
          <w:spacing w:val="0"/>
          <w:w w:val="100"/>
          <w:position w:val="0"/>
        </w:rPr>
        <w:t>股权投资，采用成本法核算；对被投资单位具有共同控制或重大影响的长期股权投资，采用权益法核算； 对被投资单位不具有控制、共同控制或重大影响并且公允价值能够可靠计量的长期股权投资，作为可供出 售金融资产或以公允价值计量且其变动计入当期损益的金融资产核算。此外，公司财务报表采用成本法核 算能够对被投资单位实施控制的长期股权投资。①成本法核算的长期股权投资，采用成本法核算时，长 期股权投资按初始投资成本计价，除取得投资时实际支付的价款或者对价中包含的已宣告但尚未发放的现 金股利或者利润外，当期投资收益按照享有被投资单位宣告发放的现金股利或利润确认。②权益法核算 的长期股权投资，采用权益法核算时，长期股权投资的初始投资成本大于投资时应享有被投资单位可辨认 净资产公允价值份额的，不调整长期股权投资的初始投资成本；初始投资成本小于投资时应享有被投资单 位可辨认净资产公允价值份额的，其差额计入当期损益，同时调整长期股权投资的成本。采用权益法核算 时，当期投资损益为应享有或应分担的被投资单位当年实现的净损益的份额。在确认应享有被投资单位净 损益的份额时，以取得投资时被投资单位各项可辨认资产等的公允价值为基础，并按照本集团的会计政策 及会计期间，对被投资单位的净利润进行调整后确认。对于本集团与联营企业及合营之间发生的未实现内 部交易损益，按照持股比例计算属于本集团的部分予以抵销，在此基础上确认投资损益。但本集团与被投 资单位发生的未实现内部交易损失，按照《企业会计准则第8号一一资产减值》等规定属于所转让资产减 值损失的，不予以抵销。对被投资单位的其他综合收益，相应调整长期股权投资的账面价值确认为其他综 合收益并计入资本公积。在确认应分担被投资单位发生的净亏损时，以长期股权投资的账面价值和其他实 质上构成对被投资单位净投资的长期权益减记至零为限。此外，如本集团对被投资单位负有承担额外损失 的义务，则按预计承担的义务确认预计负债，计入当期投资损失。被投资单位以后期间实现净利润的，本 集团在收益分享额弥补未确认的亏损分担额后，恢复确认收益分享额。</w:t>
      </w:r>
    </w:p>
    <w:p>
      <w:pPr>
        <w:pStyle w:val="Style36"/>
        <w:keepNext/>
        <w:keepLines/>
        <w:widowControl w:val="0"/>
        <w:shd w:val="clear" w:color="auto" w:fill="auto"/>
        <w:tabs>
          <w:tab w:pos="438" w:val="left"/>
        </w:tabs>
        <w:bidi w:val="0"/>
        <w:spacing w:before="0" w:after="280" w:line="440" w:lineRule="exact"/>
        <w:ind w:left="0" w:right="0" w:firstLine="0"/>
        <w:jc w:val="both"/>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66"/>
      <w:bookmarkEnd w:id="567"/>
      <w:bookmarkEnd w:id="569"/>
    </w:p>
    <w:p>
      <w:pPr>
        <w:pStyle w:val="Style27"/>
        <w:keepNext w:val="0"/>
        <w:keepLines w:val="0"/>
        <w:widowControl w:val="0"/>
        <w:shd w:val="clear" w:color="auto" w:fill="auto"/>
        <w:bidi w:val="0"/>
        <w:spacing w:before="0" w:after="160" w:line="441" w:lineRule="exact"/>
        <w:ind w:left="0" w:right="0" w:firstLine="420"/>
        <w:jc w:val="both"/>
      </w:pPr>
      <w:r>
        <w:rPr>
          <w:color w:val="000000"/>
          <w:spacing w:val="0"/>
          <w:w w:val="100"/>
          <w:position w:val="0"/>
        </w:rPr>
        <w:t>控制是指有权决定一个企业的财务和经营政策，并能据以从该企业的经营活动中获取利益。共同控制 是指按照合同约定对某项经济活动所共有的控制，仅在与该项经济活动相关的重要财务和经营决策需要分 享控制权的投资方一致同意时存在。重大影响是指对一个企业的财务和经营政策有参与决策的权力，但并 不能够控制或者与其他方一起共同控制这些政策的制定。在确定能否对被投资单位实施控制或施加重大影 响时，已考虑投资企业和其他持有的被投资单位当期可转换公司债券、当期可执行认股权证等潜在表决权 因素。</w:t>
      </w:r>
    </w:p>
    <w:p>
      <w:pPr>
        <w:pStyle w:val="Style36"/>
        <w:keepNext/>
        <w:keepLines/>
        <w:widowControl w:val="0"/>
        <w:shd w:val="clear" w:color="auto" w:fill="auto"/>
        <w:tabs>
          <w:tab w:pos="438" w:val="left"/>
        </w:tabs>
        <w:bidi w:val="0"/>
        <w:spacing w:before="0" w:after="280" w:line="440" w:lineRule="exact"/>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70"/>
      <w:bookmarkEnd w:id="571"/>
      <w:bookmarkEnd w:id="573"/>
    </w:p>
    <w:p>
      <w:pPr>
        <w:pStyle w:val="Style27"/>
        <w:keepNext w:val="0"/>
        <w:keepLines w:val="0"/>
        <w:widowControl w:val="0"/>
        <w:shd w:val="clear" w:color="auto" w:fill="auto"/>
        <w:bidi w:val="0"/>
        <w:spacing w:before="0" w:after="0" w:line="446" w:lineRule="exact"/>
        <w:ind w:left="0" w:right="0" w:firstLine="420"/>
        <w:jc w:val="both"/>
      </w:pPr>
      <w:r>
        <w:rPr>
          <w:color w:val="000000"/>
          <w:spacing w:val="0"/>
          <w:w w:val="100"/>
          <w:position w:val="0"/>
        </w:rPr>
        <w:t xml:space="preserve">本集团在每一个资产负债表日检查长期股权投资是否存在可能发生减值的迹象。如果该资产存在减值 迹象，则估计其可收回金额。如果资产的可收回金额低于其账面价值，按其差额计提资产减值准备，并计 </w:t>
      </w:r>
      <w:r>
        <w:rPr>
          <w:color w:val="000000"/>
          <w:spacing w:val="0"/>
          <w:w w:val="100"/>
          <w:position w:val="0"/>
        </w:rPr>
        <w:t>入当期损益。</w:t>
      </w:r>
    </w:p>
    <w:p>
      <w:pPr>
        <w:pStyle w:val="Style27"/>
        <w:keepNext w:val="0"/>
        <w:keepLines w:val="0"/>
        <w:widowControl w:val="0"/>
        <w:shd w:val="clear" w:color="auto" w:fill="auto"/>
        <w:bidi w:val="0"/>
        <w:spacing w:before="0" w:after="340" w:line="440" w:lineRule="exact"/>
        <w:ind w:left="0" w:right="0" w:firstLine="420"/>
        <w:jc w:val="both"/>
      </w:pPr>
      <w:r>
        <w:rPr>
          <w:color w:val="000000"/>
          <w:spacing w:val="0"/>
          <w:w w:val="100"/>
          <w:position w:val="0"/>
        </w:rPr>
        <w:t>长期股权投资的减值损失一经确认，在以后会计期间不予转回。</w:t>
      </w:r>
    </w:p>
    <w:p>
      <w:pPr>
        <w:pStyle w:val="Style36"/>
        <w:keepNext/>
        <w:keepLines/>
        <w:widowControl w:val="0"/>
        <w:shd w:val="clear" w:color="auto" w:fill="auto"/>
        <w:tabs>
          <w:tab w:pos="474" w:val="left"/>
        </w:tabs>
        <w:bidi w:val="0"/>
        <w:spacing w:before="0" w:after="0" w:line="458"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574"/>
      <w:bookmarkEnd w:id="575"/>
      <w:bookmarkEnd w:id="577"/>
    </w:p>
    <w:p>
      <w:pPr>
        <w:pStyle w:val="Style27"/>
        <w:keepNext w:val="0"/>
        <w:keepLines w:val="0"/>
        <w:widowControl w:val="0"/>
        <w:shd w:val="clear" w:color="auto" w:fill="auto"/>
        <w:bidi w:val="0"/>
        <w:spacing w:before="0" w:after="340" w:line="440" w:lineRule="exact"/>
        <w:ind w:left="0" w:right="0" w:firstLine="0"/>
        <w:jc w:val="left"/>
      </w:pPr>
      <w:r>
        <w:rPr>
          <w:color w:val="000000"/>
          <w:spacing w:val="0"/>
          <w:w w:val="100"/>
          <w:position w:val="0"/>
        </w:rPr>
        <w:t>不适用</w:t>
      </w:r>
    </w:p>
    <w:p>
      <w:pPr>
        <w:pStyle w:val="Style36"/>
        <w:keepNext/>
        <w:keepLines/>
        <w:widowControl w:val="0"/>
        <w:shd w:val="clear" w:color="auto" w:fill="auto"/>
        <w:tabs>
          <w:tab w:pos="474" w:val="left"/>
        </w:tabs>
        <w:bidi w:val="0"/>
        <w:spacing w:before="0" w:after="0" w:line="458"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578"/>
      <w:bookmarkEnd w:id="579"/>
      <w:bookmarkEnd w:id="581"/>
    </w:p>
    <w:p>
      <w:pPr>
        <w:pStyle w:val="Style36"/>
        <w:keepNext/>
        <w:keepLines/>
        <w:widowControl w:val="0"/>
        <w:shd w:val="clear" w:color="auto" w:fill="auto"/>
        <w:tabs>
          <w:tab w:pos="498" w:val="left"/>
        </w:tabs>
        <w:bidi w:val="0"/>
        <w:spacing w:before="0" w:after="140" w:line="440" w:lineRule="exact"/>
        <w:ind w:left="0" w:right="0" w:firstLine="0"/>
        <w:jc w:val="left"/>
      </w:pPr>
      <w:bookmarkStart w:id="578" w:name="bookmark578"/>
      <w:bookmarkStart w:id="579" w:name="bookmark579"/>
      <w:bookmarkStart w:id="582" w:name="bookmark582"/>
      <w:bookmarkStart w:id="583" w:name="bookmark583"/>
      <w:r>
        <w:rPr>
          <w:color w:val="000000"/>
          <w:spacing w:val="0"/>
          <w:w w:val="100"/>
          <w:position w:val="0"/>
        </w:rPr>
        <w:t>（</w:t>
      </w:r>
      <w:bookmarkEnd w:id="582"/>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78"/>
      <w:bookmarkEnd w:id="579"/>
      <w:bookmarkEnd w:id="583"/>
    </w:p>
    <w:p>
      <w:pPr>
        <w:pStyle w:val="Style27"/>
        <w:keepNext w:val="0"/>
        <w:keepLines w:val="0"/>
        <w:widowControl w:val="0"/>
        <w:shd w:val="clear" w:color="auto" w:fill="auto"/>
        <w:bidi w:val="0"/>
        <w:spacing w:before="0" w:after="140" w:line="440" w:lineRule="exact"/>
        <w:ind w:left="0" w:right="0" w:firstLine="0"/>
        <w:jc w:val="left"/>
      </w:pPr>
      <w:r>
        <w:rPr>
          <w:color w:val="000000"/>
          <w:spacing w:val="0"/>
          <w:w w:val="100"/>
          <w:position w:val="0"/>
        </w:rPr>
        <w:t>固定资产是指为生产商品、提供劳务、出租或经营管理而持有的，使用寿命超过一个会计年度的有形资产。</w:t>
      </w:r>
    </w:p>
    <w:p>
      <w:pPr>
        <w:pStyle w:val="Style36"/>
        <w:keepNext/>
        <w:keepLines/>
        <w:widowControl w:val="0"/>
        <w:shd w:val="clear" w:color="auto" w:fill="auto"/>
        <w:tabs>
          <w:tab w:pos="498" w:val="left"/>
        </w:tabs>
        <w:bidi w:val="0"/>
        <w:spacing w:before="0" w:after="300" w:line="440" w:lineRule="exact"/>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w:t>
      </w:r>
      <w:bookmarkEnd w:id="586"/>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84"/>
      <w:bookmarkEnd w:id="585"/>
      <w:bookmarkEnd w:id="587"/>
    </w:p>
    <w:p>
      <w:pPr>
        <w:pStyle w:val="Style27"/>
        <w:keepNext w:val="0"/>
        <w:keepLines w:val="0"/>
        <w:widowControl w:val="0"/>
        <w:shd w:val="clear" w:color="auto" w:fill="auto"/>
        <w:bidi w:val="0"/>
        <w:spacing w:before="0" w:after="140" w:line="440" w:lineRule="exact"/>
        <w:ind w:left="0" w:right="0" w:firstLine="420"/>
        <w:jc w:val="both"/>
      </w:pPr>
      <w:r>
        <w:rPr>
          <w:color w:val="000000"/>
          <w:spacing w:val="0"/>
          <w:w w:val="100"/>
          <w:position w:val="0"/>
        </w:rPr>
        <w:t>融资租赁为实质上转移了与资产所有权有关的全部风险和报酬的租赁，其所有权最终可能转移，也可 能不转移。以融资租赁方式租入的固定资产采用与自有固定资产一致的政策计提租赁资产折旧。能够合理 确定租赁期届满时取得租赁资产所有权的在租赁资产使用寿命内计提折旧，无法合理确定租赁期届满能够 取得租赁资产所有权的，在租赁期与租赁资产使用寿命两者中较短的期间内计提折旧。</w:t>
      </w:r>
    </w:p>
    <w:p>
      <w:pPr>
        <w:pStyle w:val="Style36"/>
        <w:keepNext/>
        <w:keepLines/>
        <w:widowControl w:val="0"/>
        <w:shd w:val="clear" w:color="auto" w:fill="auto"/>
        <w:tabs>
          <w:tab w:pos="498" w:val="left"/>
        </w:tabs>
        <w:bidi w:val="0"/>
        <w:spacing w:before="0" w:after="300" w:line="440" w:lineRule="exact"/>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588"/>
      <w:bookmarkEnd w:id="589"/>
      <w:bookmarkEnd w:id="591"/>
    </w:p>
    <w:p>
      <w:pPr>
        <w:pStyle w:val="Style34"/>
        <w:keepNext w:val="0"/>
        <w:keepLines w:val="0"/>
        <w:widowControl w:val="0"/>
        <w:shd w:val="clear" w:color="auto" w:fill="auto"/>
        <w:bidi w:val="0"/>
        <w:spacing w:before="0" w:after="0" w:line="442" w:lineRule="exact"/>
        <w:ind w:left="0" w:right="0" w:firstLine="0"/>
        <w:jc w:val="left"/>
        <w:rPr>
          <w:sz w:val="20"/>
          <w:szCs w:val="20"/>
        </w:rPr>
      </w:pPr>
      <w:r>
        <w:rPr>
          <w:color w:val="000000"/>
          <w:spacing w:val="0"/>
          <w:w w:val="100"/>
          <w:position w:val="0"/>
          <w:sz w:val="20"/>
          <w:szCs w:val="20"/>
        </w:rPr>
        <w:t>固定资产按成本并考虑预计弃置费用因素的影响进行初始计量。固定资产从达到预定可使用状态的次 月起，采用年限平均法在使用寿命内计提折旧。</w:t>
      </w:r>
    </w:p>
    <w:tbl>
      <w:tblPr>
        <w:tblOverlap w:val="never"/>
        <w:jc w:val="center"/>
        <w:tblLayout w:type="fixed"/>
      </w:tblPr>
      <w:tblGrid>
        <w:gridCol w:w="2520"/>
        <w:gridCol w:w="2102"/>
        <w:gridCol w:w="2222"/>
        <w:gridCol w:w="27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折旧年限（年）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3.17%-9.50%</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408"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139" w:line="1" w:lineRule="exact"/>
      </w:pPr>
    </w:p>
    <w:p>
      <w:pPr>
        <w:pStyle w:val="Style36"/>
        <w:keepNext/>
        <w:keepLines/>
        <w:widowControl w:val="0"/>
        <w:shd w:val="clear" w:color="auto" w:fill="auto"/>
        <w:bidi w:val="0"/>
        <w:spacing w:before="0" w:after="300" w:line="440" w:lineRule="exact"/>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w:t>
      </w:r>
      <w:bookmarkEnd w:id="594"/>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592"/>
      <w:bookmarkEnd w:id="593"/>
      <w:bookmarkEnd w:id="595"/>
    </w:p>
    <w:p>
      <w:pPr>
        <w:pStyle w:val="Style27"/>
        <w:keepNext w:val="0"/>
        <w:keepLines w:val="0"/>
        <w:widowControl w:val="0"/>
        <w:shd w:val="clear" w:color="auto" w:fill="auto"/>
        <w:bidi w:val="0"/>
        <w:spacing w:before="0" w:after="0" w:line="440" w:lineRule="exact"/>
        <w:ind w:left="0" w:right="0" w:firstLine="420"/>
        <w:jc w:val="both"/>
      </w:pPr>
      <w:r>
        <w:rPr>
          <w:color w:val="000000"/>
          <w:spacing w:val="0"/>
          <w:w w:val="100"/>
          <w:position w:val="0"/>
        </w:rPr>
        <w:t>对于固定资产、在建工程、使用寿命有限的无形资产、以成本模式计量的投资性房地产及对子公司、 合营企业、联营企业的长期股权投资等非流动非金融资产，本集团于资产负债表日判断是否存在减值迹象。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27"/>
        <w:keepNext w:val="0"/>
        <w:keepLines w:val="0"/>
        <w:widowControl w:val="0"/>
        <w:shd w:val="clear" w:color="auto" w:fill="auto"/>
        <w:bidi w:val="0"/>
        <w:spacing w:before="0" w:after="0" w:line="440" w:lineRule="exact"/>
        <w:ind w:left="0" w:right="0" w:firstLine="420"/>
        <w:jc w:val="both"/>
      </w:pPr>
      <w:r>
        <w:rPr>
          <w:color w:val="000000"/>
          <w:spacing w:val="0"/>
          <w:w w:val="100"/>
          <w:position w:val="0"/>
        </w:rPr>
        <w:t xml:space="preserve">减值测试结果表明资产的可收回金额低于其账面价值的，按其差额计提减值准备并计入减值损失。可 </w:t>
      </w:r>
      <w:r>
        <w:rPr>
          <w:color w:val="000000"/>
          <w:spacing w:val="0"/>
          <w:w w:val="100"/>
          <w:position w:val="0"/>
        </w:rPr>
        <w:t>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27"/>
        <w:keepNext w:val="0"/>
        <w:keepLines w:val="0"/>
        <w:widowControl w:val="0"/>
        <w:shd w:val="clear" w:color="auto" w:fill="auto"/>
        <w:bidi w:val="0"/>
        <w:spacing w:before="0" w:after="0" w:line="440" w:lineRule="exact"/>
        <w:ind w:left="0" w:right="0" w:firstLine="42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27"/>
        <w:keepNext w:val="0"/>
        <w:keepLines w:val="0"/>
        <w:widowControl w:val="0"/>
        <w:shd w:val="clear" w:color="auto" w:fill="auto"/>
        <w:bidi w:val="0"/>
        <w:spacing w:before="0" w:after="160" w:line="440" w:lineRule="exact"/>
        <w:ind w:left="0" w:right="0" w:firstLine="420"/>
        <w:jc w:val="both"/>
      </w:pPr>
      <w:r>
        <w:rPr>
          <w:color w:val="000000"/>
          <w:spacing w:val="0"/>
          <w:w w:val="100"/>
          <w:position w:val="0"/>
        </w:rPr>
        <w:t>上述资产减值损失一经确认，以后期间不予转回价值得以恢复的部分。</w:t>
      </w:r>
    </w:p>
    <w:p>
      <w:pPr>
        <w:pStyle w:val="Style36"/>
        <w:keepNext/>
        <w:keepLines/>
        <w:widowControl w:val="0"/>
        <w:shd w:val="clear" w:color="auto" w:fill="auto"/>
        <w:bidi w:val="0"/>
        <w:spacing w:before="0" w:after="300" w:line="440" w:lineRule="exact"/>
        <w:ind w:left="0" w:right="0" w:firstLine="0"/>
        <w:jc w:val="both"/>
      </w:pPr>
      <w:bookmarkStart w:id="596" w:name="bookmark596"/>
      <w:bookmarkStart w:id="597" w:name="bookmark597"/>
      <w:bookmarkStart w:id="598" w:name="bookmark598"/>
      <w:bookmarkStart w:id="599" w:name="bookmark599"/>
      <w:r>
        <w:rPr>
          <w:color w:val="000000"/>
          <w:spacing w:val="0"/>
          <w:w w:val="100"/>
          <w:position w:val="0"/>
        </w:rPr>
        <w:t>（</w:t>
      </w:r>
      <w:bookmarkEnd w:id="598"/>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596"/>
      <w:bookmarkEnd w:id="597"/>
      <w:bookmarkEnd w:id="599"/>
    </w:p>
    <w:p>
      <w:pPr>
        <w:pStyle w:val="Style27"/>
        <w:keepNext w:val="0"/>
        <w:keepLines w:val="0"/>
        <w:widowControl w:val="0"/>
        <w:shd w:val="clear" w:color="auto" w:fill="auto"/>
        <w:bidi w:val="0"/>
        <w:spacing w:before="0" w:after="0" w:line="438" w:lineRule="exact"/>
        <w:ind w:left="0" w:right="0" w:firstLine="420"/>
        <w:jc w:val="both"/>
      </w:pPr>
      <w:r>
        <w:rPr>
          <w:color w:val="000000"/>
          <w:spacing w:val="0"/>
          <w:w w:val="100"/>
          <w:position w:val="0"/>
        </w:rPr>
        <w:t>与固定资产有关的后续支出，如果与该固定资产有关的经济利益很可能流入且其成本能可靠地计量， 则计入固定资产成本，并终止确认被替换部分的账面价值。除此以外的其他后续支出，在发生时计入当期 损益。固定资产出售、转让、报废或毁损的处置收入扣除其账面价值和相关税费后的差额计入当期损益。</w:t>
      </w:r>
    </w:p>
    <w:p>
      <w:pPr>
        <w:pStyle w:val="Style27"/>
        <w:keepNext w:val="0"/>
        <w:keepLines w:val="0"/>
        <w:widowControl w:val="0"/>
        <w:shd w:val="clear" w:color="auto" w:fill="auto"/>
        <w:bidi w:val="0"/>
        <w:spacing w:before="0" w:after="360" w:line="438" w:lineRule="exact"/>
        <w:ind w:left="0" w:right="0" w:firstLine="420"/>
        <w:jc w:val="both"/>
      </w:pPr>
      <w:r>
        <w:rPr>
          <w:color w:val="000000"/>
          <w:spacing w:val="0"/>
          <w:w w:val="100"/>
          <w:position w:val="0"/>
        </w:rPr>
        <w:t>本集团至少于年度终了对固定资产的使用寿命、预计净残值和折旧方法进行复核，如发生改变则作为 会计估计变更处理。</w:t>
      </w:r>
    </w:p>
    <w:p>
      <w:pPr>
        <w:pStyle w:val="Style36"/>
        <w:keepNext/>
        <w:keepLines/>
        <w:widowControl w:val="0"/>
        <w:shd w:val="clear" w:color="auto" w:fill="auto"/>
        <w:bidi w:val="0"/>
        <w:spacing w:before="0" w:after="0" w:line="461" w:lineRule="auto"/>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600"/>
      <w:bookmarkEnd w:id="601"/>
      <w:bookmarkEnd w:id="603"/>
    </w:p>
    <w:p>
      <w:pPr>
        <w:pStyle w:val="Style36"/>
        <w:keepNext/>
        <w:keepLines/>
        <w:widowControl w:val="0"/>
        <w:shd w:val="clear" w:color="auto" w:fill="auto"/>
        <w:tabs>
          <w:tab w:pos="471" w:val="left"/>
        </w:tabs>
        <w:bidi w:val="0"/>
        <w:spacing w:before="0" w:after="300" w:line="440" w:lineRule="exact"/>
        <w:ind w:left="0" w:right="0" w:firstLine="0"/>
        <w:jc w:val="both"/>
      </w:pPr>
      <w:bookmarkStart w:id="600" w:name="bookmark600"/>
      <w:bookmarkStart w:id="601" w:name="bookmark601"/>
      <w:bookmarkStart w:id="604" w:name="bookmark604"/>
      <w:bookmarkStart w:id="605" w:name="bookmark605"/>
      <w:r>
        <w:rPr>
          <w:color w:val="000000"/>
          <w:spacing w:val="0"/>
          <w:w w:val="100"/>
          <w:position w:val="0"/>
        </w:rPr>
        <w:t>（</w:t>
      </w:r>
      <w:bookmarkEnd w:id="604"/>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00"/>
      <w:bookmarkEnd w:id="601"/>
      <w:bookmarkEnd w:id="605"/>
    </w:p>
    <w:p>
      <w:pPr>
        <w:pStyle w:val="Style27"/>
        <w:keepNext w:val="0"/>
        <w:keepLines w:val="0"/>
        <w:widowControl w:val="0"/>
        <w:shd w:val="clear" w:color="auto" w:fill="auto"/>
        <w:bidi w:val="0"/>
        <w:spacing w:before="0" w:after="160" w:line="440" w:lineRule="exact"/>
        <w:ind w:left="0" w:right="0" w:firstLine="0"/>
        <w:jc w:val="both"/>
      </w:pPr>
      <w:r>
        <w:rPr>
          <w:color w:val="000000"/>
          <w:spacing w:val="0"/>
          <w:w w:val="100"/>
          <w:position w:val="0"/>
        </w:rPr>
        <w:t>本集团在建工程包括安装工程、技术改造工程、大修理工程等。</w:t>
      </w:r>
    </w:p>
    <w:p>
      <w:pPr>
        <w:pStyle w:val="Style36"/>
        <w:keepNext/>
        <w:keepLines/>
        <w:widowControl w:val="0"/>
        <w:shd w:val="clear" w:color="auto" w:fill="auto"/>
        <w:tabs>
          <w:tab w:pos="471" w:val="left"/>
        </w:tabs>
        <w:bidi w:val="0"/>
        <w:spacing w:before="0" w:after="300" w:line="440" w:lineRule="exact"/>
        <w:ind w:left="0" w:right="0" w:firstLine="0"/>
        <w:jc w:val="both"/>
      </w:pPr>
      <w:bookmarkStart w:id="606" w:name="bookmark606"/>
      <w:bookmarkStart w:id="607" w:name="bookmark607"/>
      <w:bookmarkStart w:id="608" w:name="bookmark608"/>
      <w:bookmarkStart w:id="609" w:name="bookmark609"/>
      <w:r>
        <w:rPr>
          <w:color w:val="000000"/>
          <w:spacing w:val="0"/>
          <w:w w:val="100"/>
          <w:position w:val="0"/>
        </w:rPr>
        <w:t>（</w:t>
      </w:r>
      <w:bookmarkEnd w:id="608"/>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06"/>
      <w:bookmarkEnd w:id="607"/>
      <w:bookmarkEnd w:id="609"/>
    </w:p>
    <w:p>
      <w:pPr>
        <w:pStyle w:val="Style27"/>
        <w:keepNext w:val="0"/>
        <w:keepLines w:val="0"/>
        <w:widowControl w:val="0"/>
        <w:shd w:val="clear" w:color="auto" w:fill="auto"/>
        <w:bidi w:val="0"/>
        <w:spacing w:before="0" w:after="300" w:line="442" w:lineRule="exact"/>
        <w:ind w:left="0" w:right="0" w:firstLine="0"/>
        <w:jc w:val="both"/>
      </w:pPr>
      <w:r>
        <w:rPr>
          <w:color w:val="000000"/>
          <w:spacing w:val="0"/>
          <w:w w:val="100"/>
          <w:position w:val="0"/>
        </w:rPr>
        <w:t>在建工程成本按实际工程支出确定，包括在建期间发生的各项工程支出、工程达到预定可使用状态前的资 本化的借款费用以及其他相关费用等。在建工程在达到预定可使用状态后结转为固定资产。</w:t>
      </w:r>
    </w:p>
    <w:p>
      <w:pPr>
        <w:pStyle w:val="Style36"/>
        <w:keepNext/>
        <w:keepLines/>
        <w:widowControl w:val="0"/>
        <w:shd w:val="clear" w:color="auto" w:fill="auto"/>
        <w:bidi w:val="0"/>
        <w:spacing w:before="0" w:after="280" w:line="440" w:lineRule="exact"/>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w:t>
      </w:r>
      <w:bookmarkEnd w:id="612"/>
      <w:r>
        <w:rPr>
          <w:rFonts w:ascii="Times New Roman" w:eastAsia="Times New Roman" w:hAnsi="Times New Roman" w:cs="Times New Roman"/>
          <w:color w:val="000000"/>
          <w:spacing w:val="0"/>
          <w:w w:val="100"/>
          <w:position w:val="0"/>
        </w:rPr>
        <w:t>3</w:t>
      </w:r>
      <w:r>
        <w:rPr>
          <w:color w:val="000000"/>
          <w:spacing w:val="0"/>
          <w:w w:val="100"/>
          <w:position w:val="0"/>
        </w:rPr>
        <w:t>）在建工程的减值测试方法、减值准备计提方法</w:t>
      </w:r>
      <w:bookmarkEnd w:id="610"/>
      <w:bookmarkEnd w:id="611"/>
      <w:bookmarkEnd w:id="613"/>
    </w:p>
    <w:p>
      <w:pPr>
        <w:pStyle w:val="Style27"/>
        <w:keepNext w:val="0"/>
        <w:keepLines w:val="0"/>
        <w:widowControl w:val="0"/>
        <w:shd w:val="clear" w:color="auto" w:fill="auto"/>
        <w:bidi w:val="0"/>
        <w:spacing w:before="0" w:after="0" w:line="440" w:lineRule="exact"/>
        <w:ind w:left="0" w:right="0" w:firstLine="420"/>
        <w:jc w:val="both"/>
      </w:pPr>
      <w:r>
        <w:rPr>
          <w:color w:val="000000"/>
          <w:spacing w:val="0"/>
          <w:w w:val="100"/>
          <w:position w:val="0"/>
        </w:rPr>
        <w:t>对于固定资产、在建工程、使用寿命有限的无形资产、以成本模式计量的投资性房地产及对子公司、 合营企业、联营企业的长期股权投资等非流动非金融资产，本集团于资产负债表日判断是否存在减值迹象。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27"/>
        <w:keepNext w:val="0"/>
        <w:keepLines w:val="0"/>
        <w:widowControl w:val="0"/>
        <w:shd w:val="clear" w:color="auto" w:fill="auto"/>
        <w:bidi w:val="0"/>
        <w:spacing w:before="0" w:after="0" w:line="440" w:lineRule="exact"/>
        <w:ind w:left="0" w:right="0" w:firstLine="42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27"/>
        <w:keepNext w:val="0"/>
        <w:keepLines w:val="0"/>
        <w:widowControl w:val="0"/>
        <w:shd w:val="clear" w:color="auto" w:fill="auto"/>
        <w:bidi w:val="0"/>
        <w:spacing w:before="0" w:after="0" w:line="440" w:lineRule="exact"/>
        <w:ind w:left="0" w:right="0" w:firstLine="42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27"/>
        <w:keepNext w:val="0"/>
        <w:keepLines w:val="0"/>
        <w:widowControl w:val="0"/>
        <w:shd w:val="clear" w:color="auto" w:fill="auto"/>
        <w:bidi w:val="0"/>
        <w:spacing w:before="0" w:after="0" w:line="440" w:lineRule="exact"/>
        <w:ind w:left="0" w:right="0" w:firstLine="420"/>
        <w:jc w:val="both"/>
      </w:pPr>
      <w:r>
        <w:rPr>
          <w:color w:val="000000"/>
          <w:spacing w:val="0"/>
          <w:w w:val="100"/>
          <w:position w:val="0"/>
        </w:rPr>
        <w:t>上述资产减值损失一经确认，以后期间不予转回价值得以恢复的部分。</w:t>
      </w:r>
    </w:p>
    <w:p>
      <w:pPr>
        <w:pStyle w:val="Style36"/>
        <w:keepNext/>
        <w:keepLines/>
        <w:widowControl w:val="0"/>
        <w:shd w:val="clear" w:color="auto" w:fill="auto"/>
        <w:bidi w:val="0"/>
        <w:spacing w:before="0" w:after="180" w:line="440" w:lineRule="exact"/>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614"/>
      <w:bookmarkEnd w:id="615"/>
      <w:bookmarkEnd w:id="617"/>
    </w:p>
    <w:p>
      <w:pPr>
        <w:pStyle w:val="Style36"/>
        <w:keepNext/>
        <w:keepLines/>
        <w:widowControl w:val="0"/>
        <w:shd w:val="clear" w:color="auto" w:fill="auto"/>
        <w:tabs>
          <w:tab w:pos="475" w:val="left"/>
        </w:tabs>
        <w:bidi w:val="0"/>
        <w:spacing w:before="0" w:after="360" w:line="440" w:lineRule="exact"/>
        <w:ind w:left="0" w:right="0" w:firstLine="0"/>
        <w:jc w:val="left"/>
      </w:pPr>
      <w:bookmarkStart w:id="614" w:name="bookmark614"/>
      <w:bookmarkStart w:id="615" w:name="bookmark615"/>
      <w:bookmarkStart w:id="618" w:name="bookmark618"/>
      <w:bookmarkStart w:id="619" w:name="bookmark619"/>
      <w:r>
        <w:rPr>
          <w:color w:val="000000"/>
          <w:spacing w:val="0"/>
          <w:w w:val="100"/>
          <w:position w:val="0"/>
        </w:rPr>
        <w:t>（</w:t>
      </w:r>
      <w:bookmarkEnd w:id="618"/>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614"/>
      <w:bookmarkEnd w:id="615"/>
      <w:bookmarkEnd w:id="619"/>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5" w:val="left"/>
        </w:tabs>
        <w:bidi w:val="0"/>
        <w:spacing w:before="0" w:after="360" w:line="440" w:lineRule="exact"/>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20"/>
      <w:bookmarkEnd w:id="621"/>
      <w:bookmarkEnd w:id="623"/>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5" w:val="left"/>
        </w:tabs>
        <w:bidi w:val="0"/>
        <w:spacing w:before="0" w:after="360" w:line="440" w:lineRule="exact"/>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24"/>
      <w:bookmarkEnd w:id="625"/>
      <w:bookmarkEnd w:id="627"/>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after="380" w:line="444" w:lineRule="exact"/>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w:t>
      </w:r>
      <w:bookmarkEnd w:id="630"/>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628"/>
      <w:bookmarkEnd w:id="629"/>
      <w:bookmarkEnd w:id="631"/>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4" w:val="left"/>
        </w:tabs>
        <w:bidi w:val="0"/>
        <w:spacing w:before="0" w:after="380" w:line="444" w:lineRule="exact"/>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632"/>
      <w:bookmarkEnd w:id="633"/>
      <w:bookmarkEnd w:id="635"/>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4" w:val="left"/>
        </w:tabs>
        <w:bidi w:val="0"/>
        <w:spacing w:before="0" w:after="380" w:line="444" w:lineRule="exact"/>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636"/>
      <w:bookmarkEnd w:id="637"/>
      <w:bookmarkEnd w:id="639"/>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180" w:line="444" w:lineRule="exact"/>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640"/>
      <w:bookmarkEnd w:id="641"/>
      <w:bookmarkEnd w:id="643"/>
    </w:p>
    <w:p>
      <w:pPr>
        <w:pStyle w:val="Style36"/>
        <w:keepNext/>
        <w:keepLines/>
        <w:widowControl w:val="0"/>
        <w:shd w:val="clear" w:color="auto" w:fill="auto"/>
        <w:tabs>
          <w:tab w:pos="498" w:val="left"/>
        </w:tabs>
        <w:bidi w:val="0"/>
        <w:spacing w:before="0" w:after="280" w:line="444" w:lineRule="exact"/>
        <w:ind w:left="0" w:right="0" w:firstLine="0"/>
        <w:jc w:val="left"/>
      </w:pPr>
      <w:bookmarkStart w:id="640" w:name="bookmark640"/>
      <w:bookmarkStart w:id="641" w:name="bookmark641"/>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640"/>
      <w:bookmarkEnd w:id="641"/>
      <w:bookmarkEnd w:id="645"/>
    </w:p>
    <w:p>
      <w:pPr>
        <w:pStyle w:val="Style27"/>
        <w:keepNext w:val="0"/>
        <w:keepLines w:val="0"/>
        <w:widowControl w:val="0"/>
        <w:shd w:val="clear" w:color="auto" w:fill="auto"/>
        <w:bidi w:val="0"/>
        <w:spacing w:before="0" w:after="0" w:line="444" w:lineRule="exact"/>
        <w:ind w:left="0" w:right="0" w:firstLine="440"/>
        <w:jc w:val="both"/>
      </w:pPr>
      <w:r>
        <w:rPr>
          <w:color w:val="000000"/>
          <w:spacing w:val="0"/>
          <w:w w:val="100"/>
          <w:position w:val="0"/>
        </w:rPr>
        <w:t>无形资产是指本集团拥有或者控制的没有实物形态的可辨认非货币性资产。</w:t>
      </w:r>
    </w:p>
    <w:p>
      <w:pPr>
        <w:pStyle w:val="Style2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无形资产按成本进行初始计量。与无形资产有关的支出，如果相关的经济利益很可能流入本集团且其 成本能可靠地计量，则计入无形资产成本。除此以外的其他项目的支出，在发生时计入当期损益。</w:t>
      </w:r>
    </w:p>
    <w:p>
      <w:pPr>
        <w:pStyle w:val="Style27"/>
        <w:keepNext w:val="0"/>
        <w:keepLines w:val="0"/>
        <w:widowControl w:val="0"/>
        <w:shd w:val="clear" w:color="auto" w:fill="auto"/>
        <w:bidi w:val="0"/>
        <w:spacing w:before="0" w:after="180" w:line="444" w:lineRule="exact"/>
        <w:ind w:left="0" w:right="0" w:firstLine="44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36"/>
        <w:keepNext/>
        <w:keepLines/>
        <w:widowControl w:val="0"/>
        <w:shd w:val="clear" w:color="auto" w:fill="auto"/>
        <w:tabs>
          <w:tab w:pos="498" w:val="left"/>
        </w:tabs>
        <w:bidi w:val="0"/>
        <w:spacing w:before="0" w:after="380" w:line="444" w:lineRule="exact"/>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646"/>
      <w:bookmarkEnd w:id="647"/>
      <w:bookmarkEnd w:id="649"/>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bl>
      <w:tblPr>
        <w:tblOverlap w:val="never"/>
        <w:jc w:val="center"/>
        <w:tblLayout w:type="fixed"/>
      </w:tblPr>
      <w:tblGrid>
        <w:gridCol w:w="2285"/>
        <w:gridCol w:w="2213"/>
        <w:gridCol w:w="508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bl>
    <w:p>
      <w:pPr>
        <w:widowControl w:val="0"/>
        <w:spacing w:after="119" w:line="1" w:lineRule="exact"/>
      </w:pPr>
    </w:p>
    <w:p>
      <w:pPr>
        <w:pStyle w:val="Style36"/>
        <w:keepNext/>
        <w:keepLines/>
        <w:widowControl w:val="0"/>
        <w:shd w:val="clear" w:color="auto" w:fill="auto"/>
        <w:tabs>
          <w:tab w:pos="498" w:val="left"/>
        </w:tabs>
        <w:bidi w:val="0"/>
        <w:spacing w:before="0" w:after="280" w:line="440" w:lineRule="exact"/>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w:t>
      </w:r>
      <w:bookmarkEnd w:id="652"/>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50"/>
      <w:bookmarkEnd w:id="651"/>
      <w:bookmarkEnd w:id="653"/>
    </w:p>
    <w:p>
      <w:pPr>
        <w:pStyle w:val="Style27"/>
        <w:keepNext w:val="0"/>
        <w:keepLines w:val="0"/>
        <w:widowControl w:val="0"/>
        <w:shd w:val="clear" w:color="auto" w:fill="auto"/>
        <w:bidi w:val="0"/>
        <w:spacing w:before="0" w:after="180" w:line="437" w:lineRule="exact"/>
        <w:ind w:left="0" w:right="0" w:firstLine="440"/>
        <w:jc w:val="left"/>
      </w:pPr>
      <w:r>
        <w:rPr>
          <w:color w:val="000000"/>
          <w:spacing w:val="0"/>
          <w:w w:val="100"/>
          <w:position w:val="0"/>
        </w:rPr>
        <w:t>使用寿命不确定的无形资产的使用寿命进行复核，如果有证据表明该无形资产为企业带来经济利益的 期限是可预见的，则估计其使用寿命并按照使用寿命有限的无形资产的摊销政策进行摊销。</w:t>
      </w:r>
    </w:p>
    <w:p>
      <w:pPr>
        <w:pStyle w:val="Style36"/>
        <w:keepNext/>
        <w:keepLines/>
        <w:widowControl w:val="0"/>
        <w:shd w:val="clear" w:color="auto" w:fill="auto"/>
        <w:tabs>
          <w:tab w:pos="498" w:val="left"/>
        </w:tabs>
        <w:bidi w:val="0"/>
        <w:spacing w:before="0" w:after="280" w:line="440" w:lineRule="exact"/>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w:t>
      </w:r>
      <w:bookmarkEnd w:id="656"/>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54"/>
      <w:bookmarkEnd w:id="655"/>
      <w:bookmarkEnd w:id="657"/>
    </w:p>
    <w:p>
      <w:pPr>
        <w:pStyle w:val="Style27"/>
        <w:keepNext w:val="0"/>
        <w:keepLines w:val="0"/>
        <w:widowControl w:val="0"/>
        <w:shd w:val="clear" w:color="auto" w:fill="auto"/>
        <w:bidi w:val="0"/>
        <w:spacing w:before="0" w:after="180" w:line="440" w:lineRule="exact"/>
        <w:ind w:left="0" w:right="0" w:firstLine="440"/>
        <w:jc w:val="left"/>
      </w:pPr>
      <w:r>
        <w:rPr>
          <w:color w:val="000000"/>
          <w:spacing w:val="0"/>
          <w:w w:val="100"/>
          <w:position w:val="0"/>
        </w:rPr>
        <w:t>对于固定资产、在建工程、使用寿命有限的无形资产、以成本模式计量的投资性房地产及对子公司、 合营企业、联营企业的长期股权投资等非流动非金融资产，本集团于资产负债表日判断是否存在减值迹象。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27"/>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27"/>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27"/>
        <w:keepNext w:val="0"/>
        <w:keepLines w:val="0"/>
        <w:widowControl w:val="0"/>
        <w:shd w:val="clear" w:color="auto" w:fill="auto"/>
        <w:bidi w:val="0"/>
        <w:spacing w:before="0" w:after="160" w:line="440" w:lineRule="exact"/>
        <w:ind w:left="0" w:right="0" w:firstLine="440"/>
        <w:jc w:val="left"/>
      </w:pPr>
      <w:r>
        <w:rPr>
          <w:color w:val="000000"/>
          <w:spacing w:val="0"/>
          <w:w w:val="100"/>
          <w:position w:val="0"/>
        </w:rPr>
        <w:t>上述资产减值损失一经确认，以后期间不予转回价值得以恢复的部分。</w:t>
      </w:r>
    </w:p>
    <w:p>
      <w:pPr>
        <w:pStyle w:val="Style36"/>
        <w:keepNext/>
        <w:keepLines/>
        <w:widowControl w:val="0"/>
        <w:numPr>
          <w:ilvl w:val="0"/>
          <w:numId w:val="29"/>
        </w:numPr>
        <w:shd w:val="clear" w:color="auto" w:fill="auto"/>
        <w:tabs>
          <w:tab w:pos="475" w:val="left"/>
        </w:tabs>
        <w:bidi w:val="0"/>
        <w:spacing w:before="0" w:after="300" w:line="440" w:lineRule="exact"/>
        <w:ind w:left="0" w:right="0" w:firstLine="0"/>
        <w:jc w:val="left"/>
      </w:pPr>
      <w:bookmarkStart w:id="658" w:name="bookmark658"/>
      <w:bookmarkStart w:id="659" w:name="bookmark659"/>
      <w:bookmarkStart w:id="660" w:name="bookmark660"/>
      <w:bookmarkStart w:id="661" w:name="bookmark661"/>
      <w:bookmarkEnd w:id="660"/>
      <w:r>
        <w:rPr>
          <w:color w:val="000000"/>
          <w:spacing w:val="0"/>
          <w:w w:val="100"/>
          <w:position w:val="0"/>
        </w:rPr>
        <w:t>划分公司内部研究开发项目的研究阶段和开发阶段具体标准</w:t>
      </w:r>
      <w:bookmarkEnd w:id="658"/>
      <w:bookmarkEnd w:id="659"/>
      <w:bookmarkEnd w:id="661"/>
    </w:p>
    <w:p>
      <w:pPr>
        <w:pStyle w:val="Style27"/>
        <w:keepNext w:val="0"/>
        <w:keepLines w:val="0"/>
        <w:widowControl w:val="0"/>
        <w:shd w:val="clear" w:color="auto" w:fill="auto"/>
        <w:bidi w:val="0"/>
        <w:spacing w:before="0" w:after="160" w:line="442" w:lineRule="exact"/>
        <w:ind w:left="0" w:right="0" w:firstLine="440"/>
        <w:jc w:val="both"/>
      </w:pPr>
      <w:r>
        <w:rPr>
          <w:color w:val="000000"/>
          <w:spacing w:val="0"/>
          <w:w w:val="100"/>
          <w:position w:val="0"/>
        </w:rPr>
        <w:t>本集团将具有计划性和探索性的研发项目支出列入研究开发支出，将具有针对性和形成结果的可能性 较大的研发项目支出列入开发支出</w:t>
      </w:r>
    </w:p>
    <w:p>
      <w:pPr>
        <w:pStyle w:val="Style36"/>
        <w:keepNext/>
        <w:keepLines/>
        <w:widowControl w:val="0"/>
        <w:numPr>
          <w:ilvl w:val="0"/>
          <w:numId w:val="29"/>
        </w:numPr>
        <w:shd w:val="clear" w:color="auto" w:fill="auto"/>
        <w:tabs>
          <w:tab w:pos="475" w:val="left"/>
        </w:tabs>
        <w:bidi w:val="0"/>
        <w:spacing w:before="0" w:after="300" w:line="440" w:lineRule="exact"/>
        <w:ind w:left="0" w:right="0" w:firstLine="0"/>
        <w:jc w:val="left"/>
      </w:pPr>
      <w:bookmarkStart w:id="662" w:name="bookmark662"/>
      <w:bookmarkStart w:id="663" w:name="bookmark663"/>
      <w:bookmarkStart w:id="664" w:name="bookmark664"/>
      <w:bookmarkStart w:id="665" w:name="bookmark665"/>
      <w:bookmarkEnd w:id="664"/>
      <w:r>
        <w:rPr>
          <w:color w:val="000000"/>
          <w:spacing w:val="0"/>
          <w:w w:val="100"/>
          <w:position w:val="0"/>
        </w:rPr>
        <w:t>内部研究开发项目支出的核算</w:t>
      </w:r>
      <w:bookmarkEnd w:id="662"/>
      <w:bookmarkEnd w:id="663"/>
      <w:bookmarkEnd w:id="665"/>
    </w:p>
    <w:p>
      <w:pPr>
        <w:pStyle w:val="Style27"/>
        <w:keepNext w:val="0"/>
        <w:keepLines w:val="0"/>
        <w:widowControl w:val="0"/>
        <w:shd w:val="clear" w:color="auto" w:fill="auto"/>
        <w:bidi w:val="0"/>
        <w:spacing w:before="0" w:after="0" w:line="437" w:lineRule="exact"/>
        <w:ind w:left="0" w:right="0" w:firstLine="440"/>
        <w:jc w:val="left"/>
      </w:pPr>
      <w:r>
        <w:rPr>
          <w:color w:val="000000"/>
          <w:spacing w:val="0"/>
          <w:w w:val="100"/>
          <w:position w:val="0"/>
        </w:rPr>
        <w:t>研究阶段的支出，于发生时计入当期损益。</w:t>
      </w:r>
    </w:p>
    <w:p>
      <w:pPr>
        <w:pStyle w:val="Style27"/>
        <w:keepNext w:val="0"/>
        <w:keepLines w:val="0"/>
        <w:widowControl w:val="0"/>
        <w:shd w:val="clear" w:color="auto" w:fill="auto"/>
        <w:bidi w:val="0"/>
        <w:spacing w:before="0" w:after="0" w:line="437" w:lineRule="exact"/>
        <w:ind w:left="0" w:right="0" w:firstLine="440"/>
        <w:jc w:val="both"/>
      </w:pPr>
      <w:r>
        <w:rPr>
          <w:color w:val="000000"/>
          <w:spacing w:val="0"/>
          <w:w w:val="100"/>
          <w:position w:val="0"/>
        </w:rPr>
        <w:t>开发阶段的支出同时满足下列条件的，确认为无形资产，不能满足下述条件的开发阶段的支出计入当 期损益：</w:t>
      </w:r>
    </w:p>
    <w:p>
      <w:pPr>
        <w:pStyle w:val="Style27"/>
        <w:keepNext w:val="0"/>
        <w:keepLines w:val="0"/>
        <w:widowControl w:val="0"/>
        <w:numPr>
          <w:ilvl w:val="0"/>
          <w:numId w:val="31"/>
        </w:numPr>
        <w:shd w:val="clear" w:color="auto" w:fill="auto"/>
        <w:tabs>
          <w:tab w:pos="809" w:val="left"/>
        </w:tabs>
        <w:bidi w:val="0"/>
        <w:spacing w:before="0" w:after="0" w:line="437" w:lineRule="exact"/>
        <w:ind w:left="0" w:right="0" w:firstLine="440"/>
        <w:jc w:val="left"/>
      </w:pPr>
      <w:bookmarkStart w:id="666" w:name="bookmark666"/>
      <w:bookmarkEnd w:id="666"/>
      <w:r>
        <w:rPr>
          <w:color w:val="000000"/>
          <w:spacing w:val="0"/>
          <w:w w:val="100"/>
          <w:position w:val="0"/>
        </w:rPr>
        <w:t>完成该无形资产以使其能够使用或出售在技术上具有可行性；</w:t>
      </w:r>
    </w:p>
    <w:p>
      <w:pPr>
        <w:pStyle w:val="Style27"/>
        <w:keepNext w:val="0"/>
        <w:keepLines w:val="0"/>
        <w:widowControl w:val="0"/>
        <w:numPr>
          <w:ilvl w:val="0"/>
          <w:numId w:val="31"/>
        </w:numPr>
        <w:shd w:val="clear" w:color="auto" w:fill="auto"/>
        <w:tabs>
          <w:tab w:pos="814" w:val="left"/>
        </w:tabs>
        <w:bidi w:val="0"/>
        <w:spacing w:before="0" w:after="0" w:line="437" w:lineRule="exact"/>
        <w:ind w:left="0" w:right="0" w:firstLine="440"/>
        <w:jc w:val="left"/>
      </w:pPr>
      <w:bookmarkStart w:id="667" w:name="bookmark667"/>
      <w:bookmarkEnd w:id="667"/>
      <w:r>
        <w:rPr>
          <w:color w:val="000000"/>
          <w:spacing w:val="0"/>
          <w:w w:val="100"/>
          <w:position w:val="0"/>
        </w:rPr>
        <w:t>具有完成该无形资产并使用或出售的意图；</w:t>
      </w:r>
    </w:p>
    <w:p>
      <w:pPr>
        <w:pStyle w:val="Style27"/>
        <w:keepNext w:val="0"/>
        <w:keepLines w:val="0"/>
        <w:widowControl w:val="0"/>
        <w:numPr>
          <w:ilvl w:val="0"/>
          <w:numId w:val="31"/>
        </w:numPr>
        <w:shd w:val="clear" w:color="auto" w:fill="auto"/>
        <w:tabs>
          <w:tab w:pos="787" w:val="left"/>
        </w:tabs>
        <w:bidi w:val="0"/>
        <w:spacing w:before="0" w:after="0" w:line="437" w:lineRule="exact"/>
        <w:ind w:left="0" w:right="0" w:firstLine="440"/>
        <w:jc w:val="both"/>
      </w:pPr>
      <w:bookmarkStart w:id="668" w:name="bookmark668"/>
      <w:bookmarkEnd w:id="668"/>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27"/>
        <w:keepNext w:val="0"/>
        <w:keepLines w:val="0"/>
        <w:widowControl w:val="0"/>
        <w:numPr>
          <w:ilvl w:val="0"/>
          <w:numId w:val="31"/>
        </w:numPr>
        <w:shd w:val="clear" w:color="auto" w:fill="auto"/>
        <w:tabs>
          <w:tab w:pos="777" w:val="left"/>
        </w:tabs>
        <w:bidi w:val="0"/>
        <w:spacing w:before="0" w:after="0" w:line="437" w:lineRule="exact"/>
        <w:ind w:left="0" w:right="0" w:firstLine="440"/>
        <w:jc w:val="both"/>
      </w:pPr>
      <w:bookmarkStart w:id="669" w:name="bookmark669"/>
      <w:bookmarkEnd w:id="669"/>
      <w:r>
        <w:rPr>
          <w:color w:val="000000"/>
          <w:spacing w:val="0"/>
          <w:w w:val="100"/>
          <w:position w:val="0"/>
        </w:rPr>
        <w:t>有足够的技术、财务资源和其他资源支持，以完成该无形资产的开发，并有能力使用或出售该无形 资产；</w:t>
      </w:r>
    </w:p>
    <w:p>
      <w:pPr>
        <w:pStyle w:val="Style27"/>
        <w:keepNext w:val="0"/>
        <w:keepLines w:val="0"/>
        <w:widowControl w:val="0"/>
        <w:numPr>
          <w:ilvl w:val="0"/>
          <w:numId w:val="31"/>
        </w:numPr>
        <w:shd w:val="clear" w:color="auto" w:fill="auto"/>
        <w:tabs>
          <w:tab w:pos="814" w:val="left"/>
        </w:tabs>
        <w:bidi w:val="0"/>
        <w:spacing w:before="0" w:after="160" w:line="437" w:lineRule="exact"/>
        <w:ind w:left="0" w:right="0" w:firstLine="440"/>
        <w:jc w:val="left"/>
      </w:pPr>
      <w:bookmarkStart w:id="670" w:name="bookmark670"/>
      <w:bookmarkEnd w:id="670"/>
      <w:r>
        <w:rPr>
          <w:color w:val="000000"/>
          <w:spacing w:val="0"/>
          <w:w w:val="100"/>
          <w:position w:val="0"/>
        </w:rPr>
        <w:t>归属于该无形资产开发阶段的支出能够可靠地计量。</w:t>
      </w:r>
    </w:p>
    <w:p>
      <w:pPr>
        <w:pStyle w:val="Style27"/>
        <w:keepNext w:val="0"/>
        <w:keepLines w:val="0"/>
        <w:widowControl w:val="0"/>
        <w:shd w:val="clear" w:color="auto" w:fill="auto"/>
        <w:bidi w:val="0"/>
        <w:spacing w:before="0" w:after="360" w:line="437" w:lineRule="exact"/>
        <w:ind w:left="0" w:right="0" w:firstLine="440"/>
        <w:jc w:val="left"/>
      </w:pPr>
      <w:r>
        <w:rPr>
          <w:color w:val="000000"/>
          <w:spacing w:val="0"/>
          <w:w w:val="100"/>
          <w:position w:val="0"/>
        </w:rPr>
        <w:t>无法区分研究阶段支出和开发阶段支出的，将发生的研发支出全部计入当期损益。</w:t>
      </w:r>
    </w:p>
    <w:p>
      <w:pPr>
        <w:pStyle w:val="Style27"/>
        <w:keepNext w:val="0"/>
        <w:keepLines w:val="0"/>
        <w:widowControl w:val="0"/>
        <w:shd w:val="clear" w:color="auto" w:fill="auto"/>
        <w:tabs>
          <w:tab w:pos="483" w:val="left"/>
        </w:tabs>
        <w:bidi w:val="0"/>
        <w:spacing w:before="0" w:after="80" w:line="456" w:lineRule="auto"/>
        <w:ind w:left="0" w:right="0" w:firstLine="0"/>
        <w:jc w:val="left"/>
      </w:pPr>
      <w:bookmarkStart w:id="671" w:name="bookmark671"/>
      <w:r>
        <w:rPr>
          <w:rFonts w:ascii="Times New Roman" w:eastAsia="Times New Roman" w:hAnsi="Times New Roman" w:cs="Times New Roman"/>
          <w:b/>
          <w:bCs/>
          <w:color w:val="000000"/>
          <w:spacing w:val="0"/>
          <w:w w:val="100"/>
          <w:position w:val="0"/>
        </w:rPr>
        <w:t>2</w:t>
      </w:r>
      <w:bookmarkEnd w:id="67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长期待摊费用</w:t>
      </w:r>
    </w:p>
    <w:p>
      <w:pPr>
        <w:pStyle w:val="Style27"/>
        <w:keepNext w:val="0"/>
        <w:keepLines w:val="0"/>
        <w:widowControl w:val="0"/>
        <w:shd w:val="clear" w:color="auto" w:fill="auto"/>
        <w:bidi w:val="0"/>
        <w:spacing w:before="0" w:after="360" w:line="437" w:lineRule="exact"/>
        <w:ind w:left="0" w:right="0" w:firstLine="440"/>
        <w:jc w:val="left"/>
      </w:pPr>
      <w:r>
        <w:rPr>
          <w:color w:val="000000"/>
          <w:spacing w:val="0"/>
          <w:w w:val="100"/>
          <w:position w:val="0"/>
        </w:rPr>
        <w:t>长期待摊费用为已经发生但应由报告期和以后各期负担的分摊期限在一年以上的各项费用。长期待摊 费用在预计受益期间按直线法摊销。</w:t>
      </w:r>
    </w:p>
    <w:p>
      <w:pPr>
        <w:pStyle w:val="Style27"/>
        <w:keepNext w:val="0"/>
        <w:keepLines w:val="0"/>
        <w:widowControl w:val="0"/>
        <w:shd w:val="clear" w:color="auto" w:fill="auto"/>
        <w:tabs>
          <w:tab w:pos="483" w:val="left"/>
        </w:tabs>
        <w:bidi w:val="0"/>
        <w:spacing w:before="0" w:after="180" w:line="456" w:lineRule="auto"/>
        <w:ind w:left="0" w:right="0" w:firstLine="0"/>
        <w:jc w:val="left"/>
      </w:pPr>
      <w:bookmarkStart w:id="672" w:name="bookmark672"/>
      <w:r>
        <w:rPr>
          <w:rFonts w:ascii="Times New Roman" w:eastAsia="Times New Roman" w:hAnsi="Times New Roman" w:cs="Times New Roman"/>
          <w:b/>
          <w:bCs/>
          <w:color w:val="000000"/>
          <w:spacing w:val="0"/>
          <w:w w:val="100"/>
          <w:position w:val="0"/>
        </w:rPr>
        <w:t>2</w:t>
      </w:r>
      <w:bookmarkEnd w:id="67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附回购条件的资产转让</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tabs>
          <w:tab w:pos="483" w:val="left"/>
        </w:tabs>
        <w:bidi w:val="0"/>
        <w:spacing w:before="0" w:after="180" w:line="456" w:lineRule="auto"/>
        <w:ind w:left="0" w:right="0" w:firstLine="0"/>
        <w:jc w:val="left"/>
      </w:pPr>
      <w:bookmarkStart w:id="673" w:name="bookmark673"/>
      <w:r>
        <w:rPr>
          <w:rFonts w:ascii="Times New Roman" w:eastAsia="Times New Roman" w:hAnsi="Times New Roman" w:cs="Times New Roman"/>
          <w:b/>
          <w:bCs/>
          <w:color w:val="000000"/>
          <w:spacing w:val="0"/>
          <w:w w:val="100"/>
          <w:position w:val="0"/>
        </w:rPr>
        <w:t>2</w:t>
      </w:r>
      <w:bookmarkEnd w:id="67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预计负债</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tabs>
          <w:tab w:pos="498" w:val="left"/>
        </w:tabs>
        <w:bidi w:val="0"/>
        <w:spacing w:before="0" w:after="360" w:line="437" w:lineRule="exact"/>
        <w:ind w:left="0" w:right="0" w:firstLine="0"/>
        <w:jc w:val="left"/>
      </w:pPr>
      <w:bookmarkStart w:id="674" w:name="bookmark674"/>
      <w:r>
        <w:rPr>
          <w:b/>
          <w:bCs/>
          <w:color w:val="000000"/>
          <w:spacing w:val="0"/>
          <w:w w:val="100"/>
          <w:position w:val="0"/>
        </w:rPr>
        <w:t>（</w:t>
      </w:r>
      <w:bookmarkEnd w:id="67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预计负债的确认标准</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tabs>
          <w:tab w:pos="498" w:val="left"/>
        </w:tabs>
        <w:bidi w:val="0"/>
        <w:spacing w:before="0" w:after="360" w:line="437" w:lineRule="exact"/>
        <w:ind w:left="0" w:right="0" w:firstLine="0"/>
        <w:jc w:val="left"/>
      </w:pPr>
      <w:bookmarkStart w:id="675" w:name="bookmark675"/>
      <w:r>
        <w:rPr>
          <w:b/>
          <w:bCs/>
          <w:color w:val="000000"/>
          <w:spacing w:val="0"/>
          <w:w w:val="100"/>
          <w:position w:val="0"/>
        </w:rPr>
        <w:t>（</w:t>
      </w:r>
      <w:bookmarkEnd w:id="67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预计负债的计量方法</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tabs>
          <w:tab w:pos="483" w:val="left"/>
        </w:tabs>
        <w:bidi w:val="0"/>
        <w:spacing w:before="0" w:after="0" w:line="456" w:lineRule="auto"/>
        <w:ind w:left="0" w:right="0" w:firstLine="0"/>
        <w:jc w:val="left"/>
      </w:pPr>
      <w:bookmarkStart w:id="676" w:name="bookmark676"/>
      <w:r>
        <w:rPr>
          <w:rFonts w:ascii="Times New Roman" w:eastAsia="Times New Roman" w:hAnsi="Times New Roman" w:cs="Times New Roman"/>
          <w:b/>
          <w:bCs/>
          <w:color w:val="000000"/>
          <w:spacing w:val="0"/>
          <w:w w:val="100"/>
          <w:position w:val="0"/>
        </w:rPr>
        <w:t>2</w:t>
      </w:r>
      <w:bookmarkEnd w:id="67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股份支付及权益工具</w:t>
      </w:r>
    </w:p>
    <w:p>
      <w:pPr>
        <w:pStyle w:val="Style27"/>
        <w:keepNext w:val="0"/>
        <w:keepLines w:val="0"/>
        <w:widowControl w:val="0"/>
        <w:shd w:val="clear" w:color="auto" w:fill="auto"/>
        <w:tabs>
          <w:tab w:pos="498" w:val="left"/>
        </w:tabs>
        <w:bidi w:val="0"/>
        <w:spacing w:before="0" w:after="360" w:line="437" w:lineRule="exact"/>
        <w:ind w:left="0" w:right="0" w:firstLine="0"/>
        <w:jc w:val="left"/>
      </w:pPr>
      <w:bookmarkStart w:id="677" w:name="bookmark677"/>
      <w:r>
        <w:rPr>
          <w:b/>
          <w:bCs/>
          <w:color w:val="000000"/>
          <w:spacing w:val="0"/>
          <w:w w:val="100"/>
          <w:position w:val="0"/>
        </w:rPr>
        <w:t>（</w:t>
      </w:r>
      <w:bookmarkEnd w:id="67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股份支付的种类</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tabs>
          <w:tab w:pos="498" w:val="left"/>
        </w:tabs>
        <w:bidi w:val="0"/>
        <w:spacing w:before="0" w:after="360" w:line="437" w:lineRule="exact"/>
        <w:ind w:left="0" w:right="0" w:firstLine="0"/>
        <w:jc w:val="left"/>
      </w:pPr>
      <w:bookmarkStart w:id="678" w:name="bookmark678"/>
      <w:r>
        <w:rPr>
          <w:b/>
          <w:bCs/>
          <w:color w:val="000000"/>
          <w:spacing w:val="0"/>
          <w:w w:val="100"/>
          <w:position w:val="0"/>
        </w:rPr>
        <w:t>（</w:t>
      </w:r>
      <w:bookmarkEnd w:id="67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权益工具公允价值的确定方法</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tabs>
          <w:tab w:pos="498" w:val="left"/>
        </w:tabs>
        <w:bidi w:val="0"/>
        <w:spacing w:before="0" w:after="360" w:line="437" w:lineRule="exact"/>
        <w:ind w:left="0" w:right="0" w:firstLine="0"/>
        <w:jc w:val="left"/>
      </w:pPr>
      <w:bookmarkStart w:id="679" w:name="bookmark679"/>
      <w:r>
        <w:rPr>
          <w:b/>
          <w:bCs/>
          <w:color w:val="000000"/>
          <w:spacing w:val="0"/>
          <w:w w:val="100"/>
          <w:position w:val="0"/>
        </w:rPr>
        <w:t>（</w:t>
      </w:r>
      <w:bookmarkEnd w:id="67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确认可行权权益工具最佳估计的依据</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tabs>
          <w:tab w:pos="498" w:val="left"/>
        </w:tabs>
        <w:bidi w:val="0"/>
        <w:spacing w:before="0" w:after="360" w:line="437" w:lineRule="exact"/>
        <w:ind w:left="0" w:right="0" w:firstLine="0"/>
        <w:jc w:val="left"/>
      </w:pPr>
      <w:bookmarkStart w:id="680" w:name="bookmark680"/>
      <w:r>
        <w:rPr>
          <w:b/>
          <w:bCs/>
          <w:color w:val="000000"/>
          <w:spacing w:val="0"/>
          <w:w w:val="100"/>
          <w:position w:val="0"/>
        </w:rPr>
        <w:t>（</w:t>
      </w:r>
      <w:bookmarkEnd w:id="68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实施、修改、终止股份支付计划的相关会计处理</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tabs>
          <w:tab w:pos="483" w:val="left"/>
        </w:tabs>
        <w:bidi w:val="0"/>
        <w:spacing w:before="0" w:after="180" w:line="456" w:lineRule="auto"/>
        <w:ind w:left="0" w:right="0" w:firstLine="0"/>
        <w:jc w:val="left"/>
      </w:pPr>
      <w:bookmarkStart w:id="681" w:name="bookmark681"/>
      <w:r>
        <w:rPr>
          <w:rFonts w:ascii="Times New Roman" w:eastAsia="Times New Roman" w:hAnsi="Times New Roman" w:cs="Times New Roman"/>
          <w:b/>
          <w:bCs/>
          <w:color w:val="000000"/>
          <w:spacing w:val="0"/>
          <w:w w:val="100"/>
          <w:position w:val="0"/>
        </w:rPr>
        <w:t>2</w:t>
      </w:r>
      <w:bookmarkEnd w:id="68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回购本公司股份</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after="0" w:line="461"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w:t>
      </w:r>
      <w:bookmarkEnd w:id="684"/>
      <w:r>
        <w:rPr>
          <w:rFonts w:ascii="Times New Roman" w:eastAsia="Times New Roman" w:hAnsi="Times New Roman" w:cs="Times New Roman"/>
          <w:color w:val="000000"/>
          <w:spacing w:val="0"/>
          <w:w w:val="100"/>
          <w:position w:val="0"/>
        </w:rPr>
        <w:t>6</w:t>
      </w:r>
      <w:r>
        <w:rPr>
          <w:color w:val="000000"/>
          <w:spacing w:val="0"/>
          <w:w w:val="100"/>
          <w:position w:val="0"/>
        </w:rPr>
        <w:t>、收入</w:t>
      </w:r>
      <w:bookmarkEnd w:id="682"/>
      <w:bookmarkEnd w:id="683"/>
      <w:bookmarkEnd w:id="685"/>
    </w:p>
    <w:p>
      <w:pPr>
        <w:pStyle w:val="Style36"/>
        <w:keepNext/>
        <w:keepLines/>
        <w:widowControl w:val="0"/>
        <w:numPr>
          <w:ilvl w:val="0"/>
          <w:numId w:val="33"/>
        </w:numPr>
        <w:shd w:val="clear" w:color="auto" w:fill="auto"/>
        <w:tabs>
          <w:tab w:pos="498" w:val="left"/>
        </w:tabs>
        <w:bidi w:val="0"/>
        <w:spacing w:before="0" w:after="280" w:line="442" w:lineRule="exact"/>
        <w:ind w:left="0" w:right="0" w:firstLine="0"/>
        <w:jc w:val="left"/>
      </w:pPr>
      <w:bookmarkStart w:id="682" w:name="bookmark682"/>
      <w:bookmarkStart w:id="683" w:name="bookmark683"/>
      <w:bookmarkStart w:id="686" w:name="bookmark686"/>
      <w:bookmarkStart w:id="687" w:name="bookmark687"/>
      <w:bookmarkEnd w:id="686"/>
      <w:r>
        <w:rPr>
          <w:color w:val="000000"/>
          <w:spacing w:val="0"/>
          <w:w w:val="100"/>
          <w:position w:val="0"/>
        </w:rPr>
        <w:t>销售商品收入确认时间的具体判断标准</w:t>
      </w:r>
      <w:bookmarkEnd w:id="682"/>
      <w:bookmarkEnd w:id="683"/>
      <w:bookmarkEnd w:id="687"/>
    </w:p>
    <w:p>
      <w:pPr>
        <w:pStyle w:val="Style27"/>
        <w:keepNext w:val="0"/>
        <w:keepLines w:val="0"/>
        <w:widowControl w:val="0"/>
        <w:shd w:val="clear" w:color="auto" w:fill="auto"/>
        <w:bidi w:val="0"/>
        <w:spacing w:before="0" w:after="160" w:line="441" w:lineRule="exact"/>
        <w:ind w:left="0" w:right="0" w:firstLine="440"/>
        <w:jc w:val="both"/>
      </w:pPr>
      <w:r>
        <w:rPr>
          <w:color w:val="000000"/>
          <w:spacing w:val="0"/>
          <w:w w:val="100"/>
          <w:position w:val="0"/>
        </w:rPr>
        <w:t>在已将商品所有权上的主要风险和报酬转移给买方，既没有保留通常与所有权相联系的继续管理权， 也没有对己售商品实施有效控制，收入的金额能够可靠地计量，相关的经济利益很可能流入企业，相关的 已发生或将发生的成本能够可靠地计量时，确认商品销售收入的实现。公司销售分直销与经销。①直销： 在客户矿井内安装调试完毕后，客户进行验收，并调试运行一段时间(通常为一个月至三个月)。验收结 束后公司开具发票并确认收入。②经销商：公司与经销商签订经销协议，当业务发生时，经销商需先预付 全部货款后，由公司向对方发货，同时开具发票确认收入。公司同时负责在客户矿井内指导安装，并进行 系统调试。</w:t>
      </w:r>
    </w:p>
    <w:p>
      <w:pPr>
        <w:pStyle w:val="Style36"/>
        <w:keepNext/>
        <w:keepLines/>
        <w:widowControl w:val="0"/>
        <w:numPr>
          <w:ilvl w:val="0"/>
          <w:numId w:val="33"/>
        </w:numPr>
        <w:shd w:val="clear" w:color="auto" w:fill="auto"/>
        <w:tabs>
          <w:tab w:pos="498" w:val="left"/>
        </w:tabs>
        <w:bidi w:val="0"/>
        <w:spacing w:before="0" w:after="400" w:line="442" w:lineRule="exact"/>
        <w:ind w:left="0" w:right="0" w:firstLine="0"/>
        <w:jc w:val="left"/>
      </w:pPr>
      <w:bookmarkStart w:id="688" w:name="bookmark688"/>
      <w:bookmarkStart w:id="689" w:name="bookmark689"/>
      <w:bookmarkStart w:id="690" w:name="bookmark690"/>
      <w:bookmarkStart w:id="691" w:name="bookmark691"/>
      <w:bookmarkEnd w:id="690"/>
      <w:r>
        <w:rPr>
          <w:color w:val="000000"/>
          <w:spacing w:val="0"/>
          <w:w w:val="100"/>
          <w:position w:val="0"/>
        </w:rPr>
        <w:t>确认让渡资产使用权收入的依据</w:t>
      </w:r>
      <w:bookmarkEnd w:id="688"/>
      <w:bookmarkEnd w:id="689"/>
      <w:bookmarkEnd w:id="691"/>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6"/>
        <w:keepNext/>
        <w:keepLines/>
        <w:widowControl w:val="0"/>
        <w:numPr>
          <w:ilvl w:val="0"/>
          <w:numId w:val="33"/>
        </w:numPr>
        <w:shd w:val="clear" w:color="auto" w:fill="auto"/>
        <w:tabs>
          <w:tab w:pos="498" w:val="left"/>
        </w:tabs>
        <w:bidi w:val="0"/>
        <w:spacing w:before="0" w:after="280" w:line="442" w:lineRule="exact"/>
        <w:ind w:left="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确认提供劳务收入的依据</w:t>
      </w:r>
      <w:bookmarkEnd w:id="692"/>
      <w:bookmarkEnd w:id="693"/>
      <w:bookmarkEnd w:id="695"/>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在提供劳务交易的结果能够可靠估计的情况下，于资产负债表日按照完工百分比法确认提供的劳务收 入。劳务交易的完工进度按已经发生的劳务成本占估计总成本的比例确定。</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提供劳务交易的结果能够可靠估计是指同时满足：①收入的金额能够可靠地计量；②相关的经济利益 很可能流入企业；③交易的完工程度能够可靠地确定；④交易中已发生和将发生的成本能够可靠地计量。</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如果提供劳务交易的结果不能够可靠估计，则按已经发生并预计能够得到补偿的劳务成本金额确认提 供的劳务收入，并将已发生的劳务成本作为当期费用。已经发生的劳务成本如预计不能得到补偿的，则不 确认收入。</w:t>
      </w:r>
    </w:p>
    <w:p>
      <w:pPr>
        <w:pStyle w:val="Style27"/>
        <w:keepNext w:val="0"/>
        <w:keepLines w:val="0"/>
        <w:widowControl w:val="0"/>
        <w:shd w:val="clear" w:color="auto" w:fill="auto"/>
        <w:bidi w:val="0"/>
        <w:spacing w:before="0" w:after="160" w:line="442" w:lineRule="exact"/>
        <w:ind w:left="0" w:right="0" w:firstLine="440"/>
        <w:jc w:val="both"/>
      </w:pPr>
      <w:r>
        <w:rPr>
          <w:color w:val="000000"/>
          <w:spacing w:val="0"/>
          <w:w w:val="100"/>
          <w:position w:val="0"/>
        </w:rPr>
        <w:t>本集团与其他企业签订的合同或协议包括销售商品和提供劳务时，如销售商品部分和提供劳务部分能 够区分并单独计量的，将销售商品部分和提供劳务部分分别处理；如销售商品部分和提供劳务部分不能够 区分，或虽能区分但不能够单独计量的，将该合同全部作为销售商品处理。</w:t>
      </w:r>
    </w:p>
    <w:p>
      <w:pPr>
        <w:pStyle w:val="Style36"/>
        <w:keepNext/>
        <w:keepLines/>
        <w:widowControl w:val="0"/>
        <w:numPr>
          <w:ilvl w:val="0"/>
          <w:numId w:val="33"/>
        </w:numPr>
        <w:shd w:val="clear" w:color="auto" w:fill="auto"/>
        <w:tabs>
          <w:tab w:pos="498" w:val="left"/>
        </w:tabs>
        <w:bidi w:val="0"/>
        <w:spacing w:before="0" w:after="400" w:line="442" w:lineRule="exact"/>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按完工百分比法确认提供劳务的收入和建造合同收入时，确定合同完工进度的依据和方法</w:t>
      </w:r>
      <w:bookmarkEnd w:id="696"/>
      <w:bookmarkEnd w:id="697"/>
      <w:bookmarkEnd w:id="699"/>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160" w:line="442" w:lineRule="exact"/>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700"/>
      <w:bookmarkEnd w:id="701"/>
      <w:bookmarkEnd w:id="703"/>
    </w:p>
    <w:p>
      <w:pPr>
        <w:pStyle w:val="Style36"/>
        <w:keepNext/>
        <w:keepLines/>
        <w:widowControl w:val="0"/>
        <w:numPr>
          <w:ilvl w:val="0"/>
          <w:numId w:val="35"/>
        </w:numPr>
        <w:shd w:val="clear" w:color="auto" w:fill="auto"/>
        <w:tabs>
          <w:tab w:pos="498" w:val="left"/>
        </w:tabs>
        <w:bidi w:val="0"/>
        <w:spacing w:before="0" w:after="280" w:line="442" w:lineRule="exact"/>
        <w:ind w:left="0" w:right="0" w:firstLine="0"/>
        <w:jc w:val="both"/>
      </w:pPr>
      <w:bookmarkStart w:id="700" w:name="bookmark700"/>
      <w:bookmarkStart w:id="701" w:name="bookmark701"/>
      <w:bookmarkStart w:id="704" w:name="bookmark704"/>
      <w:bookmarkStart w:id="705" w:name="bookmark705"/>
      <w:bookmarkEnd w:id="704"/>
      <w:r>
        <w:rPr>
          <w:color w:val="000000"/>
          <w:spacing w:val="0"/>
          <w:w w:val="100"/>
          <w:position w:val="0"/>
        </w:rPr>
        <w:t>类型</w:t>
      </w:r>
      <w:bookmarkEnd w:id="700"/>
      <w:bookmarkEnd w:id="701"/>
      <w:bookmarkEnd w:id="705"/>
    </w:p>
    <w:p>
      <w:pPr>
        <w:pStyle w:val="Style27"/>
        <w:keepNext w:val="0"/>
        <w:keepLines w:val="0"/>
        <w:widowControl w:val="0"/>
        <w:shd w:val="clear" w:color="auto" w:fill="auto"/>
        <w:bidi w:val="0"/>
        <w:spacing w:before="0" w:after="160" w:line="446" w:lineRule="exact"/>
        <w:ind w:left="0" w:right="0" w:firstLine="440"/>
        <w:jc w:val="left"/>
      </w:pPr>
      <w:r>
        <w:rPr>
          <w:color w:val="000000"/>
          <w:spacing w:val="0"/>
          <w:w w:val="100"/>
          <w:position w:val="0"/>
        </w:rPr>
        <w:t>政府补助是指本集团从政府无偿取得货币性资产和非货币性资产，不包括政府作为所有者投入的资 本。政府补助分为与资产相关的政府补助和与收益相关的政府补助。</w:t>
      </w:r>
    </w:p>
    <w:p>
      <w:pPr>
        <w:pStyle w:val="Style36"/>
        <w:keepNext/>
        <w:keepLines/>
        <w:widowControl w:val="0"/>
        <w:numPr>
          <w:ilvl w:val="0"/>
          <w:numId w:val="35"/>
        </w:numPr>
        <w:shd w:val="clear" w:color="auto" w:fill="auto"/>
        <w:tabs>
          <w:tab w:pos="498" w:val="left"/>
        </w:tabs>
        <w:bidi w:val="0"/>
        <w:spacing w:before="0" w:after="360" w:line="442" w:lineRule="exact"/>
        <w:ind w:left="0" w:right="0" w:firstLine="0"/>
        <w:jc w:val="both"/>
      </w:pPr>
      <w:bookmarkStart w:id="706" w:name="bookmark706"/>
      <w:bookmarkStart w:id="707" w:name="bookmark707"/>
      <w:bookmarkStart w:id="708" w:name="bookmark708"/>
      <w:bookmarkStart w:id="709" w:name="bookmark709"/>
      <w:bookmarkEnd w:id="708"/>
      <w:r>
        <w:rPr>
          <w:color w:val="000000"/>
          <w:spacing w:val="0"/>
          <w:w w:val="100"/>
          <w:position w:val="0"/>
        </w:rPr>
        <w:t>会计政策</w:t>
      </w:r>
      <w:bookmarkEnd w:id="706"/>
      <w:bookmarkEnd w:id="707"/>
      <w:bookmarkEnd w:id="709"/>
    </w:p>
    <w:p>
      <w:pPr>
        <w:pStyle w:val="Style27"/>
        <w:keepNext w:val="0"/>
        <w:keepLines w:val="0"/>
        <w:widowControl w:val="0"/>
        <w:shd w:val="clear" w:color="auto" w:fill="auto"/>
        <w:bidi w:val="0"/>
        <w:spacing w:before="0" w:after="0" w:line="372" w:lineRule="exact"/>
        <w:ind w:left="0" w:right="0" w:firstLine="440"/>
        <w:jc w:val="both"/>
      </w:pPr>
      <w:r>
        <w:rPr>
          <w:color w:val="000000"/>
          <w:spacing w:val="0"/>
          <w:w w:val="100"/>
          <w:position w:val="0"/>
        </w:rPr>
        <w:t xml:space="preserve">政府补助为货币性资产的，按照收到或应收的金额计量。政府补助为非货币性资产的，按照公允价值 计量；公允价值不能够可靠取得的，按照名义金额计量。按照名义金额计量的政府补助，直接计入当期损 </w:t>
      </w: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442" w:lineRule="exact"/>
        <w:ind w:left="0" w:right="0" w:firstLine="0"/>
        <w:jc w:val="left"/>
      </w:pPr>
      <w:r>
        <w:rPr>
          <w:color w:val="000000"/>
          <w:spacing w:val="0"/>
          <w:w w:val="100"/>
          <w:position w:val="0"/>
        </w:rPr>
        <w:t>益。</w:t>
      </w:r>
    </w:p>
    <w:p>
      <w:pPr>
        <w:pStyle w:val="Style2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与资产相关的政府补助，确认为递延收益，并在相关资产的使用寿命内平均分配计入当期损益。与收 益相关的政府补助，用于补偿以后期间的相关费用和损失的，确认为递延收益，并在确认相关费用的期间 计入当期损益；用于补偿已经发生的相关费用和损失的，直接计入当期损益。</w:t>
      </w:r>
    </w:p>
    <w:p>
      <w:pPr>
        <w:pStyle w:val="Style27"/>
        <w:keepNext w:val="0"/>
        <w:keepLines w:val="0"/>
        <w:widowControl w:val="0"/>
        <w:shd w:val="clear" w:color="auto" w:fill="auto"/>
        <w:bidi w:val="0"/>
        <w:spacing w:before="0" w:after="160" w:line="442"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36"/>
        <w:keepNext/>
        <w:keepLines/>
        <w:widowControl w:val="0"/>
        <w:shd w:val="clear" w:color="auto" w:fill="auto"/>
        <w:tabs>
          <w:tab w:pos="483" w:val="left"/>
        </w:tabs>
        <w:bidi w:val="0"/>
        <w:spacing w:before="0" w:after="160" w:line="442" w:lineRule="exact"/>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710"/>
      <w:bookmarkEnd w:id="711"/>
      <w:bookmarkEnd w:id="713"/>
    </w:p>
    <w:p>
      <w:pPr>
        <w:pStyle w:val="Style36"/>
        <w:keepNext/>
        <w:keepLines/>
        <w:widowControl w:val="0"/>
        <w:numPr>
          <w:ilvl w:val="0"/>
          <w:numId w:val="37"/>
        </w:numPr>
        <w:shd w:val="clear" w:color="auto" w:fill="auto"/>
        <w:tabs>
          <w:tab w:pos="498" w:val="left"/>
        </w:tabs>
        <w:bidi w:val="0"/>
        <w:spacing w:before="0" w:after="280" w:line="442" w:lineRule="exact"/>
        <w:ind w:left="0" w:right="0" w:firstLine="0"/>
        <w:jc w:val="left"/>
      </w:pPr>
      <w:bookmarkStart w:id="710" w:name="bookmark710"/>
      <w:bookmarkStart w:id="711" w:name="bookmark711"/>
      <w:bookmarkStart w:id="714" w:name="bookmark714"/>
      <w:bookmarkStart w:id="715" w:name="bookmark715"/>
      <w:bookmarkEnd w:id="714"/>
      <w:r>
        <w:rPr>
          <w:color w:val="000000"/>
          <w:spacing w:val="0"/>
          <w:w w:val="100"/>
          <w:position w:val="0"/>
        </w:rPr>
        <w:t>确认递延所得税资产的依据</w:t>
      </w:r>
      <w:bookmarkEnd w:id="710"/>
      <w:bookmarkEnd w:id="711"/>
      <w:bookmarkEnd w:id="715"/>
    </w:p>
    <w:p>
      <w:pPr>
        <w:pStyle w:val="Style27"/>
        <w:keepNext w:val="0"/>
        <w:keepLines w:val="0"/>
        <w:widowControl w:val="0"/>
        <w:shd w:val="clear" w:color="auto" w:fill="auto"/>
        <w:bidi w:val="0"/>
        <w:spacing w:before="0" w:after="160" w:line="442" w:lineRule="exact"/>
        <w:ind w:left="0" w:right="0" w:firstLine="440"/>
        <w:jc w:val="both"/>
      </w:pPr>
      <w:r>
        <w:rPr>
          <w:color w:val="000000"/>
          <w:spacing w:val="0"/>
          <w:w w:val="100"/>
          <w:position w:val="0"/>
        </w:rPr>
        <w:t>资产负债表日，对于当期和以前期间形成的当期所得税资产，以按照税法规定计算的预期应返还的所 得税金额计量。某些资产、负债项目的账面价值与其计税基础之间的差额，以及未作为资产和负债确认但 按照税法规定可以确定其计税基础的项目的账面价值与计税基础之间的差额产生的可抵扣暂时性差异，采 用资产负债表债务法确认递延所得税资产。</w:t>
      </w:r>
    </w:p>
    <w:p>
      <w:pPr>
        <w:pStyle w:val="Style36"/>
        <w:keepNext/>
        <w:keepLines/>
        <w:widowControl w:val="0"/>
        <w:numPr>
          <w:ilvl w:val="0"/>
          <w:numId w:val="37"/>
        </w:numPr>
        <w:shd w:val="clear" w:color="auto" w:fill="auto"/>
        <w:tabs>
          <w:tab w:pos="498" w:val="left"/>
        </w:tabs>
        <w:bidi w:val="0"/>
        <w:spacing w:before="0" w:after="280" w:line="442" w:lineRule="exact"/>
        <w:ind w:left="0" w:right="0" w:firstLine="0"/>
        <w:jc w:val="left"/>
      </w:pPr>
      <w:bookmarkStart w:id="716" w:name="bookmark716"/>
      <w:bookmarkStart w:id="717" w:name="bookmark717"/>
      <w:bookmarkStart w:id="718" w:name="bookmark718"/>
      <w:bookmarkStart w:id="719" w:name="bookmark719"/>
      <w:bookmarkEnd w:id="718"/>
      <w:r>
        <w:rPr>
          <w:color w:val="000000"/>
          <w:spacing w:val="0"/>
          <w:w w:val="100"/>
          <w:position w:val="0"/>
        </w:rPr>
        <w:t>确认递延所得税负债的依据</w:t>
      </w:r>
      <w:bookmarkEnd w:id="716"/>
      <w:bookmarkEnd w:id="717"/>
      <w:bookmarkEnd w:id="719"/>
    </w:p>
    <w:p>
      <w:pPr>
        <w:pStyle w:val="Style27"/>
        <w:keepNext w:val="0"/>
        <w:keepLines w:val="0"/>
        <w:widowControl w:val="0"/>
        <w:shd w:val="clear" w:color="auto" w:fill="auto"/>
        <w:bidi w:val="0"/>
        <w:spacing w:before="0" w:after="160" w:line="442" w:lineRule="exact"/>
        <w:ind w:left="0" w:right="0" w:firstLine="440"/>
        <w:jc w:val="both"/>
      </w:pPr>
      <w:r>
        <w:rPr>
          <w:color w:val="000000"/>
          <w:spacing w:val="0"/>
          <w:w w:val="100"/>
          <w:position w:val="0"/>
        </w:rPr>
        <w:t>资产负债表日，对于当期和以前期间形成的当期所得税负债，以按照税法规定计算的预期应交纳的所 得税金额计量。某些资产、负债项目的账面价值与其计税基础之间的差额，以及未作为资产和负债确认但 按照税法规定可以确定其计税基础的项目的账面价值与计税基础之间的差额产生的应纳税暂时性差异，采 用资产负债表债务法确认递延所得税负债。</w:t>
      </w:r>
    </w:p>
    <w:p>
      <w:pPr>
        <w:pStyle w:val="Style36"/>
        <w:keepNext/>
        <w:keepLines/>
        <w:widowControl w:val="0"/>
        <w:shd w:val="clear" w:color="auto" w:fill="auto"/>
        <w:tabs>
          <w:tab w:pos="483" w:val="left"/>
        </w:tabs>
        <w:bidi w:val="0"/>
        <w:spacing w:before="0" w:after="180" w:line="438" w:lineRule="exact"/>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2</w:t>
      </w:r>
      <w:bookmarkEnd w:id="722"/>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720"/>
      <w:bookmarkEnd w:id="721"/>
      <w:bookmarkEnd w:id="723"/>
    </w:p>
    <w:p>
      <w:pPr>
        <w:pStyle w:val="Style36"/>
        <w:keepNext/>
        <w:keepLines/>
        <w:widowControl w:val="0"/>
        <w:shd w:val="clear" w:color="auto" w:fill="auto"/>
        <w:tabs>
          <w:tab w:pos="498" w:val="left"/>
        </w:tabs>
        <w:bidi w:val="0"/>
        <w:spacing w:before="0" w:after="280" w:line="438" w:lineRule="exact"/>
        <w:ind w:left="0" w:right="0" w:firstLine="0"/>
        <w:jc w:val="left"/>
      </w:pPr>
      <w:bookmarkStart w:id="720" w:name="bookmark720"/>
      <w:bookmarkStart w:id="721" w:name="bookmark721"/>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720"/>
      <w:bookmarkEnd w:id="721"/>
      <w:bookmarkEnd w:id="725"/>
    </w:p>
    <w:p>
      <w:pPr>
        <w:pStyle w:val="Style27"/>
        <w:keepNext w:val="0"/>
        <w:keepLines w:val="0"/>
        <w:widowControl w:val="0"/>
        <w:shd w:val="clear" w:color="auto" w:fill="auto"/>
        <w:tabs>
          <w:tab w:pos="928" w:val="left"/>
        </w:tabs>
        <w:bidi w:val="0"/>
        <w:spacing w:before="0" w:after="0" w:line="438" w:lineRule="exact"/>
        <w:ind w:left="0" w:right="0" w:firstLine="44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1</w:t>
      </w:r>
      <w:r>
        <w:rPr>
          <w:color w:val="000000"/>
          <w:spacing w:val="0"/>
          <w:w w:val="100"/>
          <w:position w:val="0"/>
        </w:rPr>
        <w:t>）</w:t>
        <w:tab/>
        <w:t>本集团作为承租人记录经营租赁业务</w:t>
      </w:r>
    </w:p>
    <w:p>
      <w:pPr>
        <w:pStyle w:val="Style27"/>
        <w:keepNext w:val="0"/>
        <w:keepLines w:val="0"/>
        <w:widowControl w:val="0"/>
        <w:shd w:val="clear" w:color="auto" w:fill="auto"/>
        <w:bidi w:val="0"/>
        <w:spacing w:before="0" w:after="0" w:line="438" w:lineRule="exact"/>
        <w:ind w:left="0" w:right="0" w:firstLine="440"/>
        <w:jc w:val="both"/>
      </w:pPr>
      <w:r>
        <w:rPr>
          <w:color w:val="000000"/>
          <w:spacing w:val="0"/>
          <w:w w:val="100"/>
          <w:position w:val="0"/>
        </w:rPr>
        <w:t>经营租赁的租金支出在租赁期内的各个期间按直线法计入相关资产成本或当期损益。初始直接费用计 入当期损益。或有租金于实际发生时计入当期损益。</w:t>
      </w:r>
    </w:p>
    <w:p>
      <w:pPr>
        <w:pStyle w:val="Style27"/>
        <w:keepNext w:val="0"/>
        <w:keepLines w:val="0"/>
        <w:widowControl w:val="0"/>
        <w:shd w:val="clear" w:color="auto" w:fill="auto"/>
        <w:tabs>
          <w:tab w:pos="928" w:val="left"/>
        </w:tabs>
        <w:bidi w:val="0"/>
        <w:spacing w:before="0" w:after="0" w:line="438" w:lineRule="exact"/>
        <w:ind w:left="0" w:right="0" w:firstLine="44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2</w:t>
      </w:r>
      <w:r>
        <w:rPr>
          <w:color w:val="000000"/>
          <w:spacing w:val="0"/>
          <w:w w:val="100"/>
          <w:position w:val="0"/>
        </w:rPr>
        <w:t>）</w:t>
        <w:tab/>
        <w:t>本集团作为出租人记录经营租赁业务</w:t>
      </w:r>
    </w:p>
    <w:p>
      <w:pPr>
        <w:pStyle w:val="Style27"/>
        <w:keepNext w:val="0"/>
        <w:keepLines w:val="0"/>
        <w:widowControl w:val="0"/>
        <w:shd w:val="clear" w:color="auto" w:fill="auto"/>
        <w:bidi w:val="0"/>
        <w:spacing w:before="0" w:after="180" w:line="438" w:lineRule="exact"/>
        <w:ind w:left="0" w:right="0" w:firstLine="440"/>
        <w:jc w:val="both"/>
      </w:pPr>
      <w:r>
        <w:rPr>
          <w:color w:val="000000"/>
          <w:spacing w:val="0"/>
          <w:w w:val="100"/>
          <w:position w:val="0"/>
        </w:rPr>
        <w:t>经营租赁的租金收入在租赁期内的各个期间按直线法确认为当期损益。对金额较大的初始直接费用于 发生时予以资本化，在整个租赁期间内按照与确认租金收入相同的基础分期计入当期损益；其他金额较小 的初始直接费用于发生时计入当期损益。或有租金于实际发生时计入当期损益。</w:t>
      </w:r>
    </w:p>
    <w:p>
      <w:pPr>
        <w:pStyle w:val="Style36"/>
        <w:keepNext/>
        <w:keepLines/>
        <w:widowControl w:val="0"/>
        <w:shd w:val="clear" w:color="auto" w:fill="auto"/>
        <w:tabs>
          <w:tab w:pos="498" w:val="left"/>
        </w:tabs>
        <w:bidi w:val="0"/>
        <w:spacing w:before="0" w:after="380" w:line="438" w:lineRule="exact"/>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728"/>
      <w:bookmarkEnd w:id="729"/>
      <w:bookmarkEnd w:id="731"/>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98" w:val="left"/>
        </w:tabs>
        <w:bidi w:val="0"/>
        <w:spacing w:before="0" w:after="380" w:line="438" w:lineRule="exact"/>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732"/>
      <w:bookmarkEnd w:id="733"/>
      <w:bookmarkEnd w:id="735"/>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180" w:line="438" w:lineRule="exact"/>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3</w:t>
      </w:r>
      <w:bookmarkEnd w:id="738"/>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736"/>
      <w:bookmarkEnd w:id="737"/>
      <w:bookmarkEnd w:id="739"/>
    </w:p>
    <w:p>
      <w:pPr>
        <w:pStyle w:val="Style36"/>
        <w:keepNext/>
        <w:keepLines/>
        <w:widowControl w:val="0"/>
        <w:shd w:val="clear" w:color="auto" w:fill="auto"/>
        <w:tabs>
          <w:tab w:pos="498" w:val="left"/>
        </w:tabs>
        <w:bidi w:val="0"/>
        <w:spacing w:before="0" w:after="380" w:line="438" w:lineRule="exact"/>
        <w:ind w:left="0" w:right="0" w:firstLine="0"/>
        <w:jc w:val="left"/>
      </w:pPr>
      <w:bookmarkStart w:id="736" w:name="bookmark736"/>
      <w:bookmarkStart w:id="737" w:name="bookmark737"/>
      <w:bookmarkStart w:id="740" w:name="bookmark740"/>
      <w:bookmarkStart w:id="741" w:name="bookmark741"/>
      <w:r>
        <w:rPr>
          <w:color w:val="000000"/>
          <w:spacing w:val="0"/>
          <w:w w:val="100"/>
          <w:position w:val="0"/>
        </w:rPr>
        <w:t>（</w:t>
      </w:r>
      <w:bookmarkEnd w:id="74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736"/>
      <w:bookmarkEnd w:id="737"/>
      <w:bookmarkEnd w:id="741"/>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98" w:val="left"/>
        </w:tabs>
        <w:bidi w:val="0"/>
        <w:spacing w:before="0" w:after="380" w:line="438" w:lineRule="exact"/>
        <w:ind w:left="0" w:right="0" w:firstLine="0"/>
        <w:jc w:val="left"/>
      </w:pPr>
      <w:bookmarkStart w:id="742" w:name="bookmark742"/>
      <w:bookmarkStart w:id="743" w:name="bookmark743"/>
      <w:bookmarkStart w:id="744" w:name="bookmark744"/>
      <w:bookmarkStart w:id="745" w:name="bookmark745"/>
      <w:r>
        <w:rPr>
          <w:color w:val="000000"/>
          <w:spacing w:val="0"/>
          <w:w w:val="100"/>
          <w:position w:val="0"/>
        </w:rPr>
        <w:t>（</w:t>
      </w:r>
      <w:bookmarkEnd w:id="744"/>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742"/>
      <w:bookmarkEnd w:id="743"/>
      <w:bookmarkEnd w:id="745"/>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380" w:line="438" w:lineRule="exact"/>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3</w:t>
      </w:r>
      <w:bookmarkEnd w:id="748"/>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746"/>
      <w:bookmarkEnd w:id="747"/>
      <w:bookmarkEnd w:id="749"/>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380" w:line="438" w:lineRule="exact"/>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3</w:t>
      </w:r>
      <w:bookmarkEnd w:id="752"/>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750"/>
      <w:bookmarkEnd w:id="751"/>
      <w:bookmarkEnd w:id="753"/>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380" w:line="438" w:lineRule="exact"/>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3</w:t>
      </w:r>
      <w:bookmarkEnd w:id="756"/>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754"/>
      <w:bookmarkEnd w:id="755"/>
      <w:bookmarkEnd w:id="757"/>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本报告期主要会计政策、会计估计是否变更</w:t>
      </w:r>
    </w:p>
    <w:p>
      <w:pPr>
        <w:pStyle w:val="Style30"/>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18"/>
          <w:szCs w:val="18"/>
        </w:rPr>
        <w:t xml:space="preserve">口是 </w:t>
      </w:r>
      <w:r>
        <w:rPr>
          <w:rFonts w:ascii="Arial" w:eastAsia="Arial" w:hAnsi="Arial" w:cs="Arial"/>
          <w:i/>
          <w:iCs/>
          <w:color w:val="000000"/>
          <w:spacing w:val="0"/>
          <w:w w:val="100"/>
          <w:position w:val="0"/>
          <w:sz w:val="17"/>
          <w:szCs w:val="17"/>
        </w:rPr>
        <w:t>J</w:t>
      </w:r>
      <w:r>
        <w:rPr>
          <w:i/>
          <w:iCs/>
          <w:color w:val="000000"/>
          <w:spacing w:val="0"/>
          <w:w w:val="100"/>
          <w:position w:val="0"/>
          <w:sz w:val="20"/>
          <w:szCs w:val="20"/>
        </w:rPr>
        <w:t>否</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numPr>
          <w:ilvl w:val="0"/>
          <w:numId w:val="39"/>
        </w:numPr>
        <w:shd w:val="clear" w:color="auto" w:fill="auto"/>
        <w:tabs>
          <w:tab w:pos="498" w:val="left"/>
        </w:tabs>
        <w:bidi w:val="0"/>
        <w:spacing w:before="0" w:after="360" w:line="240" w:lineRule="auto"/>
        <w:ind w:left="0" w:right="0" w:firstLine="0"/>
        <w:jc w:val="both"/>
      </w:pPr>
      <w:bookmarkStart w:id="758" w:name="bookmark758"/>
      <w:bookmarkStart w:id="759" w:name="bookmark759"/>
      <w:bookmarkStart w:id="760" w:name="bookmark760"/>
      <w:bookmarkStart w:id="761" w:name="bookmark761"/>
      <w:bookmarkEnd w:id="760"/>
      <w:r>
        <w:rPr>
          <w:color w:val="000000"/>
          <w:spacing w:val="0"/>
          <w:w w:val="100"/>
          <w:position w:val="0"/>
        </w:rPr>
        <w:t>会计政策变更</w:t>
      </w:r>
      <w:bookmarkEnd w:id="758"/>
      <w:bookmarkEnd w:id="759"/>
      <w:bookmarkEnd w:id="761"/>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本报告期主要会计政策是否变更</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 是 </w:t>
      </w:r>
      <w:r>
        <w:rPr>
          <w:rFonts w:ascii="Times New Roman" w:eastAsia="Times New Roman" w:hAnsi="Times New Roman" w:cs="Times New Roman"/>
          <w:color w:val="000000"/>
          <w:spacing w:val="0"/>
          <w:w w:val="100"/>
          <w:position w:val="0"/>
        </w:rPr>
        <w:t xml:space="preserve">J </w:t>
      </w:r>
      <w:r>
        <w:rPr>
          <w:color w:val="000000"/>
          <w:spacing w:val="0"/>
          <w:w w:val="100"/>
          <w:position w:val="0"/>
        </w:rPr>
        <w:t>否</w:t>
      </w:r>
    </w:p>
    <w:p>
      <w:pPr>
        <w:pStyle w:val="Style36"/>
        <w:keepNext/>
        <w:keepLines/>
        <w:widowControl w:val="0"/>
        <w:numPr>
          <w:ilvl w:val="0"/>
          <w:numId w:val="39"/>
        </w:numPr>
        <w:shd w:val="clear" w:color="auto" w:fill="auto"/>
        <w:tabs>
          <w:tab w:pos="498" w:val="left"/>
        </w:tabs>
        <w:bidi w:val="0"/>
        <w:spacing w:before="0" w:after="360" w:line="240" w:lineRule="auto"/>
        <w:ind w:left="0" w:right="0" w:firstLine="0"/>
        <w:jc w:val="both"/>
      </w:pPr>
      <w:bookmarkStart w:id="762" w:name="bookmark762"/>
      <w:bookmarkStart w:id="763" w:name="bookmark763"/>
      <w:bookmarkStart w:id="764" w:name="bookmark764"/>
      <w:bookmarkStart w:id="765" w:name="bookmark765"/>
      <w:bookmarkEnd w:id="764"/>
      <w:r>
        <w:rPr>
          <w:color w:val="000000"/>
          <w:spacing w:val="0"/>
          <w:w w:val="100"/>
          <w:position w:val="0"/>
        </w:rPr>
        <w:t>会计估计变更</w:t>
      </w:r>
      <w:bookmarkEnd w:id="762"/>
      <w:bookmarkEnd w:id="763"/>
      <w:bookmarkEnd w:id="765"/>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本报告期主要会计估计是否变更</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 是 </w:t>
      </w:r>
      <w:r>
        <w:rPr>
          <w:rFonts w:ascii="Times New Roman" w:eastAsia="Times New Roman" w:hAnsi="Times New Roman" w:cs="Times New Roman"/>
          <w:color w:val="000000"/>
          <w:spacing w:val="0"/>
          <w:w w:val="100"/>
          <w:position w:val="0"/>
        </w:rPr>
        <w:t xml:space="preserve">J </w:t>
      </w:r>
      <w:r>
        <w:rPr>
          <w:color w:val="000000"/>
          <w:spacing w:val="0"/>
          <w:w w:val="100"/>
          <w:position w:val="0"/>
        </w:rPr>
        <w:t>否</w:t>
      </w:r>
    </w:p>
    <w:p>
      <w:pPr>
        <w:pStyle w:val="Style36"/>
        <w:keepNext/>
        <w:keepLines/>
        <w:widowControl w:val="0"/>
        <w:shd w:val="clear" w:color="auto" w:fill="auto"/>
        <w:tabs>
          <w:tab w:pos="483" w:val="left"/>
        </w:tabs>
        <w:bidi w:val="0"/>
        <w:spacing w:before="0" w:after="36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3</w:t>
      </w:r>
      <w:bookmarkEnd w:id="768"/>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766"/>
      <w:bookmarkEnd w:id="767"/>
      <w:bookmarkEnd w:id="76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是 </w:t>
      </w:r>
      <w:r>
        <w:rPr>
          <w:rFonts w:ascii="Times New Roman" w:eastAsia="Times New Roman" w:hAnsi="Times New Roman" w:cs="Times New Roman"/>
          <w:color w:val="000000"/>
          <w:spacing w:val="0"/>
          <w:w w:val="100"/>
          <w:position w:val="0"/>
        </w:rPr>
        <w:t xml:space="preserve">J </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numPr>
          <w:ilvl w:val="0"/>
          <w:numId w:val="41"/>
        </w:numPr>
        <w:shd w:val="clear" w:color="auto" w:fill="auto"/>
        <w:tabs>
          <w:tab w:pos="498" w:val="left"/>
        </w:tabs>
        <w:bidi w:val="0"/>
        <w:spacing w:before="0" w:after="360" w:line="240" w:lineRule="auto"/>
        <w:ind w:left="0" w:right="0" w:firstLine="0"/>
        <w:jc w:val="left"/>
      </w:pPr>
      <w:bookmarkStart w:id="770" w:name="bookmark770"/>
      <w:bookmarkStart w:id="771" w:name="bookmark771"/>
      <w:bookmarkStart w:id="772" w:name="bookmark772"/>
      <w:bookmarkStart w:id="773" w:name="bookmark773"/>
      <w:bookmarkEnd w:id="772"/>
      <w:r>
        <w:rPr>
          <w:color w:val="000000"/>
          <w:spacing w:val="0"/>
          <w:w w:val="100"/>
          <w:position w:val="0"/>
        </w:rPr>
        <w:t>追溯重述法</w:t>
      </w:r>
      <w:bookmarkEnd w:id="770"/>
      <w:bookmarkEnd w:id="771"/>
      <w:bookmarkEnd w:id="77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 是 </w:t>
      </w:r>
      <w:r>
        <w:rPr>
          <w:rFonts w:ascii="Times New Roman" w:eastAsia="Times New Roman" w:hAnsi="Times New Roman" w:cs="Times New Roman"/>
          <w:color w:val="000000"/>
          <w:spacing w:val="0"/>
          <w:w w:val="100"/>
          <w:position w:val="0"/>
        </w:rPr>
        <w:t xml:space="preserve">J </w:t>
      </w:r>
      <w:r>
        <w:rPr>
          <w:color w:val="000000"/>
          <w:spacing w:val="0"/>
          <w:w w:val="100"/>
          <w:position w:val="0"/>
        </w:rPr>
        <w:t>否</w:t>
      </w:r>
    </w:p>
    <w:p>
      <w:pPr>
        <w:pStyle w:val="Style36"/>
        <w:keepNext/>
        <w:keepLines/>
        <w:widowControl w:val="0"/>
        <w:numPr>
          <w:ilvl w:val="0"/>
          <w:numId w:val="41"/>
        </w:numPr>
        <w:shd w:val="clear" w:color="auto" w:fill="auto"/>
        <w:tabs>
          <w:tab w:pos="498" w:val="left"/>
        </w:tabs>
        <w:bidi w:val="0"/>
        <w:spacing w:before="0" w:after="360" w:line="240" w:lineRule="auto"/>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未来适用法</w:t>
      </w:r>
      <w:bookmarkEnd w:id="774"/>
      <w:bookmarkEnd w:id="775"/>
      <w:bookmarkEnd w:id="77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口是 </w:t>
      </w:r>
      <w:r>
        <w:rPr>
          <w:rFonts w:ascii="Times New Roman" w:eastAsia="Times New Roman" w:hAnsi="Times New Roman" w:cs="Times New Roman"/>
          <w:color w:val="000000"/>
          <w:spacing w:val="0"/>
          <w:w w:val="100"/>
          <w:position w:val="0"/>
        </w:rPr>
        <w:t>J</w:t>
      </w:r>
      <w:r>
        <w:rPr>
          <w:color w:val="000000"/>
          <w:spacing w:val="0"/>
          <w:w w:val="100"/>
          <w:position w:val="0"/>
        </w:rPr>
        <w:t>否</w:t>
      </w:r>
    </w:p>
    <w:p>
      <w:pPr>
        <w:pStyle w:val="Style36"/>
        <w:keepNext/>
        <w:keepLines/>
        <w:widowControl w:val="0"/>
        <w:shd w:val="clear" w:color="auto" w:fill="auto"/>
        <w:tabs>
          <w:tab w:pos="483" w:val="left"/>
        </w:tabs>
        <w:bidi w:val="0"/>
        <w:spacing w:before="0" w:after="3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3</w:t>
      </w:r>
      <w:bookmarkEnd w:id="780"/>
      <w:r>
        <w:rPr>
          <w:rFonts w:ascii="Times New Roman" w:eastAsia="Times New Roman" w:hAnsi="Times New Roman" w:cs="Times New Roman"/>
          <w:color w:val="000000"/>
          <w:spacing w:val="0"/>
          <w:w w:val="100"/>
          <w:position w:val="0"/>
        </w:rPr>
        <w:t>5</w:t>
      </w:r>
      <w:r>
        <w:rPr>
          <w:color w:val="000000"/>
          <w:spacing w:val="0"/>
          <w:w w:val="100"/>
          <w:position w:val="0"/>
        </w:rPr>
        <w:t>、</w:t>
        <w:tab/>
        <w:t>其他主要会计政策、会计估计和财务报表编制方法</w:t>
      </w:r>
      <w:bookmarkEnd w:id="778"/>
      <w:bookmarkEnd w:id="779"/>
      <w:bookmarkEnd w:id="78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782" w:name="bookmark782"/>
      <w:bookmarkStart w:id="783" w:name="bookmark783"/>
      <w:bookmarkStart w:id="784" w:name="bookmark784"/>
      <w:bookmarkStart w:id="785" w:name="bookmark785"/>
      <w:r>
        <w:rPr>
          <w:color w:val="000000"/>
          <w:spacing w:val="0"/>
          <w:w w:val="100"/>
          <w:position w:val="0"/>
          <w:sz w:val="24"/>
          <w:szCs w:val="24"/>
        </w:rPr>
        <w:t>五</w:t>
      </w:r>
      <w:bookmarkEnd w:id="784"/>
      <w:r>
        <w:rPr>
          <w:color w:val="000000"/>
          <w:spacing w:val="0"/>
          <w:w w:val="100"/>
          <w:position w:val="0"/>
          <w:sz w:val="24"/>
          <w:szCs w:val="24"/>
        </w:rPr>
        <w:t>、税项</w:t>
      </w:r>
      <w:bookmarkEnd w:id="782"/>
      <w:bookmarkEnd w:id="783"/>
      <w:bookmarkEnd w:id="785"/>
    </w:p>
    <w:p>
      <w:pPr>
        <w:pStyle w:val="Style36"/>
        <w:keepNext/>
        <w:keepLines/>
        <w:widowControl w:val="0"/>
        <w:shd w:val="clear" w:color="auto" w:fill="auto"/>
        <w:bidi w:val="0"/>
        <w:spacing w:before="0" w:after="360" w:line="240" w:lineRule="auto"/>
        <w:ind w:left="0" w:right="0" w:firstLine="0"/>
        <w:jc w:val="left"/>
      </w:pPr>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786"/>
      <w:bookmarkEnd w:id="787"/>
      <w:bookmarkEnd w:id="788"/>
    </w:p>
    <w:tbl>
      <w:tblPr>
        <w:tblOverlap w:val="never"/>
        <w:jc w:val="center"/>
        <w:tblLayout w:type="fixed"/>
      </w:tblPr>
      <w:tblGrid>
        <w:gridCol w:w="3518"/>
        <w:gridCol w:w="3024"/>
        <w:gridCol w:w="30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应税收入按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的税率计算销项税， 并按扣除当期允许抵扣的进项税额 后的差额计缴增值税。</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按应税营业额的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计缴营业税。</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按实际缴纳的流转税的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计缴。</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12.5%</w:t>
            </w:r>
          </w:p>
        </w:tc>
      </w:tr>
    </w:tbl>
    <w:p>
      <w:pPr>
        <w:spacing w:lineRule="exact" w:line="1"/>
        <w:rPr>
          <w:sz w:val="2"/>
          <w:szCs w:val="2"/>
        </w:rPr>
      </w:pPr>
      <w:r>
        <w:br w:type="page"/>
      </w:r>
    </w:p>
    <w:tbl>
      <w:tblPr>
        <w:tblOverlap w:val="never"/>
        <w:jc w:val="center"/>
        <w:tblLayout w:type="fixed"/>
      </w:tblPr>
      <w:tblGrid>
        <w:gridCol w:w="3518"/>
        <w:gridCol w:w="3024"/>
        <w:gridCol w:w="303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计缴。</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各分公司、分厂执行的所得税税率</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color w:val="000000"/>
          <w:spacing w:val="0"/>
          <w:w w:val="100"/>
          <w:position w:val="0"/>
        </w:rPr>
        <w:t>、</w:t>
        <w:tab/>
        <w:t>税收优惠及批文</w:t>
      </w:r>
      <w:bookmarkEnd w:id="789"/>
      <w:bookmarkEnd w:id="790"/>
      <w:bookmarkEnd w:id="792"/>
    </w:p>
    <w:p>
      <w:pPr>
        <w:pStyle w:val="Style36"/>
        <w:keepNext/>
        <w:keepLines/>
        <w:widowControl w:val="0"/>
        <w:shd w:val="clear" w:color="auto" w:fill="auto"/>
        <w:tabs>
          <w:tab w:pos="378" w:val="left"/>
        </w:tabs>
        <w:bidi w:val="0"/>
        <w:spacing w:before="0" w:after="260" w:line="240" w:lineRule="auto"/>
        <w:ind w:left="0" w:right="0" w:firstLine="0"/>
        <w:jc w:val="left"/>
      </w:pPr>
      <w:bookmarkStart w:id="789" w:name="bookmark789"/>
      <w:bookmarkStart w:id="790" w:name="bookmark790"/>
      <w:bookmarkStart w:id="793" w:name="bookmark793"/>
      <w:bookmarkStart w:id="794" w:name="bookmark794"/>
      <w:r>
        <w:rPr>
          <w:rFonts w:ascii="Times New Roman" w:eastAsia="Times New Roman" w:hAnsi="Times New Roman" w:cs="Times New Roman"/>
          <w:color w:val="000000"/>
          <w:spacing w:val="0"/>
          <w:w w:val="100"/>
          <w:position w:val="0"/>
        </w:rPr>
        <w:t>3</w:t>
      </w:r>
      <w:bookmarkEnd w:id="793"/>
      <w:r>
        <w:rPr>
          <w:color w:val="000000"/>
          <w:spacing w:val="0"/>
          <w:w w:val="100"/>
          <w:position w:val="0"/>
        </w:rPr>
        <w:t>、</w:t>
        <w:tab/>
        <w:t>其他说明</w:t>
      </w:r>
      <w:bookmarkEnd w:id="789"/>
      <w:bookmarkEnd w:id="790"/>
      <w:bookmarkEnd w:id="794"/>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sz w:val="24"/>
          <w:szCs w:val="24"/>
        </w:rPr>
        <w:t>六</w:t>
      </w:r>
      <w:bookmarkEnd w:id="797"/>
      <w:r>
        <w:rPr>
          <w:color w:val="000000"/>
          <w:spacing w:val="0"/>
          <w:w w:val="100"/>
          <w:position w:val="0"/>
          <w:sz w:val="24"/>
          <w:szCs w:val="24"/>
        </w:rPr>
        <w:t>、企业合并及合并财务报表</w:t>
      </w:r>
      <w:bookmarkEnd w:id="795"/>
      <w:bookmarkEnd w:id="796"/>
      <w:bookmarkEnd w:id="798"/>
    </w:p>
    <w:p>
      <w:pPr>
        <w:pStyle w:val="Style36"/>
        <w:keepNext/>
        <w:keepLines/>
        <w:widowControl w:val="0"/>
        <w:shd w:val="clear" w:color="auto" w:fill="auto"/>
        <w:bidi w:val="0"/>
        <w:spacing w:before="0" w:after="260" w:line="240" w:lineRule="auto"/>
        <w:ind w:left="0" w:right="0" w:firstLine="0"/>
        <w:jc w:val="left"/>
      </w:pPr>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99"/>
      <w:bookmarkEnd w:id="800"/>
      <w:bookmarkEnd w:id="801"/>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报告期内公司下属全资子公司：泰安市华得软件科技有限责任公司、尤洛卡（北京）矿业工程技术研究有限公司、尤洛卡（上 海）国际贸易有限公司正在持续经营。</w:t>
      </w:r>
    </w:p>
    <w:p>
      <w:pPr>
        <w:pStyle w:val="Style36"/>
        <w:keepNext/>
        <w:keepLines/>
        <w:widowControl w:val="0"/>
        <w:shd w:val="clear" w:color="auto" w:fill="auto"/>
        <w:bidi w:val="0"/>
        <w:spacing w:before="0" w:after="360" w:line="240" w:lineRule="auto"/>
        <w:ind w:left="0" w:right="0" w:firstLine="0"/>
        <w:jc w:val="left"/>
      </w:pPr>
      <w:bookmarkStart w:id="802" w:name="bookmark802"/>
      <w:bookmarkStart w:id="803" w:name="bookmark803"/>
      <w:bookmarkStart w:id="804" w:name="bookmark8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802"/>
      <w:bookmarkEnd w:id="803"/>
      <w:bookmarkEnd w:id="80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3"/>
        <w:gridCol w:w="346"/>
        <w:gridCol w:w="754"/>
        <w:gridCol w:w="446"/>
        <w:gridCol w:w="557"/>
        <w:gridCol w:w="1757"/>
        <w:gridCol w:w="523"/>
        <w:gridCol w:w="854"/>
        <w:gridCol w:w="374"/>
        <w:gridCol w:w="302"/>
        <w:gridCol w:w="523"/>
        <w:gridCol w:w="398"/>
        <w:gridCol w:w="686"/>
        <w:gridCol w:w="691"/>
      </w:tblGrid>
      <w:tr>
        <w:trPr>
          <w:trHeight w:val="75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子 公 司 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注册</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业 务 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180" w:right="0" w:firstLine="0"/>
              <w:jc w:val="left"/>
              <w:rPr>
                <w:sz w:val="18"/>
                <w:szCs w:val="18"/>
              </w:rPr>
            </w:pPr>
            <w:r>
              <w:rPr>
                <w:color w:val="000000"/>
                <w:spacing w:val="0"/>
                <w:w w:val="100"/>
                <w:position w:val="0"/>
                <w:sz w:val="18"/>
                <w:szCs w:val="18"/>
              </w:rPr>
              <w:t>注 册 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160" w:right="0" w:firstLine="0"/>
              <w:jc w:val="left"/>
              <w:rPr>
                <w:sz w:val="18"/>
                <w:szCs w:val="18"/>
              </w:rPr>
            </w:pPr>
            <w:r>
              <w:rPr>
                <w:color w:val="000000"/>
                <w:spacing w:val="0"/>
                <w:w w:val="100"/>
                <w:position w:val="0"/>
                <w:sz w:val="18"/>
                <w:szCs w:val="18"/>
              </w:rPr>
              <w:t>期 末 实 际 投 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实质上 构成对 子公司 净投资 的其他 项目余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40" w:line="317" w:lineRule="exact"/>
              <w:ind w:left="0" w:right="0" w:firstLine="0"/>
              <w:jc w:val="center"/>
              <w:rPr>
                <w:sz w:val="18"/>
                <w:szCs w:val="18"/>
              </w:rPr>
            </w:pPr>
            <w:r>
              <w:rPr>
                <w:color w:val="000000"/>
                <w:spacing w:val="0"/>
                <w:w w:val="100"/>
                <w:position w:val="0"/>
                <w:sz w:val="18"/>
                <w:szCs w:val="18"/>
              </w:rPr>
              <w:t xml:space="preserve">持 股 比 例 </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40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308" w:lineRule="exact"/>
              <w:ind w:left="0" w:right="0" w:firstLine="0"/>
              <w:jc w:val="both"/>
              <w:rPr>
                <w:sz w:val="18"/>
                <w:szCs w:val="18"/>
              </w:rPr>
            </w:pPr>
            <w:r>
              <w:rPr>
                <w:color w:val="000000"/>
                <w:spacing w:val="0"/>
                <w:w w:val="100"/>
                <w:position w:val="0"/>
                <w:sz w:val="18"/>
                <w:szCs w:val="18"/>
              </w:rPr>
              <w:t xml:space="preserve">表 决 权 比 例 </w:t>
            </w:r>
            <w:r>
              <w:rPr>
                <w:rFonts w:ascii="Times New Roman" w:eastAsia="Times New Roman" w:hAnsi="Times New Roman" w:cs="Times New Roman"/>
                <w:color w:val="000000"/>
                <w:spacing w:val="0"/>
                <w:w w:val="100"/>
                <w:position w:val="0"/>
                <w:sz w:val="20"/>
                <w:szCs w:val="20"/>
                <w:vertAlign w:val="superscript"/>
              </w:rPr>
              <w:t xml:space="preserve">（ </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vertAlign w:val="superscript"/>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160" w:right="0" w:firstLine="0"/>
              <w:jc w:val="left"/>
              <w:rPr>
                <w:sz w:val="18"/>
                <w:szCs w:val="18"/>
              </w:rPr>
            </w:pPr>
            <w:r>
              <w:rPr>
                <w:color w:val="000000"/>
                <w:spacing w:val="0"/>
                <w:w w:val="100"/>
                <w:position w:val="0"/>
                <w:sz w:val="18"/>
                <w:szCs w:val="18"/>
              </w:rPr>
              <w:t>是 否 合 并 报 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 xml:space="preserve">少 数 股 东 权 </w:t>
            </w:r>
            <w:r>
              <w:rPr>
                <w:color w:val="000000"/>
                <w:spacing w:val="0"/>
                <w:w w:val="100"/>
                <w:position w:val="0"/>
                <w:sz w:val="18"/>
                <w:szCs w:val="18"/>
                <w:u w:val="single"/>
              </w:rPr>
              <w:t>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160" w:right="0" w:firstLine="0"/>
              <w:jc w:val="left"/>
              <w:rPr>
                <w:sz w:val="18"/>
                <w:szCs w:val="18"/>
              </w:rPr>
            </w:pPr>
            <w:r>
              <w:rPr>
                <w:color w:val="000000"/>
                <w:spacing w:val="0"/>
                <w:w w:val="100"/>
                <w:position w:val="0"/>
                <w:sz w:val="18"/>
                <w:szCs w:val="18"/>
              </w:rPr>
              <w:t>少数 股东 权益 中用 于冲 减少 数股 东损 益的 金额</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311" w:lineRule="exact"/>
              <w:ind w:left="160" w:right="0" w:firstLine="0"/>
              <w:jc w:val="left"/>
              <w:rPr>
                <w:sz w:val="18"/>
                <w:szCs w:val="18"/>
              </w:rPr>
            </w:pPr>
            <w:r>
              <w:rPr>
                <w:color w:val="000000"/>
                <w:spacing w:val="0"/>
                <w:w w:val="100"/>
                <w:position w:val="0"/>
                <w:sz w:val="18"/>
                <w:szCs w:val="18"/>
              </w:rPr>
              <w:t>从母 公司 所有 者权 益冲 减子 公司 少数 股东 分担 的本 期亏 损超 过少 数股 东在 该子 公司 年初 所有 者权 益中 所享 有份</w:t>
            </w:r>
          </w:p>
        </w:tc>
      </w:tr>
    </w:tbl>
    <w:p>
      <w:pPr>
        <w:spacing w:lineRule="exact" w:line="1"/>
        <w:rPr>
          <w:sz w:val="2"/>
          <w:szCs w:val="2"/>
        </w:rPr>
      </w:pPr>
      <w:r>
        <w:br w:type="page"/>
      </w:r>
    </w:p>
    <w:tbl>
      <w:tblPr>
        <w:tblOverlap w:val="never"/>
        <w:jc w:val="center"/>
        <w:tblLayout w:type="fixed"/>
      </w:tblPr>
      <w:tblGrid>
        <w:gridCol w:w="1363"/>
        <w:gridCol w:w="346"/>
        <w:gridCol w:w="754"/>
        <w:gridCol w:w="446"/>
        <w:gridCol w:w="557"/>
        <w:gridCol w:w="1757"/>
        <w:gridCol w:w="523"/>
        <w:gridCol w:w="854"/>
        <w:gridCol w:w="374"/>
        <w:gridCol w:w="302"/>
        <w:gridCol w:w="523"/>
        <w:gridCol w:w="398"/>
        <w:gridCol w:w="686"/>
        <w:gridCol w:w="69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额后 的余 额</w:t>
            </w:r>
          </w:p>
        </w:tc>
      </w:tr>
      <w:tr>
        <w:trPr>
          <w:trHeight w:val="590"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泰安市华得软</w:t>
            </w:r>
          </w:p>
        </w:tc>
        <w:tc>
          <w:tcPr>
            <w:vMerge w:val="restart"/>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全 资</w:t>
            </w:r>
          </w:p>
        </w:tc>
        <w:tc>
          <w:tcPr>
            <w:vMerge w:val="restart"/>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w:t>
            </w:r>
          </w:p>
        </w:tc>
        <w:tc>
          <w:tcPr>
            <w:vMerge w:val="restart"/>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电 子</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计算机软硬件、电子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件科技有限责</w:t>
            </w:r>
          </w:p>
        </w:tc>
        <w:tc>
          <w:tcPr>
            <w:vMerge/>
            <w:tcBorders>
              <w:left w:val="single" w:sz="4"/>
            </w:tcBorders>
            <w:shd w:val="clear" w:color="auto" w:fill="CCE8CF"/>
            <w:vAlign w:val="center"/>
          </w:tcPr>
          <w:p>
            <w:pPr/>
          </w:p>
        </w:tc>
        <w:tc>
          <w:tcPr>
            <w:vMerge/>
            <w:tcBorders>
              <w:left w:val="single" w:sz="4"/>
            </w:tcBorders>
            <w:shd w:val="clear" w:color="auto" w:fill="CCE8CF"/>
            <w:vAlign w:val="bottom"/>
          </w:tcPr>
          <w:p>
            <w:pPr/>
          </w:p>
        </w:tc>
        <w:tc>
          <w:tcPr>
            <w:vMerge/>
            <w:tcBorders>
              <w:left w:val="single" w:sz="4"/>
            </w:tcBorders>
            <w:shd w:val="clear" w:color="auto" w:fill="CCE8CF"/>
            <w:vAlign w:val="center"/>
          </w:tcPr>
          <w:p>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电气设备集成系统</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w:t>
            </w:r>
          </w:p>
        </w:tc>
        <w:tc>
          <w:tcPr>
            <w:vMerge w:val="restart"/>
            <w:tcBorders>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w:t>
            </w: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任公司</w:t>
            </w: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开发、销售；计算机</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CE8CF"/>
            <w:vAlign w:val="center"/>
          </w:tcPr>
          <w:p>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w:t>
            </w:r>
          </w:p>
        </w:tc>
        <w:tc>
          <w:tcPr>
            <w:vMerge/>
            <w:tcBorders>
              <w:left w:val="single" w:sz="4"/>
            </w:tcBorders>
            <w:shd w:val="clear" w:color="auto" w:fill="CCE8CF"/>
            <w:vAlign w:val="center"/>
          </w:tcPr>
          <w:p>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品</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业务培训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尤洛卡（北京）</w:t>
            </w:r>
          </w:p>
        </w:tc>
        <w:tc>
          <w:tcPr>
            <w:vMerge w:val="restart"/>
            <w:tcBorders>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工程和技术研究与</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矿业工程技术</w:t>
            </w:r>
          </w:p>
        </w:tc>
        <w:tc>
          <w:tcPr>
            <w:vMerge/>
            <w:tcBorders>
              <w:left w:val="single" w:sz="4"/>
            </w:tcBorders>
            <w:shd w:val="clear" w:color="auto" w:fill="CCE8CF"/>
            <w:vAlign w:val="center"/>
          </w:tcPr>
          <w:p>
            <w:pPr/>
          </w:p>
        </w:tc>
        <w:tc>
          <w:tcPr>
            <w:vMerge w:val="restart"/>
            <w:tcBorders>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w:t>
            </w: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实验发展；技术开</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w:t>
            </w:r>
          </w:p>
        </w:tc>
        <w:tc>
          <w:tcPr>
            <w:vMerge/>
            <w:tcBorders>
              <w:left w:val="single" w:sz="4"/>
            </w:tcBorders>
            <w:shd w:val="clear" w:color="auto" w:fill="CCE8CF"/>
            <w:vAlign w:val="center"/>
          </w:tcPr>
          <w:p>
            <w:pPr/>
          </w:p>
        </w:tc>
        <w:tc>
          <w:tcPr>
            <w:vMerge w:val="restart"/>
            <w:tcBorders>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究</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研究有限公司</w:t>
            </w: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发、技术转让、技术</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CE8CF"/>
            <w:vAlign w:val="center"/>
          </w:tcPr>
          <w:p>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w:t>
            </w:r>
          </w:p>
        </w:tc>
        <w:tc>
          <w:tcPr>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center"/>
          </w:tcPr>
          <w:p>
            <w:pP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咨询、技术推广</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展</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08" w:hRule="exact"/>
        </w:trPr>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从事货物及技术的 进出口业务,转口贸 易、保税区内企业间 的贸易及贸易代理， 保税区内商品的展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尤洛卡（上海）</w:t>
            </w:r>
          </w:p>
        </w:tc>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w:t>
            </w: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示,仓储（除危险品）</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国际贸易有限</w:t>
            </w:r>
          </w:p>
        </w:tc>
        <w:tc>
          <w:tcPr>
            <w:vMerge/>
            <w:tcBorders>
              <w:left w:val="single" w:sz="4"/>
            </w:tcBorders>
            <w:shd w:val="clear" w:color="auto" w:fill="CCE8CF"/>
            <w:vAlign w:val="top"/>
          </w:tcPr>
          <w:p>
            <w:pPr/>
          </w:p>
        </w:tc>
        <w:tc>
          <w:tcPr>
            <w:vMerge w:val="restart"/>
            <w:tcBorders>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际</w:t>
            </w: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及分拨、工程机械设</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w:t>
            </w:r>
          </w:p>
        </w:tc>
        <w:tc>
          <w:tcPr>
            <w:vMerge/>
            <w:tcBorders>
              <w:left w:val="single" w:sz="4"/>
            </w:tcBorders>
            <w:shd w:val="clear" w:color="auto" w:fill="CCE8CF"/>
            <w:vAlign w:val="center"/>
          </w:tcPr>
          <w:p>
            <w:pPr/>
          </w:p>
        </w:tc>
        <w:tc>
          <w:tcPr>
            <w:vMerge w:val="restart"/>
            <w:tcBorders>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center"/>
          </w:tcPr>
          <w:p>
            <w:pPr/>
          </w:p>
        </w:tc>
        <w:tc>
          <w:tcPr>
            <w:tcBorders>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备租赁，商务咨询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CCE8CF"/>
            <w:vAlign w:val="center"/>
          </w:tcPr>
          <w:p>
            <w:pPr/>
          </w:p>
        </w:tc>
        <w:tc>
          <w:tcPr>
            <w:tcBorders>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center"/>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CCE8CF"/>
            <w:vAlign w:val="center"/>
          </w:tcPr>
          <w:p>
            <w:pPr/>
          </w:p>
        </w:tc>
        <w:tc>
          <w:tcPr>
            <w:vMerge w:val="restart"/>
            <w:tcBorders>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w:t>
            </w: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（除经济）、投资管 理，投资咨询，实业 投资,工程机械设备 的技术开发、技术转 让、技术服务、技术 咨询</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left w:val="single" w:sz="4"/>
              <w:bottom w:val="single" w:sz="4"/>
            </w:tcBorders>
            <w:shd w:val="clear" w:color="auto" w:fill="CCE8CF"/>
            <w:vAlign w:val="top"/>
          </w:tcPr>
          <w:p>
            <w:pPr>
              <w:widowControl w:val="0"/>
              <w:rPr>
                <w:sz w:val="10"/>
                <w:szCs w:val="10"/>
              </w:rPr>
            </w:pPr>
          </w:p>
        </w:tc>
        <w:tc>
          <w:tcPr>
            <w:tcBorders>
              <w:left w:val="single" w:sz="4"/>
              <w:bottom w:val="single" w:sz="4"/>
            </w:tcBorders>
            <w:shd w:val="clear" w:color="auto" w:fill="CCE8CF"/>
            <w:vAlign w:val="top"/>
          </w:tcPr>
          <w:p>
            <w:pPr>
              <w:widowControl w:val="0"/>
              <w:rPr>
                <w:sz w:val="10"/>
                <w:szCs w:val="10"/>
              </w:rPr>
            </w:pPr>
          </w:p>
        </w:tc>
        <w:tc>
          <w:tcPr>
            <w:vMerge/>
            <w:tcBorders>
              <w:left w:val="single" w:sz="4"/>
              <w:bottom w:val="single" w:sz="4"/>
            </w:tcBorders>
            <w:shd w:val="clear" w:color="auto" w:fill="CCE8CF"/>
            <w:vAlign w:val="top"/>
          </w:tcPr>
          <w:p>
            <w:pPr/>
          </w:p>
        </w:tc>
        <w:tc>
          <w:tcPr>
            <w:vMerge/>
            <w:tcBorders>
              <w:left w:val="single" w:sz="4"/>
              <w:bottom w:val="single" w:sz="4"/>
            </w:tcBorders>
            <w:shd w:val="clear" w:color="auto" w:fill="CCE8CF"/>
            <w:vAlign w:val="top"/>
          </w:tcPr>
          <w:p>
            <w:pPr/>
          </w:p>
        </w:tc>
        <w:tc>
          <w:tcPr>
            <w:vMerge/>
            <w:tcBorders>
              <w:left w:val="single" w:sz="4"/>
              <w:bottom w:val="single" w:sz="4"/>
            </w:tcBorders>
            <w:shd w:val="clear" w:color="auto" w:fill="CCE8CF"/>
            <w:vAlign w:val="top"/>
          </w:tcPr>
          <w:p>
            <w:pPr/>
          </w:p>
        </w:tc>
        <w:tc>
          <w:tcPr>
            <w:vMerge/>
            <w:tcBorders>
              <w:left w:val="single" w:sz="4"/>
              <w:bottom w:val="single" w:sz="4"/>
            </w:tcBorders>
            <w:shd w:val="clear" w:color="auto" w:fill="CCE8C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通过设立或投资等方式取得的子公司的其他说明</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至报告期末，本公司共有泰安市华得软件科技有限责任公司、尤洛卡（北京）矿业工程技术研究有限公司、 尤洛卡（上海）国际贸易有限公司三家全资子公司，均是由公司投资设立。</w:t>
      </w:r>
    </w:p>
    <w:p>
      <w:pPr>
        <w:pStyle w:val="Style36"/>
        <w:keepNext/>
        <w:keepLines/>
        <w:widowControl w:val="0"/>
        <w:shd w:val="clear" w:color="auto" w:fill="auto"/>
        <w:bidi w:val="0"/>
        <w:spacing w:before="0" w:after="360" w:line="240" w:lineRule="auto"/>
        <w:ind w:left="0" w:right="0" w:firstLine="0"/>
        <w:jc w:val="left"/>
      </w:pPr>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）同一控制下企业合并取得的子公司</w:t>
      </w:r>
      <w:bookmarkEnd w:id="805"/>
      <w:bookmarkEnd w:id="806"/>
      <w:bookmarkEnd w:id="80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2"/>
        <w:gridCol w:w="686"/>
        <w:gridCol w:w="682"/>
        <w:gridCol w:w="682"/>
        <w:gridCol w:w="686"/>
        <w:gridCol w:w="682"/>
        <w:gridCol w:w="682"/>
        <w:gridCol w:w="686"/>
        <w:gridCol w:w="682"/>
        <w:gridCol w:w="691"/>
      </w:tblGrid>
      <w:tr>
        <w:trPr>
          <w:trHeight w:val="256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子公 司全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子公 司类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注册</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业务 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注册 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经营 范围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 实际 投资 额</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4" w:lineRule="exact"/>
              <w:ind w:left="160" w:right="0" w:firstLine="0"/>
              <w:jc w:val="left"/>
              <w:rPr>
                <w:sz w:val="18"/>
                <w:szCs w:val="18"/>
              </w:rPr>
            </w:pPr>
            <w:r>
              <w:rPr>
                <w:color w:val="000000"/>
                <w:spacing w:val="0"/>
                <w:w w:val="100"/>
                <w:position w:val="0"/>
                <w:sz w:val="18"/>
                <w:szCs w:val="18"/>
              </w:rPr>
              <w:t>实质 上构 成对 子公 司净 投资 的其 他项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表决 权比 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是否</w:t>
            </w:r>
          </w:p>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合并</w:t>
            </w:r>
          </w:p>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少数</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股东</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权益</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4" w:lineRule="exact"/>
              <w:ind w:left="140" w:right="0" w:firstLine="0"/>
              <w:jc w:val="left"/>
              <w:rPr>
                <w:sz w:val="18"/>
                <w:szCs w:val="18"/>
              </w:rPr>
            </w:pPr>
            <w:r>
              <w:rPr>
                <w:color w:val="000000"/>
                <w:spacing w:val="0"/>
                <w:w w:val="100"/>
                <w:position w:val="0"/>
                <w:sz w:val="18"/>
                <w:szCs w:val="18"/>
              </w:rPr>
              <w:t>少数 股东 权益 中用 于冲 减少 数股 东损</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160" w:right="0" w:firstLine="0"/>
              <w:jc w:val="left"/>
              <w:rPr>
                <w:sz w:val="18"/>
                <w:szCs w:val="18"/>
              </w:rPr>
            </w:pPr>
            <w:r>
              <w:rPr>
                <w:color w:val="000000"/>
                <w:spacing w:val="0"/>
                <w:w w:val="100"/>
                <w:position w:val="0"/>
                <w:sz w:val="18"/>
                <w:szCs w:val="18"/>
              </w:rPr>
              <w:t>从母 公司 所有 者权 益冲 减子 公司 少数</w:t>
            </w:r>
          </w:p>
        </w:tc>
      </w:tr>
    </w:tbl>
    <w:p>
      <w:pPr>
        <w:spacing w:lineRule="exact" w:line="1"/>
        <w:rPr>
          <w:sz w:val="2"/>
          <w:szCs w:val="2"/>
        </w:rPr>
      </w:pPr>
      <w:r>
        <w:br w:type="page"/>
      </w:r>
    </w:p>
    <w:tbl>
      <w:tblPr>
        <w:tblOverlap w:val="never"/>
        <w:jc w:val="center"/>
        <w:tblLayout w:type="fixed"/>
      </w:tblPr>
      <w:tblGrid>
        <w:gridCol w:w="686"/>
        <w:gridCol w:w="686"/>
        <w:gridCol w:w="682"/>
        <w:gridCol w:w="682"/>
        <w:gridCol w:w="682"/>
        <w:gridCol w:w="686"/>
        <w:gridCol w:w="682"/>
        <w:gridCol w:w="682"/>
        <w:gridCol w:w="686"/>
        <w:gridCol w:w="682"/>
        <w:gridCol w:w="682"/>
        <w:gridCol w:w="686"/>
        <w:gridCol w:w="682"/>
        <w:gridCol w:w="691"/>
      </w:tblGrid>
      <w:tr>
        <w:trPr>
          <w:trHeight w:val="59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目余 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益的 金额</w:t>
            </w: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312" w:lineRule="exact"/>
              <w:ind w:left="160" w:right="0" w:firstLine="0"/>
              <w:jc w:val="left"/>
              <w:rPr>
                <w:sz w:val="18"/>
                <w:szCs w:val="18"/>
              </w:rPr>
            </w:pPr>
            <w:r>
              <w:rPr>
                <w:color w:val="000000"/>
                <w:spacing w:val="0"/>
                <w:w w:val="100"/>
                <w:position w:val="0"/>
                <w:sz w:val="18"/>
                <w:szCs w:val="18"/>
              </w:rPr>
              <w:t>股东 分担 的本 期亏 损超 过少 数股 东在 该子 公司 年初 所有 者权 益中 所享 有份 额后 的余 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通过同一控制下企业合并取得的子公司的其他说明</w:t>
      </w:r>
    </w:p>
    <w:p>
      <w:pPr>
        <w:pStyle w:val="Style36"/>
        <w:keepNext/>
        <w:keepLines/>
        <w:widowControl w:val="0"/>
        <w:numPr>
          <w:ilvl w:val="0"/>
          <w:numId w:val="43"/>
        </w:numPr>
        <w:shd w:val="clear" w:color="auto" w:fill="auto"/>
        <w:bidi w:val="0"/>
        <w:spacing w:before="0" w:after="380" w:line="240" w:lineRule="auto"/>
        <w:ind w:left="0" w:right="0" w:firstLine="0"/>
        <w:jc w:val="left"/>
      </w:pPr>
      <w:bookmarkStart w:id="808" w:name="bookmark808"/>
      <w:bookmarkStart w:id="809" w:name="bookmark809"/>
      <w:bookmarkStart w:id="810" w:name="bookmark810"/>
      <w:bookmarkStart w:id="811" w:name="bookmark811"/>
      <w:bookmarkEnd w:id="810"/>
      <w:r>
        <w:rPr>
          <w:color w:val="000000"/>
          <w:spacing w:val="0"/>
          <w:w w:val="100"/>
          <w:position w:val="0"/>
        </w:rPr>
        <w:t>非同一控制下企业合并取得的子公司</w:t>
      </w:r>
      <w:bookmarkEnd w:id="808"/>
      <w:bookmarkEnd w:id="809"/>
      <w:bookmarkEnd w:id="81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2"/>
        <w:gridCol w:w="686"/>
        <w:gridCol w:w="682"/>
        <w:gridCol w:w="682"/>
        <w:gridCol w:w="686"/>
        <w:gridCol w:w="682"/>
        <w:gridCol w:w="682"/>
        <w:gridCol w:w="686"/>
        <w:gridCol w:w="682"/>
        <w:gridCol w:w="691"/>
      </w:tblGrid>
      <w:tr>
        <w:trPr>
          <w:trHeight w:val="631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子公 司全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子公 司类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注册</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业务 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注册 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经营 范围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 实际 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实质 上构 成对 子公 司净 投资 的其 他项 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160" w:right="0" w:firstLine="0"/>
              <w:jc w:val="left"/>
              <w:rPr>
                <w:sz w:val="18"/>
                <w:szCs w:val="18"/>
              </w:rPr>
            </w:pPr>
            <w:r>
              <w:rPr>
                <w:color w:val="000000"/>
                <w:spacing w:val="0"/>
                <w:w w:val="100"/>
                <w:position w:val="0"/>
                <w:sz w:val="18"/>
                <w:szCs w:val="18"/>
              </w:rPr>
              <w:t>是否 合并 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少数</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股东</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少数 股东 权益 中用 于冲 减少 数股 东损 益的 金额</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311" w:lineRule="exact"/>
              <w:ind w:left="160" w:right="0" w:firstLine="0"/>
              <w:jc w:val="left"/>
              <w:rPr>
                <w:sz w:val="18"/>
                <w:szCs w:val="18"/>
              </w:rPr>
            </w:pPr>
            <w:r>
              <w:rPr>
                <w:color w:val="000000"/>
                <w:spacing w:val="0"/>
                <w:w w:val="100"/>
                <w:position w:val="0"/>
                <w:sz w:val="18"/>
                <w:szCs w:val="18"/>
              </w:rPr>
              <w:t>从母 公司 所有 者权 益冲 减子 公司 少数 股东 分担 的本 期亏 损超 过少 数股 东在 该子 公司 年初 所有</w:t>
            </w:r>
          </w:p>
        </w:tc>
      </w:tr>
    </w:tbl>
    <w:p>
      <w:pPr>
        <w:spacing w:lineRule="exact" w:line="1"/>
        <w:rPr>
          <w:sz w:val="2"/>
          <w:szCs w:val="2"/>
        </w:rPr>
      </w:pPr>
      <w:r>
        <w:br w:type="page"/>
      </w:r>
    </w:p>
    <w:tbl>
      <w:tblPr>
        <w:tblOverlap w:val="never"/>
        <w:jc w:val="center"/>
        <w:tblLayout w:type="fixed"/>
      </w:tblPr>
      <w:tblGrid>
        <w:gridCol w:w="686"/>
        <w:gridCol w:w="686"/>
        <w:gridCol w:w="682"/>
        <w:gridCol w:w="682"/>
        <w:gridCol w:w="682"/>
        <w:gridCol w:w="686"/>
        <w:gridCol w:w="682"/>
        <w:gridCol w:w="682"/>
        <w:gridCol w:w="686"/>
        <w:gridCol w:w="682"/>
        <w:gridCol w:w="682"/>
        <w:gridCol w:w="686"/>
        <w:gridCol w:w="682"/>
        <w:gridCol w:w="691"/>
      </w:tblGrid>
      <w:tr>
        <w:trPr>
          <w:trHeight w:val="224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者权 益中 所享 有份 额后 的余 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通过非同一控制下企业合并取得的子公司的其他说明</w:t>
      </w:r>
    </w:p>
    <w:p>
      <w:pPr>
        <w:pStyle w:val="Style36"/>
        <w:keepNext/>
        <w:keepLines/>
        <w:widowControl w:val="0"/>
        <w:shd w:val="clear" w:color="auto" w:fill="auto"/>
        <w:bidi w:val="0"/>
        <w:spacing w:before="0" w:after="360" w:line="240" w:lineRule="auto"/>
        <w:ind w:left="0" w:right="0" w:firstLine="0"/>
        <w:jc w:val="left"/>
      </w:pPr>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2</w:t>
      </w:r>
      <w:r>
        <w:rPr>
          <w:color w:val="000000"/>
          <w:spacing w:val="0"/>
          <w:w w:val="100"/>
          <w:position w:val="0"/>
        </w:rPr>
        <w:t>、合并范围发生变更的说明</w:t>
      </w:r>
      <w:bookmarkEnd w:id="812"/>
      <w:bookmarkEnd w:id="813"/>
      <w:bookmarkEnd w:id="814"/>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合并报表范围发生变更说明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5"/>
        <w:keepNext/>
        <w:keepLines/>
        <w:widowControl w:val="0"/>
        <w:shd w:val="clear" w:color="auto" w:fill="auto"/>
        <w:bidi w:val="0"/>
        <w:spacing w:before="0" w:after="360" w:line="240" w:lineRule="auto"/>
        <w:ind w:left="0" w:right="0" w:firstLine="0"/>
        <w:jc w:val="left"/>
      </w:pPr>
      <w:bookmarkStart w:id="815" w:name="bookmark815"/>
      <w:bookmarkStart w:id="816" w:name="bookmark816"/>
      <w:bookmarkStart w:id="817" w:name="bookmark817"/>
      <w:bookmarkStart w:id="818" w:name="bookmark818"/>
      <w:r>
        <w:rPr>
          <w:color w:val="000000"/>
          <w:spacing w:val="0"/>
          <w:w w:val="100"/>
          <w:position w:val="0"/>
          <w:sz w:val="24"/>
          <w:szCs w:val="24"/>
        </w:rPr>
        <w:t>七</w:t>
      </w:r>
      <w:bookmarkEnd w:id="817"/>
      <w:r>
        <w:rPr>
          <w:color w:val="000000"/>
          <w:spacing w:val="0"/>
          <w:w w:val="100"/>
          <w:position w:val="0"/>
          <w:sz w:val="24"/>
          <w:szCs w:val="24"/>
        </w:rPr>
        <w:t>、合并财务报表主要项目注释</w:t>
      </w:r>
      <w:bookmarkEnd w:id="815"/>
      <w:bookmarkEnd w:id="816"/>
      <w:bookmarkEnd w:id="818"/>
    </w:p>
    <w:p>
      <w:pPr>
        <w:pStyle w:val="Style36"/>
        <w:keepNext/>
        <w:keepLines/>
        <w:widowControl w:val="0"/>
        <w:shd w:val="clear" w:color="auto" w:fill="auto"/>
        <w:bidi w:val="0"/>
        <w:spacing w:before="0" w:after="360" w:line="240" w:lineRule="auto"/>
        <w:ind w:left="0" w:right="0" w:firstLine="0"/>
        <w:jc w:val="left"/>
      </w:pPr>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19"/>
      <w:bookmarkEnd w:id="820"/>
      <w:bookmarkEnd w:id="82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人民币金额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r>
              <w:rPr>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10,970.76</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6,635.18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10,970.76</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6,635.18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231,575,101.09</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286,729,457.58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231,575,101.09</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286,729,457.58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13,633,858.09</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15,986,869.13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13,633,858.09</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15,986,869.13</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245,219,929.94</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302,722,961.89</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822"/>
      <w:bookmarkEnd w:id="823"/>
      <w:bookmarkEnd w:id="824"/>
    </w:p>
    <w:p>
      <w:pPr>
        <w:pStyle w:val="Style36"/>
        <w:keepNext/>
        <w:keepLines/>
        <w:widowControl w:val="0"/>
        <w:shd w:val="clear" w:color="auto" w:fill="auto"/>
        <w:bidi w:val="0"/>
        <w:spacing w:before="0" w:after="360" w:line="240" w:lineRule="auto"/>
        <w:ind w:left="0" w:right="0" w:firstLine="0"/>
        <w:jc w:val="left"/>
      </w:pPr>
      <w:bookmarkStart w:id="822" w:name="bookmark822"/>
      <w:bookmarkStart w:id="823" w:name="bookmark823"/>
      <w:bookmarkStart w:id="825" w:name="bookmark825"/>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822"/>
      <w:bookmarkEnd w:id="823"/>
      <w:bookmarkEnd w:id="82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4"/>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21,940,887.24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42,887,478.00</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3,067,214.23</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21,990,887.24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45,954,692.23</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3</w:t>
      </w:r>
      <w:bookmarkEnd w:id="828"/>
      <w:r>
        <w:rPr>
          <w:color w:val="000000"/>
          <w:spacing w:val="0"/>
          <w:w w:val="100"/>
          <w:position w:val="0"/>
        </w:rPr>
        <w:t>、应收利息</w:t>
      </w:r>
      <w:bookmarkEnd w:id="826"/>
      <w:bookmarkEnd w:id="827"/>
      <w:bookmarkEnd w:id="829"/>
    </w:p>
    <w:p>
      <w:pPr>
        <w:pStyle w:val="Style36"/>
        <w:keepNext/>
        <w:keepLines/>
        <w:widowControl w:val="0"/>
        <w:shd w:val="clear" w:color="auto" w:fill="auto"/>
        <w:bidi w:val="0"/>
        <w:spacing w:before="0" w:line="240" w:lineRule="auto"/>
        <w:ind w:left="0" w:right="0" w:firstLine="0"/>
        <w:jc w:val="left"/>
      </w:pPr>
      <w:bookmarkStart w:id="826" w:name="bookmark826"/>
      <w:bookmarkStart w:id="827" w:name="bookmark827"/>
      <w:bookmarkStart w:id="830" w:name="bookmark8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826"/>
      <w:bookmarkEnd w:id="827"/>
      <w:bookmarkEnd w:id="8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858"/>
        <w:gridCol w:w="1862"/>
        <w:gridCol w:w="1858"/>
        <w:gridCol w:w="21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期末数</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定期存款利息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1,943,066.56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5,789,954.25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3,109,765.56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4,623,255.25</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586,684.93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1,562,761.64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978,739.72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1,170,706.85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2,529,751.49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7,352,715.89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4,088,505.28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5,793,962.10</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4</w:t>
      </w:r>
      <w:bookmarkEnd w:id="833"/>
      <w:r>
        <w:rPr>
          <w:color w:val="000000"/>
          <w:spacing w:val="0"/>
          <w:w w:val="100"/>
          <w:position w:val="0"/>
        </w:rPr>
        <w:t>、应收账款</w:t>
      </w:r>
      <w:bookmarkEnd w:id="831"/>
      <w:bookmarkEnd w:id="832"/>
      <w:bookmarkEnd w:id="834"/>
    </w:p>
    <w:p>
      <w:pPr>
        <w:pStyle w:val="Style36"/>
        <w:keepNext/>
        <w:keepLines/>
        <w:widowControl w:val="0"/>
        <w:shd w:val="clear" w:color="auto" w:fill="auto"/>
        <w:bidi w:val="0"/>
        <w:spacing w:before="0" w:line="240" w:lineRule="auto"/>
        <w:ind w:left="0" w:right="0" w:firstLine="0"/>
        <w:jc w:val="left"/>
      </w:pPr>
      <w:bookmarkStart w:id="831" w:name="bookmark831"/>
      <w:bookmarkStart w:id="832" w:name="bookmark832"/>
      <w:bookmarkStart w:id="835" w:name="bookmark8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831"/>
      <w:bookmarkEnd w:id="832"/>
      <w:bookmarkEnd w:id="83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931"/>
        <w:gridCol w:w="926"/>
        <w:gridCol w:w="931"/>
        <w:gridCol w:w="931"/>
        <w:gridCol w:w="797"/>
        <w:gridCol w:w="926"/>
        <w:gridCol w:w="1066"/>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按组合计提坏账准备的应收账款</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176,717,</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15,068,6</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9,241,402.</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5,322,18</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182,039,</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15,068,6</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9,241,402.</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182,039,</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369.03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15,068,6</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89.08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9,241,402.</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应收账款种类的说明 无。</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2525"/>
        <w:gridCol w:w="1723"/>
        <w:gridCol w:w="2390"/>
        <w:gridCol w:w="147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bl>
    <w:p>
      <w:pPr>
        <w:spacing w:lineRule="exact" w:line="1"/>
        <w:rPr>
          <w:sz w:val="2"/>
          <w:szCs w:val="2"/>
        </w:rPr>
      </w:pPr>
      <w:r>
        <w:br w:type="page"/>
      </w:r>
    </w:p>
    <w:tbl>
      <w:tblPr>
        <w:tblOverlap w:val="never"/>
        <w:jc w:val="center"/>
        <w:tblLayout w:type="fixed"/>
      </w:tblPr>
      <w:tblGrid>
        <w:gridCol w:w="1469"/>
        <w:gridCol w:w="1594"/>
        <w:gridCol w:w="931"/>
        <w:gridCol w:w="1723"/>
        <w:gridCol w:w="1464"/>
        <w:gridCol w:w="926"/>
        <w:gridCol w:w="147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132,061,299.18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6,336,955.77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118,066,531.00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5,903,326.55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38,313,795.85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3,831,379.59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24,881,327.90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2,488,132.79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9,662,743.26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2,898,822.98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2,833,143.90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849,943.17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2,001,530.74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2,001,530.74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176,717,185.24</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15,068,689.08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145,781,002.80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9,241,402.51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836" w:name="bookmark836"/>
      <w:bookmarkStart w:id="837" w:name="bookmark837"/>
      <w:bookmarkStart w:id="838" w:name="bookmark8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836"/>
      <w:bookmarkEnd w:id="837"/>
      <w:bookmarkEnd w:id="8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占应收账款总额的比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霍州煤电集团凯兴物 资经销有限责任公司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13,447,044.67</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1027"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中国神华能源股份有 限公司神东煤炭分公 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11,412,629.05</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6.27%</w:t>
            </w:r>
          </w:p>
        </w:tc>
      </w:tr>
      <w:tr>
        <w:trPr>
          <w:trHeight w:val="710"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淮北矿业股份有限公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司物资分公司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6,038,045.01</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1027"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神华宁夏煤业集团有 限责任公司麦垛山煤 矿筹建处</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5,632,062.88</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北京富华宇祺信息技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术有限公司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5,322,183.79</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41,851,965.40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w:t>
            </w:r>
          </w:p>
        </w:tc>
      </w:tr>
    </w:tbl>
    <w:p>
      <w:pPr>
        <w:widowControl w:val="0"/>
        <w:spacing w:after="299" w:line="1" w:lineRule="exact"/>
      </w:pPr>
    </w:p>
    <w:p>
      <w:pPr>
        <w:pStyle w:val="Style36"/>
        <w:keepNext/>
        <w:keepLines/>
        <w:widowControl w:val="0"/>
        <w:numPr>
          <w:ilvl w:val="0"/>
          <w:numId w:val="45"/>
        </w:numPr>
        <w:shd w:val="clear" w:color="auto" w:fill="auto"/>
        <w:bidi w:val="0"/>
        <w:spacing w:before="0" w:after="380" w:line="24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应收关联方账款情况</w:t>
      </w:r>
      <w:bookmarkEnd w:id="839"/>
      <w:bookmarkEnd w:id="840"/>
      <w:bookmarkEnd w:id="84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29"/>
        <w:gridCol w:w="244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占应收账款总额的比例</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280"/>
        <w:gridCol w:w="2429"/>
        <w:gridCol w:w="2429"/>
        <w:gridCol w:w="2443"/>
      </w:tblGrid>
      <w:tr>
        <w:trPr>
          <w:trHeight w:val="715"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北京富华宇祺信息技术有 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5,322,183.79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5,322,183.79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5</w:t>
      </w:r>
      <w:bookmarkEnd w:id="845"/>
      <w:r>
        <w:rPr>
          <w:color w:val="000000"/>
          <w:spacing w:val="0"/>
          <w:w w:val="100"/>
          <w:position w:val="0"/>
        </w:rPr>
        <w:t>、其他应收款</w:t>
      </w:r>
      <w:bookmarkEnd w:id="843"/>
      <w:bookmarkEnd w:id="844"/>
      <w:bookmarkEnd w:id="846"/>
    </w:p>
    <w:p>
      <w:pPr>
        <w:pStyle w:val="Style36"/>
        <w:keepNext/>
        <w:keepLines/>
        <w:widowControl w:val="0"/>
        <w:shd w:val="clear" w:color="auto" w:fill="auto"/>
        <w:bidi w:val="0"/>
        <w:spacing w:before="0" w:after="380" w:line="240" w:lineRule="auto"/>
        <w:ind w:left="0" w:right="0" w:firstLine="0"/>
        <w:jc w:val="left"/>
      </w:pPr>
      <w:bookmarkStart w:id="843" w:name="bookmark843"/>
      <w:bookmarkStart w:id="844" w:name="bookmark844"/>
      <w:bookmarkStart w:id="847" w:name="bookmark847"/>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43"/>
      <w:bookmarkEnd w:id="844"/>
      <w:bookmarkEnd w:id="84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56"/>
        <w:gridCol w:w="792"/>
        <w:gridCol w:w="1061"/>
        <w:gridCol w:w="792"/>
        <w:gridCol w:w="1056"/>
        <w:gridCol w:w="926"/>
        <w:gridCol w:w="1190"/>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200"/>
              <w:jc w:val="lef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按组合计提坏账准备的其他应收款</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2,314,760.</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225,979.59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3,032,034.</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188,116.74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应收补贴款组合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2,067,476.</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4,382,237.</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225,979.59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3,032,034.</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188,116.74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4,382,237.</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225,979.59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3,032,034.</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188,116.74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140" w:line="336" w:lineRule="exact"/>
        <w:ind w:left="0" w:right="0" w:firstLine="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843"/>
        <w:gridCol w:w="658"/>
        <w:gridCol w:w="1450"/>
        <w:gridCol w:w="1445"/>
        <w:gridCol w:w="658"/>
        <w:gridCol w:w="168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1,199,637.11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51.83</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59,981.86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2,481,734.73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124,086.74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842,697.05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36.41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84,269.71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540,300.00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54,030.00</w:t>
            </w:r>
          </w:p>
        </w:tc>
      </w:tr>
    </w:tbl>
    <w:p>
      <w:pPr>
        <w:spacing w:lineRule="exact" w:line="1"/>
        <w:rPr>
          <w:sz w:val="2"/>
          <w:szCs w:val="2"/>
        </w:rPr>
      </w:pPr>
      <w:r>
        <w:br w:type="page"/>
      </w:r>
    </w:p>
    <w:tbl>
      <w:tblPr>
        <w:tblOverlap w:val="never"/>
        <w:jc w:val="center"/>
        <w:tblLayout w:type="fixed"/>
      </w:tblPr>
      <w:tblGrid>
        <w:gridCol w:w="1848"/>
        <w:gridCol w:w="1843"/>
        <w:gridCol w:w="658"/>
        <w:gridCol w:w="1450"/>
        <w:gridCol w:w="1445"/>
        <w:gridCol w:w="658"/>
        <w:gridCol w:w="168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272,426.73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11.76</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81,728.02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2,314,760.89</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225,979.59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3,032,034.73</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188,116.74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848"/>
      <w:bookmarkEnd w:id="849"/>
      <w:bookmarkEnd w:id="8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占其他应收款总额的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color w:val="000000"/>
                <w:spacing w:val="0"/>
                <w:w w:val="100"/>
                <w:position w:val="0"/>
                <w:sz w:val="18"/>
                <w:szCs w:val="18"/>
              </w:rPr>
              <w:t>北京海淀区国家税务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局第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税务所</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当地税务机关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1,791,665.00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w:t>
            </w:r>
          </w:p>
        </w:tc>
      </w:tr>
      <w:tr>
        <w:trPr>
          <w:trHeight w:val="710"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义马煤业集团股份有 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420,550.00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27"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泰安高新技术产业开 发区国家税务局北集 坡税务分局</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当地税务机关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275,811.99</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北京海淀置业公司</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251,708.44</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郑力维</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2,885,735.43</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w:t>
            </w:r>
          </w:p>
        </w:tc>
      </w:tr>
    </w:tbl>
    <w:p>
      <w:pPr>
        <w:widowControl w:val="0"/>
        <w:spacing w:after="299" w:line="1" w:lineRule="exact"/>
      </w:pPr>
    </w:p>
    <w:p>
      <w:pPr>
        <w:pStyle w:val="Style36"/>
        <w:keepNext/>
        <w:keepLines/>
        <w:widowControl w:val="0"/>
        <w:numPr>
          <w:ilvl w:val="0"/>
          <w:numId w:val="47"/>
        </w:numPr>
        <w:shd w:val="clear" w:color="auto" w:fill="auto"/>
        <w:bidi w:val="0"/>
        <w:spacing w:before="0" w:after="380" w:line="240" w:lineRule="auto"/>
        <w:ind w:left="0" w:right="0" w:firstLine="0"/>
        <w:jc w:val="left"/>
      </w:pPr>
      <w:bookmarkStart w:id="851" w:name="bookmark851"/>
      <w:bookmarkStart w:id="852" w:name="bookmark852"/>
      <w:bookmarkStart w:id="853" w:name="bookmark853"/>
      <w:bookmarkStart w:id="854" w:name="bookmark854"/>
      <w:bookmarkEnd w:id="853"/>
      <w:r>
        <w:rPr>
          <w:color w:val="000000"/>
          <w:spacing w:val="0"/>
          <w:w w:val="100"/>
          <w:position w:val="0"/>
        </w:rPr>
        <w:t>报告期末按应收金额确认的政府补助</w:t>
      </w:r>
      <w:bookmarkEnd w:id="851"/>
      <w:bookmarkEnd w:id="852"/>
      <w:bookmarkEnd w:id="85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258"/>
        <w:gridCol w:w="931"/>
        <w:gridCol w:w="931"/>
        <w:gridCol w:w="1195"/>
        <w:gridCol w:w="1330"/>
        <w:gridCol w:w="1195"/>
        <w:gridCol w:w="160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政府补助项 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期末账 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预计收取时 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预计收取金额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预计收取依 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未能在预计时点 收到预计金额的 原因(如有)</w:t>
            </w:r>
          </w:p>
        </w:tc>
      </w:tr>
      <w:tr>
        <w:trPr>
          <w:trHeight w:val="1344" w:hRule="exact"/>
        </w:trPr>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尤洛卡(北 京)矿业工 程技术研究 有限公司</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增值税返还</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1,791,66</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1,791,665.00</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138"/>
        <w:gridCol w:w="1258"/>
        <w:gridCol w:w="931"/>
        <w:gridCol w:w="931"/>
        <w:gridCol w:w="1195"/>
        <w:gridCol w:w="1330"/>
        <w:gridCol w:w="1195"/>
        <w:gridCol w:w="1603"/>
      </w:tblGrid>
      <w:tr>
        <w:trPr>
          <w:trHeight w:val="715"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泰安华得软</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件有限公司</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增值税返还</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275,811.9</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275,811.99</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2,067,47</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2,067,476.99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6</w:t>
      </w:r>
      <w:bookmarkEnd w:id="857"/>
      <w:r>
        <w:rPr>
          <w:color w:val="000000"/>
          <w:spacing w:val="0"/>
          <w:w w:val="100"/>
          <w:position w:val="0"/>
        </w:rPr>
        <w:t>、预付款项</w:t>
      </w:r>
      <w:bookmarkEnd w:id="855"/>
      <w:bookmarkEnd w:id="856"/>
      <w:bookmarkEnd w:id="858"/>
    </w:p>
    <w:p>
      <w:pPr>
        <w:pStyle w:val="Style36"/>
        <w:keepNext/>
        <w:keepLines/>
        <w:widowControl w:val="0"/>
        <w:shd w:val="clear" w:color="auto" w:fill="auto"/>
        <w:bidi w:val="0"/>
        <w:spacing w:before="0" w:line="240" w:lineRule="auto"/>
        <w:ind w:left="0" w:right="0" w:firstLine="0"/>
        <w:jc w:val="left"/>
      </w:pPr>
      <w:bookmarkStart w:id="855" w:name="bookmark855"/>
      <w:bookmarkStart w:id="856" w:name="bookmark856"/>
      <w:bookmarkStart w:id="859" w:name="bookmark8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55"/>
      <w:bookmarkEnd w:id="856"/>
      <w:bookmarkEnd w:id="85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187"/>
        <w:gridCol w:w="1061"/>
        <w:gridCol w:w="3058"/>
        <w:gridCol w:w="10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5,723,355.68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2,858,486.74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93.93%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184,819.96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5,724,756.36</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3,043,306.70</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340" w:line="346" w:lineRule="exact"/>
        <w:ind w:left="0" w:right="0" w:firstLine="0"/>
        <w:jc w:val="left"/>
      </w:pPr>
      <w:r>
        <w:rPr>
          <w:color w:val="000000"/>
          <w:spacing w:val="0"/>
          <w:w w:val="100"/>
          <w:position w:val="0"/>
        </w:rPr>
        <w:t>预付款项账龄的说明 无。</w:t>
      </w:r>
    </w:p>
    <w:p>
      <w:pPr>
        <w:pStyle w:val="Style36"/>
        <w:keepNext/>
        <w:keepLines/>
        <w:widowControl w:val="0"/>
        <w:shd w:val="clear" w:color="auto" w:fill="auto"/>
        <w:bidi w:val="0"/>
        <w:spacing w:before="0" w:line="240" w:lineRule="auto"/>
        <w:ind w:left="0" w:right="0" w:firstLine="0"/>
        <w:jc w:val="left"/>
      </w:pPr>
      <w:bookmarkStart w:id="860" w:name="bookmark860"/>
      <w:bookmarkStart w:id="861" w:name="bookmark861"/>
      <w:bookmarkStart w:id="862" w:name="bookmark8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60"/>
      <w:bookmarkEnd w:id="861"/>
      <w:bookmarkEnd w:id="86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未结算原因</w:t>
            </w:r>
          </w:p>
        </w:tc>
      </w:tr>
      <w:tr>
        <w:trPr>
          <w:trHeight w:val="715"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武汉法利莱切割系统 工程有限责任公司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1,119,203.45</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业务尚未完成</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泰安广通汽车销售服</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务有限公司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954,864.00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业务尚未完成</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泰安扬帆职业介绍有 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458,783.83</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业务尚未完成</w:t>
            </w:r>
          </w:p>
        </w:tc>
      </w:tr>
      <w:tr>
        <w:trPr>
          <w:trHeight w:val="710"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山东欧福德机械设备 有限公司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业务尚未完成</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国海证券股份有限公 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业务尚未完成</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3,382,851.28</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340" w:line="355" w:lineRule="exact"/>
        <w:ind w:left="0" w:right="0" w:firstLine="0"/>
        <w:jc w:val="left"/>
      </w:pPr>
      <w:r>
        <w:rPr>
          <w:color w:val="000000"/>
          <w:spacing w:val="0"/>
          <w:w w:val="100"/>
          <w:position w:val="0"/>
        </w:rPr>
        <w:t>预付款项主要单位的说明 无。</w:t>
      </w:r>
    </w:p>
    <w:p>
      <w:pPr>
        <w:pStyle w:val="Style36"/>
        <w:keepNext/>
        <w:keepLines/>
        <w:widowControl w:val="0"/>
        <w:shd w:val="clear" w:color="auto" w:fill="auto"/>
        <w:bidi w:val="0"/>
        <w:spacing w:before="0" w:after="24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3</w:t>
      </w:r>
      <w:r>
        <w:rPr>
          <w:color w:val="000000"/>
          <w:spacing w:val="0"/>
          <w:w w:val="100"/>
          <w:position w:val="0"/>
        </w:rPr>
        <w:t>）预付款项的说明</w:t>
      </w:r>
      <w:bookmarkEnd w:id="863"/>
      <w:bookmarkEnd w:id="864"/>
      <w:bookmarkEnd w:id="866"/>
    </w:p>
    <w:p>
      <w:pPr>
        <w:pStyle w:val="Style30"/>
        <w:keepNext w:val="0"/>
        <w:keepLines w:val="0"/>
        <w:widowControl w:val="0"/>
        <w:shd w:val="clear" w:color="auto" w:fill="auto"/>
        <w:bidi w:val="0"/>
        <w:spacing w:before="0" w:after="340" w:line="355" w:lineRule="exact"/>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7</w:t>
      </w:r>
      <w:bookmarkEnd w:id="869"/>
      <w:r>
        <w:rPr>
          <w:color w:val="000000"/>
          <w:spacing w:val="0"/>
          <w:w w:val="100"/>
          <w:position w:val="0"/>
        </w:rPr>
        <w:t>、存货</w:t>
      </w:r>
      <w:bookmarkEnd w:id="867"/>
      <w:bookmarkEnd w:id="868"/>
      <w:bookmarkEnd w:id="870"/>
    </w:p>
    <w:p>
      <w:pPr>
        <w:pStyle w:val="Style36"/>
        <w:keepNext/>
        <w:keepLines/>
        <w:widowControl w:val="0"/>
        <w:shd w:val="clear" w:color="auto" w:fill="auto"/>
        <w:bidi w:val="0"/>
        <w:spacing w:before="0" w:line="240" w:lineRule="auto"/>
        <w:ind w:left="0" w:right="0" w:firstLine="0"/>
        <w:jc w:val="left"/>
      </w:pPr>
      <w:bookmarkStart w:id="867" w:name="bookmark867"/>
      <w:bookmarkStart w:id="868" w:name="bookmark868"/>
      <w:bookmarkStart w:id="871" w:name="bookmark8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67"/>
      <w:bookmarkEnd w:id="868"/>
      <w:bookmarkEnd w:id="87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25"/>
        <w:gridCol w:w="1330"/>
        <w:gridCol w:w="1330"/>
        <w:gridCol w:w="13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账面价值</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11,597,424.26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11,597,424.26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7,794,585.26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7,794,585.26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5,886,320.49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5,886,320.49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2,923,482.77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2,923,482.77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18,452,142.50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18,452,142.50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15,743,261.89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15,743,261.89</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96,960.18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96,960.18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51,068.78</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1,874,560.84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1,874,560.84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3,850,938.33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3,850,938.33</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37,907,408.27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37,907,408.27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30,363,337.03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30,363,337.03</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8</w:t>
      </w:r>
      <w:bookmarkEnd w:id="874"/>
      <w:r>
        <w:rPr>
          <w:color w:val="000000"/>
          <w:spacing w:val="0"/>
          <w:w w:val="100"/>
          <w:position w:val="0"/>
        </w:rPr>
        <w:t>、其他流动资产</w:t>
      </w:r>
      <w:bookmarkEnd w:id="872"/>
      <w:bookmarkEnd w:id="873"/>
      <w:bookmarkEnd w:id="87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18"/>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尚未抵扣增值税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561,219.13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49,615.47</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3,496,162.62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84,057,381.75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60,049,615.47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其他流动资产说明</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9</w:t>
      </w:r>
      <w:bookmarkEnd w:id="878"/>
      <w:r>
        <w:rPr>
          <w:color w:val="000000"/>
          <w:spacing w:val="0"/>
          <w:w w:val="100"/>
          <w:position w:val="0"/>
        </w:rPr>
        <w:t>、固定资产</w:t>
      </w:r>
      <w:bookmarkEnd w:id="876"/>
      <w:bookmarkEnd w:id="877"/>
      <w:bookmarkEnd w:id="879"/>
    </w:p>
    <w:p>
      <w:pPr>
        <w:pStyle w:val="Style36"/>
        <w:keepNext/>
        <w:keepLines/>
        <w:widowControl w:val="0"/>
        <w:shd w:val="clear" w:color="auto" w:fill="auto"/>
        <w:bidi w:val="0"/>
        <w:spacing w:before="0" w:line="240" w:lineRule="auto"/>
        <w:ind w:left="0" w:right="0" w:firstLine="0"/>
        <w:jc w:val="left"/>
      </w:pPr>
      <w:bookmarkStart w:id="876" w:name="bookmark876"/>
      <w:bookmarkStart w:id="877" w:name="bookmark877"/>
      <w:bookmarkStart w:id="880" w:name="bookmark8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76"/>
      <w:bookmarkEnd w:id="877"/>
      <w:bookmarkEnd w:id="8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59"/>
        <w:gridCol w:w="1330"/>
        <w:gridCol w:w="1594"/>
        <w:gridCol w:w="1594"/>
        <w:gridCol w:w="14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期末账面余额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131,562,115.40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21,031,734.38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3,702,145.41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148,891,704.37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72,139,703.37</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16,316,524.97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3,086,697.59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85,369,530.75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23,203,900.84</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488,348.68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39,230.00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23,653,019.52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22,630,672.05</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2,751,320.03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575,705.00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24,806,287.08</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13,587,839.14</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1,475,540.70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15,062,867.02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本期新增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本期期末余额</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24,716,106.34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11,300,320.05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682,874.96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35,333,551.43</w:t>
            </w:r>
          </w:p>
        </w:tc>
      </w:tr>
    </w:tbl>
    <w:p>
      <w:pPr>
        <w:spacing w:lineRule="exact" w:line="1"/>
        <w:rPr>
          <w:sz w:val="2"/>
          <w:szCs w:val="2"/>
        </w:rPr>
      </w:pPr>
      <w:r>
        <w:br w:type="page"/>
      </w:r>
    </w:p>
    <w:tbl>
      <w:tblPr>
        <w:tblOverlap w:val="never"/>
        <w:jc w:val="center"/>
        <w:tblLayout w:type="fixed"/>
      </w:tblPr>
      <w:tblGrid>
        <w:gridCol w:w="2131"/>
        <w:gridCol w:w="1459"/>
        <w:gridCol w:w="1330"/>
        <w:gridCol w:w="1594"/>
        <w:gridCol w:w="1594"/>
        <w:gridCol w:w="1474"/>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5,489,906.65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2,555,230.77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307,548.35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7,737,589.07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4,648,208.09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2,261,412.96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36,244.62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6,873,376.43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10,014,098.75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4,007,074.23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338,725.48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13,682,447.50</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电子设备及其他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4,563,892.85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2,476,602.09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7,040,138.43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本期期末余额</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三、固定资产账面净值合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106,846,009.06</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113,558,152.94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66,649,796.72</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77,631,941.68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18,555,692.75</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16,779,643.09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12,616,573.30</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11,123,839.58</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9,023,946.29</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8,022,728.59</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电子设备及其他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五、固定资产账面价值合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106,846,009.06</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113,558,152.94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66,649,796.72</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77,631,941.68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18,555,692.75</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16,779,643.09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12,616,573.30</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11,123,839.58</w:t>
            </w:r>
          </w:p>
        </w:tc>
      </w:tr>
      <w:tr>
        <w:trPr>
          <w:trHeight w:val="408"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电子设备及其他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9,023,946.29</w:t>
            </w:r>
          </w:p>
        </w:tc>
        <w:tc>
          <w:tcPr>
            <w:gridSpan w:val="3"/>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8,022,728.59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11,300,320.05</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14,240,590.38</w:t>
      </w:r>
      <w:r>
        <w:rPr>
          <w:color w:val="000000"/>
          <w:spacing w:val="0"/>
          <w:w w:val="100"/>
          <w:position w:val="0"/>
        </w:rPr>
        <w:t>元。</w:t>
      </w:r>
    </w:p>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881"/>
      <w:bookmarkEnd w:id="882"/>
      <w:bookmarkEnd w:id="883"/>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预计办结产权证书时间</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机加工车间</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正在办理</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年上半年</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仪表车间</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正在办理</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年上半年</w:t>
            </w:r>
          </w:p>
        </w:tc>
      </w:tr>
      <w:tr>
        <w:trPr>
          <w:trHeight w:val="408"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正在办理</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年上半年</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固定资产说明</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884"/>
      <w:bookmarkEnd w:id="885"/>
      <w:bookmarkEnd w:id="887"/>
    </w:p>
    <w:p>
      <w:pPr>
        <w:pStyle w:val="Style36"/>
        <w:keepNext/>
        <w:keepLines/>
        <w:widowControl w:val="0"/>
        <w:shd w:val="clear" w:color="auto" w:fill="auto"/>
        <w:bidi w:val="0"/>
        <w:spacing w:before="0" w:line="240" w:lineRule="auto"/>
        <w:ind w:left="0" w:right="0" w:firstLine="0"/>
        <w:jc w:val="left"/>
      </w:pPr>
      <w:bookmarkStart w:id="884" w:name="bookmark884"/>
      <w:bookmarkStart w:id="885" w:name="bookmark885"/>
      <w:bookmarkStart w:id="888" w:name="bookmark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884"/>
      <w:bookmarkEnd w:id="885"/>
      <w:bookmarkEnd w:id="88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200"/>
        <w:gridCol w:w="1195"/>
        <w:gridCol w:w="1190"/>
        <w:gridCol w:w="1195"/>
        <w:gridCol w:w="1195"/>
        <w:gridCol w:w="13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8"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募投扩建项目及超募项目</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35,987,454.8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35,987,454.8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22,485,561.7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22,485,561.76</w:t>
            </w:r>
          </w:p>
        </w:tc>
      </w:tr>
    </w:tbl>
    <w:p>
      <w:pPr>
        <w:sectPr>
          <w:footnotePr>
            <w:pos w:val="pageBottom"/>
            <w:numFmt w:val="decimal"/>
            <w:numRestart w:val="continuous"/>
          </w:footnotePr>
          <w:pgSz w:w="11900" w:h="16840"/>
          <w:pgMar w:top="1273" w:right="1037" w:bottom="1441" w:left="1077" w:header="0" w:footer="3" w:gutter="0"/>
          <w:cols w:space="720"/>
          <w:noEndnote/>
          <w:rtlGutter w:val="0"/>
          <w:docGrid w:linePitch="360"/>
        </w:sectPr>
      </w:pPr>
    </w:p>
    <w:p>
      <w:pPr>
        <w:widowControl w:val="0"/>
        <w:spacing w:after="339" w:line="1" w:lineRule="exact"/>
      </w:pPr>
    </w:p>
    <w:tbl>
      <w:tblPr>
        <w:tblOverlap w:val="never"/>
        <w:jc w:val="center"/>
        <w:tblLayout w:type="fixed"/>
      </w:tblPr>
      <w:tblGrid>
        <w:gridCol w:w="2266"/>
        <w:gridCol w:w="1200"/>
        <w:gridCol w:w="1195"/>
        <w:gridCol w:w="1190"/>
        <w:gridCol w:w="1195"/>
        <w:gridCol w:w="1195"/>
        <w:gridCol w:w="1339"/>
      </w:tblGrid>
      <w:tr>
        <w:trPr>
          <w:trHeight w:val="36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农场设施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39,342,454.8</w:t>
            </w:r>
          </w:p>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39,342,454.8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22,485,561.7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22,485,561.76</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889"/>
      <w:bookmarkEnd w:id="890"/>
      <w:bookmarkEnd w:id="89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4"/>
        <w:gridCol w:w="734"/>
        <w:gridCol w:w="734"/>
        <w:gridCol w:w="739"/>
        <w:gridCol w:w="734"/>
        <w:gridCol w:w="734"/>
        <w:gridCol w:w="739"/>
        <w:gridCol w:w="734"/>
        <w:gridCol w:w="734"/>
        <w:gridCol w:w="749"/>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项目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预算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60"/>
              <w:jc w:val="left"/>
              <w:rPr>
                <w:sz w:val="18"/>
                <w:szCs w:val="18"/>
              </w:rPr>
            </w:pPr>
            <w:r>
              <w:rPr>
                <w:color w:val="000000"/>
                <w:spacing w:val="0"/>
                <w:w w:val="100"/>
                <w:position w:val="0"/>
                <w:sz w:val="18"/>
                <w:szCs w:val="18"/>
              </w:rPr>
              <w:t>转入 固定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40"/>
              <w:jc w:val="left"/>
              <w:rPr>
                <w:sz w:val="18"/>
                <w:szCs w:val="18"/>
              </w:rPr>
            </w:pPr>
            <w:r>
              <w:rPr>
                <w:color w:val="000000"/>
                <w:spacing w:val="0"/>
                <w:w w:val="100"/>
                <w:position w:val="0"/>
                <w:sz w:val="18"/>
                <w:szCs w:val="18"/>
              </w:rPr>
              <w:t>工程</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投入 占预 算比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180" w:right="0" w:firstLine="0"/>
              <w:jc w:val="left"/>
              <w:rPr>
                <w:sz w:val="18"/>
                <w:szCs w:val="18"/>
              </w:rPr>
            </w:pPr>
            <w:r>
              <w:rPr>
                <w:color w:val="000000"/>
                <w:spacing w:val="0"/>
                <w:w w:val="100"/>
                <w:position w:val="0"/>
                <w:sz w:val="18"/>
                <w:szCs w:val="18"/>
              </w:rPr>
              <w:t>工程 进度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利息 资本 化累 计金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其中：</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 利息 资本</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化金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 xml:space="preserve">本期 利息 资本 化率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资金 来源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 数</w:t>
            </w:r>
          </w:p>
        </w:tc>
      </w:tr>
      <w:tr>
        <w:trPr>
          <w:trHeight w:val="758" w:hRule="exact"/>
        </w:trPr>
        <w:tc>
          <w:tcPr>
            <w:vMerge w:val="restart"/>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募投 扩建 项目</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362,38</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22,485</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w:t>
            </w: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35,987</w:t>
            </w:r>
          </w:p>
        </w:tc>
      </w:tr>
      <w:tr>
        <w:trPr>
          <w:trHeight w:val="154" w:hRule="exact"/>
        </w:trPr>
        <w:tc>
          <w:tcPr>
            <w:vMerge/>
            <w:tcBorders>
              <w:left w:val="single" w:sz="4"/>
            </w:tcBorders>
            <w:shd w:val="clear" w:color="auto" w:fill="CCE8C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70.25</w:t>
            </w: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bottom"/>
          </w:tcPr>
          <w:p>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及超</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CCE8C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资金</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,454.8</w:t>
            </w:r>
          </w:p>
        </w:tc>
      </w:tr>
      <w:tr>
        <w:trPr>
          <w:trHeight w:val="158" w:hRule="exact"/>
        </w:trPr>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top"/>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40" w:hRule="exact"/>
        </w:trPr>
        <w:tc>
          <w:tcPr>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自由</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3,355,</w:t>
            </w:r>
          </w:p>
        </w:tc>
      </w:tr>
      <w:tr>
        <w:trPr>
          <w:trHeight w:val="350" w:hRule="exact"/>
        </w:trPr>
        <w:tc>
          <w:tcPr>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39,342</w:t>
            </w:r>
          </w:p>
        </w:tc>
      </w:tr>
      <w:tr>
        <w:trPr>
          <w:trHeight w:val="307"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,454.8</w:t>
            </w:r>
          </w:p>
        </w:tc>
      </w:tr>
      <w:tr>
        <w:trPr>
          <w:trHeight w:val="35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在建工程项目变动情况的说明</w:t>
      </w:r>
    </w:p>
    <w:p>
      <w:pPr>
        <w:pStyle w:val="Style36"/>
        <w:keepNext/>
        <w:keepLines/>
        <w:widowControl w:val="0"/>
        <w:numPr>
          <w:ilvl w:val="0"/>
          <w:numId w:val="49"/>
        </w:numPr>
        <w:shd w:val="clear" w:color="auto" w:fill="auto"/>
        <w:bidi w:val="0"/>
        <w:spacing w:before="0" w:after="320" w:line="240" w:lineRule="auto"/>
        <w:ind w:left="0" w:right="0" w:firstLine="0"/>
        <w:jc w:val="left"/>
      </w:pPr>
      <w:bookmarkStart w:id="892" w:name="bookmark892"/>
      <w:bookmarkStart w:id="893" w:name="bookmark893"/>
      <w:bookmarkStart w:id="894" w:name="bookmark894"/>
      <w:bookmarkStart w:id="895" w:name="bookmark895"/>
      <w:bookmarkEnd w:id="894"/>
      <w:r>
        <w:rPr>
          <w:color w:val="000000"/>
          <w:spacing w:val="0"/>
          <w:w w:val="100"/>
          <w:position w:val="0"/>
        </w:rPr>
        <w:t>重大在建工程的工程进度情况</w:t>
      </w:r>
      <w:bookmarkEnd w:id="892"/>
      <w:bookmarkEnd w:id="893"/>
      <w:bookmarkEnd w:id="895"/>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工程进度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仪表加工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号车间加层</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已完成工程量的</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仪表加工车间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号车间</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已完成工程量的</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国家工程技术研究中心</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已完成工程量的</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49"/>
        </w:numPr>
        <w:shd w:val="clear" w:color="auto" w:fill="auto"/>
        <w:bidi w:val="0"/>
        <w:spacing w:before="0" w:after="360" w:line="240" w:lineRule="auto"/>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在建工程的说明</w:t>
      </w:r>
      <w:bookmarkEnd w:id="896"/>
      <w:bookmarkEnd w:id="897"/>
      <w:bookmarkEnd w:id="89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900"/>
      <w:bookmarkEnd w:id="901"/>
      <w:bookmarkEnd w:id="903"/>
      <w:r>
        <w:br w:type="page"/>
      </w:r>
    </w:p>
    <w:tbl>
      <w:tblPr>
        <w:tblOverlap w:val="never"/>
        <w:jc w:val="center"/>
        <w:tblLayout w:type="fixed"/>
      </w:tblPr>
      <w:tblGrid>
        <w:gridCol w:w="3062"/>
        <w:gridCol w:w="1594"/>
        <w:gridCol w:w="1459"/>
        <w:gridCol w:w="1594"/>
        <w:gridCol w:w="187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5,259,887.32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9,019,705.52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14,279,592.84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5,259,887.32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9,019,705.52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14,279,592.84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工程物资的说明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904"/>
      <w:bookmarkEnd w:id="905"/>
      <w:bookmarkEnd w:id="907"/>
    </w:p>
    <w:p>
      <w:pPr>
        <w:pStyle w:val="Style36"/>
        <w:keepNext/>
        <w:keepLines/>
        <w:widowControl w:val="0"/>
        <w:shd w:val="clear" w:color="auto" w:fill="auto"/>
        <w:bidi w:val="0"/>
        <w:spacing w:before="0" w:after="360" w:line="240" w:lineRule="auto"/>
        <w:ind w:left="0" w:right="0" w:firstLine="0"/>
        <w:jc w:val="left"/>
      </w:pPr>
      <w:bookmarkStart w:id="904" w:name="bookmark904"/>
      <w:bookmarkStart w:id="905" w:name="bookmark905"/>
      <w:bookmarkStart w:id="908" w:name="bookmark9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04"/>
      <w:bookmarkEnd w:id="905"/>
      <w:bookmarkEnd w:id="90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期末账面余额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55,197,245.59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55,197,245.59</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41,128,708.20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41,128,708.20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526,273.49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526,273.49</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13,542,263.90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13,542,263.90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2,831,339.16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2,282,864.88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5,114,204.04</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2,410,788.89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823,383.72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3,234,172.61</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194,845.87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105,254.76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300,100.63</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225,704.40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1,354,226.40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1,579,930.80</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三、无形资产账面净值合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52,365,906.43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-2,282,864.88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50,083,041.55</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38,717,919.31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-823,383.72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37,894,535.59</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331,427.62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-105,254.76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226,172.86</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13,316,559.50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-1,354,226.40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11,962,333.10</w:t>
            </w:r>
          </w:p>
        </w:tc>
      </w:tr>
      <w:tr>
        <w:trPr>
          <w:trHeight w:val="398"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无形资产账面价值合计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52,365,906.43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-2,282,864.88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50,083,041.55</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38,717,919.31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-823,383.72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37,894,535.59</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331,427.62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-105,254.76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226,172.86</w:t>
            </w:r>
          </w:p>
        </w:tc>
      </w:tr>
      <w:tr>
        <w:trPr>
          <w:trHeight w:val="413"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专利权</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13,316,559.50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-1,354,226.40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11,962,333.10</w:t>
            </w:r>
          </w:p>
        </w:tc>
      </w:tr>
    </w:tbl>
    <w:p>
      <w:pPr>
        <w:widowControl w:val="0"/>
        <w:spacing w:after="59" w:line="1" w:lineRule="exact"/>
      </w:pPr>
    </w:p>
    <w:p>
      <w:pPr>
        <w:pStyle w:val="Style21"/>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8"/>
          <w:szCs w:val="18"/>
        </w:rPr>
        <w:t>本期摊销额</w:t>
      </w:r>
      <w:r>
        <w:rPr>
          <w:rFonts w:ascii="Times New Roman" w:eastAsia="Times New Roman" w:hAnsi="Times New Roman" w:cs="Times New Roman"/>
          <w:color w:val="000000"/>
          <w:spacing w:val="0"/>
          <w:w w:val="100"/>
          <w:position w:val="0"/>
          <w:sz w:val="18"/>
          <w:szCs w:val="18"/>
        </w:rPr>
        <w:t>2,282,864.88</w:t>
      </w:r>
      <w:r>
        <w:rPr>
          <w:color w:val="000000"/>
          <w:spacing w:val="0"/>
          <w:w w:val="100"/>
          <w:position w:val="0"/>
          <w:sz w:val="18"/>
          <w:szCs w:val="18"/>
        </w:rPr>
        <w:t>元。</w:t>
      </w:r>
    </w:p>
    <w:p>
      <w:pPr>
        <w:pStyle w:val="Style36"/>
        <w:keepNext/>
        <w:keepLines/>
        <w:widowControl w:val="0"/>
        <w:shd w:val="clear" w:color="auto" w:fill="auto"/>
        <w:bidi w:val="0"/>
        <w:spacing w:before="0" w:after="36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371" w:right="1107" w:bottom="1592" w:left="1106" w:header="0" w:footer="3" w:gutter="0"/>
          <w:cols w:space="720"/>
          <w:noEndnote/>
          <w:rtlGutter w:val="0"/>
          <w:docGrid w:linePitch="360"/>
        </w:sectPr>
      </w:pPr>
      <w:bookmarkStart w:id="909" w:name="bookmark909"/>
      <w:bookmarkStart w:id="910" w:name="bookmark910"/>
      <w:bookmarkStart w:id="911" w:name="bookmark9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909"/>
      <w:bookmarkEnd w:id="910"/>
      <w:bookmarkEnd w:id="911"/>
    </w:p>
    <w:tbl>
      <w:tblPr>
        <w:tblOverlap w:val="never"/>
        <w:jc w:val="center"/>
        <w:tblLayout w:type="fixed"/>
      </w:tblPr>
      <w:tblGrid>
        <w:gridCol w:w="1598"/>
        <w:gridCol w:w="1598"/>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期初数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计入当期损益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确认为无形资产</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乳化液全自动配 夜装置及乳化液 高压自动反冲洗 过滤站装置研发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3,029,135.71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1,223,402.57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4,252,538.28</w:t>
            </w:r>
          </w:p>
        </w:tc>
      </w:tr>
      <w:tr>
        <w:trPr>
          <w:trHeight w:val="1022"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机载型掘进钻锚 综合一体化作业 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2,968,022.24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2,968,022.24</w:t>
            </w:r>
          </w:p>
        </w:tc>
      </w:tr>
      <w:tr>
        <w:trPr>
          <w:trHeight w:val="1027"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煤矿地质构造钻 孔数码成像探测 仪分析系统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2,351,603.03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4,520,883.06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6,872,486.09</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100" w:after="100" w:line="240" w:lineRule="auto"/>
              <w:ind w:left="0" w:right="0" w:firstLine="0"/>
              <w:jc w:val="left"/>
              <w:rPr>
                <w:sz w:val="18"/>
                <w:szCs w:val="18"/>
              </w:rPr>
            </w:pPr>
            <w:r>
              <w:rPr>
                <w:color w:val="000000"/>
                <w:spacing w:val="0"/>
                <w:w w:val="100"/>
                <w:position w:val="0"/>
                <w:sz w:val="18"/>
                <w:szCs w:val="18"/>
              </w:rPr>
              <w:t>煤矿井下安全运</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输系统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4,762,923.53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4,762,923.53</w:t>
            </w:r>
          </w:p>
        </w:tc>
      </w:tr>
      <w:tr>
        <w:trPr>
          <w:trHeight w:val="1027"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煤矿破碎煤岩体、 断层、破碎带加固 材料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加固</w:t>
            </w: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8"/>
                <w:szCs w:val="18"/>
              </w:rPr>
              <w:t>号</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1,860,807.83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1,860,807.83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煤矿</w:t>
            </w:r>
            <w:r>
              <w:rPr>
                <w:rFonts w:ascii="Times New Roman" w:eastAsia="Times New Roman" w:hAnsi="Times New Roman" w:cs="Times New Roman"/>
                <w:color w:val="000000"/>
                <w:spacing w:val="0"/>
                <w:w w:val="100"/>
                <w:position w:val="0"/>
                <w:sz w:val="18"/>
                <w:szCs w:val="18"/>
              </w:rPr>
              <w:t>3G</w:t>
            </w:r>
            <w:r>
              <w:rPr>
                <w:color w:val="000000"/>
                <w:spacing w:val="0"/>
                <w:w w:val="100"/>
                <w:position w:val="0"/>
                <w:sz w:val="18"/>
                <w:szCs w:val="18"/>
              </w:rPr>
              <w:t>无线网络 多媒体移动通讯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784,523.58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784,523.58</w:t>
            </w:r>
          </w:p>
        </w:tc>
      </w:tr>
      <w:tr>
        <w:trPr>
          <w:trHeight w:val="715"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煤矿智能集成供</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液系统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273,802.62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273,802.62</w:t>
            </w:r>
          </w:p>
        </w:tc>
      </w:tr>
      <w:tr>
        <w:trPr>
          <w:trHeight w:val="1027"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矿井粉尘监测、降 尘控制与环境评 价系统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170,756.73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170,756.73</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矿用地质雷达探</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41,369.96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61,934.96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8,390,130.94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13,637,004.92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1,942,082.79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20,085,053.07</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63.1%</w:t>
      </w:r>
      <w:r>
        <w:rPr>
          <w:color w:val="000000"/>
          <w:spacing w:val="0"/>
          <w:w w:val="100"/>
          <w:position w:val="0"/>
        </w:rPr>
        <w:t>。</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23.89%</w:t>
      </w:r>
      <w:r>
        <w:rPr>
          <w:color w:val="000000"/>
          <w:spacing w:val="0"/>
          <w:w w:val="100"/>
          <w:position w:val="0"/>
        </w:rPr>
        <w:t>。</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 无。</w:t>
      </w:r>
    </w:p>
    <w:p>
      <w:pPr>
        <w:pStyle w:val="Style36"/>
        <w:keepNext/>
        <w:keepLines/>
        <w:widowControl w:val="0"/>
        <w:shd w:val="clear" w:color="auto" w:fill="auto"/>
        <w:bidi w:val="0"/>
        <w:spacing w:before="0" w:after="24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912"/>
      <w:bookmarkEnd w:id="913"/>
      <w:bookmarkEnd w:id="915"/>
    </w:p>
    <w:p>
      <w:pPr>
        <w:pStyle w:val="Style30"/>
        <w:keepNext w:val="0"/>
        <w:keepLines w:val="0"/>
        <w:widowControl w:val="0"/>
        <w:shd w:val="clear" w:color="auto" w:fill="auto"/>
        <w:bidi w:val="0"/>
        <w:spacing w:before="0" w:after="80" w:line="341" w:lineRule="exact"/>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其他减少的原 因</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3"/>
      </w:tblGrid>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524,575.66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8,348.68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516,226.98</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243,832.67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243,832.67</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524,575.66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243,832.67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8,348.68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760,059.65</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长期待摊费用的说明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4</w:t>
      </w:r>
      <w:r>
        <w:rPr>
          <w:color w:val="000000"/>
          <w:spacing w:val="0"/>
          <w:w w:val="100"/>
          <w:position w:val="0"/>
        </w:rPr>
        <w:t>、递延所得税资产和递延所得税负债</w:t>
      </w:r>
      <w:bookmarkEnd w:id="916"/>
      <w:bookmarkEnd w:id="917"/>
      <w:bookmarkEnd w:id="919"/>
    </w:p>
    <w:p>
      <w:pPr>
        <w:pStyle w:val="Style36"/>
        <w:keepNext/>
        <w:keepLines/>
        <w:widowControl w:val="0"/>
        <w:shd w:val="clear" w:color="auto" w:fill="auto"/>
        <w:bidi w:val="0"/>
        <w:spacing w:before="0" w:after="360" w:line="240" w:lineRule="auto"/>
        <w:ind w:left="0" w:right="0" w:firstLine="0"/>
        <w:jc w:val="left"/>
      </w:pPr>
      <w:bookmarkStart w:id="916" w:name="bookmark916"/>
      <w:bookmarkStart w:id="917" w:name="bookmark917"/>
      <w:bookmarkStart w:id="920" w:name="bookmark9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916"/>
      <w:bookmarkEnd w:id="917"/>
      <w:bookmarkEnd w:id="920"/>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2,289,168.54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1,411,599.24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2,289,168.54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1,411,599.24</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67,711.32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67,711.32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33,545.08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368,857.68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47,580.37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33,545.08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416,438.05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56"/>
        <w:gridCol w:w="1992"/>
        <w:gridCol w:w="3331"/>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应纳税差异和可抵扣差异项目明细</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572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2851" w:val="left"/>
              </w:tabs>
              <w:bidi w:val="0"/>
              <w:spacing w:before="0" w:after="0" w:line="240" w:lineRule="auto"/>
              <w:ind w:left="0" w:right="0" w:firstLine="0"/>
              <w:jc w:val="center"/>
              <w:rPr>
                <w:sz w:val="18"/>
                <w:szCs w:val="18"/>
              </w:rPr>
            </w:pPr>
            <w:r>
              <w:rPr>
                <w:color w:val="000000"/>
                <w:spacing w:val="0"/>
                <w:w w:val="100"/>
                <w:position w:val="0"/>
                <w:sz w:val="18"/>
                <w:szCs w:val="18"/>
              </w:rPr>
              <w:t>期末</w:t>
              <w:tab/>
              <w:t>期初</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应纳税差异项目</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可抵扣差异项目</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both"/>
      </w:pPr>
      <w:bookmarkStart w:id="921" w:name="bookmark921"/>
      <w:bookmarkStart w:id="922" w:name="bookmark922"/>
      <w:bookmarkStart w:id="923" w:name="bookmark9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921"/>
      <w:bookmarkEnd w:id="922"/>
      <w:bookmarkEnd w:id="923"/>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互抵后的递延所得税资产及负债的组成项目</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报告期末互抵后 的递延所得税资 产或负债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报告期末互抵后 的可抵扣或应纳 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报告期初互抵后 的递延所得税资 产或负债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报告期初互抵后 的可抵扣或应纳 税暂时性差异</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2,289,168.54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15,261,123.59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1,411,599.24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9,410,661.57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67,711.32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451,408.80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572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本期互抵金额</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递延所得税资产和递延所得税负债的说明</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5</w:t>
      </w:r>
      <w:r>
        <w:rPr>
          <w:color w:val="000000"/>
          <w:spacing w:val="0"/>
          <w:w w:val="100"/>
          <w:position w:val="0"/>
        </w:rPr>
        <w:t>、资产减值准备明细</w:t>
      </w:r>
      <w:bookmarkEnd w:id="924"/>
      <w:bookmarkEnd w:id="925"/>
      <w:bookmarkEnd w:id="9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531"/>
        <w:gridCol w:w="1526"/>
        <w:gridCol w:w="1397"/>
        <w:gridCol w:w="1402"/>
        <w:gridCol w:w="145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9,429,519.25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5,865,149.42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15,294,668.67</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9,429,519.25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5,865,149.42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15,294,668.67</w:t>
            </w:r>
          </w:p>
        </w:tc>
      </w:tr>
    </w:tbl>
    <w:p>
      <w:pPr>
        <w:pStyle w:val="Style30"/>
        <w:keepNext w:val="0"/>
        <w:keepLines w:val="0"/>
        <w:widowControl w:val="0"/>
        <w:shd w:val="clear" w:color="auto" w:fill="auto"/>
        <w:bidi w:val="0"/>
        <w:spacing w:before="0" w:after="360" w:line="346" w:lineRule="exact"/>
        <w:ind w:left="0" w:right="0" w:firstLine="0"/>
        <w:jc w:val="both"/>
      </w:pPr>
      <w:r>
        <w:rPr>
          <w:color w:val="000000"/>
          <w:spacing w:val="0"/>
          <w:w w:val="100"/>
          <w:position w:val="0"/>
        </w:rPr>
        <w:t>资产减值明细情况的说明 无。</w:t>
      </w:r>
    </w:p>
    <w:p>
      <w:pPr>
        <w:pStyle w:val="Style36"/>
        <w:keepNext/>
        <w:keepLines/>
        <w:widowControl w:val="0"/>
        <w:shd w:val="clear" w:color="auto" w:fill="auto"/>
        <w:bidi w:val="0"/>
        <w:spacing w:before="0" w:after="360" w:line="240" w:lineRule="auto"/>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1</w:t>
      </w:r>
      <w:bookmarkEnd w:id="930"/>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928"/>
      <w:bookmarkEnd w:id="929"/>
      <w:bookmarkEnd w:id="93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0"/>
        <w:gridCol w:w="2923"/>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6,175,385.61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18,184,789.27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6,175,385.61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18,184,789.27</w:t>
            </w:r>
          </w:p>
        </w:tc>
      </w:tr>
    </w:tbl>
    <w:p>
      <w:pPr>
        <w:pStyle w:val="Style30"/>
        <w:keepNext w:val="0"/>
        <w:keepLines w:val="0"/>
        <w:widowControl w:val="0"/>
        <w:shd w:val="clear" w:color="auto" w:fill="auto"/>
        <w:bidi w:val="0"/>
        <w:spacing w:before="0" w:after="0" w:line="365" w:lineRule="exact"/>
        <w:ind w:left="0" w:right="0" w:firstLine="0"/>
        <w:jc w:val="both"/>
      </w:pPr>
      <w:r>
        <w:rPr>
          <w:color w:val="000000"/>
          <w:spacing w:val="0"/>
          <w:w w:val="100"/>
          <w:position w:val="0"/>
          <w:shd w:val="clear" w:color="auto" w:fill="FFFFFF"/>
        </w:rPr>
        <w:t>其他非流动资产的说明</w:t>
      </w:r>
    </w:p>
    <w:p>
      <w:pPr>
        <w:pStyle w:val="Style27"/>
        <w:keepNext w:val="0"/>
        <w:keepLines w:val="0"/>
        <w:widowControl w:val="0"/>
        <w:shd w:val="clear" w:color="auto" w:fill="auto"/>
        <w:bidi w:val="0"/>
        <w:spacing w:before="0" w:after="360" w:line="365" w:lineRule="exact"/>
        <w:ind w:left="0" w:right="0" w:firstLine="0"/>
        <w:jc w:val="both"/>
      </w:pPr>
      <w:r>
        <w:rPr>
          <w:color w:val="000000"/>
          <w:spacing w:val="0"/>
          <w:w w:val="100"/>
          <w:position w:val="0"/>
        </w:rPr>
        <w:t>预付工程设备款。</w:t>
      </w:r>
    </w:p>
    <w:p>
      <w:pPr>
        <w:pStyle w:val="Style36"/>
        <w:keepNext/>
        <w:keepLines/>
        <w:widowControl w:val="0"/>
        <w:shd w:val="clear" w:color="auto" w:fill="auto"/>
        <w:bidi w:val="0"/>
        <w:spacing w:before="0" w:after="36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bookmarkEnd w:id="934"/>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932"/>
      <w:bookmarkEnd w:id="933"/>
      <w:bookmarkEnd w:id="93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0"/>
        <w:gridCol w:w="2923"/>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13,401,769.31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22,767,184.33</w:t>
            </w:r>
          </w:p>
        </w:tc>
      </w:tr>
    </w:tbl>
    <w:p>
      <w:pPr>
        <w:spacing w:lineRule="exact" w:line="1"/>
        <w:rPr>
          <w:sz w:val="2"/>
          <w:szCs w:val="2"/>
        </w:rPr>
      </w:pPr>
      <w:r>
        <w:br w:type="page"/>
      </w:r>
    </w:p>
    <w:tbl>
      <w:tblPr>
        <w:tblOverlap w:val="never"/>
        <w:jc w:val="center"/>
        <w:tblLayout w:type="fixed"/>
      </w:tblPr>
      <w:tblGrid>
        <w:gridCol w:w="3590"/>
        <w:gridCol w:w="2923"/>
        <w:gridCol w:w="3067"/>
      </w:tblGrid>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13,401,769.31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22,767,184.33</w:t>
            </w:r>
          </w:p>
        </w:tc>
      </w:tr>
    </w:tbl>
    <w:p>
      <w:pPr>
        <w:pStyle w:val="Style30"/>
        <w:keepNext w:val="0"/>
        <w:keepLines w:val="0"/>
        <w:widowControl w:val="0"/>
        <w:shd w:val="clear" w:color="auto" w:fill="auto"/>
        <w:bidi w:val="0"/>
        <w:spacing w:before="0" w:after="0" w:line="365"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13,401,769.31</w:t>
      </w:r>
      <w:r>
        <w:rPr>
          <w:color w:val="000000"/>
          <w:spacing w:val="0"/>
          <w:w w:val="100"/>
          <w:position w:val="0"/>
        </w:rPr>
        <w:t>元。 应付票据的说明</w:t>
      </w:r>
    </w:p>
    <w:p>
      <w:pPr>
        <w:pStyle w:val="Style30"/>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bookmarkEnd w:id="938"/>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936"/>
      <w:bookmarkEnd w:id="937"/>
      <w:bookmarkEnd w:id="939"/>
    </w:p>
    <w:p>
      <w:pPr>
        <w:pStyle w:val="Style36"/>
        <w:keepNext/>
        <w:keepLines/>
        <w:widowControl w:val="0"/>
        <w:shd w:val="clear" w:color="auto" w:fill="auto"/>
        <w:bidi w:val="0"/>
        <w:spacing w:before="0" w:after="360" w:line="240" w:lineRule="auto"/>
        <w:ind w:left="0" w:right="0" w:firstLine="0"/>
        <w:jc w:val="left"/>
      </w:pPr>
      <w:bookmarkStart w:id="936" w:name="bookmark936"/>
      <w:bookmarkStart w:id="937" w:name="bookmark937"/>
      <w:bookmarkStart w:id="940" w:name="bookmark9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936"/>
      <w:bookmarkEnd w:id="937"/>
      <w:bookmarkEnd w:id="94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0"/>
        <w:gridCol w:w="2923"/>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12,982,399.04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14,060,266.43</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955,016.06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893,558.94</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747,353.12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157,542.43</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200,655.14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44,258.00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14,885,423.36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15,155,625.80</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941"/>
      <w:bookmarkEnd w:id="942"/>
      <w:bookmarkEnd w:id="94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1</w:t>
      </w:r>
      <w:bookmarkEnd w:id="946"/>
      <w:r>
        <w:rPr>
          <w:rFonts w:ascii="Times New Roman" w:eastAsia="Times New Roman" w:hAnsi="Times New Roman" w:cs="Times New Roman"/>
          <w:color w:val="000000"/>
          <w:spacing w:val="0"/>
          <w:w w:val="100"/>
          <w:position w:val="0"/>
        </w:rPr>
        <w:t>9</w:t>
      </w:r>
      <w:r>
        <w:rPr>
          <w:color w:val="000000"/>
          <w:spacing w:val="0"/>
          <w:w w:val="100"/>
          <w:position w:val="0"/>
        </w:rPr>
        <w:t>、预收账款</w:t>
      </w:r>
      <w:bookmarkEnd w:id="944"/>
      <w:bookmarkEnd w:id="945"/>
      <w:bookmarkEnd w:id="947"/>
    </w:p>
    <w:p>
      <w:pPr>
        <w:pStyle w:val="Style36"/>
        <w:keepNext/>
        <w:keepLines/>
        <w:widowControl w:val="0"/>
        <w:shd w:val="clear" w:color="auto" w:fill="auto"/>
        <w:bidi w:val="0"/>
        <w:spacing w:before="0" w:after="360" w:line="240" w:lineRule="auto"/>
        <w:ind w:left="0" w:right="0" w:firstLine="0"/>
        <w:jc w:val="left"/>
      </w:pPr>
      <w:bookmarkStart w:id="944" w:name="bookmark944"/>
      <w:bookmarkStart w:id="945" w:name="bookmark945"/>
      <w:bookmarkStart w:id="948" w:name="bookmark9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944"/>
      <w:bookmarkEnd w:id="945"/>
      <w:bookmarkEnd w:id="94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882,645.00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1,280,782.00</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254,220.00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27,450.00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5,972.00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50,491.00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1,190,128.00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1,364,695.00</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949" w:name="bookmark949"/>
      <w:bookmarkStart w:id="950" w:name="bookmark950"/>
      <w:bookmarkStart w:id="951" w:name="bookmark9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)账龄超过一年的大额预收账款情况的说明</w:t>
      </w:r>
      <w:bookmarkEnd w:id="949"/>
      <w:bookmarkEnd w:id="950"/>
      <w:bookmarkEnd w:id="95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36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952"/>
      <w:bookmarkEnd w:id="953"/>
      <w:bookmarkEnd w:id="95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期末账面余额</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一、工资、奖金、 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2,514,525.83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22,087,441.70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22,410,783.57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2,191,183.96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2,313,423.67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2,313,423.67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2,761,680.70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2,695,783.04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68,117.66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463,862.00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434,408.00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30,294.00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2,517,585.83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27,629,888.07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27,857,878.28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2,289,595.62</w:t>
            </w:r>
          </w:p>
        </w:tc>
      </w:tr>
    </w:tbl>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3,480.00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2,297,923.67</w:t>
      </w:r>
      <w:r>
        <w:rPr>
          <w:color w:val="000000"/>
          <w:spacing w:val="0"/>
          <w:w w:val="100"/>
          <w:position w:val="0"/>
        </w:rPr>
        <w:t>元，因解除劳动关系给予补偿元。 应付职工薪酬预计发放时间、金额等安排</w:t>
      </w:r>
    </w:p>
    <w:p>
      <w:pPr>
        <w:pStyle w:val="Style3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应付职工薪酬期末数中包含</w:t>
      </w:r>
      <w:r>
        <w:rPr>
          <w:rFonts w:ascii="Times New Roman" w:eastAsia="Times New Roman" w:hAnsi="Times New Roman" w:cs="Times New Roman"/>
          <w:color w:val="000000"/>
          <w:spacing w:val="0"/>
          <w:w w:val="100"/>
          <w:position w:val="0"/>
        </w:rPr>
        <w:t>2013</w:t>
      </w:r>
      <w:r>
        <w:rPr>
          <w:color w:val="000000"/>
          <w:spacing w:val="0"/>
          <w:w w:val="100"/>
          <w:position w:val="0"/>
        </w:rPr>
        <w:t>年按月预提的工资薪金</w:t>
      </w:r>
      <w:r>
        <w:rPr>
          <w:rFonts w:ascii="Times New Roman" w:eastAsia="Times New Roman" w:hAnsi="Times New Roman" w:cs="Times New Roman"/>
          <w:color w:val="000000"/>
          <w:spacing w:val="0"/>
          <w:w w:val="100"/>
          <w:position w:val="0"/>
        </w:rPr>
        <w:t>2,191,183.96</w:t>
      </w:r>
      <w:r>
        <w:rPr>
          <w:color w:val="000000"/>
          <w:spacing w:val="0"/>
          <w:w w:val="100"/>
          <w:position w:val="0"/>
        </w:rPr>
        <w:t>元，公司于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月份发放。</w:t>
      </w:r>
    </w:p>
    <w:p>
      <w:pPr>
        <w:pStyle w:val="Style36"/>
        <w:keepNext/>
        <w:keepLines/>
        <w:widowControl w:val="0"/>
        <w:shd w:val="clear" w:color="auto" w:fill="auto"/>
        <w:bidi w:val="0"/>
        <w:spacing w:before="0" w:after="36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956"/>
      <w:bookmarkEnd w:id="957"/>
      <w:bookmarkEnd w:id="95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7,465,109.48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3,416,234.06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99,990.96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179,397.17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31,363.77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4,302,030.06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580,781.55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250,648.79</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249,763.46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180,154.82</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196,621.61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183,988.57</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293,880.00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293,880.00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18,254.80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33,652.05</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地方水利建设基金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73,339.93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37,076.25</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199,438.43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168,457.86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9,208,543.99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9,045,519.63</w:t>
            </w:r>
          </w:p>
        </w:tc>
      </w:tr>
    </w:tbl>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应交税费说明，所在地税务机关同意各分公司、分厂之间应纳税所得额相互调剂的，应说明税款计算过程 无。</w:t>
      </w:r>
      <w:r>
        <w:br w:type="page"/>
      </w:r>
    </w:p>
    <w:p>
      <w:pPr>
        <w:pStyle w:val="Style36"/>
        <w:keepNext/>
        <w:keepLines/>
        <w:widowControl w:val="0"/>
        <w:shd w:val="clear" w:color="auto" w:fill="auto"/>
        <w:bidi w:val="0"/>
        <w:spacing w:before="0" w:after="36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960"/>
      <w:bookmarkEnd w:id="961"/>
      <w:bookmarkEnd w:id="963"/>
    </w:p>
    <w:p>
      <w:pPr>
        <w:pStyle w:val="Style36"/>
        <w:keepNext/>
        <w:keepLines/>
        <w:widowControl w:val="0"/>
        <w:shd w:val="clear" w:color="auto" w:fill="auto"/>
        <w:bidi w:val="0"/>
        <w:spacing w:before="0" w:after="360" w:line="240" w:lineRule="auto"/>
        <w:ind w:left="0" w:right="0" w:firstLine="0"/>
        <w:jc w:val="left"/>
      </w:pPr>
      <w:bookmarkStart w:id="960" w:name="bookmark960"/>
      <w:bookmarkStart w:id="961" w:name="bookmark961"/>
      <w:bookmarkStart w:id="964" w:name="bookmark9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60"/>
      <w:bookmarkEnd w:id="961"/>
      <w:bookmarkEnd w:id="96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709,775.44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2,986,180.04</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1,066,868.00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350,430.58</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46,949.22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47,977.81</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229,132.90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146,100.00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53,795.90</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2,052,725.56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3,584,484.33</w:t>
            </w:r>
          </w:p>
        </w:tc>
      </w:tr>
    </w:tbl>
    <w:p>
      <w:pPr>
        <w:widowControl w:val="0"/>
        <w:spacing w:after="359" w:line="1" w:lineRule="exact"/>
      </w:pPr>
    </w:p>
    <w:p>
      <w:pPr>
        <w:pStyle w:val="Style36"/>
        <w:keepNext/>
        <w:keepLines/>
        <w:widowControl w:val="0"/>
        <w:shd w:val="clear" w:color="auto" w:fill="auto"/>
        <w:tabs>
          <w:tab w:pos="498" w:val="left"/>
        </w:tabs>
        <w:bidi w:val="0"/>
        <w:spacing w:before="0" w:after="36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账龄超过一年的大额其他应付款情况的说明</w:t>
      </w:r>
      <w:bookmarkEnd w:id="965"/>
      <w:bookmarkEnd w:id="966"/>
      <w:bookmarkEnd w:id="96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欠山东科技大学</w:t>
      </w:r>
      <w:r>
        <w:rPr>
          <w:color w:val="000000"/>
          <w:spacing w:val="0"/>
          <w:w w:val="100"/>
          <w:position w:val="0"/>
        </w:rPr>
        <w:t>1,010,000.00</w:t>
      </w:r>
      <w:r>
        <w:rPr>
          <w:color w:val="000000"/>
          <w:spacing w:val="0"/>
          <w:w w:val="100"/>
          <w:position w:val="0"/>
        </w:rPr>
        <w:t>元，主要原因是业务尚未完成。</w:t>
      </w:r>
    </w:p>
    <w:p>
      <w:pPr>
        <w:pStyle w:val="Style36"/>
        <w:keepNext/>
        <w:keepLines/>
        <w:widowControl w:val="0"/>
        <w:shd w:val="clear" w:color="auto" w:fill="auto"/>
        <w:tabs>
          <w:tab w:pos="498" w:val="left"/>
        </w:tabs>
        <w:bidi w:val="0"/>
        <w:spacing w:before="0" w:after="36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3</w:t>
      </w:r>
      <w:r>
        <w:rPr>
          <w:color w:val="000000"/>
          <w:spacing w:val="0"/>
          <w:w w:val="100"/>
          <w:position w:val="0"/>
        </w:rPr>
        <w:t>）</w:t>
        <w:tab/>
        <w:t>金额较大的其他应付款说明内容</w:t>
      </w:r>
      <w:bookmarkEnd w:id="969"/>
      <w:bookmarkEnd w:id="970"/>
      <w:bookmarkEnd w:id="97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973"/>
      <w:bookmarkEnd w:id="974"/>
      <w:bookmarkEnd w:id="97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期初数</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本期变动增减（+、一）</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24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103,350,000.</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0"/>
        <w:keepNext w:val="0"/>
        <w:keepLines w:val="0"/>
        <w:widowControl w:val="0"/>
        <w:shd w:val="clear" w:color="auto" w:fill="auto"/>
        <w:bidi w:val="0"/>
        <w:spacing w:before="0" w:after="360" w:line="323"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 根据</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日通过的</w:t>
      </w:r>
      <w:r>
        <w:rPr>
          <w:color w:val="000000"/>
          <w:spacing w:val="0"/>
          <w:w w:val="100"/>
          <w:position w:val="0"/>
        </w:rPr>
        <w:t>2012</w:t>
      </w:r>
      <w:r>
        <w:rPr>
          <w:color w:val="000000"/>
          <w:spacing w:val="0"/>
          <w:w w:val="100"/>
          <w:position w:val="0"/>
        </w:rPr>
        <w:t>年年度股东大会决议，以</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日股本</w:t>
      </w:r>
      <w:r>
        <w:rPr>
          <w:color w:val="000000"/>
          <w:spacing w:val="0"/>
          <w:w w:val="100"/>
          <w:position w:val="0"/>
        </w:rPr>
        <w:t>10,335.0</w:t>
      </w:r>
      <w:r>
        <w:rPr>
          <w:color w:val="000000"/>
          <w:spacing w:val="0"/>
          <w:w w:val="100"/>
          <w:position w:val="0"/>
        </w:rPr>
        <w:t>0</w:t>
      </w:r>
      <w:r>
        <w:rPr>
          <w:color w:val="000000"/>
          <w:spacing w:val="0"/>
          <w:w w:val="100"/>
          <w:position w:val="0"/>
        </w:rPr>
        <w:t>万股为基数，按每</w:t>
      </w:r>
      <w:r>
        <w:rPr>
          <w:color w:val="000000"/>
          <w:spacing w:val="0"/>
          <w:w w:val="100"/>
          <w:position w:val="0"/>
        </w:rPr>
        <w:t>10</w:t>
      </w:r>
      <w:r>
        <w:rPr>
          <w:color w:val="000000"/>
          <w:spacing w:val="0"/>
          <w:w w:val="100"/>
          <w:position w:val="0"/>
        </w:rPr>
        <w:t>股由资本公积转 增</w:t>
      </w:r>
      <w:r>
        <w:rPr>
          <w:color w:val="000000"/>
          <w:spacing w:val="0"/>
          <w:w w:val="100"/>
          <w:position w:val="0"/>
        </w:rPr>
        <w:t>10</w:t>
      </w:r>
      <w:r>
        <w:rPr>
          <w:color w:val="000000"/>
          <w:spacing w:val="0"/>
          <w:w w:val="100"/>
          <w:position w:val="0"/>
        </w:rPr>
        <w:t>股，共计转增</w:t>
      </w:r>
      <w:r>
        <w:rPr>
          <w:color w:val="000000"/>
          <w:spacing w:val="0"/>
          <w:w w:val="100"/>
          <w:position w:val="0"/>
        </w:rPr>
        <w:t>10,335.0</w:t>
      </w:r>
      <w:r>
        <w:rPr>
          <w:color w:val="000000"/>
          <w:spacing w:val="0"/>
          <w:w w:val="100"/>
          <w:position w:val="0"/>
        </w:rPr>
        <w:t>0</w:t>
      </w:r>
      <w:r>
        <w:rPr>
          <w:color w:val="000000"/>
          <w:spacing w:val="0"/>
          <w:w w:val="100"/>
          <w:position w:val="0"/>
        </w:rPr>
        <w:t>万股，上述股本业经中瑞岳华会计师事务所（特殊普通合伙）出具的中瑞岳华验字</w:t>
      </w:r>
      <w:r>
        <w:rPr>
          <w:color w:val="000000"/>
          <w:spacing w:val="0"/>
          <w:w w:val="100"/>
          <w:position w:val="0"/>
        </w:rPr>
        <w:t>［2013］</w:t>
      </w:r>
      <w:r>
        <w:rPr>
          <w:color w:val="000000"/>
          <w:spacing w:val="0"/>
          <w:w w:val="100"/>
          <w:position w:val="0"/>
        </w:rPr>
        <w:t>第</w:t>
      </w:r>
      <w:r>
        <w:rPr>
          <w:color w:val="000000"/>
          <w:spacing w:val="0"/>
          <w:w w:val="100"/>
          <w:position w:val="0"/>
        </w:rPr>
        <w:t xml:space="preserve">0112 </w:t>
      </w:r>
      <w:r>
        <w:rPr>
          <w:color w:val="000000"/>
          <w:spacing w:val="0"/>
          <w:w w:val="100"/>
          <w:position w:val="0"/>
        </w:rPr>
        <w:t>号验资报告验证。</w:t>
      </w:r>
    </w:p>
    <w:p>
      <w:pPr>
        <w:pStyle w:val="Style36"/>
        <w:keepNext/>
        <w:keepLines/>
        <w:widowControl w:val="0"/>
        <w:shd w:val="clear" w:color="auto" w:fill="auto"/>
        <w:bidi w:val="0"/>
        <w:spacing w:before="0" w:after="36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977"/>
      <w:bookmarkEnd w:id="978"/>
      <w:bookmarkEnd w:id="9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405,745,739.86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103,350,000.00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302,395,739.86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405,745,739.86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103,350,000.00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302,395,739.86</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资本公积说明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981"/>
      <w:bookmarkEnd w:id="982"/>
      <w:bookmarkEnd w:id="98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21,907,203.60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16,494,519.55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38,401,723.15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21,907,203.60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16,494,519.55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38,401,723.15</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盈余公积说明，用盈余公积转增股本、弥补亏损、分派股利的，应说明有关决议</w:t>
      </w:r>
    </w:p>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 的，可不再提取。</w:t>
      </w:r>
    </w:p>
    <w:p>
      <w:pPr>
        <w:pStyle w:val="Style36"/>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985"/>
      <w:bookmarkEnd w:id="986"/>
      <w:bookmarkEnd w:id="98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提取或分配比例</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调整前上年末未分配利润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214,077,604.39</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调整后年初未分配利润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214,077,604.39</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16,494,519.55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51,675,000.00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213,521,219.89</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调整年初未分配利润明细：</w:t>
      </w:r>
    </w:p>
    <w:p>
      <w:pPr>
        <w:pStyle w:val="Style30"/>
        <w:keepNext w:val="0"/>
        <w:keepLines w:val="0"/>
        <w:widowControl w:val="0"/>
        <w:shd w:val="clear" w:color="auto" w:fill="auto"/>
        <w:tabs>
          <w:tab w:pos="325" w:val="left"/>
        </w:tabs>
        <w:bidi w:val="0"/>
        <w:spacing w:before="0" w:after="0" w:line="312" w:lineRule="exact"/>
        <w:ind w:left="0" w:right="0" w:firstLine="0"/>
        <w:jc w:val="left"/>
      </w:pPr>
      <w:bookmarkStart w:id="989" w:name="bookmark989"/>
      <w:r>
        <w:rPr>
          <w:rFonts w:ascii="Times New Roman" w:eastAsia="Times New Roman" w:hAnsi="Times New Roman" w:cs="Times New Roman"/>
          <w:color w:val="000000"/>
          <w:spacing w:val="0"/>
          <w:w w:val="100"/>
          <w:position w:val="0"/>
        </w:rPr>
        <w:t>1</w:t>
      </w:r>
      <w:bookmarkEnd w:id="98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4" w:val="left"/>
        </w:tabs>
        <w:bidi w:val="0"/>
        <w:spacing w:before="0" w:after="0" w:line="312" w:lineRule="exact"/>
        <w:ind w:left="0" w:right="0" w:firstLine="0"/>
        <w:jc w:val="left"/>
      </w:pPr>
      <w:bookmarkStart w:id="990" w:name="bookmark990"/>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4" w:val="left"/>
        </w:tabs>
        <w:bidi w:val="0"/>
        <w:spacing w:before="0" w:after="0" w:line="312" w:lineRule="exact"/>
        <w:ind w:left="0" w:right="0" w:firstLine="0"/>
        <w:jc w:val="left"/>
      </w:pPr>
      <w:bookmarkStart w:id="991" w:name="bookmark991"/>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4" w:val="left"/>
        </w:tabs>
        <w:bidi w:val="0"/>
        <w:spacing w:before="0" w:after="0" w:line="312" w:lineRule="exact"/>
        <w:ind w:left="0" w:right="0" w:firstLine="0"/>
        <w:jc w:val="left"/>
      </w:pPr>
      <w:bookmarkStart w:id="992" w:name="bookmark992"/>
      <w:r>
        <w:rPr>
          <w:rFonts w:ascii="Times New Roman" w:eastAsia="Times New Roman" w:hAnsi="Times New Roman" w:cs="Times New Roman"/>
          <w:color w:val="000000"/>
          <w:spacing w:val="0"/>
          <w:w w:val="100"/>
          <w:position w:val="0"/>
        </w:rPr>
        <w:t>4</w:t>
      </w:r>
      <w:bookmarkEnd w:id="99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4" w:val="left"/>
        </w:tabs>
        <w:bidi w:val="0"/>
        <w:spacing w:before="0" w:after="0" w:line="312" w:lineRule="exact"/>
        <w:ind w:left="0" w:right="0" w:firstLine="0"/>
        <w:jc w:val="left"/>
      </w:pPr>
      <w:bookmarkStart w:id="993" w:name="bookmark993"/>
      <w:r>
        <w:rPr>
          <w:rFonts w:ascii="Times New Roman" w:eastAsia="Times New Roman" w:hAnsi="Times New Roman" w:cs="Times New Roman"/>
          <w:color w:val="000000"/>
          <w:spacing w:val="0"/>
          <w:w w:val="100"/>
          <w:position w:val="0"/>
        </w:rPr>
        <w:t>5</w:t>
      </w:r>
      <w:bookmarkEnd w:id="99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7</w:t>
      </w:r>
      <w:r>
        <w:rPr>
          <w:color w:val="000000"/>
          <w:spacing w:val="0"/>
          <w:w w:val="100"/>
          <w:position w:val="0"/>
        </w:rPr>
        <w:t>、营业收入、营业成本</w:t>
      </w:r>
      <w:bookmarkEnd w:id="994"/>
      <w:bookmarkEnd w:id="995"/>
      <w:bookmarkEnd w:id="997"/>
    </w:p>
    <w:p>
      <w:pPr>
        <w:pStyle w:val="Style36"/>
        <w:keepNext/>
        <w:keepLines/>
        <w:widowControl w:val="0"/>
        <w:shd w:val="clear" w:color="auto" w:fill="auto"/>
        <w:bidi w:val="0"/>
        <w:spacing w:before="0" w:after="280" w:line="240" w:lineRule="auto"/>
        <w:ind w:left="0" w:right="0" w:firstLine="0"/>
        <w:jc w:val="left"/>
      </w:pPr>
      <w:bookmarkStart w:id="994" w:name="bookmark994"/>
      <w:bookmarkStart w:id="995" w:name="bookmark995"/>
      <w:bookmarkStart w:id="998" w:name="bookmark9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994"/>
      <w:bookmarkEnd w:id="995"/>
      <w:bookmarkEnd w:id="998"/>
    </w:p>
    <w:p>
      <w:pPr>
        <w:pStyle w:val="Style30"/>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3326"/>
        <w:gridCol w:w="3053"/>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spacing w:lineRule="exact" w:line="1"/>
        <w:rPr>
          <w:sz w:val="2"/>
          <w:szCs w:val="2"/>
        </w:rPr>
      </w:pPr>
      <w:r>
        <w:br w:type="page"/>
      </w:r>
    </w:p>
    <w:tbl>
      <w:tblPr>
        <w:tblOverlap w:val="never"/>
        <w:jc w:val="center"/>
        <w:tblLayout w:type="fixed"/>
      </w:tblPr>
      <w:tblGrid>
        <w:gridCol w:w="3326"/>
        <w:gridCol w:w="3053"/>
        <w:gridCol w:w="320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173,788,208.55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193,104,288.42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1,890,921.79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43,640,053.80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45,634,945.35</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999" w:name="bookmark99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000"/>
      <w:bookmarkEnd w:id="1001"/>
      <w:bookmarkEnd w:id="99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173,788,208.55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43,587,428.80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193,104,288.42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44,951,464.60</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173,788,208.55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43,587,428.80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193,104,288.42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44,951,464.60</w:t>
            </w:r>
          </w:p>
        </w:tc>
      </w:tr>
    </w:tbl>
    <w:p>
      <w:pPr>
        <w:widowControl w:val="0"/>
        <w:spacing w:after="299" w:line="1" w:lineRule="exact"/>
      </w:pPr>
    </w:p>
    <w:p>
      <w:pPr>
        <w:pStyle w:val="Style36"/>
        <w:keepNext/>
        <w:keepLines/>
        <w:widowControl w:val="0"/>
        <w:numPr>
          <w:ilvl w:val="0"/>
          <w:numId w:val="51"/>
        </w:numPr>
        <w:shd w:val="clear" w:color="auto" w:fill="auto"/>
        <w:bidi w:val="0"/>
        <w:spacing w:before="0" w:after="38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主营业务(分产品)</w:t>
      </w:r>
      <w:bookmarkEnd w:id="1002"/>
      <w:bookmarkEnd w:id="1003"/>
      <w:bookmarkEnd w:id="100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710"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煤矿顶板安全监测系统及相 关仪器仪表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134,209,823.75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28,586,212.51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148,804,769.78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26,414,611.34</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煤矿巷道锚护机具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18,870,858.12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6,879,234.66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16,871,860.34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4,717,151.41</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100" w:after="100" w:line="240" w:lineRule="auto"/>
              <w:ind w:left="0" w:right="0" w:firstLine="0"/>
              <w:jc w:val="left"/>
              <w:rPr>
                <w:sz w:val="18"/>
                <w:szCs w:val="18"/>
              </w:rPr>
            </w:pPr>
            <w:r>
              <w:rPr>
                <w:color w:val="000000"/>
                <w:spacing w:val="0"/>
                <w:w w:val="100"/>
                <w:position w:val="0"/>
                <w:sz w:val="18"/>
                <w:szCs w:val="18"/>
              </w:rPr>
              <w:t>煤矿顶板充填材料及工程施</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20,707,526.68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8,121,981.63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27,427,658.30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13,819,701.85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173,788,208.55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43,587,428.80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193,104,288.42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44,951,464.60</w:t>
            </w:r>
          </w:p>
        </w:tc>
      </w:tr>
    </w:tbl>
    <w:p>
      <w:pPr>
        <w:widowControl w:val="0"/>
        <w:spacing w:after="299" w:line="1" w:lineRule="exact"/>
      </w:pPr>
    </w:p>
    <w:p>
      <w:pPr>
        <w:pStyle w:val="Style36"/>
        <w:keepNext/>
        <w:keepLines/>
        <w:widowControl w:val="0"/>
        <w:numPr>
          <w:ilvl w:val="0"/>
          <w:numId w:val="51"/>
        </w:numPr>
        <w:shd w:val="clear" w:color="auto" w:fill="auto"/>
        <w:bidi w:val="0"/>
        <w:spacing w:before="0" w:after="38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主营业务(分地区)</w:t>
      </w:r>
      <w:bookmarkEnd w:id="1006"/>
      <w:bookmarkEnd w:id="1007"/>
      <w:bookmarkEnd w:id="100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22,627,853.05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5,479,378.48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14,988,568.62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3,381,662.04</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61,016,882.49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16,405,983.42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70,124,440.97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14,348,024.81</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11,348,897.38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2,420,243.08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19,332,098.97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2,874,777.27</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18,965,115.59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5,345,812.64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28,833,274.07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7,423,357.43</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9,696,966.44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3,890,096.99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17,637,255.43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4,569,405.80</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11,199,347.36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3,523,627.92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7,860,100.26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1,206,373.23</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5,662,260.51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1,569,477.43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7,297,889.46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1,622,291.33</w:t>
            </w:r>
          </w:p>
        </w:tc>
      </w:tr>
      <w:tr>
        <w:trPr>
          <w:trHeight w:val="413"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2,460,900.07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484,259.53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1,533,496.51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524,524.36</w:t>
            </w:r>
          </w:p>
        </w:tc>
      </w:tr>
    </w:tbl>
    <w:p>
      <w:pPr>
        <w:spacing w:lineRule="exact" w:line="1"/>
        <w:rPr>
          <w:sz w:val="2"/>
          <w:szCs w:val="2"/>
        </w:rPr>
      </w:pPr>
      <w:r>
        <w:br w:type="page"/>
      </w:r>
    </w:p>
    <w:tbl>
      <w:tblPr>
        <w:tblOverlap w:val="never"/>
        <w:jc w:val="center"/>
        <w:tblLayout w:type="fixed"/>
      </w:tblPr>
      <w:tblGrid>
        <w:gridCol w:w="2530"/>
        <w:gridCol w:w="1728"/>
        <w:gridCol w:w="1858"/>
        <w:gridCol w:w="1728"/>
        <w:gridCol w:w="1738"/>
      </w:tblGrid>
      <w:tr>
        <w:trPr>
          <w:trHeight w:val="40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3,066,870.04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741,639.60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1,489,187.02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325,519.99</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27,743,115.62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3,726,909.71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24,007,977.11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8,675,528.34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173,788,208.55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43,587,428.80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193,104,288.42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44,951,464.60</w:t>
            </w:r>
          </w:p>
        </w:tc>
      </w:tr>
    </w:tbl>
    <w:p>
      <w:pPr>
        <w:widowControl w:val="0"/>
        <w:spacing w:after="299" w:line="1" w:lineRule="exact"/>
      </w:pPr>
    </w:p>
    <w:p>
      <w:pPr>
        <w:pStyle w:val="Style36"/>
        <w:keepNext/>
        <w:keepLines/>
        <w:widowControl w:val="0"/>
        <w:numPr>
          <w:ilvl w:val="0"/>
          <w:numId w:val="51"/>
        </w:numPr>
        <w:shd w:val="clear" w:color="auto" w:fill="auto"/>
        <w:bidi w:val="0"/>
        <w:spacing w:before="0" w:after="36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公司来自前五名客户的营业收入情况</w:t>
      </w:r>
      <w:bookmarkEnd w:id="1010"/>
      <w:bookmarkEnd w:id="1011"/>
      <w:bookmarkEnd w:id="101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846"/>
        <w:gridCol w:w="413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霍州煤电集团凯兴物资经销有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12,937,293.58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中国神华能源股份有限公司神 东煤炭分公司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7,119,553.42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4.09%</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80" w:line="240" w:lineRule="auto"/>
              <w:ind w:left="0" w:right="0" w:firstLine="0"/>
              <w:jc w:val="left"/>
              <w:rPr>
                <w:sz w:val="18"/>
                <w:szCs w:val="18"/>
              </w:rPr>
            </w:pPr>
            <w:r>
              <w:rPr>
                <w:color w:val="000000"/>
                <w:spacing w:val="0"/>
                <w:w w:val="100"/>
                <w:position w:val="0"/>
                <w:sz w:val="18"/>
                <w:szCs w:val="18"/>
              </w:rPr>
              <w:t>神华宁夏煤业集团有限责任公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司麦垛山煤矿筹建处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5,676,083.52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兖州煤业股份有限公司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4,901,984.63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乌鲁木齐通鹏电子有限公司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4,886,636.75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2.81%</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35,521,551.90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w:t>
      </w:r>
      <w:bookmarkEnd w:id="1016"/>
      <w:r>
        <w:rPr>
          <w:rFonts w:ascii="Times New Roman" w:eastAsia="Times New Roman" w:hAnsi="Times New Roman" w:cs="Times New Roman"/>
          <w:color w:val="000000"/>
          <w:spacing w:val="0"/>
          <w:w w:val="100"/>
          <w:position w:val="0"/>
        </w:rPr>
        <w:t>8</w:t>
      </w:r>
      <w:r>
        <w:rPr>
          <w:color w:val="000000"/>
          <w:spacing w:val="0"/>
          <w:w w:val="100"/>
          <w:position w:val="0"/>
        </w:rPr>
        <w:t>、营业税金及附加</w:t>
      </w:r>
      <w:bookmarkEnd w:id="1014"/>
      <w:bookmarkEnd w:id="1015"/>
      <w:bookmarkEnd w:id="101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4"/>
        <w:gridCol w:w="1997"/>
        <w:gridCol w:w="1858"/>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计缴标准</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163,977.96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325,228.61</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1,554,161.30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1,750,344.21</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667,588.92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751,674.43</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444,953.63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501,116.31</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2,830,681.81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3,328,363.56</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营业税金及附加的说明</w:t>
      </w:r>
    </w:p>
    <w:p>
      <w:pPr>
        <w:pStyle w:val="Style36"/>
        <w:keepNext/>
        <w:keepLines/>
        <w:widowControl w:val="0"/>
        <w:shd w:val="clear" w:color="auto" w:fill="auto"/>
        <w:bidi w:val="0"/>
        <w:spacing w:before="0" w:after="36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018"/>
      <w:bookmarkEnd w:id="1019"/>
      <w:bookmarkEnd w:id="102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16,968,267.00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13,826,518.92</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6,486,805.57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7,573,803.91</w:t>
            </w:r>
          </w:p>
        </w:tc>
      </w:tr>
      <w:tr>
        <w:trPr>
          <w:trHeight w:val="408"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职工工资</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4,671,809.28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6,878,533.99</w:t>
            </w:r>
          </w:p>
        </w:tc>
      </w:tr>
    </w:tbl>
    <w:p>
      <w:pPr>
        <w:sectPr>
          <w:headerReference w:type="default" r:id="rId15"/>
          <w:footerReference w:type="default" r:id="rId16"/>
          <w:footnotePr>
            <w:pos w:val="pageBottom"/>
            <w:numFmt w:val="decimal"/>
            <w:numRestart w:val="continuous"/>
          </w:footnotePr>
          <w:pgSz w:w="11900" w:h="16840"/>
          <w:pgMar w:top="1371" w:right="1107" w:bottom="1592" w:left="1106"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431,584.00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3,769,240.87</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1,928,596.63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1,721,033.42</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2,023,247.74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1,559,949.75</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1,447,811.51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1,530,205.77</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3,912,042.17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3,538,840.90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37,870,163.90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40,398,127.53</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022"/>
      <w:bookmarkEnd w:id="1023"/>
      <w:bookmarkEnd w:id="102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8,236,908.06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7,563,149.53</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3,826,310.24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3,765,252.44</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技术开发费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6,866,702.27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2,871,468.38</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1,671,916.82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1,484,651.22</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1,175,520.00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1,043,040.00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868,422.17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1,133,071.29</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823,383.72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823,383.74</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1,766,819.88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462,600.00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88,269.64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143,559.62</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4,394,849.94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8,822,198.75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29,719,102.74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28,112,374.97</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026"/>
      <w:bookmarkEnd w:id="1027"/>
      <w:bookmarkEnd w:id="102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-8,796,812.90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-10,144,811.40</w:t>
            </w:r>
          </w:p>
        </w:tc>
      </w:tr>
      <w:tr>
        <w:trPr>
          <w:trHeight w:val="403"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-464.21</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195,148.41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87,521.97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-8,601,664.49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-10,057,753.64</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030"/>
      <w:bookmarkEnd w:id="1031"/>
      <w:bookmarkEnd w:id="1033"/>
    </w:p>
    <w:p>
      <w:pPr>
        <w:pStyle w:val="Style36"/>
        <w:keepNext/>
        <w:keepLines/>
        <w:widowControl w:val="0"/>
        <w:shd w:val="clear" w:color="auto" w:fill="auto"/>
        <w:bidi w:val="0"/>
        <w:spacing w:before="0" w:after="320" w:line="240" w:lineRule="auto"/>
        <w:ind w:left="0" w:right="0" w:firstLine="0"/>
        <w:jc w:val="left"/>
      </w:pPr>
      <w:bookmarkStart w:id="1030" w:name="bookmark1030"/>
      <w:bookmarkStart w:id="1031" w:name="bookmark1031"/>
      <w:bookmarkStart w:id="1034" w:name="bookmark10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030"/>
      <w:bookmarkEnd w:id="1031"/>
      <w:bookmarkEnd w:id="1034"/>
      <w:r>
        <w:br w:type="page"/>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3,196,090.12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3,056,178.08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3,196,090.12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3,056,178.08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035"/>
      <w:bookmarkEnd w:id="1036"/>
      <w:bookmarkEnd w:id="10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525"/>
        <w:gridCol w:w="27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5,865,149.42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3,745,348.32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5,865,149.42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3,745,348.32</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3</w:t>
      </w:r>
      <w:bookmarkEnd w:id="104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039"/>
      <w:bookmarkEnd w:id="1040"/>
      <w:bookmarkEnd w:id="1042"/>
    </w:p>
    <w:p>
      <w:pPr>
        <w:pStyle w:val="Style36"/>
        <w:keepNext/>
        <w:keepLines/>
        <w:widowControl w:val="0"/>
        <w:shd w:val="clear" w:color="auto" w:fill="auto"/>
        <w:bidi w:val="0"/>
        <w:spacing w:before="0" w:after="380" w:line="240" w:lineRule="auto"/>
        <w:ind w:left="0" w:right="0" w:firstLine="0"/>
        <w:jc w:val="left"/>
      </w:pPr>
      <w:bookmarkStart w:id="1039" w:name="bookmark1039"/>
      <w:bookmarkStart w:id="1040" w:name="bookmark1040"/>
      <w:bookmarkStart w:id="1043" w:name="bookmark10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39"/>
      <w:bookmarkEnd w:id="1040"/>
      <w:bookmarkEnd w:id="104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计入当期非经常性损益</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的金额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非流动资产处置利得合计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121,858.45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164,012.46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121,858.45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其中：固定资产处置利得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121,858.45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164,012.46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121,858.45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7,684,792.29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23,128,820.70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716,000.00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509.00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7,807,159.74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23,292,833.16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838,367.45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6"/>
        <w:keepNext/>
        <w:keepLines/>
        <w:widowControl w:val="0"/>
        <w:shd w:val="clear" w:color="auto" w:fill="auto"/>
        <w:bidi w:val="0"/>
        <w:spacing w:before="0" w:after="380" w:line="240" w:lineRule="auto"/>
        <w:ind w:left="0" w:right="0" w:firstLine="0"/>
        <w:jc w:val="left"/>
      </w:pPr>
      <w:bookmarkStart w:id="1044" w:name="bookmark1044"/>
      <w:bookmarkStart w:id="1045" w:name="bookmark1045"/>
      <w:bookmarkStart w:id="1046" w:name="bookmark10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044"/>
      <w:bookmarkEnd w:id="1045"/>
      <w:bookmarkEnd w:id="10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与收益相 关</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是否属于非经常性损 益</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6,968,792.29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9,595,898.70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年度企业财政补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1,305,747.00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企业上市奖励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455,175.00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地方特色产业中小企</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13"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煤矿顶板充填材料项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36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纳税先进单位奖励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安全生产工作先进单 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企业品牌建设奖励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财源建设配套资金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科技创先奖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知识产权局专利资助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7,684,792.29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23,128,820.70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047"/>
      <w:bookmarkEnd w:id="1048"/>
      <w:bookmarkEnd w:id="10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0"/>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计入当期非经常性损 益的金额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39,255.60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39,255.60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滞纳金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448,467.69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39,255.60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483,380.01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39,255.60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营业外支出说明</w:t>
      </w:r>
    </w:p>
    <w:p>
      <w:pPr>
        <w:pStyle w:val="Style36"/>
        <w:keepNext/>
        <w:keepLines/>
        <w:widowControl w:val="0"/>
        <w:shd w:val="clear" w:color="auto" w:fill="auto"/>
        <w:bidi w:val="0"/>
        <w:spacing w:before="0" w:after="36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w:t>
      </w:r>
      <w:bookmarkEnd w:id="105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051"/>
      <w:bookmarkEnd w:id="1052"/>
      <w:bookmarkEnd w:id="105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按税法及相关规定计算的当期所得税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6,701,398.56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13,156,783.67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递延所得税调整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-809,857.98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-558,975.72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5,891,540.58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12,597,807.95</w:t>
            </w:r>
          </w:p>
        </w:tc>
      </w:tr>
    </w:tbl>
    <w:p>
      <w:pPr>
        <w:widowControl w:val="0"/>
        <w:spacing w:after="239" w:line="1" w:lineRule="exact"/>
      </w:pPr>
    </w:p>
    <w:p>
      <w:pPr>
        <w:pStyle w:val="Style36"/>
        <w:keepNext/>
        <w:keepLines/>
        <w:widowControl w:val="0"/>
        <w:shd w:val="clear" w:color="auto" w:fill="auto"/>
        <w:bidi w:val="0"/>
        <w:spacing w:before="0" w:after="300" w:line="310" w:lineRule="exact"/>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7</w:t>
      </w:r>
      <w:r>
        <w:rPr>
          <w:color w:val="000000"/>
          <w:spacing w:val="0"/>
          <w:w w:val="100"/>
          <w:position w:val="0"/>
        </w:rPr>
        <w:t>、基本每股收益和稀释每股收益的计算过程</w:t>
      </w:r>
      <w:bookmarkEnd w:id="1055"/>
      <w:bookmarkEnd w:id="1056"/>
      <w:bookmarkEnd w:id="1058"/>
    </w:p>
    <w:p>
      <w:pPr>
        <w:pStyle w:val="Style2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基本每股收益按照归属于本公司普通股股东的当期净利润，除以发行在外普通股的加权平均数计算。 新发行普通股股数，根据发行合同的具体条款，从应收对价之日（一般为股票发行日）起计算确定。</w:t>
      </w:r>
    </w:p>
    <w:p>
      <w:pPr>
        <w:pStyle w:val="Style2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稀释每股收益的分子以归属于本公司普通股股东的当期净利润，调整下述因素后确定：（1）当期已确 认为费用的稀释性潜在普通股的利息；（2）稀释性潜在普通股转换时将产生的收益或费用；以及（3）上 述调整相关的所得税影响。</w:t>
      </w:r>
    </w:p>
    <w:p>
      <w:pPr>
        <w:pStyle w:val="Style27"/>
        <w:keepNext w:val="0"/>
        <w:keepLines w:val="0"/>
        <w:widowControl w:val="0"/>
        <w:shd w:val="clear" w:color="auto" w:fill="auto"/>
        <w:bidi w:val="0"/>
        <w:spacing w:before="0" w:after="340" w:line="310" w:lineRule="exact"/>
        <w:ind w:left="0" w:right="0" w:firstLine="500"/>
        <w:jc w:val="both"/>
      </w:pPr>
      <w:r>
        <w:rPr>
          <w:color w:val="000000"/>
          <w:spacing w:val="0"/>
          <w:w w:val="100"/>
          <w:position w:val="0"/>
        </w:rPr>
        <w:t>稀释每股收益的分母等于下列两项之和：（1）基本每股收益中母公司已发行普通股的加权平均数；及</w:t>
      </w: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（2）假定稀释性潜在普通股转换为普通股而增加的普通股的加权平均数。</w:t>
      </w:r>
    </w:p>
    <w:p>
      <w:pPr>
        <w:pStyle w:val="Style3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在计算稀释性潜在普通股转换为已发行普通股而增加的普通股股数的加权平均数时，以前期间发行的 稀释性潜在普通股，假设在当年年初转换；当年发行的稀释性潜在普通股，假设在发行日转换。</w:t>
      </w:r>
    </w:p>
    <w:p>
      <w:pPr>
        <w:pStyle w:val="Style3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（1）各期基本每股收益和稀释每股收益金额列示</w:t>
      </w:r>
    </w:p>
    <w:tbl>
      <w:tblPr>
        <w:tblOverlap w:val="never"/>
        <w:jc w:val="center"/>
        <w:tblLayout w:type="fixed"/>
      </w:tblPr>
      <w:tblGrid>
        <w:gridCol w:w="2227"/>
        <w:gridCol w:w="1469"/>
        <w:gridCol w:w="1862"/>
        <w:gridCol w:w="1618"/>
        <w:gridCol w:w="2069"/>
      </w:tblGrid>
      <w:tr>
        <w:trPr>
          <w:trHeight w:val="52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50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稀释每股收益</w:t>
            </w:r>
          </w:p>
        </w:tc>
      </w:tr>
      <w:tr>
        <w:trPr>
          <w:trHeight w:val="73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归属于公司普通股股东的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0.47</w:t>
            </w:r>
          </w:p>
        </w:tc>
      </w:tr>
      <w:tr>
        <w:trPr>
          <w:trHeight w:val="10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扣除非经常性损益后归属 于公司普通股股东的净利 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0.42</w:t>
            </w:r>
          </w:p>
        </w:tc>
      </w:tr>
    </w:tbl>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（2）每股收益和稀释每股收益的计算过程</w:t>
      </w:r>
    </w:p>
    <w:p>
      <w:pPr>
        <w:pStyle w:val="Style34"/>
        <w:keepNext w:val="0"/>
        <w:keepLines w:val="0"/>
        <w:widowControl w:val="0"/>
        <w:shd w:val="clear" w:color="auto" w:fill="auto"/>
        <w:bidi w:val="0"/>
        <w:spacing w:before="0" w:after="40" w:line="240" w:lineRule="auto"/>
        <w:ind w:left="264" w:right="0" w:firstLine="0"/>
        <w:jc w:val="left"/>
        <w:rPr>
          <w:sz w:val="20"/>
          <w:szCs w:val="20"/>
        </w:rPr>
      </w:pPr>
      <w:r>
        <w:rPr>
          <w:color w:val="000000"/>
          <w:spacing w:val="0"/>
          <w:w w:val="100"/>
          <w:position w:val="0"/>
          <w:sz w:val="20"/>
          <w:szCs w:val="20"/>
        </w:rPr>
        <w:t>于报告期内，本公司不存在具有稀释性的潜在普通股，因此，稀释每股收益等于基本每股收益。</w:t>
      </w:r>
    </w:p>
    <w:p>
      <w:pPr>
        <w:pStyle w:val="Style34"/>
        <w:keepNext w:val="0"/>
        <w:keepLines w:val="0"/>
        <w:widowControl w:val="0"/>
        <w:shd w:val="clear" w:color="auto" w:fill="auto"/>
        <w:bidi w:val="0"/>
        <w:spacing w:before="0" w:after="0" w:line="240" w:lineRule="auto"/>
        <w:ind w:left="264" w:right="0" w:firstLine="0"/>
        <w:jc w:val="left"/>
        <w:rPr>
          <w:sz w:val="20"/>
          <w:szCs w:val="20"/>
        </w:rPr>
      </w:pPr>
      <w:r>
        <w:rPr>
          <w:color w:val="000000"/>
          <w:spacing w:val="0"/>
          <w:w w:val="100"/>
          <w:position w:val="0"/>
          <w:sz w:val="20"/>
          <w:szCs w:val="20"/>
        </w:rPr>
        <w:t>①计算基本每股收益时，归属于普通股股东的当期净利润为：</w:t>
      </w:r>
    </w:p>
    <w:tbl>
      <w:tblPr>
        <w:tblOverlap w:val="never"/>
        <w:jc w:val="center"/>
        <w:tblLayout w:type="fixed"/>
      </w:tblPr>
      <w:tblGrid>
        <w:gridCol w:w="4435"/>
        <w:gridCol w:w="2453"/>
        <w:gridCol w:w="2357"/>
      </w:tblGrid>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50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归属于普通股股东的当期净利</w:t>
            </w:r>
            <w:r>
              <w:rPr>
                <w:color w:val="000000"/>
                <w:spacing w:val="0"/>
                <w:w w:val="100"/>
                <w:position w:val="0"/>
                <w:sz w:val="18"/>
                <w:szCs w:val="18"/>
              </w:rPr>
              <w:t>J</w:t>
            </w:r>
            <w:r>
              <w:rPr>
                <w:color w:val="000000"/>
                <w:spacing w:val="0"/>
                <w:w w:val="100"/>
                <w:position w:val="0"/>
                <w:sz w:val="18"/>
                <w:szCs w:val="18"/>
              </w:rPr>
              <w:t>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Arial Narrow" w:eastAsia="Arial Narrow" w:hAnsi="Arial Narrow" w:cs="Arial Narrow"/>
                <w:color w:val="000000"/>
                <w:spacing w:val="0"/>
                <w:w w:val="100"/>
                <w:position w:val="0"/>
                <w:sz w:val="18"/>
                <w:szCs w:val="18"/>
              </w:rPr>
              <w:t>67,613,135.05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Arial Narrow" w:eastAsia="Arial Narrow" w:hAnsi="Arial Narrow" w:cs="Arial Narrow"/>
                <w:color w:val="000000"/>
                <w:spacing w:val="0"/>
                <w:w w:val="100"/>
                <w:position w:val="0"/>
                <w:sz w:val="18"/>
                <w:szCs w:val="18"/>
              </w:rPr>
              <w:t>97,101,627.40</w:t>
            </w:r>
          </w:p>
        </w:tc>
      </w:tr>
      <w:tr>
        <w:trPr>
          <w:trHeight w:val="50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其中：归属于持续经营的净利闰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Arial Narrow" w:eastAsia="Arial Narrow" w:hAnsi="Arial Narrow" w:cs="Arial Narrow"/>
                <w:color w:val="000000"/>
                <w:spacing w:val="0"/>
                <w:w w:val="100"/>
                <w:position w:val="0"/>
                <w:sz w:val="18"/>
                <w:szCs w:val="18"/>
              </w:rPr>
              <w:t>67,613,135.05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Arial Narrow" w:eastAsia="Arial Narrow" w:hAnsi="Arial Narrow" w:cs="Arial Narrow"/>
                <w:color w:val="000000"/>
                <w:spacing w:val="0"/>
                <w:w w:val="100"/>
                <w:position w:val="0"/>
                <w:sz w:val="18"/>
                <w:szCs w:val="18"/>
              </w:rPr>
              <w:t>97,101,627.40</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归属于终止经营的净利</w:t>
            </w:r>
            <w:r>
              <w:rPr>
                <w:color w:val="000000"/>
                <w:spacing w:val="0"/>
                <w:w w:val="100"/>
                <w:position w:val="0"/>
                <w:sz w:val="18"/>
                <w:szCs w:val="18"/>
              </w:rPr>
              <w:t>J</w:t>
            </w:r>
            <w:r>
              <w:rPr>
                <w:color w:val="000000"/>
                <w:spacing w:val="0"/>
                <w:w w:val="100"/>
                <w:position w:val="0"/>
                <w:sz w:val="18"/>
                <w:szCs w:val="18"/>
              </w:rPr>
              <w:t>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扣除非经常性损益后归属于公司普通股股东的净利润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Arial Narrow" w:eastAsia="Arial Narrow" w:hAnsi="Arial Narrow" w:cs="Arial Narrow"/>
                <w:color w:val="000000"/>
                <w:spacing w:val="0"/>
                <w:w w:val="100"/>
                <w:position w:val="0"/>
                <w:sz w:val="18"/>
                <w:szCs w:val="18"/>
              </w:rPr>
              <w:t>66,939,778.32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Arial Narrow" w:eastAsia="Arial Narrow" w:hAnsi="Arial Narrow" w:cs="Arial Narrow"/>
                <w:color w:val="000000"/>
                <w:spacing w:val="0"/>
                <w:w w:val="100"/>
                <w:position w:val="0"/>
                <w:sz w:val="18"/>
                <w:szCs w:val="18"/>
              </w:rPr>
              <w:t>85,871,699.57</w:t>
            </w:r>
          </w:p>
        </w:tc>
      </w:tr>
      <w:tr>
        <w:trPr>
          <w:trHeight w:val="50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其中：归属于持续经营的净利闰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Arial Narrow" w:eastAsia="Arial Narrow" w:hAnsi="Arial Narrow" w:cs="Arial Narrow"/>
                <w:color w:val="000000"/>
                <w:spacing w:val="0"/>
                <w:w w:val="100"/>
                <w:position w:val="0"/>
                <w:sz w:val="18"/>
                <w:szCs w:val="18"/>
              </w:rPr>
              <w:t>66,939,778.32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Arial Narrow" w:eastAsia="Arial Narrow" w:hAnsi="Arial Narrow" w:cs="Arial Narrow"/>
                <w:color w:val="000000"/>
                <w:spacing w:val="0"/>
                <w:w w:val="100"/>
                <w:position w:val="0"/>
                <w:sz w:val="18"/>
                <w:szCs w:val="18"/>
              </w:rPr>
              <w:t>85,871,699.57</w:t>
            </w:r>
          </w:p>
        </w:tc>
      </w:tr>
      <w:tr>
        <w:trPr>
          <w:trHeight w:val="5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归属于终止经营的净利</w:t>
            </w:r>
            <w:r>
              <w:rPr>
                <w:color w:val="000000"/>
                <w:spacing w:val="0"/>
                <w:w w:val="100"/>
                <w:position w:val="0"/>
                <w:sz w:val="18"/>
                <w:szCs w:val="18"/>
              </w:rPr>
              <w:t>J</w:t>
            </w:r>
            <w:r>
              <w:rPr>
                <w:color w:val="000000"/>
                <w:spacing w:val="0"/>
                <w:w w:val="100"/>
                <w:position w:val="0"/>
                <w:sz w:val="18"/>
                <w:szCs w:val="18"/>
              </w:rPr>
              <w:t>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259" w:right="0" w:firstLine="0"/>
        <w:jc w:val="left"/>
        <w:rPr>
          <w:sz w:val="20"/>
          <w:szCs w:val="20"/>
        </w:rPr>
      </w:pPr>
      <w:r>
        <w:rPr>
          <w:color w:val="000000"/>
          <w:spacing w:val="0"/>
          <w:w w:val="100"/>
          <w:position w:val="0"/>
          <w:sz w:val="20"/>
          <w:szCs w:val="20"/>
        </w:rPr>
        <w:t>③计算基本每股收益时，分母为发行在外普通股加权平均数，计算过程如下:</w:t>
      </w:r>
    </w:p>
    <w:tbl>
      <w:tblPr>
        <w:tblOverlap w:val="never"/>
        <w:jc w:val="center"/>
        <w:tblLayout w:type="fixed"/>
      </w:tblPr>
      <w:tblGrid>
        <w:gridCol w:w="4546"/>
        <w:gridCol w:w="2429"/>
        <w:gridCol w:w="2270"/>
      </w:tblGrid>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50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年初发行在外的普通股股数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206,700,000.00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206,700,000.00</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加：本年发行的普通股加权数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年末发行在外的普通股加权数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206,700,000.00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206,700,000.00</w:t>
            </w:r>
          </w:p>
        </w:tc>
      </w:tr>
    </w:tbl>
    <w:p>
      <w:pPr>
        <w:pStyle w:val="Style34"/>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38、现金流量表项目注释</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（1）收到其他与经营活动有关的现金</w:t>
      </w:r>
    </w:p>
    <w:p>
      <w:pPr>
        <w:widowControl w:val="0"/>
        <w:spacing w:after="319" w:line="1" w:lineRule="exact"/>
      </w:pP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6,116,624.21</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财政补贴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716,000.00</w:t>
            </w:r>
          </w:p>
        </w:tc>
      </w:tr>
      <w:tr>
        <w:trPr>
          <w:trHeight w:val="413"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押金</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4,715,146.00</w:t>
            </w:r>
          </w:p>
        </w:tc>
      </w:tr>
    </w:tbl>
    <w:p>
      <w:pPr>
        <w:spacing w:lineRule="exact" w:line="1"/>
        <w:rPr>
          <w:sz w:val="2"/>
          <w:szCs w:val="2"/>
        </w:rPr>
      </w:pPr>
      <w:r>
        <w:br w:type="page"/>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借款还回</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1,355,813.51</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赔偿金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450,688.15</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174,679.97</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13,528,951.84</w:t>
            </w:r>
          </w:p>
        </w:tc>
      </w:tr>
    </w:tbl>
    <w:p>
      <w:pPr>
        <w:pStyle w:val="Style3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收到的其他与经营活动有关的现金说明 无</w:t>
      </w:r>
    </w:p>
    <w:p>
      <w:pPr>
        <w:pStyle w:val="Style36"/>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1" w:name="bookmark10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59"/>
      <w:bookmarkEnd w:id="1060"/>
      <w:bookmarkEnd w:id="106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金额</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16,968,267.00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7,355,227.74</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3,695,164.56</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员工借款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2,723,236.16</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431,584.00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1,447,811.51</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技术开发费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1,023,995.28</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387,303.08</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13,773,422.19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47,806,011.52</w:t>
            </w:r>
          </w:p>
        </w:tc>
      </w:tr>
    </w:tbl>
    <w:p>
      <w:pPr>
        <w:pStyle w:val="Style30"/>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支付的其他与经营活动有关的现金说明 无</w:t>
      </w:r>
    </w:p>
    <w:p>
      <w:pPr>
        <w:pStyle w:val="Style36"/>
        <w:keepNext/>
        <w:keepLines/>
        <w:widowControl w:val="0"/>
        <w:numPr>
          <w:ilvl w:val="0"/>
          <w:numId w:val="53"/>
        </w:numPr>
        <w:shd w:val="clear" w:color="auto" w:fill="auto"/>
        <w:bidi w:val="0"/>
        <w:spacing w:before="0" w:after="36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收到的其他与筹资活动有关的现金</w:t>
      </w:r>
      <w:bookmarkEnd w:id="1062"/>
      <w:bookmarkEnd w:id="1063"/>
      <w:bookmarkEnd w:id="106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承兑保证金净增加额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2,353,011.04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2,353,011.04</w:t>
            </w:r>
          </w:p>
        </w:tc>
      </w:tr>
    </w:tbl>
    <w:p>
      <w:pPr>
        <w:pStyle w:val="Style30"/>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收到的其他与筹资活动有关的现金说明 无</w:t>
      </w:r>
    </w:p>
    <w:p>
      <w:pPr>
        <w:pStyle w:val="Style36"/>
        <w:keepNext/>
        <w:keepLines/>
        <w:widowControl w:val="0"/>
        <w:numPr>
          <w:ilvl w:val="0"/>
          <w:numId w:val="53"/>
        </w:numPr>
        <w:shd w:val="clear" w:color="auto" w:fill="auto"/>
        <w:bidi w:val="0"/>
        <w:spacing w:before="0" w:after="36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支付的其他与筹资活动有关的现金</w:t>
      </w:r>
      <w:bookmarkEnd w:id="1066"/>
      <w:bookmarkEnd w:id="1067"/>
      <w:bookmarkEnd w:id="106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金额</w:t>
            </w:r>
          </w:p>
        </w:tc>
      </w:tr>
    </w:tbl>
    <w:p>
      <w:pPr>
        <w:spacing w:lineRule="exact" w:line="1"/>
        <w:rPr>
          <w:sz w:val="2"/>
          <w:szCs w:val="2"/>
        </w:rPr>
      </w:pPr>
      <w:r>
        <w:br w:type="page"/>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分配股利支付的手续费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152,539.84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152,539.84</w:t>
            </w:r>
          </w:p>
        </w:tc>
      </w:tr>
    </w:tbl>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支付的其他与筹资活动有关的现金说明 无。</w:t>
      </w:r>
    </w:p>
    <w:p>
      <w:pPr>
        <w:pStyle w:val="Style36"/>
        <w:keepNext/>
        <w:keepLines/>
        <w:widowControl w:val="0"/>
        <w:shd w:val="clear" w:color="auto" w:fill="auto"/>
        <w:bidi w:val="0"/>
        <w:spacing w:before="0" w:after="360" w:line="240" w:lineRule="auto"/>
        <w:ind w:left="0" w:right="0" w:firstLine="0"/>
        <w:jc w:val="left"/>
      </w:pPr>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39</w:t>
      </w:r>
      <w:r>
        <w:rPr>
          <w:color w:val="000000"/>
          <w:spacing w:val="0"/>
          <w:w w:val="100"/>
          <w:position w:val="0"/>
        </w:rPr>
        <w:t>、现金流量表补充资料</w:t>
      </w:r>
      <w:bookmarkEnd w:id="1070"/>
      <w:bookmarkEnd w:id="1071"/>
      <w:bookmarkEnd w:id="1072"/>
    </w:p>
    <w:p>
      <w:pPr>
        <w:pStyle w:val="Style36"/>
        <w:keepNext/>
        <w:keepLines/>
        <w:widowControl w:val="0"/>
        <w:shd w:val="clear" w:color="auto" w:fill="auto"/>
        <w:bidi w:val="0"/>
        <w:spacing w:before="0" w:after="360" w:line="240" w:lineRule="auto"/>
        <w:ind w:left="0" w:right="0" w:firstLine="0"/>
        <w:jc w:val="left"/>
      </w:pPr>
      <w:bookmarkStart w:id="1070" w:name="bookmark1070"/>
      <w:bookmarkStart w:id="1071" w:name="bookmark1071"/>
      <w:bookmarkStart w:id="1073" w:name="bookmark10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70"/>
      <w:bookmarkEnd w:id="1071"/>
      <w:bookmarkEnd w:id="107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67,613,135.05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97,101,627.40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5,865,149.42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3,745,348.32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10,310,054.68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8,051,039.16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2,282,864.88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1,154,342.84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4,174.34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处置固定资产、无形资产和其他长期资产的损失（收 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-121,858.45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-138,839.96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-3,196,090.12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-3,056,178.08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-877,569.30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-558,975.72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-2,284,183.92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-5,281,680.12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-28,316,368.14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-63,636,821.06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-8,319,943.73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2,344,423.77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43,031,250.37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39,728,460.89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231,586,071.85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286,736,092.76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286,736,092.76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257,303,638.15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-55,150,020.91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29,432,454.61</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074"/>
      <w:bookmarkEnd w:id="1075"/>
      <w:bookmarkEnd w:id="107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87"/>
        <w:gridCol w:w="2525"/>
        <w:gridCol w:w="266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10,970.76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6,635.18</w:t>
            </w:r>
          </w:p>
        </w:tc>
      </w:tr>
    </w:tbl>
    <w:p>
      <w:pPr>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70" w:right="1064" w:bottom="1570" w:left="1074" w:header="0" w:footer="3" w:gutter="0"/>
          <w:cols w:space="720"/>
          <w:noEndnote/>
          <w:titlePg/>
          <w:rtlGutter w:val="0"/>
          <w:docGrid w:linePitch="360"/>
        </w:sectPr>
      </w:pPr>
    </w:p>
    <w:p>
      <w:pPr>
        <w:widowControl w:val="0"/>
        <w:spacing w:after="419" w:line="1" w:lineRule="exact"/>
      </w:pPr>
    </w:p>
    <w:tbl>
      <w:tblPr>
        <w:tblOverlap w:val="never"/>
        <w:jc w:val="center"/>
        <w:tblLayout w:type="fixed"/>
      </w:tblPr>
      <w:tblGrid>
        <w:gridCol w:w="4387"/>
        <w:gridCol w:w="2525"/>
        <w:gridCol w:w="2669"/>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231,575,101.09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286,729,457.58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二、现金等价物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231,586,071.85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286,736,092.76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231,586,071.85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286,736,092.76</w:t>
            </w:r>
          </w:p>
        </w:tc>
      </w:tr>
    </w:tbl>
    <w:p>
      <w:pPr>
        <w:pStyle w:val="Style30"/>
        <w:keepNext w:val="0"/>
        <w:keepLines w:val="0"/>
        <w:widowControl w:val="0"/>
        <w:shd w:val="clear" w:color="auto" w:fill="auto"/>
        <w:bidi w:val="0"/>
        <w:spacing w:before="0" w:after="360" w:line="355" w:lineRule="exact"/>
        <w:ind w:left="0" w:right="0" w:firstLine="0"/>
        <w:jc w:val="left"/>
      </w:pPr>
      <w:r>
        <w:rPr>
          <w:color w:val="000000"/>
          <w:spacing w:val="0"/>
          <w:w w:val="100"/>
          <w:position w:val="0"/>
        </w:rPr>
        <w:t>现金流量表补充资料的说明 无。</w:t>
      </w:r>
    </w:p>
    <w:p>
      <w:pPr>
        <w:pStyle w:val="Style25"/>
        <w:keepNext/>
        <w:keepLines/>
        <w:widowControl w:val="0"/>
        <w:shd w:val="clear" w:color="auto" w:fill="auto"/>
        <w:bidi w:val="0"/>
        <w:spacing w:before="0" w:after="32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sz w:val="24"/>
          <w:szCs w:val="24"/>
        </w:rPr>
        <w:t>八</w:t>
      </w:r>
      <w:bookmarkEnd w:id="1079"/>
      <w:r>
        <w:rPr>
          <w:color w:val="000000"/>
          <w:spacing w:val="0"/>
          <w:w w:val="100"/>
          <w:position w:val="0"/>
          <w:sz w:val="24"/>
          <w:szCs w:val="24"/>
        </w:rPr>
        <w:t>、关联方及关联交易</w:t>
      </w:r>
      <w:bookmarkEnd w:id="1077"/>
      <w:bookmarkEnd w:id="1078"/>
      <w:bookmarkEnd w:id="1080"/>
    </w:p>
    <w:p>
      <w:pPr>
        <w:pStyle w:val="Style36"/>
        <w:keepNext/>
        <w:keepLines/>
        <w:widowControl w:val="0"/>
        <w:shd w:val="clear" w:color="auto" w:fill="auto"/>
        <w:bidi w:val="0"/>
        <w:spacing w:before="0" w:after="320" w:line="240" w:lineRule="auto"/>
        <w:ind w:left="0" w:right="0" w:firstLine="0"/>
        <w:jc w:val="left"/>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r>
        <w:rPr>
          <w:color w:val="000000"/>
          <w:spacing w:val="0"/>
          <w:w w:val="100"/>
          <w:position w:val="0"/>
        </w:rPr>
        <w:t>、本企业的子公司情况</w:t>
      </w:r>
      <w:bookmarkEnd w:id="1081"/>
      <w:bookmarkEnd w:id="1082"/>
      <w:bookmarkEnd w:id="1083"/>
    </w:p>
    <w:tbl>
      <w:tblPr>
        <w:tblOverlap w:val="never"/>
        <w:jc w:val="center"/>
        <w:tblLayout w:type="fixed"/>
      </w:tblPr>
      <w:tblGrid>
        <w:gridCol w:w="960"/>
        <w:gridCol w:w="955"/>
        <w:gridCol w:w="960"/>
        <w:gridCol w:w="955"/>
        <w:gridCol w:w="960"/>
        <w:gridCol w:w="955"/>
        <w:gridCol w:w="960"/>
        <w:gridCol w:w="955"/>
        <w:gridCol w:w="955"/>
        <w:gridCol w:w="96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子公司全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子公司类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法定代表</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持股比例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表决权比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组织机构 代码</w:t>
            </w:r>
          </w:p>
        </w:tc>
      </w:tr>
      <w:tr>
        <w:trPr>
          <w:trHeight w:val="1339"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泰安市华 得软件科 技有限责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控股子公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有限责任 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山东泰安</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电子产品</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66674115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1651"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尤洛卡</w:t>
            </w:r>
          </w:p>
          <w:p>
            <w:pPr>
              <w:pStyle w:val="Style21"/>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(北京) 矿业工程 技术研究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控股子公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有限责任 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技术研究 发展</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58912044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1344" w:hRule="exact"/>
        </w:trPr>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尤洛卡</w:t>
            </w:r>
          </w:p>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(上海) 国际贸易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控股子公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一人有限 责任公司</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国际贸易</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58871824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r>
        <w:rPr>
          <w:color w:val="000000"/>
          <w:spacing w:val="0"/>
          <w:w w:val="100"/>
          <w:position w:val="0"/>
        </w:rPr>
        <w:t>、本企业的其他关联方情况</w:t>
      </w:r>
      <w:bookmarkEnd w:id="1084"/>
      <w:bookmarkEnd w:id="1085"/>
      <w:bookmarkEnd w:id="1086"/>
    </w:p>
    <w:tbl>
      <w:tblPr>
        <w:tblOverlap w:val="never"/>
        <w:jc w:val="center"/>
        <w:tblLayout w:type="fixed"/>
      </w:tblPr>
      <w:tblGrid>
        <w:gridCol w:w="3187"/>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组织机构代码</w:t>
            </w:r>
          </w:p>
        </w:tc>
      </w:tr>
      <w:tr>
        <w:trPr>
          <w:trHeight w:val="398"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闫相宏</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股东，持本公司</w:t>
            </w:r>
            <w:r>
              <w:rPr>
                <w:rFonts w:ascii="Times New Roman" w:eastAsia="Times New Roman" w:hAnsi="Times New Roman" w:cs="Times New Roman"/>
                <w:color w:val="000000"/>
                <w:spacing w:val="0"/>
                <w:w w:val="100"/>
                <w:position w:val="0"/>
                <w:sz w:val="18"/>
                <w:szCs w:val="18"/>
              </w:rPr>
              <w:t>20.65%</w:t>
            </w:r>
            <w:r>
              <w:rPr>
                <w:color w:val="000000"/>
                <w:spacing w:val="0"/>
                <w:w w:val="100"/>
                <w:position w:val="0"/>
                <w:sz w:val="18"/>
                <w:szCs w:val="18"/>
              </w:rPr>
              <w:t>的股份</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李新安</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公司高管，持本公司</w:t>
            </w:r>
            <w:r>
              <w:rPr>
                <w:rFonts w:ascii="Times New Roman" w:eastAsia="Times New Roman" w:hAnsi="Times New Roman" w:cs="Times New Roman"/>
                <w:color w:val="000000"/>
                <w:spacing w:val="0"/>
                <w:w w:val="100"/>
                <w:position w:val="0"/>
                <w:sz w:val="18"/>
                <w:szCs w:val="18"/>
              </w:rPr>
              <w:t>3.10%</w:t>
            </w:r>
            <w:r>
              <w:rPr>
                <w:color w:val="000000"/>
                <w:spacing w:val="0"/>
                <w:w w:val="100"/>
                <w:position w:val="0"/>
                <w:sz w:val="18"/>
                <w:szCs w:val="18"/>
              </w:rPr>
              <w:t>的股份</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黄屹峰</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王晶华之子</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北京富华宇祺信息技术有限公司</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w:t>
            </w:r>
          </w:p>
        </w:tc>
        <w:tc>
          <w:tcPr>
            <w:tcBorders>
              <w:top w:val="single" w:sz="4"/>
              <w:left w:val="single" w:sz="4"/>
              <w:bottom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67281369-6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本企业的其他关联方情况的说明</w:t>
      </w:r>
    </w:p>
    <w:p>
      <w:pPr>
        <w:pStyle w:val="Style36"/>
        <w:keepNext/>
        <w:keepLines/>
        <w:widowControl w:val="0"/>
        <w:shd w:val="clear" w:color="auto" w:fill="auto"/>
        <w:bidi w:val="0"/>
        <w:spacing w:before="0" w:after="32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color w:val="000000"/>
          <w:spacing w:val="0"/>
          <w:w w:val="100"/>
          <w:position w:val="0"/>
        </w:rPr>
        <w:t>、关联方交易</w:t>
      </w:r>
      <w:bookmarkEnd w:id="1087"/>
      <w:bookmarkEnd w:id="1088"/>
      <w:bookmarkEnd w:id="1090"/>
    </w:p>
    <w:p>
      <w:pPr>
        <w:pStyle w:val="Style36"/>
        <w:keepNext/>
        <w:keepLines/>
        <w:widowControl w:val="0"/>
        <w:shd w:val="clear" w:color="auto" w:fill="auto"/>
        <w:bidi w:val="0"/>
        <w:spacing w:before="0" w:after="320" w:line="240" w:lineRule="auto"/>
        <w:ind w:left="0" w:right="0" w:firstLine="0"/>
        <w:jc w:val="left"/>
      </w:pPr>
      <w:bookmarkStart w:id="1087" w:name="bookmark1087"/>
      <w:bookmarkStart w:id="1088" w:name="bookmark1088"/>
      <w:bookmarkStart w:id="1091" w:name="bookmark10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087"/>
      <w:bookmarkEnd w:id="1088"/>
      <w:bookmarkEnd w:id="1091"/>
      <w:r>
        <w:br w:type="page"/>
      </w:r>
    </w:p>
    <w:tbl>
      <w:tblPr>
        <w:tblOverlap w:val="never"/>
        <w:jc w:val="center"/>
        <w:tblLayout w:type="fixed"/>
      </w:tblPr>
      <w:tblGrid>
        <w:gridCol w:w="1598"/>
        <w:gridCol w:w="1728"/>
        <w:gridCol w:w="1459"/>
        <w:gridCol w:w="1594"/>
        <w:gridCol w:w="802"/>
        <w:gridCol w:w="1594"/>
        <w:gridCol w:w="859"/>
      </w:tblGrid>
      <w:tr>
        <w:trPr>
          <w:trHeight w:val="374"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关联交易定价 方式及决策程 序</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占同类 交易金 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占同类 交易金 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754"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出售商品、提供劳务情况表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关联交易定价 方式及决策程 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占同类 交易金 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占同类 交易金 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北京富华宇祺信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息技术有限公司</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出售商品</w:t>
            </w:r>
          </w:p>
        </w:tc>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4,548,875.09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4</w:t>
      </w:r>
      <w:bookmarkEnd w:id="1094"/>
      <w:r>
        <w:rPr>
          <w:color w:val="000000"/>
          <w:spacing w:val="0"/>
          <w:w w:val="100"/>
          <w:position w:val="0"/>
        </w:rPr>
        <w:t>、关联方应收应付款项</w:t>
      </w:r>
      <w:bookmarkEnd w:id="1092"/>
      <w:bookmarkEnd w:id="1093"/>
      <w:bookmarkEnd w:id="109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9"/>
        <w:gridCol w:w="1670"/>
        <w:gridCol w:w="1459"/>
        <w:gridCol w:w="1464"/>
        <w:gridCol w:w="1454"/>
        <w:gridCol w:w="147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r>
      <w:tr>
        <w:trPr>
          <w:trHeight w:val="725" w:hRule="exact"/>
        </w:trPr>
        <w:tc>
          <w:tcPr>
            <w:tcBorders>
              <w:top w:val="single" w:sz="4"/>
              <w:left w:val="single" w:sz="4"/>
              <w:bottom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CCE8CF"/>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北京富华宇祺信息 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5,322,183.79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56"/>
        <w:gridCol w:w="2256"/>
        <w:gridCol w:w="227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sz w:val="24"/>
          <w:szCs w:val="24"/>
        </w:rPr>
        <w:t>九</w:t>
      </w:r>
      <w:bookmarkEnd w:id="1098"/>
      <w:r>
        <w:rPr>
          <w:color w:val="000000"/>
          <w:spacing w:val="0"/>
          <w:w w:val="100"/>
          <w:position w:val="0"/>
          <w:sz w:val="24"/>
          <w:szCs w:val="24"/>
        </w:rPr>
        <w:t>、承诺事项</w:t>
      </w:r>
      <w:bookmarkEnd w:id="1096"/>
      <w:bookmarkEnd w:id="1097"/>
      <w:bookmarkEnd w:id="1099"/>
    </w:p>
    <w:p>
      <w:pPr>
        <w:pStyle w:val="Style36"/>
        <w:keepNext/>
        <w:keepLines/>
        <w:widowControl w:val="0"/>
        <w:shd w:val="clear" w:color="auto" w:fill="auto"/>
        <w:tabs>
          <w:tab w:pos="368" w:val="left"/>
        </w:tabs>
        <w:bidi w:val="0"/>
        <w:spacing w:before="0" w:after="32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color w:val="000000"/>
          <w:spacing w:val="0"/>
          <w:w w:val="100"/>
          <w:position w:val="0"/>
        </w:rPr>
        <w:t>、</w:t>
        <w:tab/>
        <w:t>重大承诺事项</w:t>
      </w:r>
      <w:bookmarkEnd w:id="1100"/>
      <w:bookmarkEnd w:id="1101"/>
      <w:bookmarkEnd w:id="110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日，本公司无需要披露的重大承诺事项。</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color w:val="000000"/>
          <w:spacing w:val="0"/>
          <w:w w:val="100"/>
          <w:position w:val="0"/>
        </w:rPr>
        <w:t>、</w:t>
        <w:tab/>
        <w:t>前期承诺履行情况</w:t>
      </w:r>
      <w:bookmarkEnd w:id="1104"/>
      <w:bookmarkEnd w:id="1105"/>
      <w:bookmarkEnd w:id="1107"/>
    </w:p>
    <w:p>
      <w:pPr>
        <w:pStyle w:val="Style30"/>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全部认真得到履行。</w:t>
      </w:r>
    </w:p>
    <w:p>
      <w:pPr>
        <w:pStyle w:val="Style25"/>
        <w:keepNext/>
        <w:keepLines/>
        <w:widowControl w:val="0"/>
        <w:shd w:val="clear" w:color="auto" w:fill="auto"/>
        <w:bidi w:val="0"/>
        <w:spacing w:before="0" w:after="340" w:line="240" w:lineRule="auto"/>
        <w:ind w:left="0" w:right="0" w:firstLine="0"/>
        <w:jc w:val="both"/>
      </w:pPr>
      <w:bookmarkStart w:id="1108" w:name="bookmark1108"/>
      <w:bookmarkStart w:id="1109" w:name="bookmark1109"/>
      <w:bookmarkStart w:id="1110" w:name="bookmark1110"/>
      <w:r>
        <w:rPr>
          <w:color w:val="000000"/>
          <w:spacing w:val="0"/>
          <w:w w:val="100"/>
          <w:position w:val="0"/>
          <w:sz w:val="24"/>
          <w:szCs w:val="24"/>
        </w:rPr>
        <w:t>十、资产负债表日后事项</w:t>
      </w:r>
      <w:bookmarkEnd w:id="1108"/>
      <w:bookmarkEnd w:id="1109"/>
      <w:bookmarkEnd w:id="1110"/>
    </w:p>
    <w:p>
      <w:pPr>
        <w:pStyle w:val="Style36"/>
        <w:keepNext/>
        <w:keepLines/>
        <w:widowControl w:val="0"/>
        <w:shd w:val="clear" w:color="auto" w:fill="auto"/>
        <w:bidi w:val="0"/>
        <w:spacing w:before="0" w:line="240" w:lineRule="auto"/>
        <w:ind w:left="0" w:right="0" w:firstLine="0"/>
        <w:jc w:val="both"/>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111"/>
      <w:bookmarkEnd w:id="1112"/>
      <w:bookmarkEnd w:id="111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21,459,945.30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经审议批准宣告发放的利润或股利</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6"/>
        <w:keepNext/>
        <w:keepLines/>
        <w:widowControl w:val="0"/>
        <w:shd w:val="clear" w:color="auto" w:fill="auto"/>
        <w:bidi w:val="0"/>
        <w:spacing w:before="0" w:after="240" w:line="240" w:lineRule="auto"/>
        <w:ind w:left="0" w:right="0" w:firstLine="0"/>
        <w:jc w:val="both"/>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114"/>
      <w:bookmarkEnd w:id="1115"/>
      <w:bookmarkEnd w:id="1116"/>
    </w:p>
    <w:p>
      <w:pPr>
        <w:pStyle w:val="Style30"/>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after="340" w:line="240" w:lineRule="auto"/>
        <w:ind w:left="0" w:right="0" w:firstLine="0"/>
        <w:jc w:val="both"/>
      </w:pPr>
      <w:bookmarkStart w:id="1117" w:name="bookmark1117"/>
      <w:bookmarkStart w:id="1118" w:name="bookmark1118"/>
      <w:bookmarkStart w:id="1119" w:name="bookmark1119"/>
      <w:r>
        <w:rPr>
          <w:color w:val="000000"/>
          <w:spacing w:val="0"/>
          <w:w w:val="100"/>
          <w:position w:val="0"/>
          <w:sz w:val="24"/>
          <w:szCs w:val="24"/>
        </w:rPr>
        <w:t>十一、其他重要事项</w:t>
      </w:r>
      <w:bookmarkEnd w:id="1117"/>
      <w:bookmarkEnd w:id="1118"/>
      <w:bookmarkEnd w:id="1119"/>
    </w:p>
    <w:p>
      <w:pPr>
        <w:pStyle w:val="Style36"/>
        <w:keepNext/>
        <w:keepLines/>
        <w:widowControl w:val="0"/>
        <w:shd w:val="clear" w:color="auto" w:fill="auto"/>
        <w:bidi w:val="0"/>
        <w:spacing w:before="0" w:after="240" w:line="240" w:lineRule="auto"/>
        <w:ind w:left="0" w:right="0" w:firstLine="0"/>
        <w:jc w:val="both"/>
      </w:pPr>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120"/>
      <w:bookmarkEnd w:id="1121"/>
      <w:bookmarkEnd w:id="1122"/>
    </w:p>
    <w:p>
      <w:pPr>
        <w:pStyle w:val="Style30"/>
        <w:keepNext w:val="0"/>
        <w:keepLines w:val="0"/>
        <w:widowControl w:val="0"/>
        <w:shd w:val="clear" w:color="auto" w:fill="auto"/>
        <w:bidi w:val="0"/>
        <w:spacing w:before="0" w:after="340" w:line="314" w:lineRule="exact"/>
        <w:ind w:left="0" w:right="0" w:firstLine="0"/>
        <w:jc w:val="left"/>
      </w:pPr>
      <w:r>
        <w:rPr>
          <w:color w:val="000000"/>
          <w:spacing w:val="0"/>
          <w:w w:val="100"/>
          <w:position w:val="0"/>
        </w:rPr>
        <w:t>非公开发行股份及现金购买资产事项：公司于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日与北京富华宇祺信息技术有限公司(以下简称“富华宇祺”) 等签署《非公开发行股份购买资产框架协议》，拟通过发行股份及支付现金购买富华宇祺</w:t>
      </w:r>
      <w:r>
        <w:rPr>
          <w:color w:val="000000"/>
          <w:spacing w:val="0"/>
          <w:w w:val="100"/>
          <w:position w:val="0"/>
        </w:rPr>
        <w:t>53.21%</w:t>
      </w:r>
      <w:r>
        <w:rPr>
          <w:color w:val="000000"/>
          <w:spacing w:val="0"/>
          <w:w w:val="100"/>
          <w:position w:val="0"/>
        </w:rPr>
        <w:t>的股份。经</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 召开的第二届董事会第五次会议审议通过《发行股份及支付现金购买资产并募集配套资金的议案》，同意公司筹划发行股份 及支付现金购买资产事项，并已于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日与北京富华宇祺信息技术有限公司股东签署了《发行股份及支付现金购 买资产协议》。截至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日公司已接到中国证券监督管理委员会证监许可〔</w:t>
      </w:r>
      <w:r>
        <w:rPr>
          <w:color w:val="000000"/>
          <w:spacing w:val="0"/>
          <w:w w:val="100"/>
          <w:position w:val="0"/>
        </w:rPr>
        <w:t>2013) 1637</w:t>
      </w:r>
      <w:r>
        <w:rPr>
          <w:color w:val="000000"/>
          <w:spacing w:val="0"/>
          <w:w w:val="100"/>
          <w:position w:val="0"/>
        </w:rPr>
        <w:t>号《关于核准尤洛卡矿业安 全工程股份有限公司向田斌等发行股份购买资产的批复》的文件。</w:t>
      </w:r>
    </w:p>
    <w:p>
      <w:pPr>
        <w:pStyle w:val="Style25"/>
        <w:keepNext/>
        <w:keepLines/>
        <w:widowControl w:val="0"/>
        <w:shd w:val="clear" w:color="auto" w:fill="auto"/>
        <w:bidi w:val="0"/>
        <w:spacing w:before="0" w:after="340" w:line="240" w:lineRule="auto"/>
        <w:ind w:left="0" w:right="0" w:firstLine="0"/>
        <w:jc w:val="left"/>
      </w:pPr>
      <w:bookmarkStart w:id="1123" w:name="bookmark1123"/>
      <w:bookmarkStart w:id="1124" w:name="bookmark1124"/>
      <w:bookmarkStart w:id="1125" w:name="bookmark1125"/>
      <w:r>
        <w:rPr>
          <w:color w:val="000000"/>
          <w:spacing w:val="0"/>
          <w:w w:val="100"/>
          <w:position w:val="0"/>
          <w:sz w:val="24"/>
          <w:szCs w:val="24"/>
        </w:rPr>
        <w:t>十二、母公司财务报表主要项目注释</w:t>
      </w:r>
      <w:bookmarkEnd w:id="1123"/>
      <w:bookmarkEnd w:id="1124"/>
      <w:bookmarkEnd w:id="1125"/>
    </w:p>
    <w:p>
      <w:pPr>
        <w:pStyle w:val="Style36"/>
        <w:keepNext/>
        <w:keepLines/>
        <w:widowControl w:val="0"/>
        <w:shd w:val="clear" w:color="auto" w:fill="auto"/>
        <w:bidi w:val="0"/>
        <w:spacing w:before="0" w:line="240" w:lineRule="auto"/>
        <w:ind w:left="0" w:right="0" w:firstLine="0"/>
        <w:jc w:val="both"/>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26"/>
      <w:bookmarkEnd w:id="1127"/>
      <w:bookmarkEnd w:id="1128"/>
    </w:p>
    <w:p>
      <w:pPr>
        <w:pStyle w:val="Style36"/>
        <w:keepNext/>
        <w:keepLines/>
        <w:widowControl w:val="0"/>
        <w:shd w:val="clear" w:color="auto" w:fill="auto"/>
        <w:bidi w:val="0"/>
        <w:spacing w:before="0" w:line="240" w:lineRule="auto"/>
        <w:ind w:left="0" w:right="0" w:firstLine="0"/>
        <w:jc w:val="both"/>
      </w:pPr>
      <w:bookmarkStart w:id="1126" w:name="bookmark1126"/>
      <w:bookmarkStart w:id="1127" w:name="bookmark1127"/>
      <w:bookmarkStart w:id="1129" w:name="bookmark11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26"/>
      <w:bookmarkEnd w:id="1127"/>
      <w:bookmarkEnd w:id="112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528"/>
        <w:gridCol w:w="1330"/>
        <w:gridCol w:w="667"/>
        <w:gridCol w:w="1190"/>
        <w:gridCol w:w="667"/>
        <w:gridCol w:w="1330"/>
        <w:gridCol w:w="67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9" w:lineRule="exact"/>
              <w:ind w:left="0" w:right="0" w:firstLine="0"/>
              <w:jc w:val="center"/>
              <w:rPr>
                <w:sz w:val="18"/>
                <w:szCs w:val="18"/>
              </w:rPr>
            </w:pPr>
            <w:r>
              <w:rPr>
                <w:color w:val="000000"/>
                <w:spacing w:val="0"/>
                <w:w w:val="100"/>
                <w:position w:val="0"/>
                <w:sz w:val="18"/>
                <w:szCs w:val="18"/>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按组合计提坏账准备的应收账款</w:t>
            </w:r>
          </w:p>
        </w:tc>
      </w:tr>
      <w:tr>
        <w:trPr>
          <w:trHeight w:val="710"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176,717,185.</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15,068,689.08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145,781,002.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9,241,402.51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35,246.00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176,752,431.</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15,068,689.08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145,781,002.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9,241,402.51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002"/>
        <w:gridCol w:w="1195"/>
        <w:gridCol w:w="528"/>
        <w:gridCol w:w="1330"/>
        <w:gridCol w:w="667"/>
        <w:gridCol w:w="1190"/>
        <w:gridCol w:w="667"/>
        <w:gridCol w:w="1330"/>
        <w:gridCol w:w="672"/>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176,752,431.</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15,068,689.08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145,781,002.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9,241,402.51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997"/>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126,739,115.39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71.72</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6,336,955.77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118,066,531.00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5,903,326.55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126,739,115.39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71.72</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6,336,955.77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118,066,531.00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5,903,326.55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38,313,795.85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21.68</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3,831,379.59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24,881,327.90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2,488,132.79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9,662,743.26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5.47</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2,898,822.98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2,833,143.90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849,943.17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2,001,530.74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2,001,530.74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176,717,185.24</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15,068,689.08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145,781,002.80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9,241,402.51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r>
        <w:rPr>
          <w:color w:val="000000"/>
          <w:spacing w:val="0"/>
          <w:w w:val="100"/>
          <w:position w:val="0"/>
        </w:rPr>
        <w:t>)应收关联方账款情况</w:t>
      </w:r>
      <w:bookmarkEnd w:id="1130"/>
      <w:bookmarkEnd w:id="1131"/>
      <w:bookmarkEnd w:id="113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29"/>
        <w:gridCol w:w="244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北京富华宇祺信息技术有</w:t>
            </w:r>
          </w:p>
        </w:tc>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为尤洛卡的控股子公司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35,246.00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spacing w:lineRule="exact" w:line="1"/>
        <w:rPr>
          <w:sz w:val="2"/>
          <w:szCs w:val="2"/>
        </w:rPr>
      </w:pPr>
      <w:r>
        <w:br w:type="page"/>
      </w:r>
    </w:p>
    <w:tbl>
      <w:tblPr>
        <w:tblOverlap w:val="never"/>
        <w:jc w:val="center"/>
        <w:tblLayout w:type="fixed"/>
      </w:tblPr>
      <w:tblGrid>
        <w:gridCol w:w="2280"/>
        <w:gridCol w:w="2429"/>
        <w:gridCol w:w="2429"/>
        <w:gridCol w:w="2443"/>
      </w:tblGrid>
      <w:tr>
        <w:trPr>
          <w:trHeight w:val="365"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35,246.00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33"/>
      <w:bookmarkEnd w:id="1134"/>
      <w:bookmarkEnd w:id="1135"/>
    </w:p>
    <w:p>
      <w:pPr>
        <w:pStyle w:val="Style36"/>
        <w:keepNext/>
        <w:keepLines/>
        <w:widowControl w:val="0"/>
        <w:shd w:val="clear" w:color="auto" w:fill="auto"/>
        <w:bidi w:val="0"/>
        <w:spacing w:before="0" w:after="360" w:line="240" w:lineRule="auto"/>
        <w:ind w:left="0" w:right="0" w:firstLine="0"/>
        <w:jc w:val="left"/>
      </w:pPr>
      <w:bookmarkStart w:id="1133" w:name="bookmark1133"/>
      <w:bookmarkStart w:id="1134" w:name="bookmark1134"/>
      <w:bookmarkStart w:id="1136" w:name="bookmark113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33"/>
      <w:bookmarkEnd w:id="1134"/>
      <w:bookmarkEnd w:id="11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9" w:lineRule="exact"/>
              <w:ind w:left="0" w:right="0" w:firstLine="0"/>
              <w:jc w:val="center"/>
              <w:rPr>
                <w:sz w:val="18"/>
                <w:szCs w:val="18"/>
              </w:rPr>
            </w:pPr>
            <w:r>
              <w:rPr>
                <w:color w:val="000000"/>
                <w:spacing w:val="0"/>
                <w:w w:val="100"/>
                <w:position w:val="0"/>
                <w:sz w:val="18"/>
                <w:szCs w:val="18"/>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 xml:space="preserve">比 例 </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按组合计提坏账准备的其他应收款</w:t>
            </w:r>
          </w:p>
        </w:tc>
      </w:tr>
      <w:tr>
        <w:trPr>
          <w:trHeight w:val="1027"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1,926,189.95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192,414.14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2,653,881.19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w:t>
            </w:r>
          </w:p>
          <w:p>
            <w:pPr>
              <w:pStyle w:val="Style21"/>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w:t>
            </w:r>
          </w:p>
          <w:p>
            <w:pPr>
              <w:pStyle w:val="Style21"/>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169,209.06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0"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1,926,189.95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192,414.14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2,933,881.19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169,209.06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1,926,189.95</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192,414.14</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2,933,881.19</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169,209.06</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0"/>
        <w:gridCol w:w="662"/>
        <w:gridCol w:w="1594"/>
        <w:gridCol w:w="1862"/>
        <w:gridCol w:w="662"/>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1,093,804.11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56.79</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54,690.21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2,103,581.19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105,179.06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1,093,804.11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56.79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54,690.21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2,103,581.19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79.26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105,179.06</w:t>
            </w:r>
          </w:p>
        </w:tc>
      </w:tr>
    </w:tbl>
    <w:p>
      <w:pPr>
        <w:spacing w:lineRule="exact" w:line="1"/>
        <w:rPr>
          <w:sz w:val="2"/>
          <w:szCs w:val="2"/>
        </w:rPr>
      </w:pPr>
      <w:r>
        <w:br w:type="page"/>
      </w:r>
    </w:p>
    <w:tbl>
      <w:tblPr>
        <w:tblOverlap w:val="never"/>
        <w:jc w:val="center"/>
        <w:tblLayout w:type="fixed"/>
      </w:tblPr>
      <w:tblGrid>
        <w:gridCol w:w="1267"/>
        <w:gridCol w:w="1795"/>
        <w:gridCol w:w="662"/>
        <w:gridCol w:w="1594"/>
        <w:gridCol w:w="1862"/>
        <w:gridCol w:w="662"/>
        <w:gridCol w:w="173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559,959.11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29.07</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55,995.91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272,426.73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14.14</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81,728.02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1,926,189.95</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192,414.14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2,653,881.19</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169,209.06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137"/>
      <w:bookmarkEnd w:id="1138"/>
      <w:bookmarkEnd w:id="113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占其他应收款总额的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义马煤业集团股份有 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420,550.00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郑力维</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7.58%</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河北宏信招标有限公 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孙黎明</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109,502.00</w:t>
            </w:r>
          </w:p>
        </w:tc>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5.68%</w:t>
            </w:r>
          </w:p>
        </w:tc>
      </w:tr>
      <w:tr>
        <w:trPr>
          <w:trHeight w:val="710"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山东能源国际贸易有</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916,052.00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color w:val="000000"/>
          <w:spacing w:val="0"/>
          <w:w w:val="100"/>
          <w:position w:val="0"/>
        </w:rPr>
        <w:t>、长期股权投资</w:t>
      </w:r>
      <w:bookmarkEnd w:id="1140"/>
      <w:bookmarkEnd w:id="1141"/>
      <w:bookmarkEnd w:id="114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4"/>
        <w:gridCol w:w="619"/>
        <w:gridCol w:w="797"/>
        <w:gridCol w:w="802"/>
        <w:gridCol w:w="797"/>
        <w:gridCol w:w="797"/>
        <w:gridCol w:w="797"/>
        <w:gridCol w:w="802"/>
        <w:gridCol w:w="797"/>
        <w:gridCol w:w="797"/>
        <w:gridCol w:w="797"/>
        <w:gridCol w:w="811"/>
      </w:tblGrid>
      <w:tr>
        <w:trPr>
          <w:trHeight w:val="225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被投资单 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核算 方法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投资成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增减变 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期末余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在被投 资单位 持股比 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 xml:space="preserve">在被投 资单位 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在被投 资单位 持股比 例与表 决权比 例不一 致的说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减值准 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本期计 提减值 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本期现</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金红利</w:t>
            </w:r>
          </w:p>
        </w:tc>
      </w:tr>
    </w:tbl>
    <w:p>
      <w:pPr>
        <w:spacing w:lineRule="exact" w:line="1"/>
        <w:rPr>
          <w:sz w:val="2"/>
          <w:szCs w:val="2"/>
        </w:rPr>
      </w:pPr>
      <w:r>
        <w:br w:type="page"/>
      </w:r>
    </w:p>
    <w:tbl>
      <w:tblPr>
        <w:tblOverlap w:val="never"/>
        <w:jc w:val="center"/>
        <w:tblLayout w:type="fixed"/>
      </w:tblPr>
      <w:tblGrid>
        <w:gridCol w:w="974"/>
        <w:gridCol w:w="619"/>
        <w:gridCol w:w="797"/>
        <w:gridCol w:w="802"/>
        <w:gridCol w:w="797"/>
        <w:gridCol w:w="797"/>
        <w:gridCol w:w="797"/>
        <w:gridCol w:w="802"/>
        <w:gridCol w:w="797"/>
        <w:gridCol w:w="797"/>
        <w:gridCol w:w="797"/>
        <w:gridCol w:w="81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泰安市华 得软件科 技有限责 任公司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120,18</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尤洛卡</w:t>
            </w:r>
          </w:p>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（北京） 矿业工程 技术研究 有限公司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17,500,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334"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尤洛卡</w:t>
            </w:r>
          </w:p>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（上海） 国际贸易 有限公司</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70,500,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75,000,</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137,68</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长期股权投资的说明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4</w:t>
      </w:r>
      <w:bookmarkEnd w:id="1146"/>
      <w:r>
        <w:rPr>
          <w:color w:val="000000"/>
          <w:spacing w:val="0"/>
          <w:w w:val="100"/>
          <w:position w:val="0"/>
        </w:rPr>
        <w:t>、营业收入和营业成本</w:t>
      </w:r>
      <w:bookmarkEnd w:id="1144"/>
      <w:bookmarkEnd w:id="1145"/>
      <w:bookmarkEnd w:id="1147"/>
    </w:p>
    <w:p>
      <w:pPr>
        <w:pStyle w:val="Style36"/>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8" w:name="bookmark11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144"/>
      <w:bookmarkEnd w:id="1145"/>
      <w:bookmarkEnd w:id="114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1"/>
        <w:gridCol w:w="36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169,269,458.19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193,104,288.42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235,960.00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3,400,921.79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169,505,418.19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196,505,210.21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76,590,556.84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109,567,577.29</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49"/>
      <w:bookmarkEnd w:id="1150"/>
      <w:bookmarkEnd w:id="115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169,269,458.19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76,537,931.84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193,104,288.42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108,884,096.54</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169,269,458.19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76,537,931.84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193,104,288.42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108,884,096.54</w:t>
            </w:r>
          </w:p>
        </w:tc>
      </w:tr>
    </w:tbl>
    <w:p>
      <w:pPr>
        <w:spacing w:lineRule="exact" w:line="1"/>
        <w:rPr>
          <w:sz w:val="2"/>
          <w:szCs w:val="2"/>
        </w:rPr>
      </w:pPr>
      <w:r>
        <w:br w:type="page"/>
      </w:r>
    </w:p>
    <w:p>
      <w:pPr>
        <w:pStyle w:val="Style36"/>
        <w:keepNext/>
        <w:keepLines/>
        <w:widowControl w:val="0"/>
        <w:numPr>
          <w:ilvl w:val="0"/>
          <w:numId w:val="55"/>
        </w:numPr>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主营业务(分产品)</w:t>
      </w:r>
      <w:bookmarkEnd w:id="1152"/>
      <w:bookmarkEnd w:id="1153"/>
      <w:bookmarkEnd w:id="115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66"/>
        <w:gridCol w:w="1858"/>
        <w:gridCol w:w="1862"/>
        <w:gridCol w:w="1858"/>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营业成本</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煤矿顶板安全监测系统及 相关仪器仪表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129,691,073.39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61,536,715.55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148,804,769.78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90,347,243.28</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煤矿巷道锚护机具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18,870,858.12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6,879,234.66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16,871,860.34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4,717,151.41</w:t>
            </w:r>
          </w:p>
        </w:tc>
      </w:tr>
      <w:tr>
        <w:trPr>
          <w:trHeight w:val="710"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煤矿顶板充填材料及工程 施工收入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20,707,526.68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8,121,981.63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27,427,658.30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13,819,701.85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169,269,458.19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76,537,931.84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193,104,288.42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108,884,096.54</w:t>
            </w:r>
          </w:p>
        </w:tc>
      </w:tr>
    </w:tbl>
    <w:p>
      <w:pPr>
        <w:widowControl w:val="0"/>
        <w:spacing w:after="299" w:line="1" w:lineRule="exact"/>
      </w:pPr>
    </w:p>
    <w:p>
      <w:pPr>
        <w:pStyle w:val="Style36"/>
        <w:keepNext/>
        <w:keepLines/>
        <w:widowControl w:val="0"/>
        <w:numPr>
          <w:ilvl w:val="0"/>
          <w:numId w:val="55"/>
        </w:numPr>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主营业务(分地区)</w:t>
      </w:r>
      <w:bookmarkEnd w:id="1156"/>
      <w:bookmarkEnd w:id="1157"/>
      <w:bookmarkEnd w:id="115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66"/>
        <w:gridCol w:w="1858"/>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61,016,882.49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28,241,874.72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70,124,440.97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38,359,476.27</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11,348,897.38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4,559,447.76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19,332,098.97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9,494,320.32</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18,965,115.59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9,748,350.89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28,833,274.07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17,296,217.04</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22,627,853.05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9,653,992.70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14,988,568.62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8,358,580.15</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9,696,966.44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7,266,017.48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17,637,255.43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10,608,614.05</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11,199,347.36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6,186,449.08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7,860,100.26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3,897,766.04</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5,662,260.51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2,667,231.17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7,297,889.46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4,121,176.40</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2,460,900.07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912,286.90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1,533,496.51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1,049,612.00</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3,066,870.04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1,397,160.08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1,489,187.02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835,435.53</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23,224,365.26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5,905,121.06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24,007,977.11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14,862,898.74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169,269,458.19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76,537,931.84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193,104,288.42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108,884,096.54</w:t>
            </w:r>
          </w:p>
        </w:tc>
      </w:tr>
    </w:tbl>
    <w:p>
      <w:pPr>
        <w:widowControl w:val="0"/>
        <w:spacing w:after="299" w:line="1" w:lineRule="exact"/>
      </w:pPr>
    </w:p>
    <w:p>
      <w:pPr>
        <w:pStyle w:val="Style36"/>
        <w:keepNext/>
        <w:keepLines/>
        <w:widowControl w:val="0"/>
        <w:numPr>
          <w:ilvl w:val="0"/>
          <w:numId w:val="55"/>
        </w:numPr>
        <w:shd w:val="clear" w:color="auto" w:fill="auto"/>
        <w:bidi w:val="0"/>
        <w:spacing w:before="0" w:after="36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公司来自前五名客户的营业收入情况</w:t>
      </w:r>
      <w:bookmarkEnd w:id="1160"/>
      <w:bookmarkEnd w:id="1161"/>
      <w:bookmarkEnd w:id="116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786"/>
        <w:gridCol w:w="2923"/>
        <w:gridCol w:w="187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营业收入总额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占公司全部营业收入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霍州煤电集团凯兴物资经销有限责任公司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12,937,293.58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r>
      <w:tr>
        <w:trPr>
          <w:trHeight w:val="398"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中国神华能源股份有限公司神东煤炭分公司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7,119,553.42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13" w:hRule="exact"/>
        </w:trPr>
        <w:tc>
          <w:tcPr>
            <w:tcBorders>
              <w:top w:val="single" w:sz="4"/>
              <w:left w:val="single" w:sz="4"/>
              <w:bottom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神华宁夏煤业集团有限责任公司麦垛山煤矿筹建处</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5,676,083.52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bl>
    <w:p>
      <w:pPr>
        <w:spacing w:lineRule="exact" w:line="1"/>
        <w:rPr>
          <w:sz w:val="2"/>
          <w:szCs w:val="2"/>
        </w:rPr>
      </w:pPr>
      <w:r>
        <w:br w:type="page"/>
      </w:r>
    </w:p>
    <w:tbl>
      <w:tblPr>
        <w:tblOverlap w:val="never"/>
        <w:jc w:val="center"/>
        <w:tblLayout w:type="fixed"/>
      </w:tblPr>
      <w:tblGrid>
        <w:gridCol w:w="4786"/>
        <w:gridCol w:w="2923"/>
        <w:gridCol w:w="1872"/>
      </w:tblGrid>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兖州煤业股份有限公司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4,901,984.63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乌鲁木齐通鹏电子有限公司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4,886,636.75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35,521,551.90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w:t>
            </w:r>
          </w:p>
        </w:tc>
      </w:tr>
    </w:tbl>
    <w:p>
      <w:pPr>
        <w:pStyle w:val="Style30"/>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营业收入的说明 无。</w:t>
      </w:r>
    </w:p>
    <w:p>
      <w:pPr>
        <w:pStyle w:val="Style36"/>
        <w:keepNext/>
        <w:keepLines/>
        <w:widowControl w:val="0"/>
        <w:shd w:val="clear" w:color="auto" w:fill="auto"/>
        <w:bidi w:val="0"/>
        <w:spacing w:before="0" w:after="32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5</w:t>
      </w:r>
      <w:bookmarkEnd w:id="1166"/>
      <w:r>
        <w:rPr>
          <w:color w:val="000000"/>
          <w:spacing w:val="0"/>
          <w:w w:val="100"/>
          <w:position w:val="0"/>
        </w:rPr>
        <w:t>、投资收益</w:t>
      </w:r>
      <w:bookmarkEnd w:id="1164"/>
      <w:bookmarkEnd w:id="1165"/>
      <w:bookmarkEnd w:id="1167"/>
    </w:p>
    <w:p>
      <w:pPr>
        <w:pStyle w:val="Style36"/>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8" w:name="bookmark11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164"/>
      <w:bookmarkEnd w:id="1165"/>
      <w:bookmarkEnd w:id="11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6"/>
        <w:gridCol w:w="2520"/>
        <w:gridCol w:w="25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2,785,435.54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1,087,520.54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140,465,435.54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1,087,520.54</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169"/>
      <w:bookmarkEnd w:id="1170"/>
      <w:bookmarkEnd w:id="117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728"/>
        <w:gridCol w:w="1594"/>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本期比上期增减变动的原因</w:t>
            </w:r>
          </w:p>
        </w:tc>
      </w:tr>
      <w:tr>
        <w:trPr>
          <w:trHeight w:val="403" w:hRule="exact"/>
        </w:trPr>
        <w:tc>
          <w:tcPr>
            <w:tcBorders>
              <w:top w:val="single" w:sz="4"/>
              <w:lef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泰安市华得软件科技有限责任公司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120,180,000.00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本年取得华得软件分红所致。</w:t>
            </w:r>
          </w:p>
        </w:tc>
      </w:tr>
      <w:tr>
        <w:trPr>
          <w:trHeight w:val="715" w:hRule="exact"/>
        </w:trPr>
        <w:tc>
          <w:tcPr>
            <w:tcBorders>
              <w:top w:val="single" w:sz="4"/>
              <w:left w:val="single" w:sz="4"/>
            </w:tcBorders>
            <w:shd w:val="clear" w:color="auto" w:fill="CCE8C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尤洛卡（北京）矿业工程技术研究有限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本年取得尤洛卡（北京）分红所致。</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137,680,000.00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6</w:t>
      </w:r>
      <w:bookmarkEnd w:id="1174"/>
      <w:r>
        <w:rPr>
          <w:color w:val="000000"/>
          <w:spacing w:val="0"/>
          <w:w w:val="100"/>
          <w:position w:val="0"/>
        </w:rPr>
        <w:t>、现金流量表补充资料</w:t>
      </w:r>
      <w:bookmarkEnd w:id="1172"/>
      <w:bookmarkEnd w:id="1173"/>
      <w:bookmarkEnd w:id="117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4"/>
        <w:gridCol w:w="2256"/>
        <w:gridCol w:w="227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164,945,195.50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33,791,882.47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5,850,491.65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3,726,515.64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10,142,423.05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7,887,334.82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2,282,864.88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1,154,342.84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4,174.34</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处置固定资产、无形资产和其他长期资产的损失（收益以“一”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-121,858.45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-137,790.45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投资损失（收益以“一”号填列）</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-140,465,435.54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-1,087,520.54</w:t>
            </w:r>
          </w:p>
        </w:tc>
      </w:tr>
    </w:tbl>
    <w:p>
      <w:pPr>
        <w:spacing w:lineRule="exact" w:line="1"/>
        <w:rPr>
          <w:sz w:val="2"/>
          <w:szCs w:val="2"/>
        </w:rPr>
      </w:pPr>
      <w:r>
        <w:br w:type="page"/>
      </w:r>
    </w:p>
    <w:tbl>
      <w:tblPr>
        <w:tblOverlap w:val="never"/>
        <w:jc w:val="center"/>
        <w:tblLayout w:type="fixed"/>
      </w:tblPr>
      <w:tblGrid>
        <w:gridCol w:w="5054"/>
        <w:gridCol w:w="2256"/>
        <w:gridCol w:w="2270"/>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-877,573.74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-558,977.35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-2,015,888.69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-5,262,206.17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-18,666,440.92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-62,663,728.54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3,830,482.64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-16,982,499.11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24,980,320.38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-40,128,472.05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154,304,607.47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185,062,717.18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185,062,717.18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246,743,063.55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-30,758,109.71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-61,680,346.37</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176" w:name="bookmark1176"/>
      <w:bookmarkStart w:id="1177" w:name="bookmark1177"/>
      <w:bookmarkStart w:id="1178" w:name="bookmark1178"/>
      <w:r>
        <w:rPr>
          <w:color w:val="000000"/>
          <w:spacing w:val="0"/>
          <w:w w:val="100"/>
          <w:position w:val="0"/>
          <w:sz w:val="24"/>
          <w:szCs w:val="24"/>
        </w:rPr>
        <w:t>十三、补充资料</w:t>
      </w:r>
      <w:bookmarkEnd w:id="1176"/>
      <w:bookmarkEnd w:id="1177"/>
      <w:bookmarkEnd w:id="1178"/>
    </w:p>
    <w:p>
      <w:pPr>
        <w:pStyle w:val="Style36"/>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179"/>
      <w:bookmarkEnd w:id="1180"/>
      <w:bookmarkEnd w:id="118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非流动资产处置损益（包括已计提资产减值准备的冲销部 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121,858.45</w:t>
            </w: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716,000.00</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-38,746.60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125,755.12</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673,356.73</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182"/>
      <w:bookmarkEnd w:id="1183"/>
      <w:bookmarkEnd w:id="118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79"/>
        <w:gridCol w:w="1910"/>
        <w:gridCol w:w="194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加权平均净资产收益率</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基本每股收益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稀释每股收益</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扣除非经常性损益后归属于公司普通股股 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bl>
    <w:p>
      <w:pPr>
        <w:pStyle w:val="Style36"/>
        <w:keepNext/>
        <w:keepLines/>
        <w:widowControl w:val="0"/>
        <w:shd w:val="clear" w:color="auto" w:fill="auto"/>
        <w:bidi w:val="0"/>
        <w:spacing w:before="0" w:after="24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3</w:t>
      </w:r>
      <w:bookmarkEnd w:id="1187"/>
      <w:r>
        <w:rPr>
          <w:color w:val="000000"/>
          <w:spacing w:val="0"/>
          <w:w w:val="100"/>
          <w:position w:val="0"/>
        </w:rPr>
        <w:t>、公司主要会计报表项目的异常情况及原因的说明</w:t>
      </w:r>
      <w:bookmarkEnd w:id="1185"/>
      <w:bookmarkEnd w:id="1186"/>
      <w:bookmarkEnd w:id="1188"/>
    </w:p>
    <w:p>
      <w:pPr>
        <w:pStyle w:val="Style27"/>
        <w:keepNext w:val="0"/>
        <w:keepLines w:val="0"/>
        <w:widowControl w:val="0"/>
        <w:shd w:val="clear" w:color="auto" w:fill="auto"/>
        <w:tabs>
          <w:tab w:pos="586" w:val="left"/>
        </w:tabs>
        <w:bidi w:val="0"/>
        <w:spacing w:before="0" w:after="0" w:line="331" w:lineRule="exact"/>
        <w:ind w:left="0" w:right="0" w:firstLine="0"/>
        <w:jc w:val="left"/>
      </w:pPr>
      <w:bookmarkStart w:id="1189" w:name="bookmark1189"/>
      <w:r>
        <w:rPr>
          <w:color w:val="000000"/>
          <w:spacing w:val="0"/>
          <w:w w:val="100"/>
          <w:position w:val="0"/>
        </w:rPr>
        <w:t>（</w:t>
      </w:r>
      <w:bookmarkEnd w:id="1189"/>
      <w:r>
        <w:rPr>
          <w:color w:val="000000"/>
          <w:spacing w:val="0"/>
          <w:w w:val="100"/>
          <w:position w:val="0"/>
        </w:rPr>
        <w:t>1）</w:t>
        <w:tab/>
        <w:t>应收票据2013年12月31日年末数为</w:t>
      </w:r>
      <w:r>
        <w:rPr>
          <w:color w:val="000000"/>
          <w:spacing w:val="0"/>
          <w:w w:val="100"/>
          <w:position w:val="0"/>
        </w:rPr>
        <w:t>21,990,887.24</w:t>
      </w:r>
      <w:r>
        <w:rPr>
          <w:color w:val="000000"/>
          <w:spacing w:val="0"/>
          <w:w w:val="100"/>
          <w:position w:val="0"/>
        </w:rPr>
        <w:t>元，比年初数减少52.15%，其主要原因是本年票据 到期结算及背书转让的应收票据增加。</w:t>
      </w:r>
    </w:p>
    <w:p>
      <w:pPr>
        <w:pStyle w:val="Style27"/>
        <w:keepNext w:val="0"/>
        <w:keepLines w:val="0"/>
        <w:widowControl w:val="0"/>
        <w:shd w:val="clear" w:color="auto" w:fill="auto"/>
        <w:tabs>
          <w:tab w:pos="586" w:val="left"/>
        </w:tabs>
        <w:bidi w:val="0"/>
        <w:spacing w:before="0" w:after="0" w:line="331" w:lineRule="exact"/>
        <w:ind w:left="0" w:right="0" w:firstLine="0"/>
        <w:jc w:val="left"/>
      </w:pPr>
      <w:bookmarkStart w:id="1190" w:name="bookmark1190"/>
      <w:r>
        <w:rPr>
          <w:color w:val="000000"/>
          <w:spacing w:val="0"/>
          <w:w w:val="100"/>
          <w:position w:val="0"/>
        </w:rPr>
        <w:t>（</w:t>
      </w:r>
      <w:bookmarkEnd w:id="1190"/>
      <w:r>
        <w:rPr>
          <w:color w:val="000000"/>
          <w:spacing w:val="0"/>
          <w:w w:val="100"/>
          <w:position w:val="0"/>
        </w:rPr>
        <w:t>2）</w:t>
        <w:tab/>
        <w:t>预付款项2013年12月31日年末数为</w:t>
      </w:r>
      <w:r>
        <w:rPr>
          <w:color w:val="000000"/>
          <w:spacing w:val="0"/>
          <w:w w:val="100"/>
          <w:position w:val="0"/>
        </w:rPr>
        <w:t>5,724,756.36</w:t>
      </w:r>
      <w:r>
        <w:rPr>
          <w:color w:val="000000"/>
          <w:spacing w:val="0"/>
          <w:w w:val="100"/>
          <w:position w:val="0"/>
        </w:rPr>
        <w:t>元，比年初数增加88.11%，其主要原因是原材料储 备增加及货款结算方式的改变。</w:t>
      </w:r>
    </w:p>
    <w:p>
      <w:pPr>
        <w:pStyle w:val="Style27"/>
        <w:keepNext w:val="0"/>
        <w:keepLines w:val="0"/>
        <w:widowControl w:val="0"/>
        <w:shd w:val="clear" w:color="auto" w:fill="auto"/>
        <w:tabs>
          <w:tab w:pos="564" w:val="left"/>
        </w:tabs>
        <w:bidi w:val="0"/>
        <w:spacing w:before="0" w:after="0" w:line="331" w:lineRule="exact"/>
        <w:ind w:left="0" w:right="0" w:firstLine="0"/>
        <w:jc w:val="left"/>
      </w:pPr>
      <w:bookmarkStart w:id="1191" w:name="bookmark1191"/>
      <w:r>
        <w:rPr>
          <w:color w:val="000000"/>
          <w:spacing w:val="0"/>
          <w:w w:val="100"/>
          <w:position w:val="0"/>
        </w:rPr>
        <w:t>（</w:t>
      </w:r>
      <w:bookmarkEnd w:id="1191"/>
      <w:r>
        <w:rPr>
          <w:color w:val="000000"/>
          <w:spacing w:val="0"/>
          <w:w w:val="100"/>
          <w:position w:val="0"/>
        </w:rPr>
        <w:t>3）</w:t>
        <w:tab/>
        <w:t>应收利息2013年12月31日年末数为</w:t>
      </w:r>
      <w:r>
        <w:rPr>
          <w:color w:val="000000"/>
          <w:spacing w:val="0"/>
          <w:w w:val="100"/>
          <w:position w:val="0"/>
        </w:rPr>
        <w:t>5,793,962.10</w:t>
      </w:r>
      <w:r>
        <w:rPr>
          <w:color w:val="000000"/>
          <w:spacing w:val="0"/>
          <w:w w:val="100"/>
          <w:position w:val="0"/>
        </w:rPr>
        <w:t>元，比年初数增加129.03%,其主要原因是未到结息 日的定期存款增加以及未到结算日的理财产品增加。</w:t>
      </w:r>
    </w:p>
    <w:p>
      <w:pPr>
        <w:pStyle w:val="Style27"/>
        <w:keepNext w:val="0"/>
        <w:keepLines w:val="0"/>
        <w:widowControl w:val="0"/>
        <w:shd w:val="clear" w:color="auto" w:fill="auto"/>
        <w:tabs>
          <w:tab w:pos="586" w:val="left"/>
        </w:tabs>
        <w:bidi w:val="0"/>
        <w:spacing w:before="0" w:after="0" w:line="331" w:lineRule="exact"/>
        <w:ind w:left="0" w:right="0" w:firstLine="0"/>
        <w:jc w:val="left"/>
      </w:pPr>
      <w:bookmarkStart w:id="1192" w:name="bookmark1192"/>
      <w:r>
        <w:rPr>
          <w:color w:val="000000"/>
          <w:spacing w:val="0"/>
          <w:w w:val="100"/>
          <w:position w:val="0"/>
        </w:rPr>
        <w:t>（</w:t>
      </w:r>
      <w:bookmarkEnd w:id="1192"/>
      <w:r>
        <w:rPr>
          <w:color w:val="000000"/>
          <w:spacing w:val="0"/>
          <w:w w:val="100"/>
          <w:position w:val="0"/>
        </w:rPr>
        <w:t>4）</w:t>
        <w:tab/>
        <w:t xml:space="preserve">其他应收款2013年12月31日年末数为4,382, </w:t>
      </w:r>
      <w:r>
        <w:rPr>
          <w:color w:val="000000"/>
          <w:spacing w:val="0"/>
          <w:w w:val="100"/>
          <w:position w:val="0"/>
        </w:rPr>
        <w:t>237.88</w:t>
      </w:r>
      <w:r>
        <w:rPr>
          <w:color w:val="000000"/>
          <w:spacing w:val="0"/>
          <w:w w:val="100"/>
          <w:position w:val="0"/>
        </w:rPr>
        <w:t>元，比年初数增加44.53%，其主要原因是本年尚 未收到的增值税返还款增加。</w:t>
      </w:r>
    </w:p>
    <w:p>
      <w:pPr>
        <w:pStyle w:val="Style27"/>
        <w:keepNext w:val="0"/>
        <w:keepLines w:val="0"/>
        <w:widowControl w:val="0"/>
        <w:shd w:val="clear" w:color="auto" w:fill="auto"/>
        <w:tabs>
          <w:tab w:pos="591" w:val="left"/>
        </w:tabs>
        <w:bidi w:val="0"/>
        <w:spacing w:before="0" w:after="0" w:line="331" w:lineRule="exact"/>
        <w:ind w:left="0" w:right="0" w:firstLine="0"/>
        <w:jc w:val="left"/>
      </w:pPr>
      <w:bookmarkStart w:id="1193" w:name="bookmark1193"/>
      <w:r>
        <w:rPr>
          <w:color w:val="000000"/>
          <w:spacing w:val="0"/>
          <w:w w:val="100"/>
          <w:position w:val="0"/>
        </w:rPr>
        <w:t>（</w:t>
      </w:r>
      <w:bookmarkEnd w:id="1193"/>
      <w:r>
        <w:rPr>
          <w:color w:val="000000"/>
          <w:spacing w:val="0"/>
          <w:w w:val="100"/>
          <w:position w:val="0"/>
        </w:rPr>
        <w:t>5）</w:t>
        <w:tab/>
        <w:t>其他流动资产2013年12月31日年末数为</w:t>
      </w:r>
      <w:r>
        <w:rPr>
          <w:color w:val="000000"/>
          <w:spacing w:val="0"/>
          <w:w w:val="100"/>
          <w:position w:val="0"/>
        </w:rPr>
        <w:t>84,057,381.75</w:t>
      </w:r>
      <w:r>
        <w:rPr>
          <w:color w:val="000000"/>
          <w:spacing w:val="0"/>
          <w:w w:val="100"/>
          <w:position w:val="0"/>
        </w:rPr>
        <w:t>元，比年初数增加39.98%，其主要原因是本年 购买的理财产品增加以及预缴的企业所得税增加所致。</w:t>
      </w:r>
    </w:p>
    <w:p>
      <w:pPr>
        <w:pStyle w:val="Style27"/>
        <w:keepNext w:val="0"/>
        <w:keepLines w:val="0"/>
        <w:widowControl w:val="0"/>
        <w:shd w:val="clear" w:color="auto" w:fill="auto"/>
        <w:tabs>
          <w:tab w:pos="586" w:val="left"/>
        </w:tabs>
        <w:bidi w:val="0"/>
        <w:spacing w:before="0" w:after="0" w:line="331" w:lineRule="exact"/>
        <w:ind w:left="0" w:right="0" w:firstLine="0"/>
        <w:jc w:val="left"/>
      </w:pPr>
      <w:bookmarkStart w:id="1194" w:name="bookmark1194"/>
      <w:r>
        <w:rPr>
          <w:color w:val="000000"/>
          <w:spacing w:val="0"/>
          <w:w w:val="100"/>
          <w:position w:val="0"/>
        </w:rPr>
        <w:t>（</w:t>
      </w:r>
      <w:bookmarkEnd w:id="1194"/>
      <w:r>
        <w:rPr>
          <w:color w:val="000000"/>
          <w:spacing w:val="0"/>
          <w:w w:val="100"/>
          <w:position w:val="0"/>
        </w:rPr>
        <w:t>6）</w:t>
        <w:tab/>
        <w:t>在建工程2013年12月31日年末数为</w:t>
      </w:r>
      <w:r>
        <w:rPr>
          <w:color w:val="000000"/>
          <w:spacing w:val="0"/>
          <w:w w:val="100"/>
          <w:position w:val="0"/>
        </w:rPr>
        <w:t>39,342,454.8</w:t>
      </w:r>
      <w:r>
        <w:rPr>
          <w:color w:val="000000"/>
          <w:spacing w:val="0"/>
          <w:w w:val="100"/>
          <w:position w:val="0"/>
        </w:rPr>
        <w:t>0元，比年初数增加74.97%,其主要原因是本年国家 级技术交流中心项目支出增加。</w:t>
      </w:r>
    </w:p>
    <w:p>
      <w:pPr>
        <w:pStyle w:val="Style27"/>
        <w:keepNext w:val="0"/>
        <w:keepLines w:val="0"/>
        <w:widowControl w:val="0"/>
        <w:shd w:val="clear" w:color="auto" w:fill="auto"/>
        <w:tabs>
          <w:tab w:pos="591" w:val="left"/>
        </w:tabs>
        <w:bidi w:val="0"/>
        <w:spacing w:before="0" w:after="0" w:line="336" w:lineRule="exact"/>
        <w:ind w:left="0" w:right="0" w:firstLine="0"/>
        <w:jc w:val="left"/>
      </w:pPr>
      <w:bookmarkStart w:id="1195" w:name="bookmark1195"/>
      <w:r>
        <w:rPr>
          <w:color w:val="000000"/>
          <w:spacing w:val="0"/>
          <w:w w:val="100"/>
          <w:position w:val="0"/>
        </w:rPr>
        <w:t>（</w:t>
      </w:r>
      <w:bookmarkEnd w:id="1195"/>
      <w:r>
        <w:rPr>
          <w:color w:val="000000"/>
          <w:spacing w:val="0"/>
          <w:w w:val="100"/>
          <w:position w:val="0"/>
        </w:rPr>
        <w:t>7）</w:t>
        <w:tab/>
        <w:t xml:space="preserve">开发支出2013年12月31日年末数为20,085, </w:t>
      </w:r>
      <w:r>
        <w:rPr>
          <w:color w:val="000000"/>
          <w:spacing w:val="0"/>
          <w:w w:val="100"/>
          <w:position w:val="0"/>
        </w:rPr>
        <w:t>053.07</w:t>
      </w:r>
      <w:r>
        <w:rPr>
          <w:color w:val="000000"/>
          <w:spacing w:val="0"/>
          <w:w w:val="100"/>
          <w:position w:val="0"/>
        </w:rPr>
        <w:t>元，比年初数增加139.39%,其主要原因是本年新 增研发项目及原有研发项目投入增加。</w:t>
      </w:r>
    </w:p>
    <w:p>
      <w:pPr>
        <w:pStyle w:val="Style27"/>
        <w:keepNext w:val="0"/>
        <w:keepLines w:val="0"/>
        <w:widowControl w:val="0"/>
        <w:shd w:val="clear" w:color="auto" w:fill="auto"/>
        <w:tabs>
          <w:tab w:pos="591" w:val="left"/>
        </w:tabs>
        <w:bidi w:val="0"/>
        <w:spacing w:before="0" w:after="0" w:line="322" w:lineRule="exact"/>
        <w:ind w:left="0" w:right="0" w:firstLine="0"/>
        <w:jc w:val="left"/>
      </w:pPr>
      <w:bookmarkStart w:id="1196" w:name="bookmark1196"/>
      <w:r>
        <w:rPr>
          <w:color w:val="000000"/>
          <w:spacing w:val="0"/>
          <w:w w:val="100"/>
          <w:position w:val="0"/>
        </w:rPr>
        <w:t>（</w:t>
      </w:r>
      <w:bookmarkEnd w:id="1196"/>
      <w:r>
        <w:rPr>
          <w:color w:val="000000"/>
          <w:spacing w:val="0"/>
          <w:w w:val="100"/>
          <w:position w:val="0"/>
        </w:rPr>
        <w:t>8）</w:t>
        <w:tab/>
        <w:t>长期待摊费用2013年12月31日年末数为</w:t>
      </w:r>
      <w:r>
        <w:rPr>
          <w:color w:val="000000"/>
          <w:spacing w:val="0"/>
          <w:w w:val="100"/>
          <w:position w:val="0"/>
        </w:rPr>
        <w:t>760,059.65</w:t>
      </w:r>
      <w:r>
        <w:rPr>
          <w:color w:val="000000"/>
          <w:spacing w:val="0"/>
          <w:w w:val="100"/>
          <w:position w:val="0"/>
        </w:rPr>
        <w:t>元，比年初数增加44.89%，其主要原因是新增尤 洛卡（上海）国际贸易有限公司的房租租赁费。</w:t>
      </w:r>
    </w:p>
    <w:p>
      <w:pPr>
        <w:pStyle w:val="Style27"/>
        <w:keepNext w:val="0"/>
        <w:keepLines w:val="0"/>
        <w:widowControl w:val="0"/>
        <w:shd w:val="clear" w:color="auto" w:fill="auto"/>
        <w:tabs>
          <w:tab w:pos="586" w:val="left"/>
        </w:tabs>
        <w:bidi w:val="0"/>
        <w:spacing w:before="0" w:after="0" w:line="331" w:lineRule="exact"/>
        <w:ind w:left="0" w:right="0" w:firstLine="0"/>
        <w:jc w:val="left"/>
      </w:pPr>
      <w:bookmarkStart w:id="1197" w:name="bookmark1197"/>
      <w:r>
        <w:rPr>
          <w:color w:val="000000"/>
          <w:spacing w:val="0"/>
          <w:w w:val="100"/>
          <w:position w:val="0"/>
        </w:rPr>
        <w:t>（</w:t>
      </w:r>
      <w:bookmarkEnd w:id="1197"/>
      <w:r>
        <w:rPr>
          <w:color w:val="000000"/>
          <w:spacing w:val="0"/>
          <w:w w:val="100"/>
          <w:position w:val="0"/>
        </w:rPr>
        <w:t>9）</w:t>
        <w:tab/>
        <w:t>递延所得税资产2013年12月31日年末数为</w:t>
      </w:r>
      <w:r>
        <w:rPr>
          <w:color w:val="000000"/>
          <w:spacing w:val="0"/>
          <w:w w:val="100"/>
          <w:position w:val="0"/>
        </w:rPr>
        <w:t>2,289,168.54</w:t>
      </w:r>
      <w:r>
        <w:rPr>
          <w:color w:val="000000"/>
          <w:spacing w:val="0"/>
          <w:w w:val="100"/>
          <w:position w:val="0"/>
        </w:rPr>
        <w:t>元，比年初数增加62.17%，其主要原因是本 年计提的坏账准备增加。</w:t>
      </w:r>
    </w:p>
    <w:p>
      <w:pPr>
        <w:pStyle w:val="Style27"/>
        <w:keepNext w:val="0"/>
        <w:keepLines w:val="0"/>
        <w:widowControl w:val="0"/>
        <w:shd w:val="clear" w:color="auto" w:fill="auto"/>
        <w:tabs>
          <w:tab w:pos="691" w:val="left"/>
        </w:tabs>
        <w:bidi w:val="0"/>
        <w:spacing w:before="0" w:after="0" w:line="331" w:lineRule="exact"/>
        <w:ind w:left="0" w:right="0" w:firstLine="0"/>
        <w:jc w:val="left"/>
      </w:pPr>
      <w:bookmarkStart w:id="1198" w:name="bookmark1198"/>
      <w:r>
        <w:rPr>
          <w:color w:val="000000"/>
          <w:spacing w:val="0"/>
          <w:w w:val="100"/>
          <w:position w:val="0"/>
        </w:rPr>
        <w:t>（</w:t>
      </w:r>
      <w:bookmarkEnd w:id="1198"/>
      <w:r>
        <w:rPr>
          <w:color w:val="000000"/>
          <w:spacing w:val="0"/>
          <w:w w:val="100"/>
          <w:position w:val="0"/>
        </w:rPr>
        <w:t>10）</w:t>
        <w:tab/>
        <w:t>其他非流动资产2013年12月31日年末数为</w:t>
      </w:r>
      <w:r>
        <w:rPr>
          <w:color w:val="000000"/>
          <w:spacing w:val="0"/>
          <w:w w:val="100"/>
          <w:position w:val="0"/>
        </w:rPr>
        <w:t>6,175,385.61</w:t>
      </w:r>
      <w:r>
        <w:rPr>
          <w:color w:val="000000"/>
          <w:spacing w:val="0"/>
          <w:w w:val="100"/>
          <w:position w:val="0"/>
        </w:rPr>
        <w:t>元，比年初数减少66.04%，其主要原因是 部分工程项目已完工结算所致。</w:t>
      </w:r>
    </w:p>
    <w:p>
      <w:pPr>
        <w:pStyle w:val="Style27"/>
        <w:keepNext w:val="0"/>
        <w:keepLines w:val="0"/>
        <w:widowControl w:val="0"/>
        <w:shd w:val="clear" w:color="auto" w:fill="auto"/>
        <w:tabs>
          <w:tab w:pos="687" w:val="left"/>
        </w:tabs>
        <w:bidi w:val="0"/>
        <w:spacing w:before="0" w:after="0" w:line="331" w:lineRule="exact"/>
        <w:ind w:left="0" w:right="0" w:firstLine="0"/>
        <w:jc w:val="left"/>
      </w:pPr>
      <w:bookmarkStart w:id="1199" w:name="bookmark1199"/>
      <w:r>
        <w:rPr>
          <w:color w:val="000000"/>
          <w:spacing w:val="0"/>
          <w:w w:val="100"/>
          <w:position w:val="0"/>
        </w:rPr>
        <w:t>（</w:t>
      </w:r>
      <w:bookmarkEnd w:id="1199"/>
      <w:r>
        <w:rPr>
          <w:color w:val="000000"/>
          <w:spacing w:val="0"/>
          <w:w w:val="100"/>
          <w:position w:val="0"/>
        </w:rPr>
        <w:t>11）</w:t>
        <w:tab/>
        <w:t>应付票据2013年12月31日年末数为</w:t>
      </w:r>
      <w:r>
        <w:rPr>
          <w:color w:val="000000"/>
          <w:spacing w:val="0"/>
          <w:w w:val="100"/>
          <w:position w:val="0"/>
        </w:rPr>
        <w:t>13,401,769.3</w:t>
      </w:r>
      <w:r>
        <w:rPr>
          <w:color w:val="000000"/>
          <w:spacing w:val="0"/>
          <w:w w:val="100"/>
          <w:position w:val="0"/>
        </w:rPr>
        <w:t>1元，比年初数减少41.14%，其主要原因是以票据 结算的进货款减少所致。</w:t>
      </w:r>
    </w:p>
    <w:p>
      <w:pPr>
        <w:pStyle w:val="Style27"/>
        <w:keepNext w:val="0"/>
        <w:keepLines w:val="0"/>
        <w:widowControl w:val="0"/>
        <w:shd w:val="clear" w:color="auto" w:fill="auto"/>
        <w:tabs>
          <w:tab w:pos="691" w:val="left"/>
        </w:tabs>
        <w:bidi w:val="0"/>
        <w:spacing w:before="0" w:after="0" w:line="336" w:lineRule="exact"/>
        <w:ind w:left="0" w:right="0" w:firstLine="0"/>
        <w:jc w:val="left"/>
      </w:pPr>
      <w:bookmarkStart w:id="1200" w:name="bookmark1200"/>
      <w:r>
        <w:rPr>
          <w:color w:val="000000"/>
          <w:spacing w:val="0"/>
          <w:w w:val="100"/>
          <w:position w:val="0"/>
        </w:rPr>
        <w:t>（</w:t>
      </w:r>
      <w:bookmarkEnd w:id="1200"/>
      <w:r>
        <w:rPr>
          <w:color w:val="000000"/>
          <w:spacing w:val="0"/>
          <w:w w:val="100"/>
          <w:position w:val="0"/>
        </w:rPr>
        <w:t>12）</w:t>
        <w:tab/>
        <w:t>营业外收入2013年度发生数为</w:t>
      </w:r>
      <w:r>
        <w:rPr>
          <w:color w:val="000000"/>
          <w:spacing w:val="0"/>
          <w:w w:val="100"/>
          <w:position w:val="0"/>
        </w:rPr>
        <w:t>7,807,159.74</w:t>
      </w:r>
      <w:r>
        <w:rPr>
          <w:color w:val="000000"/>
          <w:spacing w:val="0"/>
          <w:w w:val="100"/>
          <w:position w:val="0"/>
        </w:rPr>
        <w:t>元，比上年数减少66.48%，其主要原因是本年政府补助 减少。</w:t>
      </w:r>
    </w:p>
    <w:p>
      <w:pPr>
        <w:pStyle w:val="Style27"/>
        <w:keepNext w:val="0"/>
        <w:keepLines w:val="0"/>
        <w:widowControl w:val="0"/>
        <w:shd w:val="clear" w:color="auto" w:fill="auto"/>
        <w:tabs>
          <w:tab w:pos="667" w:val="left"/>
        </w:tabs>
        <w:bidi w:val="0"/>
        <w:spacing w:before="0" w:after="0" w:line="331" w:lineRule="exact"/>
        <w:ind w:left="0" w:right="0" w:firstLine="0"/>
        <w:jc w:val="left"/>
      </w:pPr>
      <w:bookmarkStart w:id="1201" w:name="bookmark1201"/>
      <w:r>
        <w:rPr>
          <w:color w:val="000000"/>
          <w:spacing w:val="0"/>
          <w:w w:val="100"/>
          <w:position w:val="0"/>
        </w:rPr>
        <w:t>（</w:t>
      </w:r>
      <w:bookmarkEnd w:id="1201"/>
      <w:r>
        <w:rPr>
          <w:color w:val="000000"/>
          <w:spacing w:val="0"/>
          <w:w w:val="100"/>
          <w:position w:val="0"/>
        </w:rPr>
        <w:t>13）</w:t>
        <w:tab/>
        <w:t>所得税费用2013年度发生数为</w:t>
      </w:r>
      <w:r>
        <w:rPr>
          <w:color w:val="000000"/>
          <w:spacing w:val="0"/>
          <w:w w:val="100"/>
          <w:position w:val="0"/>
        </w:rPr>
        <w:t>5,891,540.58</w:t>
      </w:r>
      <w:r>
        <w:rPr>
          <w:color w:val="000000"/>
          <w:spacing w:val="0"/>
          <w:w w:val="100"/>
          <w:position w:val="0"/>
        </w:rPr>
        <w:t>元，比上年数减少53.23%，其主要原因是本年利润减少 以及尤洛卡（北京）矿业工程技术研究有限公司享受免征企业所得税的税收优惠政策所致。</w:t>
      </w:r>
    </w:p>
    <w:p>
      <w:pPr>
        <w:pStyle w:val="Style27"/>
        <w:keepNext w:val="0"/>
        <w:keepLines w:val="0"/>
        <w:widowControl w:val="0"/>
        <w:shd w:val="clear" w:color="auto" w:fill="auto"/>
        <w:tabs>
          <w:tab w:pos="677" w:val="left"/>
        </w:tabs>
        <w:bidi w:val="0"/>
        <w:spacing w:before="0" w:after="0" w:line="331" w:lineRule="exact"/>
        <w:ind w:left="0" w:right="0" w:firstLine="0"/>
        <w:jc w:val="left"/>
      </w:pPr>
      <w:bookmarkStart w:id="1202" w:name="bookmark1202"/>
      <w:r>
        <w:rPr>
          <w:color w:val="000000"/>
          <w:spacing w:val="0"/>
          <w:w w:val="100"/>
          <w:position w:val="0"/>
        </w:rPr>
        <w:t>（</w:t>
      </w:r>
      <w:bookmarkEnd w:id="1202"/>
      <w:r>
        <w:rPr>
          <w:color w:val="000000"/>
          <w:spacing w:val="0"/>
          <w:w w:val="100"/>
          <w:position w:val="0"/>
        </w:rPr>
        <w:t>14）</w:t>
        <w:tab/>
        <w:t>收到的税费返还2013年度发生数为</w:t>
      </w:r>
      <w:r>
        <w:rPr>
          <w:color w:val="000000"/>
          <w:spacing w:val="0"/>
          <w:w w:val="100"/>
          <w:position w:val="0"/>
        </w:rPr>
        <w:t>4,901,315.30</w:t>
      </w:r>
      <w:r>
        <w:rPr>
          <w:color w:val="000000"/>
          <w:spacing w:val="0"/>
          <w:w w:val="100"/>
          <w:position w:val="0"/>
        </w:rPr>
        <w:t>元，比上年数减少48.92%，其主要原因是本年收到 的增值税返还款减少。</w:t>
      </w:r>
    </w:p>
    <w:p>
      <w:pPr>
        <w:pStyle w:val="Style27"/>
        <w:keepNext w:val="0"/>
        <w:keepLines w:val="0"/>
        <w:widowControl w:val="0"/>
        <w:shd w:val="clear" w:color="auto" w:fill="auto"/>
        <w:tabs>
          <w:tab w:pos="687" w:val="left"/>
        </w:tabs>
        <w:bidi w:val="0"/>
        <w:spacing w:before="0" w:after="0" w:line="331" w:lineRule="exact"/>
        <w:ind w:left="0" w:right="0" w:firstLine="0"/>
        <w:jc w:val="left"/>
      </w:pPr>
      <w:bookmarkStart w:id="1203" w:name="bookmark1203"/>
      <w:r>
        <w:rPr>
          <w:color w:val="000000"/>
          <w:spacing w:val="0"/>
          <w:w w:val="100"/>
          <w:position w:val="0"/>
        </w:rPr>
        <w:t>（</w:t>
      </w:r>
      <w:bookmarkEnd w:id="1203"/>
      <w:r>
        <w:rPr>
          <w:color w:val="000000"/>
          <w:spacing w:val="0"/>
          <w:w w:val="100"/>
          <w:position w:val="0"/>
        </w:rPr>
        <w:t>15）</w:t>
        <w:tab/>
        <w:t>收到其他与经营活动有关的现金2013年度发生数为</w:t>
      </w:r>
      <w:r>
        <w:rPr>
          <w:color w:val="000000"/>
          <w:spacing w:val="0"/>
          <w:w w:val="100"/>
          <w:position w:val="0"/>
        </w:rPr>
        <w:t>13,528,951.84</w:t>
      </w:r>
      <w:r>
        <w:rPr>
          <w:color w:val="000000"/>
          <w:spacing w:val="0"/>
          <w:w w:val="100"/>
          <w:position w:val="0"/>
        </w:rPr>
        <w:t>元，比上年数减少56.01%，其主 要原因是本年收到的政府补助以及定期存款利息收入减少。</w:t>
      </w:r>
    </w:p>
    <w:p>
      <w:pPr>
        <w:pStyle w:val="Style27"/>
        <w:keepNext w:val="0"/>
        <w:keepLines w:val="0"/>
        <w:widowControl w:val="0"/>
        <w:shd w:val="clear" w:color="auto" w:fill="auto"/>
        <w:tabs>
          <w:tab w:pos="687" w:val="left"/>
        </w:tabs>
        <w:bidi w:val="0"/>
        <w:spacing w:before="0" w:after="0" w:line="331" w:lineRule="exact"/>
        <w:ind w:left="0" w:right="0" w:firstLine="0"/>
        <w:jc w:val="left"/>
      </w:pPr>
      <w:bookmarkStart w:id="1204" w:name="bookmark1204"/>
      <w:r>
        <w:rPr>
          <w:color w:val="000000"/>
          <w:spacing w:val="0"/>
          <w:w w:val="100"/>
          <w:position w:val="0"/>
        </w:rPr>
        <w:t>（</w:t>
      </w:r>
      <w:bookmarkEnd w:id="1204"/>
      <w:r>
        <w:rPr>
          <w:color w:val="000000"/>
          <w:spacing w:val="0"/>
          <w:w w:val="100"/>
          <w:position w:val="0"/>
        </w:rPr>
        <w:t>16）</w:t>
        <w:tab/>
        <w:t>收回投资收到的现金2013年度发生数为</w:t>
      </w:r>
      <w:r>
        <w:rPr>
          <w:color w:val="000000"/>
          <w:spacing w:val="0"/>
          <w:w w:val="100"/>
          <w:position w:val="0"/>
        </w:rPr>
        <w:t>265,100,000.00</w:t>
      </w:r>
      <w:r>
        <w:rPr>
          <w:color w:val="000000"/>
          <w:spacing w:val="0"/>
          <w:w w:val="100"/>
          <w:position w:val="0"/>
        </w:rPr>
        <w:t>元，比上年数增加47.28%，其主要原因是上 年购买的理财产品本年已收回，以及本年购买到期的理财产品累计发生额增加。</w:t>
      </w:r>
    </w:p>
    <w:p>
      <w:pPr>
        <w:pStyle w:val="Style27"/>
        <w:keepNext w:val="0"/>
        <w:keepLines w:val="0"/>
        <w:widowControl w:val="0"/>
        <w:shd w:val="clear" w:color="auto" w:fill="auto"/>
        <w:tabs>
          <w:tab w:pos="682" w:val="left"/>
        </w:tabs>
        <w:bidi w:val="0"/>
        <w:spacing w:before="0" w:after="0" w:line="326" w:lineRule="exact"/>
        <w:ind w:left="0" w:right="0" w:firstLine="0"/>
        <w:jc w:val="left"/>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401" w:right="1060" w:bottom="1543" w:left="1067" w:header="0" w:footer="3" w:gutter="0"/>
          <w:cols w:space="720"/>
          <w:noEndnote/>
          <w:titlePg/>
          <w:rtlGutter w:val="0"/>
          <w:docGrid w:linePitch="360"/>
        </w:sectPr>
      </w:pPr>
      <w:bookmarkStart w:id="1205" w:name="bookmark1205"/>
      <w:r>
        <w:rPr>
          <w:color w:val="000000"/>
          <w:spacing w:val="0"/>
          <w:w w:val="100"/>
          <w:position w:val="0"/>
        </w:rPr>
        <w:t>（</w:t>
      </w:r>
      <w:bookmarkEnd w:id="1205"/>
      <w:r>
        <w:rPr>
          <w:color w:val="000000"/>
          <w:spacing w:val="0"/>
          <w:w w:val="100"/>
          <w:position w:val="0"/>
        </w:rPr>
        <w:t>17）</w:t>
        <w:tab/>
        <w:t xml:space="preserve">投资支付的现金2013年度发生数为285,100, </w:t>
      </w:r>
      <w:r>
        <w:rPr>
          <w:color w:val="000000"/>
          <w:spacing w:val="0"/>
          <w:w w:val="100"/>
          <w:position w:val="0"/>
        </w:rPr>
        <w:t>000.00</w:t>
      </w:r>
      <w:r>
        <w:rPr>
          <w:color w:val="000000"/>
          <w:spacing w:val="0"/>
          <w:w w:val="100"/>
          <w:position w:val="0"/>
        </w:rPr>
        <w:t>元，比上年数增加58.39%，其主要原因是本年购 买的理财产品累计发生数增加。</w:t>
      </w:r>
    </w:p>
    <w:p>
      <w:pPr>
        <w:pStyle w:val="Style10"/>
        <w:keepNext/>
        <w:keepLines/>
        <w:widowControl w:val="0"/>
        <w:shd w:val="clear" w:color="auto" w:fill="auto"/>
        <w:bidi w:val="0"/>
        <w:spacing w:before="0" w:after="660" w:line="240" w:lineRule="auto"/>
        <w:ind w:left="0" w:right="0" w:firstLine="0"/>
        <w:jc w:val="center"/>
      </w:pPr>
      <w:bookmarkStart w:id="1206" w:name="bookmark1206"/>
      <w:bookmarkStart w:id="1207" w:name="bookmark1207"/>
      <w:bookmarkStart w:id="1208" w:name="bookmark1208"/>
      <w:r>
        <w:rPr>
          <w:color w:val="000000"/>
          <w:spacing w:val="0"/>
          <w:w w:val="100"/>
          <w:position w:val="0"/>
        </w:rPr>
        <w:t>第十节备查文件目录</w:t>
      </w:r>
      <w:bookmarkEnd w:id="1206"/>
      <w:bookmarkEnd w:id="1207"/>
      <w:bookmarkEnd w:id="1208"/>
    </w:p>
    <w:p>
      <w:pPr>
        <w:pStyle w:val="Style27"/>
        <w:keepNext w:val="0"/>
        <w:keepLines w:val="0"/>
        <w:widowControl w:val="0"/>
        <w:shd w:val="clear" w:color="auto" w:fill="auto"/>
        <w:tabs>
          <w:tab w:pos="354" w:val="left"/>
        </w:tabs>
        <w:bidi w:val="0"/>
        <w:spacing w:before="0" w:after="200" w:line="240" w:lineRule="auto"/>
        <w:ind w:left="0" w:right="0" w:firstLine="0"/>
        <w:jc w:val="left"/>
      </w:pPr>
      <w:bookmarkStart w:id="1209" w:name="bookmark1209"/>
      <w:r>
        <w:rPr>
          <w:color w:val="000000"/>
          <w:spacing w:val="0"/>
          <w:w w:val="100"/>
          <w:position w:val="0"/>
        </w:rPr>
        <w:t>1</w:t>
      </w:r>
      <w:bookmarkEnd w:id="1209"/>
      <w:r>
        <w:rPr>
          <w:color w:val="000000"/>
          <w:spacing w:val="0"/>
          <w:w w:val="100"/>
          <w:position w:val="0"/>
        </w:rPr>
        <w:t>、</w:t>
        <w:tab/>
        <w:t>载有公司印章、法定代表人签名的2012年度报告全文的原件；</w:t>
      </w:r>
    </w:p>
    <w:p>
      <w:pPr>
        <w:pStyle w:val="Style27"/>
        <w:keepNext w:val="0"/>
        <w:keepLines w:val="0"/>
        <w:widowControl w:val="0"/>
        <w:shd w:val="clear" w:color="auto" w:fill="auto"/>
        <w:tabs>
          <w:tab w:pos="368" w:val="left"/>
        </w:tabs>
        <w:bidi w:val="0"/>
        <w:spacing w:before="0" w:after="200" w:line="240" w:lineRule="auto"/>
        <w:ind w:left="0" w:right="0" w:firstLine="0"/>
        <w:jc w:val="left"/>
      </w:pPr>
      <w:bookmarkStart w:id="1210" w:name="bookmark1210"/>
      <w:r>
        <w:rPr>
          <w:color w:val="000000"/>
          <w:spacing w:val="0"/>
          <w:w w:val="100"/>
          <w:position w:val="0"/>
        </w:rPr>
        <w:t>2</w:t>
      </w:r>
      <w:bookmarkEnd w:id="1210"/>
      <w:r>
        <w:rPr>
          <w:color w:val="000000"/>
          <w:spacing w:val="0"/>
          <w:w w:val="100"/>
          <w:position w:val="0"/>
        </w:rPr>
        <w:t>、</w:t>
        <w:tab/>
        <w:t>载有公司负责人、主管会计工作负责人、会计机构负责人签名并盖章的财务报表;</w:t>
      </w:r>
    </w:p>
    <w:p>
      <w:pPr>
        <w:pStyle w:val="Style27"/>
        <w:keepNext w:val="0"/>
        <w:keepLines w:val="0"/>
        <w:widowControl w:val="0"/>
        <w:shd w:val="clear" w:color="auto" w:fill="auto"/>
        <w:tabs>
          <w:tab w:pos="368" w:val="left"/>
        </w:tabs>
        <w:bidi w:val="0"/>
        <w:spacing w:before="0" w:after="200" w:line="240" w:lineRule="auto"/>
        <w:ind w:left="0" w:right="0" w:firstLine="0"/>
        <w:jc w:val="left"/>
      </w:pPr>
      <w:bookmarkStart w:id="1211" w:name="bookmark1211"/>
      <w:r>
        <w:rPr>
          <w:color w:val="000000"/>
          <w:spacing w:val="0"/>
          <w:w w:val="100"/>
          <w:position w:val="0"/>
        </w:rPr>
        <w:t>3</w:t>
      </w:r>
      <w:bookmarkEnd w:id="1211"/>
      <w:r>
        <w:rPr>
          <w:color w:val="000000"/>
          <w:spacing w:val="0"/>
          <w:w w:val="100"/>
          <w:position w:val="0"/>
        </w:rPr>
        <w:t>、</w:t>
        <w:tab/>
        <w:t>报告期内在中国证监会指定网站上公开披露过的所有文件的正本及公告原稿；</w:t>
      </w:r>
    </w:p>
    <w:p>
      <w:pPr>
        <w:pStyle w:val="Style27"/>
        <w:keepNext w:val="0"/>
        <w:keepLines w:val="0"/>
        <w:widowControl w:val="0"/>
        <w:shd w:val="clear" w:color="auto" w:fill="auto"/>
        <w:tabs>
          <w:tab w:pos="368" w:val="left"/>
        </w:tabs>
        <w:bidi w:val="0"/>
        <w:spacing w:before="0" w:after="200" w:line="240" w:lineRule="auto"/>
        <w:ind w:left="0" w:right="0" w:firstLine="0"/>
        <w:jc w:val="left"/>
      </w:pPr>
      <w:bookmarkStart w:id="1212" w:name="bookmark1212"/>
      <w:r>
        <w:rPr>
          <w:color w:val="000000"/>
          <w:spacing w:val="0"/>
          <w:w w:val="100"/>
          <w:position w:val="0"/>
        </w:rPr>
        <w:t>4</w:t>
      </w:r>
      <w:bookmarkEnd w:id="1212"/>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368" w:val="left"/>
        </w:tabs>
        <w:bidi w:val="0"/>
        <w:spacing w:before="0" w:after="200" w:line="240" w:lineRule="auto"/>
        <w:ind w:left="0" w:right="0" w:firstLine="0"/>
        <w:jc w:val="left"/>
      </w:pPr>
      <w:bookmarkStart w:id="1213" w:name="bookmark1213"/>
      <w:r>
        <w:rPr>
          <w:color w:val="000000"/>
          <w:spacing w:val="0"/>
          <w:w w:val="100"/>
          <w:position w:val="0"/>
        </w:rPr>
        <w:t>5</w:t>
      </w:r>
      <w:bookmarkEnd w:id="1213"/>
      <w:r>
        <w:rPr>
          <w:color w:val="000000"/>
          <w:spacing w:val="0"/>
          <w:w w:val="100"/>
          <w:position w:val="0"/>
        </w:rPr>
        <w:t>、</w:t>
        <w:tab/>
        <w:t>其它相关文件。</w:t>
      </w:r>
    </w:p>
    <w:p>
      <w:pPr>
        <w:pStyle w:val="Style27"/>
        <w:keepNext w:val="0"/>
        <w:keepLines w:val="0"/>
        <w:widowControl w:val="0"/>
        <w:shd w:val="clear" w:color="auto" w:fill="auto"/>
        <w:bidi w:val="0"/>
        <w:spacing w:before="0" w:after="2400" w:line="240" w:lineRule="auto"/>
        <w:ind w:left="0" w:right="0" w:firstLine="0"/>
        <w:jc w:val="left"/>
      </w:pPr>
      <w:r>
        <w:rPr>
          <w:color w:val="000000"/>
          <w:spacing w:val="0"/>
          <w:w w:val="100"/>
          <w:position w:val="0"/>
        </w:rPr>
        <w:t>以上备查文件的备置地点：公司董事会办公室</w:t>
      </w:r>
    </w:p>
    <w:p>
      <w:pPr>
        <w:pStyle w:val="Style52"/>
        <w:keepNext w:val="0"/>
        <w:keepLines w:val="0"/>
        <w:widowControl w:val="0"/>
        <w:shd w:val="clear" w:color="auto" w:fill="auto"/>
        <w:bidi w:val="0"/>
        <w:spacing w:before="0" w:after="340" w:line="240" w:lineRule="auto"/>
        <w:ind w:left="0" w:right="1120" w:firstLine="0"/>
        <w:jc w:val="right"/>
      </w:pPr>
      <w:r>
        <w:rPr>
          <w:color w:val="000000"/>
          <w:spacing w:val="0"/>
          <w:w w:val="100"/>
          <w:position w:val="0"/>
          <w:sz w:val="24"/>
          <w:szCs w:val="24"/>
        </w:rPr>
        <w:t>尤洛卡矿业安全工程股份有限公司</w:t>
      </w:r>
    </w:p>
    <w:p>
      <w:pPr>
        <w:pStyle w:val="Style52"/>
        <w:keepNext w:val="0"/>
        <w:keepLines w:val="0"/>
        <w:widowControl w:val="0"/>
        <w:shd w:val="clear" w:color="auto" w:fill="auto"/>
        <w:bidi w:val="0"/>
        <w:spacing w:before="0" w:after="340" w:line="240" w:lineRule="auto"/>
        <w:ind w:left="5160" w:right="0" w:firstLine="0"/>
        <w:jc w:val="left"/>
      </w:pPr>
      <w:r>
        <w:rPr>
          <w:color w:val="000000"/>
          <w:spacing w:val="0"/>
          <w:w w:val="100"/>
          <w:position w:val="0"/>
          <w:sz w:val="24"/>
          <w:szCs w:val="24"/>
        </w:rPr>
        <w:t>法定代表人：</w:t>
      </w:r>
      <w:r>
        <w:rPr>
          <w:color w:val="000000"/>
          <w:spacing w:val="0"/>
          <w:w w:val="100"/>
          <w:position w:val="0"/>
          <w:sz w:val="24"/>
          <w:szCs w:val="24"/>
          <w:u w:val="single"/>
        </w:rPr>
        <w:t>黄自伟</w:t>
      </w:r>
    </w:p>
    <w:p>
      <w:pPr>
        <w:pStyle w:val="Style13"/>
        <w:keepNext w:val="0"/>
        <w:keepLines w:val="0"/>
        <w:widowControl w:val="0"/>
        <w:shd w:val="clear" w:color="auto" w:fill="auto"/>
        <w:bidi w:val="0"/>
        <w:spacing w:before="0" w:after="260" w:line="240" w:lineRule="auto"/>
        <w:ind w:left="5640" w:right="0" w:firstLine="0"/>
        <w:jc w:val="left"/>
        <w:rPr>
          <w:sz w:val="24"/>
          <w:szCs w:val="24"/>
        </w:rPr>
      </w:pPr>
      <w:r>
        <w:rPr>
          <w:b w:val="0"/>
          <w:bCs w:val="0"/>
          <w:color w:val="000000"/>
          <w:spacing w:val="0"/>
          <w:w w:val="100"/>
          <w:position w:val="0"/>
          <w:sz w:val="24"/>
          <w:szCs w:val="24"/>
        </w:rPr>
        <w:t>2014</w:t>
      </w:r>
      <w:r>
        <w:rPr>
          <w:rFonts w:ascii="SimSun" w:eastAsia="SimSun" w:hAnsi="SimSun" w:cs="SimSun"/>
          <w:b w:val="0"/>
          <w:bCs w:val="0"/>
          <w:color w:val="000000"/>
          <w:spacing w:val="0"/>
          <w:w w:val="100"/>
          <w:position w:val="0"/>
          <w:sz w:val="24"/>
          <w:szCs w:val="24"/>
        </w:rPr>
        <w:t>年</w:t>
      </w:r>
      <w:r>
        <w:rPr>
          <w:b w:val="0"/>
          <w:bCs w:val="0"/>
          <w:color w:val="000000"/>
          <w:spacing w:val="0"/>
          <w:w w:val="100"/>
          <w:position w:val="0"/>
          <w:sz w:val="24"/>
          <w:szCs w:val="24"/>
        </w:rPr>
        <w:t>3</w:t>
      </w:r>
      <w:r>
        <w:rPr>
          <w:rFonts w:ascii="SimSun" w:eastAsia="SimSun" w:hAnsi="SimSun" w:cs="SimSun"/>
          <w:b w:val="0"/>
          <w:bCs w:val="0"/>
          <w:color w:val="000000"/>
          <w:spacing w:val="0"/>
          <w:w w:val="100"/>
          <w:position w:val="0"/>
          <w:sz w:val="24"/>
          <w:szCs w:val="24"/>
        </w:rPr>
        <w:t>月</w:t>
      </w:r>
      <w:r>
        <w:rPr>
          <w:b w:val="0"/>
          <w:bCs w:val="0"/>
          <w:color w:val="000000"/>
          <w:spacing w:val="0"/>
          <w:w w:val="100"/>
          <w:position w:val="0"/>
          <w:sz w:val="24"/>
          <w:szCs w:val="24"/>
        </w:rPr>
        <w:t>26</w:t>
      </w:r>
      <w:r>
        <w:rPr>
          <w:rFonts w:ascii="SimSun" w:eastAsia="SimSun" w:hAnsi="SimSun" w:cs="SimSun"/>
          <w:b w:val="0"/>
          <w:bCs w:val="0"/>
          <w:color w:val="000000"/>
          <w:spacing w:val="0"/>
          <w:w w:val="100"/>
          <w:position w:val="0"/>
          <w:sz w:val="24"/>
          <w:szCs w:val="24"/>
        </w:rPr>
        <w:t>日</w:t>
      </w:r>
    </w:p>
    <w:sectPr>
      <w:footnotePr>
        <w:pos w:val="pageBottom"/>
        <w:numFmt w:val="decimal"/>
        <w:numRestart w:val="continuous"/>
      </w:footnotePr>
      <w:pgSz w:w="11900" w:h="16840"/>
      <w:pgMar w:top="1974" w:right="1112" w:bottom="1974"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690880</wp:posOffset>
              </wp:positionH>
              <wp:positionV relativeFrom="page">
                <wp:posOffset>9930765</wp:posOffset>
              </wp:positionV>
              <wp:extent cx="94615" cy="79375"/>
              <wp:wrapNone/>
              <wp:docPr id="4" name="Shape 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4.399999999999999pt;margin-top:781.95000000000005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730250</wp:posOffset>
              </wp:positionH>
              <wp:positionV relativeFrom="page">
                <wp:posOffset>10104755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7.5pt;margin-top:795.64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6332220</wp:posOffset>
              </wp:positionH>
              <wp:positionV relativeFrom="page">
                <wp:posOffset>9690100</wp:posOffset>
              </wp:positionV>
              <wp:extent cx="499745" cy="106680"/>
              <wp:wrapNone/>
              <wp:docPr id="52" name="Shape 52"/>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8" type="#_x0000_t202" style="position:absolute;margin-left:498.60000000000002pt;margin-top:763.pt;width:39.3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730250</wp:posOffset>
              </wp:positionH>
              <wp:positionV relativeFrom="page">
                <wp:posOffset>10119995</wp:posOffset>
              </wp:positionV>
              <wp:extent cx="155575" cy="79375"/>
              <wp:wrapNone/>
              <wp:docPr id="54" name="Shape 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0" type="#_x0000_t202" style="position:absolute;margin-left:57.5pt;margin-top:796.85000000000002pt;width:12.25pt;height:6.25pt;z-index:-1887440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690880</wp:posOffset>
              </wp:positionH>
              <wp:positionV relativeFrom="page">
                <wp:posOffset>9930765</wp:posOffset>
              </wp:positionV>
              <wp:extent cx="94615" cy="79375"/>
              <wp:wrapNone/>
              <wp:docPr id="59" name="Shape 5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4.399999999999999pt;margin-top:781.95000000000005pt;width:7.4500000000000002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690880</wp:posOffset>
              </wp:positionH>
              <wp:positionV relativeFrom="page">
                <wp:posOffset>9930765</wp:posOffset>
              </wp:positionV>
              <wp:extent cx="94615" cy="79375"/>
              <wp:wrapNone/>
              <wp:docPr id="64" name="Shape 6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4.399999999999999pt;margin-top:781.95000000000005pt;width:7.45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6336030</wp:posOffset>
              </wp:positionH>
              <wp:positionV relativeFrom="page">
                <wp:posOffset>9662160</wp:posOffset>
              </wp:positionV>
              <wp:extent cx="499745" cy="106680"/>
              <wp:wrapNone/>
              <wp:docPr id="69" name="Shape 6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5" type="#_x0000_t202" style="position:absolute;margin-left:498.90000000000003pt;margin-top:760.80000000000007pt;width:39.35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734060</wp:posOffset>
              </wp:positionH>
              <wp:positionV relativeFrom="page">
                <wp:posOffset>10182860</wp:posOffset>
              </wp:positionV>
              <wp:extent cx="152400" cy="79375"/>
              <wp:wrapNone/>
              <wp:docPr id="71" name="Shape 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7" type="#_x0000_t202" style="position:absolute;margin-left:57.800000000000004pt;margin-top:801.80000000000007pt;width:12.pt;height:6.25pt;z-index:-1887440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690880</wp:posOffset>
              </wp:positionH>
              <wp:positionV relativeFrom="page">
                <wp:posOffset>9930765</wp:posOffset>
              </wp:positionV>
              <wp:extent cx="94615" cy="79375"/>
              <wp:wrapNone/>
              <wp:docPr id="76" name="Shape 7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4.399999999999999pt;margin-top:781.95000000000005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6336030</wp:posOffset>
              </wp:positionH>
              <wp:positionV relativeFrom="page">
                <wp:posOffset>9662160</wp:posOffset>
              </wp:positionV>
              <wp:extent cx="499745" cy="106680"/>
              <wp:wrapNone/>
              <wp:docPr id="81" name="Shape 8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7" type="#_x0000_t202" style="position:absolute;margin-left:498.90000000000003pt;margin-top:760.80000000000007pt;width:39.350000000000001pt;height:8.4000000000000004pt;z-index:-1887440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734060</wp:posOffset>
              </wp:positionH>
              <wp:positionV relativeFrom="page">
                <wp:posOffset>10182860</wp:posOffset>
              </wp:positionV>
              <wp:extent cx="152400" cy="79375"/>
              <wp:wrapNone/>
              <wp:docPr id="83" name="Shape 8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9" type="#_x0000_t202" style="position:absolute;margin-left:57.800000000000004pt;margin-top:801.80000000000007pt;width:12.pt;height:6.25pt;z-index:-18874402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1297305</wp:posOffset>
              </wp:positionH>
              <wp:positionV relativeFrom="page">
                <wp:posOffset>540385</wp:posOffset>
              </wp:positionV>
              <wp:extent cx="2673350" cy="103505"/>
              <wp:wrapNone/>
              <wp:docPr id="1" name="Shape 1"/>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尤洛卡矿业安全工程股份有限公司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2.15000000000001pt;margin-top:42.550000000000004pt;width:210.5pt;height:8.15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尤洛卡矿业安全工程股份有限公司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696595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00000000000004pt;margin-top:54.850000000000001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1297305</wp:posOffset>
              </wp:positionH>
              <wp:positionV relativeFrom="page">
                <wp:posOffset>503555</wp:posOffset>
              </wp:positionV>
              <wp:extent cx="2673350" cy="100330"/>
              <wp:wrapNone/>
              <wp:docPr id="6" name="Shape 6"/>
              <a:graphic xmlns:a="http://schemas.openxmlformats.org/drawingml/2006/main">
                <a:graphicData uri="http://schemas.microsoft.com/office/word/2010/wordprocessingShape">
                  <wps:wsp>
                    <wps:cNvSpPr txBox="1"/>
                    <wps:spPr>
                      <a:xfrm>
                        <a:ext cx="2673350" cy="100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尤洛卡矿业安全工程股份有限公司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102.15000000000001pt;margin-top:39.649999999999999pt;width:210.5pt;height:7.9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尤洛卡矿业安全工程股份有限公司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611505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00000000000004pt;margin-top:48.149999999999999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1296670</wp:posOffset>
              </wp:positionH>
              <wp:positionV relativeFrom="page">
                <wp:posOffset>767080</wp:posOffset>
              </wp:positionV>
              <wp:extent cx="2673350" cy="103505"/>
              <wp:wrapNone/>
              <wp:docPr id="49" name="Shape 49"/>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尤洛卡矿业安全工程股份有限公司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5" type="#_x0000_t202" style="position:absolute;margin-left:102.10000000000001pt;margin-top:60.399999999999999pt;width:210.5pt;height:8.1500000000000004pt;z-index:-1887440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尤洛卡矿业安全工程股份有限公司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878205</wp:posOffset>
              </wp:positionV>
              <wp:extent cx="6123305" cy="0"/>
              <wp:wrapNone/>
              <wp:docPr id="51" name="Shape 5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00000000000004pt;margin-top:69.150000000000006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1297305</wp:posOffset>
              </wp:positionH>
              <wp:positionV relativeFrom="page">
                <wp:posOffset>540385</wp:posOffset>
              </wp:positionV>
              <wp:extent cx="2673350" cy="103505"/>
              <wp:wrapNone/>
              <wp:docPr id="56" name="Shape 56"/>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尤洛卡矿业安全工程股份有限公司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82" type="#_x0000_t202" style="position:absolute;margin-left:102.15000000000001pt;margin-top:42.550000000000004pt;width:210.5pt;height:8.15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尤洛卡矿业安全工程股份有限公司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696595</wp:posOffset>
              </wp:positionV>
              <wp:extent cx="6123305" cy="0"/>
              <wp:wrapNone/>
              <wp:docPr id="58" name="Shape 5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00000000000004pt;margin-top:54.850000000000001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1297305</wp:posOffset>
              </wp:positionH>
              <wp:positionV relativeFrom="page">
                <wp:posOffset>540385</wp:posOffset>
              </wp:positionV>
              <wp:extent cx="2673350" cy="103505"/>
              <wp:wrapNone/>
              <wp:docPr id="61" name="Shape 61"/>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尤洛卡矿业安全工程股份有限公司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87" type="#_x0000_t202" style="position:absolute;margin-left:102.15000000000001pt;margin-top:42.550000000000004pt;width:210.5pt;height:8.15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尤洛卡矿业安全工程股份有限公司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696595</wp:posOffset>
              </wp:positionV>
              <wp:extent cx="6123305" cy="0"/>
              <wp:wrapNone/>
              <wp:docPr id="63" name="Shape 6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00000000000004pt;margin-top:54.850000000000001pt;width:482.1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1301115</wp:posOffset>
              </wp:positionH>
              <wp:positionV relativeFrom="page">
                <wp:posOffset>811530</wp:posOffset>
              </wp:positionV>
              <wp:extent cx="2673350" cy="103505"/>
              <wp:wrapNone/>
              <wp:docPr id="66" name="Shape 66"/>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尤洛卡矿业安全工程股份有限公司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2" type="#_x0000_t202" style="position:absolute;margin-left:102.45pt;margin-top:63.899999999999999pt;width:210.5pt;height:8.1500000000000004pt;z-index:-18874404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尤洛卡矿业安全工程股份有限公司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949325</wp:posOffset>
              </wp:positionV>
              <wp:extent cx="6123305" cy="0"/>
              <wp:wrapNone/>
              <wp:docPr id="68" name="Shape 6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600000000000001pt;margin-top:74.75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1297305</wp:posOffset>
              </wp:positionH>
              <wp:positionV relativeFrom="page">
                <wp:posOffset>540385</wp:posOffset>
              </wp:positionV>
              <wp:extent cx="2673350" cy="103505"/>
              <wp:wrapNone/>
              <wp:docPr id="73" name="Shape 73"/>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尤洛卡矿业安全工程股份有限公司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99" type="#_x0000_t202" style="position:absolute;margin-left:102.15000000000001pt;margin-top:42.550000000000004pt;width:210.5pt;height:8.15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尤洛卡矿业安全工程股份有限公司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696595</wp:posOffset>
              </wp:positionV>
              <wp:extent cx="6123305" cy="0"/>
              <wp:wrapNone/>
              <wp:docPr id="75" name="Shape 7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00000000000004pt;margin-top:54.850000000000001pt;width:482.15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1301115</wp:posOffset>
              </wp:positionH>
              <wp:positionV relativeFrom="page">
                <wp:posOffset>811530</wp:posOffset>
              </wp:positionV>
              <wp:extent cx="2673350" cy="103505"/>
              <wp:wrapNone/>
              <wp:docPr id="78" name="Shape 78"/>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尤洛卡矿业安全工程股份有限公司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4" type="#_x0000_t202" style="position:absolute;margin-left:102.45pt;margin-top:63.899999999999999pt;width:210.5pt;height:8.1500000000000004pt;z-index:-18874403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尤洛卡矿业安全工程股份有限公司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949325</wp:posOffset>
              </wp:positionV>
              <wp:extent cx="6123305" cy="0"/>
              <wp:wrapNone/>
              <wp:docPr id="80" name="Shape 8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600000000000001pt;margin-top:74.75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6"/>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5)_"/>
    <w:basedOn w:val="DefaultParagraphFont"/>
    <w:link w:val="Style2"/>
    <w:rPr>
      <w:rFonts w:ascii="Arial" w:eastAsia="Arial" w:hAnsi="Arial" w:cs="Arial"/>
      <w:b w:val="0"/>
      <w:bCs w:val="0"/>
      <w:i w:val="0"/>
      <w:iCs w:val="0"/>
      <w:smallCaps w:val="0"/>
      <w:strike w:val="0"/>
      <w:color w:val="353535"/>
      <w:sz w:val="18"/>
      <w:szCs w:val="1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标题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正文文本 (2)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3">
    <w:name w:val="正文文本 (8)_"/>
    <w:basedOn w:val="DefaultParagraphFont"/>
    <w:link w:val="Style52"/>
    <w:rPr>
      <w:rFonts w:ascii="SimSun" w:eastAsia="SimSun" w:hAnsi="SimSun" w:cs="SimSun"/>
      <w:b w:val="0"/>
      <w:bCs w:val="0"/>
      <w:i w:val="0"/>
      <w:iCs w:val="0"/>
      <w:smallCaps w:val="0"/>
      <w:strike w:val="0"/>
      <w:u w:val="none"/>
      <w:shd w:val="clear" w:color="auto" w:fill="auto"/>
    </w:rPr>
  </w:style>
  <w:style w:type="character" w:customStyle="1" w:styleId="CharStyle65">
    <w:name w:val="页眉或页脚_"/>
    <w:basedOn w:val="DefaultParagraphFont"/>
    <w:link w:val="Style64"/>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5)"/>
    <w:basedOn w:val="Normal"/>
    <w:link w:val="CharStyle3"/>
    <w:pPr>
      <w:widowControl w:val="0"/>
      <w:shd w:val="clear" w:color="auto" w:fill="auto"/>
      <w:spacing w:before="2340" w:after="680"/>
      <w:jc w:val="center"/>
    </w:pPr>
    <w:rPr>
      <w:rFonts w:ascii="Arial" w:eastAsia="Arial" w:hAnsi="Arial" w:cs="Arial"/>
      <w:b w:val="0"/>
      <w:bCs w:val="0"/>
      <w:i w:val="0"/>
      <w:iCs w:val="0"/>
      <w:smallCaps w:val="0"/>
      <w:strike w:val="0"/>
      <w:color w:val="353535"/>
      <w:sz w:val="18"/>
      <w:szCs w:val="1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1"/>
    <w:basedOn w:val="Normal"/>
    <w:link w:val="CharStyle9"/>
    <w:pPr>
      <w:widowControl w:val="0"/>
      <w:shd w:val="clear" w:color="auto" w:fill="auto"/>
      <w:spacing w:before="730" w:after="9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0">
    <w:name w:val="标题 #2"/>
    <w:basedOn w:val="Normal"/>
    <w:link w:val="CharStyle11"/>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4)"/>
    <w:basedOn w:val="Normal"/>
    <w:link w:val="CharStyle14"/>
    <w:pPr>
      <w:widowControl w:val="0"/>
      <w:shd w:val="clear" w:color="auto" w:fill="auto"/>
      <w:spacing w:after="3120"/>
      <w:ind w:firstLine="220"/>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5">
    <w:name w:val="正文文本 (3)"/>
    <w:basedOn w:val="Normal"/>
    <w:link w:val="CharStyle16"/>
    <w:pPr>
      <w:widowControl w:val="0"/>
      <w:shd w:val="clear" w:color="auto" w:fill="auto"/>
      <w:spacing w:after="100" w:line="622"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spacing w:line="46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标题 #3"/>
    <w:basedOn w:val="Normal"/>
    <w:link w:val="CharStyle26"/>
    <w:pPr>
      <w:widowControl w:val="0"/>
      <w:shd w:val="clear" w:color="auto" w:fill="auto"/>
      <w:spacing w:after="290"/>
      <w:outlineLvl w:val="2"/>
    </w:pPr>
    <w:rPr>
      <w:rFonts w:ascii="SimSun" w:eastAsia="SimSun" w:hAnsi="SimSun" w:cs="SimSun"/>
      <w:b/>
      <w:bCs/>
      <w:i w:val="0"/>
      <w:iCs w:val="0"/>
      <w:smallCaps w:val="0"/>
      <w:strike w:val="0"/>
      <w:u w:val="none"/>
      <w:shd w:val="clear" w:color="auto" w:fill="auto"/>
    </w:rPr>
  </w:style>
  <w:style w:type="paragraph" w:customStyle="1" w:styleId="Style27">
    <w:name w:val="正文文本"/>
    <w:basedOn w:val="Normal"/>
    <w:link w:val="CharStyle28"/>
    <w:pPr>
      <w:widowControl w:val="0"/>
      <w:shd w:val="clear" w:color="auto" w:fill="auto"/>
      <w:spacing w:line="46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正文文本 (2)"/>
    <w:basedOn w:val="Normal"/>
    <w:link w:val="CharStyle31"/>
    <w:pPr>
      <w:widowControl w:val="0"/>
      <w:shd w:val="clear" w:color="auto" w:fill="auto"/>
      <w:spacing w:after="90" w:line="319"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表格标题"/>
    <w:basedOn w:val="Normal"/>
    <w:link w:val="CharStyle35"/>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标题 #4"/>
    <w:basedOn w:val="Normal"/>
    <w:link w:val="CharStyle37"/>
    <w:pPr>
      <w:widowControl w:val="0"/>
      <w:shd w:val="clear" w:color="auto" w:fill="auto"/>
      <w:spacing w:after="340" w:line="449"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正文文本 (8)"/>
    <w:basedOn w:val="Normal"/>
    <w:link w:val="CharStyle53"/>
    <w:pPr>
      <w:widowControl w:val="0"/>
      <w:shd w:val="clear" w:color="auto" w:fill="auto"/>
      <w:spacing w:after="290"/>
      <w:ind w:firstLine="480"/>
    </w:pPr>
    <w:rPr>
      <w:rFonts w:ascii="SimSun" w:eastAsia="SimSun" w:hAnsi="SimSun" w:cs="SimSun"/>
      <w:b w:val="0"/>
      <w:bCs w:val="0"/>
      <w:i w:val="0"/>
      <w:iCs w:val="0"/>
      <w:smallCaps w:val="0"/>
      <w:strike w:val="0"/>
      <w:u w:val="none"/>
      <w:shd w:val="clear" w:color="auto" w:fill="auto"/>
    </w:rPr>
  </w:style>
  <w:style w:type="paragraph" w:customStyle="1" w:styleId="Style64">
    <w:name w:val="页眉或页脚"/>
    <w:basedOn w:val="Normal"/>
    <w:link w:val="CharStyle6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&lt;433A5C55736572735C6C756F6775696C616E5C4465736B746F705CC8D5B3A35CD0C2B9C9B9ABB8E65C41523230313333303030393962B6A8C6DAB1A8B8E6C8ABCEC428576F7264D6D0CEC4B0E6292E646F63&gt;</dc:title>
  <dc:subject/>
  <dc:creator>luoguilan</dc:creator>
  <cp:keywords/>
</cp:coreProperties>
</file>