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5.xml" ContentType="application/vnd.openxmlformats-officedocument.wordprocessingml.header+xml"/>
  <Override PartName="/word/footer2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9"/>
        <w:ind w:left="2204" w:right="2719" w:firstLine="0"/>
        <w:jc w:val="center"/>
        <w:rPr>
          <w:rFonts w:ascii="宋体" w:hAnsi="宋体" w:cs="宋体" w:eastAsia="宋体" w:hint="default"/>
          <w:sz w:val="36"/>
          <w:szCs w:val="36"/>
        </w:rPr>
      </w:pPr>
      <w:r>
        <w:rPr>
          <w:rFonts w:ascii="宋体" w:hAnsi="宋体" w:cs="宋体" w:eastAsia="宋体" w:hint="default"/>
          <w:b/>
          <w:bCs/>
          <w:sz w:val="36"/>
          <w:szCs w:val="36"/>
        </w:rPr>
        <w:t>尤洛卡精准信息工程股份有限公司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pStyle w:val="Heading1"/>
        <w:spacing w:line="240" w:lineRule="auto"/>
        <w:ind w:right="2719"/>
        <w:jc w:val="center"/>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年年度报告</w:t>
      </w:r>
      <w:r>
        <w:rPr>
          <w:b w:val="0"/>
          <w:bCs w:val="0"/>
        </w:rPr>
      </w:r>
    </w:p>
    <w:p>
      <w:pPr>
        <w:spacing w:line="240" w:lineRule="auto" w:before="5"/>
        <w:rPr>
          <w:rFonts w:ascii="宋体" w:hAnsi="宋体" w:cs="宋体" w:eastAsia="宋体" w:hint="default"/>
          <w:b/>
          <w:bCs/>
          <w:sz w:val="32"/>
          <w:szCs w:val="32"/>
        </w:rPr>
      </w:pPr>
    </w:p>
    <w:p>
      <w:pPr>
        <w:spacing w:before="0"/>
        <w:ind w:left="2204" w:right="2719" w:firstLine="0"/>
        <w:jc w:val="center"/>
        <w:rPr>
          <w:rFonts w:ascii="Times New Roman" w:hAnsi="Times New Roman" w:cs="Times New Roman" w:eastAsia="Times New Roman" w:hint="default"/>
          <w:sz w:val="22"/>
          <w:szCs w:val="22"/>
        </w:rPr>
      </w:pPr>
      <w:r>
        <w:rPr>
          <w:rFonts w:ascii="Times New Roman"/>
          <w:b/>
          <w:sz w:val="22"/>
        </w:rPr>
        <w:t>2018-016</w:t>
      </w:r>
      <w:r>
        <w:rPr>
          <w:rFonts w:ascii="Times New Roman"/>
          <w:sz w:val="22"/>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7"/>
        <w:rPr>
          <w:rFonts w:ascii="Times New Roman" w:hAnsi="Times New Roman" w:cs="Times New Roman" w:eastAsia="Times New Roman" w:hint="default"/>
          <w:b/>
          <w:bCs/>
          <w:sz w:val="11"/>
          <w:szCs w:val="11"/>
        </w:rPr>
      </w:pPr>
    </w:p>
    <w:p>
      <w:pPr>
        <w:spacing w:line="4941" w:lineRule="exact"/>
        <w:ind w:left="11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8"/>
          <w:sz w:val="20"/>
          <w:szCs w:val="20"/>
        </w:rPr>
        <w:drawing>
          <wp:inline distT="0" distB="0" distL="0" distR="0">
            <wp:extent cx="6445737" cy="313753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445737" cy="3137535"/>
                    </a:xfrm>
                    <a:prstGeom prst="rect">
                      <a:avLst/>
                    </a:prstGeom>
                  </pic:spPr>
                </pic:pic>
              </a:graphicData>
            </a:graphic>
          </wp:inline>
        </w:drawing>
      </w:r>
      <w:r>
        <w:rPr>
          <w:rFonts w:ascii="Times New Roman" w:hAnsi="Times New Roman" w:cs="Times New Roman" w:eastAsia="Times New Roman" w:hint="default"/>
          <w:position w:val="-98"/>
          <w:sz w:val="20"/>
          <w:szCs w:val="20"/>
        </w:rPr>
      </w: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0"/>
        <w:rPr>
          <w:rFonts w:ascii="Times New Roman" w:hAnsi="Times New Roman" w:cs="Times New Roman" w:eastAsia="Times New Roman" w:hint="default"/>
          <w:b/>
          <w:bCs/>
          <w:sz w:val="20"/>
          <w:szCs w:val="20"/>
        </w:rPr>
      </w:pPr>
    </w:p>
    <w:p>
      <w:pPr>
        <w:spacing w:line="240" w:lineRule="auto" w:before="9"/>
        <w:rPr>
          <w:rFonts w:ascii="Times New Roman" w:hAnsi="Times New Roman" w:cs="Times New Roman" w:eastAsia="Times New Roman" w:hint="default"/>
          <w:b/>
          <w:bCs/>
          <w:sz w:val="17"/>
          <w:szCs w:val="17"/>
        </w:rPr>
      </w:pPr>
    </w:p>
    <w:p>
      <w:pPr>
        <w:pStyle w:val="Heading1"/>
        <w:spacing w:line="240" w:lineRule="auto"/>
        <w:ind w:right="2719"/>
        <w:jc w:val="center"/>
        <w:rPr>
          <w:b w:val="0"/>
          <w:bCs w:val="0"/>
        </w:rPr>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83"/>
        </w:rPr>
        <w:t> </w:t>
      </w:r>
      <w:r>
        <w:rPr>
          <w:rFonts w:ascii="Times New Roman" w:hAnsi="Times New Roman" w:cs="Times New Roman" w:eastAsia="Times New Roman" w:hint="default"/>
        </w:rPr>
        <w:t>04</w:t>
      </w:r>
      <w:r>
        <w:rPr>
          <w:rFonts w:ascii="Times New Roman" w:hAnsi="Times New Roman" w:cs="Times New Roman" w:eastAsia="Times New Roman" w:hint="default"/>
          <w:spacing w:val="-5"/>
        </w:rPr>
        <w:t> </w:t>
      </w:r>
      <w:r>
        <w:rPr/>
        <w:t>月</w:t>
      </w:r>
      <w:r>
        <w:rPr>
          <w:b w:val="0"/>
          <w:bCs w:val="0"/>
        </w:rPr>
      </w:r>
    </w:p>
    <w:p>
      <w:pPr>
        <w:spacing w:after="0" w:line="240" w:lineRule="auto"/>
        <w:jc w:val="center"/>
        <w:sectPr>
          <w:headerReference w:type="default" r:id="rId5"/>
          <w:type w:val="continuous"/>
          <w:pgSz w:w="11910" w:h="16840"/>
          <w:pgMar w:header="787" w:top="1100" w:bottom="280" w:left="1020" w:right="50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p>
      <w:pPr>
        <w:spacing w:before="0"/>
        <w:ind w:left="2764" w:right="216" w:firstLine="0"/>
        <w:jc w:val="left"/>
        <w:rPr>
          <w:rFonts w:ascii="宋体" w:hAnsi="宋体" w:cs="宋体" w:eastAsia="宋体" w:hint="default"/>
          <w:sz w:val="32"/>
          <w:szCs w:val="32"/>
        </w:rPr>
      </w:pPr>
      <w:r>
        <w:rPr>
          <w:rFonts w:ascii="宋体" w:hAnsi="宋体" w:cs="宋体" w:eastAsia="宋体" w:hint="default"/>
          <w:b/>
          <w:bCs/>
          <w:sz w:val="32"/>
          <w:szCs w:val="32"/>
        </w:rPr>
        <w:t>第一节</w:t>
      </w:r>
      <w:r>
        <w:rPr>
          <w:rFonts w:ascii="宋体" w:hAnsi="宋体" w:cs="宋体" w:eastAsia="宋体" w:hint="default"/>
          <w:b/>
          <w:bCs/>
          <w:spacing w:val="-11"/>
          <w:sz w:val="32"/>
          <w:szCs w:val="32"/>
        </w:rPr>
        <w:t> </w:t>
      </w:r>
      <w:r>
        <w:rPr>
          <w:rFonts w:ascii="宋体" w:hAnsi="宋体" w:cs="宋体" w:eastAsia="宋体" w:hint="default"/>
          <w:b/>
          <w:bCs/>
          <w:sz w:val="32"/>
          <w:szCs w:val="32"/>
        </w:rPr>
        <w:t>重要提示、目录和释义</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408" w:lineRule="auto" w:before="212"/>
        <w:ind w:left="112" w:right="248" w:firstLine="561"/>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0"/>
        <w:ind w:left="112" w:right="250" w:firstLine="561"/>
        <w:jc w:val="both"/>
        <w:rPr>
          <w:rFonts w:ascii="宋体" w:hAnsi="宋体" w:cs="宋体" w:eastAsia="宋体" w:hint="default"/>
          <w:sz w:val="28"/>
          <w:szCs w:val="28"/>
        </w:rPr>
      </w:pPr>
      <w:r>
        <w:rPr>
          <w:rFonts w:ascii="宋体" w:hAnsi="宋体" w:cs="宋体" w:eastAsia="宋体" w:hint="default"/>
          <w:b/>
          <w:bCs/>
          <w:spacing w:val="-1"/>
          <w:sz w:val="28"/>
          <w:szCs w:val="28"/>
        </w:rPr>
        <w:t>公司负责人黄自伟、主管会计工作负责人崔保航及会计机构负责人</w:t>
      </w:r>
      <w:r>
        <w:rPr>
          <w:rFonts w:ascii="Times New Roman" w:hAnsi="Times New Roman" w:cs="Times New Roman" w:eastAsia="Times New Roman" w:hint="default"/>
          <w:b/>
          <w:bCs/>
          <w:spacing w:val="-1"/>
          <w:sz w:val="28"/>
          <w:szCs w:val="28"/>
        </w:rPr>
        <w:t>(</w:t>
      </w:r>
      <w:r>
        <w:rPr>
          <w:rFonts w:ascii="宋体" w:hAnsi="宋体" w:cs="宋体" w:eastAsia="宋体" w:hint="default"/>
          <w:b/>
          <w:bCs/>
          <w:spacing w:val="-1"/>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郑杰声明：保证年度报告中财务报告的真实、准确、完整。</w:t>
      </w:r>
      <w:r>
        <w:rPr>
          <w:rFonts w:ascii="宋体" w:hAnsi="宋体" w:cs="宋体" w:eastAsia="宋体" w:hint="default"/>
          <w:sz w:val="28"/>
          <w:szCs w:val="28"/>
        </w:rPr>
      </w:r>
    </w:p>
    <w:p>
      <w:pPr>
        <w:spacing w:line="475" w:lineRule="auto" w:before="148"/>
        <w:ind w:left="674" w:right="21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本年度报告中涉及未来计划或规划等前瞻性陈述的，均不构成公司对投资</w:t>
      </w:r>
      <w:r>
        <w:rPr>
          <w:rFonts w:ascii="宋体" w:hAnsi="宋体" w:cs="宋体" w:eastAsia="宋体" w:hint="default"/>
          <w:spacing w:val="2"/>
          <w:sz w:val="28"/>
          <w:szCs w:val="28"/>
        </w:rPr>
      </w:r>
    </w:p>
    <w:p>
      <w:pPr>
        <w:spacing w:line="350" w:lineRule="exact" w:before="0"/>
        <w:ind w:left="112" w:right="216" w:firstLine="0"/>
        <w:jc w:val="left"/>
        <w:rPr>
          <w:rFonts w:ascii="宋体" w:hAnsi="宋体" w:cs="宋体" w:eastAsia="宋体" w:hint="default"/>
          <w:sz w:val="28"/>
          <w:szCs w:val="28"/>
        </w:rPr>
      </w:pPr>
      <w:r>
        <w:rPr>
          <w:rFonts w:ascii="宋体" w:hAnsi="宋体" w:cs="宋体" w:eastAsia="宋体" w:hint="default"/>
          <w:b/>
          <w:bCs/>
          <w:spacing w:val="2"/>
          <w:sz w:val="28"/>
          <w:szCs w:val="28"/>
        </w:rPr>
        <w:t>者的实质承诺，投资者及相关人士均应对此保持足够的风险认识，并且应当理</w:t>
      </w:r>
      <w:r>
        <w:rPr>
          <w:rFonts w:ascii="宋体" w:hAnsi="宋体" w:cs="宋体" w:eastAsia="宋体" w:hint="default"/>
          <w:spacing w:val="2"/>
          <w:sz w:val="28"/>
          <w:szCs w:val="28"/>
        </w:rPr>
      </w:r>
    </w:p>
    <w:p>
      <w:pPr>
        <w:spacing w:line="240" w:lineRule="auto" w:before="9"/>
        <w:rPr>
          <w:rFonts w:ascii="宋体" w:hAnsi="宋体" w:cs="宋体" w:eastAsia="宋体" w:hint="default"/>
          <w:b/>
          <w:bCs/>
          <w:sz w:val="19"/>
          <w:szCs w:val="19"/>
        </w:rPr>
      </w:pPr>
    </w:p>
    <w:p>
      <w:pPr>
        <w:spacing w:line="460" w:lineRule="auto" w:before="0"/>
        <w:ind w:left="674" w:right="216" w:hanging="562"/>
        <w:jc w:val="left"/>
        <w:rPr>
          <w:rFonts w:ascii="宋体" w:hAnsi="宋体" w:cs="宋体" w:eastAsia="宋体" w:hint="default"/>
          <w:sz w:val="28"/>
          <w:szCs w:val="28"/>
        </w:rPr>
      </w:pPr>
      <w:r>
        <w:rPr>
          <w:rFonts w:ascii="宋体" w:hAnsi="宋体" w:cs="宋体" w:eastAsia="宋体" w:hint="default"/>
          <w:b/>
          <w:bCs/>
          <w:sz w:val="28"/>
          <w:szCs w:val="28"/>
        </w:rPr>
        <w:t>解计划、预测与承诺之间的差异。敬请投资者注意投资风险。</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、商誉减值风险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近年来，公司因行业转型需要先后经历了两次资产并购，并购完成后，公</w:t>
      </w:r>
      <w:r>
        <w:rPr>
          <w:rFonts w:ascii="宋体" w:hAnsi="宋体" w:cs="宋体" w:eastAsia="宋体" w:hint="default"/>
          <w:spacing w:val="2"/>
          <w:sz w:val="28"/>
          <w:szCs w:val="28"/>
        </w:rPr>
      </w:r>
    </w:p>
    <w:p>
      <w:pPr>
        <w:spacing w:line="408" w:lineRule="auto" w:before="0"/>
        <w:ind w:left="112" w:right="250" w:firstLine="0"/>
        <w:jc w:val="both"/>
        <w:rPr>
          <w:rFonts w:ascii="宋体" w:hAnsi="宋体" w:cs="宋体" w:eastAsia="宋体" w:hint="default"/>
          <w:sz w:val="28"/>
          <w:szCs w:val="28"/>
        </w:rPr>
      </w:pPr>
      <w:r>
        <w:rPr>
          <w:rFonts w:ascii="宋体" w:hAnsi="宋体" w:cs="宋体" w:eastAsia="宋体" w:hint="default"/>
          <w:b/>
          <w:bCs/>
          <w:spacing w:val="2"/>
          <w:sz w:val="28"/>
          <w:szCs w:val="28"/>
        </w:rPr>
        <w:t>司合并资产负债表中形成较大金额的商誉。如并购的有关子公司未来经营状况</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恶化而未能完成业绩承诺，则存在商誉减值的风险，从而对公司当期损益造成</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不利影响。</w:t>
      </w:r>
      <w:r>
        <w:rPr>
          <w:rFonts w:ascii="宋体" w:hAnsi="宋体" w:cs="宋体" w:eastAsia="宋体" w:hint="default"/>
          <w:sz w:val="28"/>
          <w:szCs w:val="28"/>
        </w:rPr>
      </w:r>
    </w:p>
    <w:p>
      <w:pPr>
        <w:spacing w:line="446" w:lineRule="auto" w:before="162"/>
        <w:ind w:left="674" w:right="216"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、管理模式及人才短缺风险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随着公司行业转型的深入，资产规模、经营规模、人员规模不断扩大，跨</w:t>
      </w:r>
      <w:r>
        <w:rPr>
          <w:rFonts w:ascii="宋体" w:hAnsi="宋体" w:cs="宋体" w:eastAsia="宋体" w:hint="default"/>
          <w:spacing w:val="2"/>
          <w:sz w:val="28"/>
          <w:szCs w:val="28"/>
        </w:rPr>
      </w:r>
    </w:p>
    <w:p>
      <w:pPr>
        <w:spacing w:line="408" w:lineRule="auto" w:before="16"/>
        <w:ind w:left="112"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行业、跨地域经营，凸显原传统中小企业心态的管理模式已经不适应企业发展。</w:t>
      </w:r>
      <w:r>
        <w:rPr>
          <w:rFonts w:ascii="宋体" w:hAnsi="宋体" w:cs="宋体" w:eastAsia="宋体" w:hint="default"/>
          <w:b/>
          <w:bCs/>
          <w:spacing w:val="-115"/>
          <w:sz w:val="28"/>
          <w:szCs w:val="28"/>
        </w:rPr>
        <w:t> </w:t>
      </w:r>
      <w:r>
        <w:rPr>
          <w:rFonts w:ascii="宋体" w:hAnsi="宋体" w:cs="宋体" w:eastAsia="宋体" w:hint="default"/>
          <w:b/>
          <w:bCs/>
          <w:spacing w:val="-115"/>
          <w:sz w:val="28"/>
          <w:szCs w:val="28"/>
        </w:rPr>
      </w:r>
      <w:r>
        <w:rPr>
          <w:rFonts w:ascii="宋体" w:hAnsi="宋体" w:cs="宋体" w:eastAsia="宋体" w:hint="default"/>
          <w:b/>
          <w:bCs/>
          <w:spacing w:val="2"/>
          <w:sz w:val="28"/>
          <w:szCs w:val="28"/>
        </w:rPr>
        <w:t>如果公司的管理水平、人才储备不能适应公司规模扩张的需要，公司管理能力</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未能随公司规模扩大及时提高，公司将面临管理及人才短缺风险，从而影响公</w:t>
      </w:r>
      <w:r>
        <w:rPr>
          <w:rFonts w:ascii="宋体" w:hAnsi="宋体" w:cs="宋体" w:eastAsia="宋体" w:hint="default"/>
          <w:sz w:val="28"/>
          <w:szCs w:val="28"/>
        </w:rPr>
      </w:r>
    </w:p>
    <w:p>
      <w:pPr>
        <w:spacing w:after="0" w:line="408" w:lineRule="auto"/>
        <w:jc w:val="left"/>
        <w:rPr>
          <w:rFonts w:ascii="宋体" w:hAnsi="宋体" w:cs="宋体" w:eastAsia="宋体" w:hint="default"/>
          <w:sz w:val="28"/>
          <w:szCs w:val="28"/>
        </w:rPr>
        <w:sectPr>
          <w:footerReference w:type="default" r:id="rId7"/>
          <w:pgSz w:w="11910" w:h="16840"/>
          <w:pgMar w:footer="1013" w:header="787" w:top="1100" w:bottom="1200" w:left="1020" w:right="880"/>
          <w:pgNumType w:start="1"/>
        </w:sectPr>
      </w:pPr>
    </w:p>
    <w:p>
      <w:pPr>
        <w:spacing w:line="240" w:lineRule="auto" w:before="0"/>
        <w:rPr>
          <w:rFonts w:ascii="宋体" w:hAnsi="宋体" w:cs="宋体" w:eastAsia="宋体" w:hint="default"/>
          <w:b/>
          <w:bCs/>
          <w:sz w:val="20"/>
          <w:szCs w:val="20"/>
        </w:rPr>
      </w:pPr>
    </w:p>
    <w:p>
      <w:pPr>
        <w:spacing w:line="460" w:lineRule="auto" w:before="158"/>
        <w:ind w:left="674" w:right="216" w:firstLine="0"/>
        <w:jc w:val="left"/>
        <w:rPr>
          <w:rFonts w:ascii="宋体" w:hAnsi="宋体" w:cs="宋体" w:eastAsia="宋体" w:hint="default"/>
          <w:sz w:val="28"/>
          <w:szCs w:val="28"/>
        </w:rPr>
      </w:pPr>
      <w:r>
        <w:rPr>
          <w:rFonts w:ascii="宋体" w:hAnsi="宋体" w:cs="宋体" w:eastAsia="宋体" w:hint="default"/>
          <w:b/>
          <w:bCs/>
          <w:sz w:val="28"/>
          <w:szCs w:val="28"/>
        </w:rPr>
        <w:t>司生产经营的正常运行，进而削弱公司的市场竞争力。</w:t>
      </w:r>
      <w:r>
        <w:rPr>
          <w:rFonts w:ascii="宋体" w:hAnsi="宋体" w:cs="宋体" w:eastAsia="宋体" w:hint="default"/>
          <w:b/>
          <w:bCs/>
          <w:w w:val="99"/>
          <w:sz w:val="28"/>
          <w:szCs w:val="28"/>
        </w:rPr>
        <w:t> </w:t>
      </w: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、新业务的市场开拓及竞争加剧的风险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报告期内公司对于“复兴号”高铁的信息通信、区块链、军工光电制导及</w:t>
      </w:r>
      <w:r>
        <w:rPr>
          <w:rFonts w:ascii="宋体" w:hAnsi="宋体" w:cs="宋体" w:eastAsia="宋体" w:hint="default"/>
          <w:spacing w:val="2"/>
          <w:sz w:val="28"/>
          <w:szCs w:val="28"/>
        </w:rPr>
      </w:r>
    </w:p>
    <w:p>
      <w:pPr>
        <w:spacing w:line="403" w:lineRule="auto" w:before="0"/>
        <w:ind w:left="112"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光学精密加工等不同领域投入了较多的研发力量，已经取得了一定的研发成果，</w:t>
      </w:r>
      <w:r>
        <w:rPr>
          <w:rFonts w:ascii="宋体" w:hAnsi="宋体" w:cs="宋体" w:eastAsia="宋体" w:hint="default"/>
          <w:b/>
          <w:bCs/>
          <w:spacing w:val="-116"/>
          <w:sz w:val="28"/>
          <w:szCs w:val="28"/>
        </w:rPr>
        <w:t> </w:t>
      </w:r>
      <w:r>
        <w:rPr>
          <w:rFonts w:ascii="宋体" w:hAnsi="宋体" w:cs="宋体" w:eastAsia="宋体" w:hint="default"/>
          <w:b/>
          <w:bCs/>
          <w:spacing w:val="-116"/>
          <w:sz w:val="28"/>
          <w:szCs w:val="28"/>
        </w:rPr>
      </w:r>
      <w:r>
        <w:rPr>
          <w:rFonts w:ascii="宋体" w:hAnsi="宋体" w:cs="宋体" w:eastAsia="宋体" w:hint="default"/>
          <w:b/>
          <w:bCs/>
          <w:spacing w:val="-2"/>
          <w:w w:val="99"/>
          <w:sz w:val="28"/>
          <w:szCs w:val="28"/>
        </w:rPr>
        <w:t>并展开了较多的新业务，可能存在以下风险：（</w:t>
      </w:r>
      <w:r>
        <w:rPr>
          <w:rFonts w:ascii="Times New Roman" w:hAnsi="Times New Roman" w:cs="Times New Roman" w:eastAsia="Times New Roman" w:hint="default"/>
          <w:b/>
          <w:bCs/>
          <w:spacing w:val="-2"/>
          <w:w w:val="99"/>
          <w:sz w:val="28"/>
          <w:szCs w:val="28"/>
        </w:rPr>
        <w:t>1</w:t>
      </w:r>
      <w:r>
        <w:rPr>
          <w:rFonts w:ascii="宋体" w:hAnsi="宋体" w:cs="宋体" w:eastAsia="宋体" w:hint="default"/>
          <w:b/>
          <w:bCs/>
          <w:spacing w:val="-2"/>
          <w:w w:val="99"/>
          <w:sz w:val="28"/>
          <w:szCs w:val="28"/>
        </w:rPr>
        <w:t>）鉴于新产品新方案的形成时</w:t>
      </w:r>
      <w:r>
        <w:rPr>
          <w:rFonts w:ascii="宋体" w:hAnsi="宋体" w:cs="宋体" w:eastAsia="宋体" w:hint="default"/>
          <w:b/>
          <w:bCs/>
          <w:spacing w:val="-132"/>
          <w:w w:val="99"/>
          <w:sz w:val="28"/>
          <w:szCs w:val="28"/>
        </w:rPr>
        <w:t> </w:t>
      </w:r>
      <w:r>
        <w:rPr>
          <w:rFonts w:ascii="宋体" w:hAnsi="宋体" w:cs="宋体" w:eastAsia="宋体" w:hint="default"/>
          <w:b/>
          <w:bCs/>
          <w:spacing w:val="-132"/>
          <w:w w:val="99"/>
          <w:sz w:val="28"/>
          <w:szCs w:val="28"/>
        </w:rPr>
      </w:r>
      <w:r>
        <w:rPr>
          <w:rFonts w:ascii="宋体" w:hAnsi="宋体" w:cs="宋体" w:eastAsia="宋体" w:hint="default"/>
          <w:b/>
          <w:bCs/>
          <w:spacing w:val="2"/>
          <w:sz w:val="28"/>
          <w:szCs w:val="28"/>
        </w:rPr>
        <w:t>间较短，部分客户对相关设备及解决方案尚处于测试或观察期，未来该类新业</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务是否能够广为市场接受并形成对原有产品的替代仍存在一定的不确定性。若</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w w:val="99"/>
          <w:sz w:val="28"/>
          <w:szCs w:val="28"/>
        </w:rPr>
        <w:t>新业务的市场推广不及预期，可能对经营业绩产生不利影响。（</w:t>
      </w:r>
      <w:r>
        <w:rPr>
          <w:rFonts w:ascii="Times New Roman" w:hAnsi="Times New Roman" w:cs="Times New Roman" w:eastAsia="Times New Roman" w:hint="default"/>
          <w:b/>
          <w:bCs/>
          <w:spacing w:val="-2"/>
          <w:w w:val="99"/>
          <w:sz w:val="28"/>
          <w:szCs w:val="28"/>
        </w:rPr>
        <w:t>2</w:t>
      </w:r>
      <w:r>
        <w:rPr>
          <w:rFonts w:ascii="宋体" w:hAnsi="宋体" w:cs="宋体" w:eastAsia="宋体" w:hint="default"/>
          <w:b/>
          <w:bCs/>
          <w:spacing w:val="-2"/>
          <w:w w:val="99"/>
          <w:sz w:val="28"/>
          <w:szCs w:val="28"/>
        </w:rPr>
        <w:t>）目前公司某</w:t>
      </w:r>
      <w:r>
        <w:rPr>
          <w:rFonts w:ascii="宋体" w:hAnsi="宋体" w:cs="宋体" w:eastAsia="宋体" w:hint="default"/>
          <w:b/>
          <w:bCs/>
          <w:spacing w:val="-133"/>
          <w:w w:val="99"/>
          <w:sz w:val="28"/>
          <w:szCs w:val="28"/>
        </w:rPr>
        <w:t> </w:t>
      </w:r>
      <w:r>
        <w:rPr>
          <w:rFonts w:ascii="宋体" w:hAnsi="宋体" w:cs="宋体" w:eastAsia="宋体" w:hint="default"/>
          <w:b/>
          <w:bCs/>
          <w:spacing w:val="-133"/>
          <w:w w:val="99"/>
          <w:sz w:val="28"/>
          <w:szCs w:val="28"/>
        </w:rPr>
      </w:r>
      <w:r>
        <w:rPr>
          <w:rFonts w:ascii="宋体" w:hAnsi="宋体" w:cs="宋体" w:eastAsia="宋体" w:hint="default"/>
          <w:b/>
          <w:bCs/>
          <w:spacing w:val="2"/>
          <w:sz w:val="28"/>
          <w:szCs w:val="28"/>
        </w:rPr>
        <w:t>些新产品市场客户要求不能独家供应，因此形成量产量销后，会有竞争对手出</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pacing w:val="2"/>
          <w:sz w:val="28"/>
          <w:szCs w:val="28"/>
        </w:rPr>
        <w:t>现。持续研发升级，技术壁垒的优势如果不能一直保持，也会存在加剧竞争的</w:t>
      </w:r>
      <w:r>
        <w:rPr>
          <w:rFonts w:ascii="宋体" w:hAnsi="宋体" w:cs="宋体" w:eastAsia="宋体" w:hint="default"/>
          <w:b/>
          <w:bCs/>
          <w:spacing w:val="-135"/>
          <w:sz w:val="28"/>
          <w:szCs w:val="28"/>
        </w:rPr>
        <w:t> </w:t>
      </w:r>
      <w:r>
        <w:rPr>
          <w:rFonts w:ascii="宋体" w:hAnsi="宋体" w:cs="宋体" w:eastAsia="宋体" w:hint="default"/>
          <w:b/>
          <w:bCs/>
          <w:spacing w:val="-135"/>
          <w:sz w:val="28"/>
          <w:szCs w:val="28"/>
        </w:rPr>
      </w:r>
      <w:r>
        <w:rPr>
          <w:rFonts w:ascii="宋体" w:hAnsi="宋体" w:cs="宋体" w:eastAsia="宋体" w:hint="default"/>
          <w:b/>
          <w:bCs/>
          <w:sz w:val="28"/>
          <w:szCs w:val="28"/>
        </w:rPr>
        <w:t>风险。</w:t>
      </w:r>
      <w:r>
        <w:rPr>
          <w:rFonts w:ascii="宋体" w:hAnsi="宋体" w:cs="宋体" w:eastAsia="宋体" w:hint="default"/>
          <w:sz w:val="28"/>
          <w:szCs w:val="28"/>
        </w:rPr>
      </w:r>
    </w:p>
    <w:p>
      <w:pPr>
        <w:spacing w:line="446" w:lineRule="auto" w:before="168"/>
        <w:ind w:left="674" w:right="216"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、军改能否按计划彻底完成的风险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国家军队供给体制改革能否按计划彻底完成并顺利运行，对军工企业生产</w:t>
      </w:r>
      <w:r>
        <w:rPr>
          <w:rFonts w:ascii="宋体" w:hAnsi="宋体" w:cs="宋体" w:eastAsia="宋体" w:hint="default"/>
          <w:spacing w:val="2"/>
          <w:sz w:val="28"/>
          <w:szCs w:val="28"/>
        </w:rPr>
      </w:r>
    </w:p>
    <w:p>
      <w:pPr>
        <w:spacing w:before="16"/>
        <w:ind w:left="112" w:right="216" w:firstLine="0"/>
        <w:jc w:val="left"/>
        <w:rPr>
          <w:rFonts w:ascii="宋体" w:hAnsi="宋体" w:cs="宋体" w:eastAsia="宋体" w:hint="default"/>
          <w:sz w:val="28"/>
          <w:szCs w:val="28"/>
        </w:rPr>
      </w:pPr>
      <w:r>
        <w:rPr>
          <w:rFonts w:ascii="宋体" w:hAnsi="宋体" w:cs="宋体" w:eastAsia="宋体" w:hint="default"/>
          <w:b/>
          <w:bCs/>
          <w:sz w:val="28"/>
          <w:szCs w:val="28"/>
        </w:rPr>
        <w:t>经营业务可能存在一定影响。</w:t>
      </w:r>
      <w:r>
        <w:rPr>
          <w:rFonts w:ascii="宋体" w:hAnsi="宋体" w:cs="宋体" w:eastAsia="宋体" w:hint="default"/>
          <w:sz w:val="28"/>
          <w:szCs w:val="28"/>
        </w:rPr>
      </w:r>
    </w:p>
    <w:p>
      <w:pPr>
        <w:spacing w:line="240" w:lineRule="auto" w:before="5"/>
        <w:rPr>
          <w:rFonts w:ascii="宋体" w:hAnsi="宋体" w:cs="宋体" w:eastAsia="宋体" w:hint="default"/>
          <w:b/>
          <w:bCs/>
          <w:sz w:val="27"/>
          <w:szCs w:val="27"/>
        </w:rPr>
      </w:pPr>
    </w:p>
    <w:p>
      <w:pPr>
        <w:spacing w:before="0"/>
        <w:ind w:left="674" w:right="216" w:firstLine="0"/>
        <w:jc w:val="left"/>
        <w:rPr>
          <w:rFonts w:ascii="宋体" w:hAnsi="宋体" w:cs="宋体" w:eastAsia="宋体" w:hint="default"/>
          <w:sz w:val="28"/>
          <w:szCs w:val="28"/>
        </w:rPr>
      </w:pPr>
      <w:r>
        <w:rPr>
          <w:rFonts w:ascii="宋体" w:hAnsi="宋体" w:cs="宋体" w:eastAsia="宋体" w:hint="default"/>
          <w:b/>
          <w:bCs/>
          <w:spacing w:val="6"/>
          <w:sz w:val="28"/>
          <w:szCs w:val="28"/>
        </w:rPr>
        <w:t>公司经第四届董事会</w:t>
      </w:r>
      <w:r>
        <w:rPr>
          <w:rFonts w:ascii="宋体" w:hAnsi="宋体" w:cs="宋体" w:eastAsia="宋体" w:hint="default"/>
          <w:b/>
          <w:bCs/>
          <w:spacing w:val="-59"/>
          <w:sz w:val="28"/>
          <w:szCs w:val="28"/>
        </w:rPr>
        <w:t> </w:t>
      </w:r>
      <w:r>
        <w:rPr>
          <w:rFonts w:ascii="Times New Roman" w:hAnsi="Times New Roman" w:cs="Times New Roman" w:eastAsia="Times New Roman" w:hint="default"/>
          <w:b/>
          <w:bCs/>
          <w:sz w:val="28"/>
          <w:szCs w:val="28"/>
        </w:rPr>
        <w:t>2018</w:t>
      </w:r>
      <w:r>
        <w:rPr>
          <w:rFonts w:ascii="Times New Roman" w:hAnsi="Times New Roman" w:cs="Times New Roman" w:eastAsia="Times New Roman" w:hint="default"/>
          <w:b/>
          <w:bCs/>
          <w:spacing w:val="13"/>
          <w:sz w:val="28"/>
          <w:szCs w:val="28"/>
        </w:rPr>
        <w:t> </w:t>
      </w:r>
      <w:r>
        <w:rPr>
          <w:rFonts w:ascii="宋体" w:hAnsi="宋体" w:cs="宋体" w:eastAsia="宋体" w:hint="default"/>
          <w:b/>
          <w:bCs/>
          <w:spacing w:val="7"/>
          <w:sz w:val="28"/>
          <w:szCs w:val="28"/>
        </w:rPr>
        <w:t>年第一次会议审议通过的利润分配预案为：以</w:t>
      </w:r>
      <w:r>
        <w:rPr>
          <w:rFonts w:ascii="宋体" w:hAnsi="宋体" w:cs="宋体" w:eastAsia="宋体" w:hint="default"/>
          <w:spacing w:val="7"/>
          <w:sz w:val="28"/>
          <w:szCs w:val="28"/>
        </w:rPr>
      </w:r>
    </w:p>
    <w:p>
      <w:pPr>
        <w:spacing w:before="236"/>
        <w:ind w:left="112" w:right="216" w:firstLine="0"/>
        <w:jc w:val="left"/>
        <w:rPr>
          <w:rFonts w:ascii="宋体" w:hAnsi="宋体" w:cs="宋体" w:eastAsia="宋体" w:hint="default"/>
          <w:sz w:val="28"/>
          <w:szCs w:val="28"/>
        </w:rPr>
      </w:pPr>
      <w:r>
        <w:rPr>
          <w:rFonts w:ascii="Times New Roman" w:hAnsi="Times New Roman" w:cs="Times New Roman" w:eastAsia="Times New Roman" w:hint="default"/>
          <w:b/>
          <w:bCs/>
          <w:spacing w:val="1"/>
          <w:w w:val="100"/>
          <w:sz w:val="28"/>
          <w:szCs w:val="28"/>
        </w:rPr>
        <w:t>6</w:t>
      </w:r>
      <w:r>
        <w:rPr>
          <w:rFonts w:ascii="Times New Roman" w:hAnsi="Times New Roman" w:cs="Times New Roman" w:eastAsia="Times New Roman" w:hint="default"/>
          <w:b/>
          <w:bCs/>
          <w:spacing w:val="-2"/>
          <w:w w:val="100"/>
          <w:sz w:val="28"/>
          <w:szCs w:val="28"/>
        </w:rPr>
        <w:t>69</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1"/>
          <w:w w:val="100"/>
          <w:sz w:val="28"/>
          <w:szCs w:val="28"/>
        </w:rPr>
        <w:t>2</w:t>
      </w:r>
      <w:r>
        <w:rPr>
          <w:rFonts w:ascii="Times New Roman" w:hAnsi="Times New Roman" w:cs="Times New Roman" w:eastAsia="Times New Roman" w:hint="default"/>
          <w:b/>
          <w:bCs/>
          <w:spacing w:val="-2"/>
          <w:w w:val="100"/>
          <w:sz w:val="28"/>
          <w:szCs w:val="28"/>
        </w:rPr>
        <w:t>7</w:t>
      </w:r>
      <w:r>
        <w:rPr>
          <w:rFonts w:ascii="Times New Roman" w:hAnsi="Times New Roman" w:cs="Times New Roman" w:eastAsia="Times New Roman" w:hint="default"/>
          <w:b/>
          <w:bCs/>
          <w:spacing w:val="1"/>
          <w:w w:val="100"/>
          <w:sz w:val="28"/>
          <w:szCs w:val="28"/>
        </w:rPr>
        <w:t>9</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25</w:t>
      </w:r>
      <w:r>
        <w:rPr>
          <w:rFonts w:ascii="Times New Roman" w:hAnsi="Times New Roman" w:cs="Times New Roman" w:eastAsia="Times New Roman" w:hint="default"/>
          <w:b/>
          <w:bCs/>
          <w:w w:val="100"/>
          <w:sz w:val="28"/>
          <w:szCs w:val="28"/>
        </w:rPr>
        <w:t>5</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股为</w:t>
      </w:r>
      <w:r>
        <w:rPr>
          <w:rFonts w:ascii="宋体" w:hAnsi="宋体" w:cs="宋体" w:eastAsia="宋体" w:hint="default"/>
          <w:b/>
          <w:bCs/>
          <w:spacing w:val="2"/>
          <w:w w:val="99"/>
          <w:sz w:val="28"/>
          <w:szCs w:val="28"/>
        </w:rPr>
        <w:t>基</w:t>
      </w:r>
      <w:r>
        <w:rPr>
          <w:rFonts w:ascii="宋体" w:hAnsi="宋体" w:cs="宋体" w:eastAsia="宋体" w:hint="default"/>
          <w:b/>
          <w:bCs/>
          <w:spacing w:val="-1"/>
          <w:w w:val="99"/>
          <w:sz w:val="28"/>
          <w:szCs w:val="28"/>
        </w:rPr>
        <w:t>数</w:t>
      </w:r>
      <w:r>
        <w:rPr>
          <w:rFonts w:ascii="宋体" w:hAnsi="宋体" w:cs="宋体" w:eastAsia="宋体" w:hint="default"/>
          <w:b/>
          <w:bCs/>
          <w:spacing w:val="-17"/>
          <w:w w:val="99"/>
          <w:sz w:val="28"/>
          <w:szCs w:val="28"/>
        </w:rPr>
        <w:t>，</w:t>
      </w:r>
      <w:r>
        <w:rPr>
          <w:rFonts w:ascii="宋体" w:hAnsi="宋体" w:cs="宋体" w:eastAsia="宋体" w:hint="default"/>
          <w:b/>
          <w:bCs/>
          <w:spacing w:val="-1"/>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spacing w:val="-1"/>
          <w:w w:val="99"/>
          <w:sz w:val="28"/>
          <w:szCs w:val="28"/>
        </w:rPr>
        <w:t>股东</w:t>
      </w:r>
      <w:r>
        <w:rPr>
          <w:rFonts w:ascii="宋体" w:hAnsi="宋体" w:cs="宋体" w:eastAsia="宋体" w:hint="default"/>
          <w:b/>
          <w:bCs/>
          <w:w w:val="99"/>
          <w:sz w:val="28"/>
          <w:szCs w:val="28"/>
        </w:rPr>
        <w:t>每</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股派</w:t>
      </w:r>
      <w:r>
        <w:rPr>
          <w:rFonts w:ascii="宋体" w:hAnsi="宋体" w:cs="宋体" w:eastAsia="宋体" w:hint="default"/>
          <w:b/>
          <w:bCs/>
          <w:spacing w:val="2"/>
          <w:w w:val="99"/>
          <w:sz w:val="28"/>
          <w:szCs w:val="28"/>
        </w:rPr>
        <w:t>发</w:t>
      </w:r>
      <w:r>
        <w:rPr>
          <w:rFonts w:ascii="宋体" w:hAnsi="宋体" w:cs="宋体" w:eastAsia="宋体" w:hint="default"/>
          <w:b/>
          <w:bCs/>
          <w:spacing w:val="-1"/>
          <w:w w:val="99"/>
          <w:sz w:val="28"/>
          <w:szCs w:val="28"/>
        </w:rPr>
        <w:t>现金红</w:t>
      </w:r>
      <w:r>
        <w:rPr>
          <w:rFonts w:ascii="宋体" w:hAnsi="宋体" w:cs="宋体" w:eastAsia="宋体" w:hint="default"/>
          <w:b/>
          <w:bCs/>
          <w:w w:val="99"/>
          <w:sz w:val="28"/>
          <w:szCs w:val="28"/>
        </w:rPr>
        <w:t>利</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spacing w:val="-1"/>
          <w:w w:val="100"/>
          <w:sz w:val="28"/>
          <w:szCs w:val="28"/>
        </w:rPr>
        <w:t>.</w:t>
      </w:r>
      <w:r>
        <w:rPr>
          <w:rFonts w:ascii="Times New Roman" w:hAnsi="Times New Roman" w:cs="Times New Roman" w:eastAsia="Times New Roman" w:hint="default"/>
          <w:b/>
          <w:bCs/>
          <w:spacing w:val="-2"/>
          <w:w w:val="100"/>
          <w:sz w:val="28"/>
          <w:szCs w:val="28"/>
        </w:rPr>
        <w:t>0</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7"/>
          <w:w w:val="99"/>
          <w:sz w:val="28"/>
          <w:szCs w:val="28"/>
        </w:rPr>
        <w:t>元</w:t>
      </w:r>
      <w:r>
        <w:rPr>
          <w:rFonts w:ascii="宋体" w:hAnsi="宋体" w:cs="宋体" w:eastAsia="宋体" w:hint="default"/>
          <w:b/>
          <w:bCs/>
          <w:spacing w:val="-1"/>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7"/>
          <w:w w:val="99"/>
          <w:sz w:val="28"/>
          <w:szCs w:val="28"/>
        </w:rPr>
        <w:t>，</w:t>
      </w:r>
      <w:r>
        <w:rPr>
          <w:rFonts w:ascii="宋体" w:hAnsi="宋体" w:cs="宋体" w:eastAsia="宋体" w:hint="default"/>
          <w:b/>
          <w:bCs/>
          <w:spacing w:val="-1"/>
          <w:w w:val="99"/>
          <w:sz w:val="28"/>
          <w:szCs w:val="28"/>
        </w:rPr>
        <w:t>送</w:t>
      </w:r>
      <w:r>
        <w:rPr>
          <w:rFonts w:ascii="宋体" w:hAnsi="宋体" w:cs="宋体" w:eastAsia="宋体" w:hint="default"/>
          <w:b/>
          <w:bCs/>
          <w:w w:val="99"/>
          <w:sz w:val="28"/>
          <w:szCs w:val="28"/>
        </w:rPr>
        <w:t>红</w:t>
      </w:r>
      <w:r>
        <w:rPr>
          <w:rFonts w:ascii="宋体" w:hAnsi="宋体" w:cs="宋体" w:eastAsia="宋体" w:hint="default"/>
          <w:sz w:val="28"/>
          <w:szCs w:val="28"/>
        </w:rPr>
      </w:r>
    </w:p>
    <w:p>
      <w:pPr>
        <w:spacing w:before="236"/>
        <w:ind w:left="112" w:right="216"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1"/>
          <w:w w:val="99"/>
          <w:sz w:val="28"/>
          <w:szCs w:val="28"/>
        </w:rPr>
        <w:t>，以资本</w:t>
      </w:r>
      <w:r>
        <w:rPr>
          <w:rFonts w:ascii="宋体" w:hAnsi="宋体" w:cs="宋体" w:eastAsia="宋体" w:hint="default"/>
          <w:b/>
          <w:bCs/>
          <w:spacing w:val="2"/>
          <w:w w:val="99"/>
          <w:sz w:val="28"/>
          <w:szCs w:val="28"/>
        </w:rPr>
        <w:t>公</w:t>
      </w:r>
      <w:r>
        <w:rPr>
          <w:rFonts w:ascii="宋体" w:hAnsi="宋体" w:cs="宋体" w:eastAsia="宋体" w:hint="default"/>
          <w:b/>
          <w:bCs/>
          <w:spacing w:val="-1"/>
          <w:w w:val="99"/>
          <w:sz w:val="28"/>
          <w:szCs w:val="28"/>
        </w:rPr>
        <w:t>积金向全体股东</w:t>
      </w:r>
      <w:r>
        <w:rPr>
          <w:rFonts w:ascii="宋体" w:hAnsi="宋体" w:cs="宋体" w:eastAsia="宋体" w:hint="default"/>
          <w:b/>
          <w:bCs/>
          <w:w w:val="99"/>
          <w:sz w:val="28"/>
          <w:szCs w:val="28"/>
        </w:rPr>
        <w:t>每</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1"/>
          <w:w w:val="99"/>
          <w:sz w:val="28"/>
          <w:szCs w:val="28"/>
        </w:rPr>
        <w:t>股转</w:t>
      </w:r>
      <w:r>
        <w:rPr>
          <w:rFonts w:ascii="宋体" w:hAnsi="宋体" w:cs="宋体" w:eastAsia="宋体" w:hint="default"/>
          <w:b/>
          <w:bCs/>
          <w:w w:val="99"/>
          <w:sz w:val="28"/>
          <w:szCs w:val="28"/>
        </w:rPr>
        <w:t>增</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股</w:t>
      </w:r>
      <w:r>
        <w:rPr>
          <w:rFonts w:ascii="宋体" w:hAnsi="宋体" w:cs="宋体" w:eastAsia="宋体" w:hint="default"/>
          <w:b/>
          <w:bCs/>
          <w:w w:val="99"/>
          <w:sz w:val="28"/>
          <w:szCs w:val="28"/>
        </w:rPr>
        <w:t>。</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87" w:footer="1013" w:top="1100" w:bottom="1240" w:left="1020" w:right="8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7"/>
          <w:szCs w:val="27"/>
        </w:rPr>
      </w:pPr>
    </w:p>
    <w:p>
      <w:pPr>
        <w:spacing w:line="460" w:lineRule="exact" w:before="0"/>
        <w:ind w:left="4553" w:right="5170"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6"/>
          <w:szCs w:val="26"/>
        </w:rPr>
      </w:pPr>
    </w:p>
    <w:p>
      <w:pPr>
        <w:spacing w:line="5685" w:lineRule="exact"/>
        <w:ind w:left="115" w:right="0" w:firstLine="0"/>
        <w:rPr>
          <w:rFonts w:ascii="宋体" w:hAnsi="宋体" w:cs="宋体" w:eastAsia="宋体" w:hint="default"/>
          <w:sz w:val="20"/>
          <w:szCs w:val="20"/>
        </w:rPr>
      </w:pPr>
      <w:r>
        <w:rPr>
          <w:rFonts w:ascii="宋体" w:hAnsi="宋体" w:cs="宋体" w:eastAsia="宋体" w:hint="default"/>
          <w:position w:val="-113"/>
          <w:sz w:val="20"/>
          <w:szCs w:val="20"/>
        </w:rPr>
        <w:drawing>
          <wp:inline distT="0" distB="0" distL="0" distR="0">
            <wp:extent cx="6514412" cy="36099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6514412" cy="3609975"/>
                    </a:xfrm>
                    <a:prstGeom prst="rect">
                      <a:avLst/>
                    </a:prstGeom>
                  </pic:spPr>
                </pic:pic>
              </a:graphicData>
            </a:graphic>
          </wp:inline>
        </w:drawing>
      </w:r>
      <w:r>
        <w:rPr>
          <w:rFonts w:ascii="宋体" w:hAnsi="宋体" w:cs="宋体" w:eastAsia="宋体" w:hint="default"/>
          <w:position w:val="-113"/>
          <w:sz w:val="20"/>
          <w:szCs w:val="20"/>
        </w:rPr>
      </w:r>
    </w:p>
    <w:p>
      <w:pPr>
        <w:spacing w:after="0" w:line="5685" w:lineRule="exact"/>
        <w:rPr>
          <w:rFonts w:ascii="宋体" w:hAnsi="宋体" w:cs="宋体" w:eastAsia="宋体" w:hint="default"/>
          <w:sz w:val="20"/>
          <w:szCs w:val="20"/>
        </w:rPr>
        <w:sectPr>
          <w:headerReference w:type="default" r:id="rId8"/>
          <w:pgSz w:w="11910" w:h="16840"/>
          <w:pgMar w:header="907" w:footer="1013" w:top="1100" w:bottom="1200" w:left="1020" w:right="400"/>
        </w:sectPr>
      </w:pPr>
    </w:p>
    <w:p>
      <w:pPr>
        <w:spacing w:line="240" w:lineRule="auto" w:before="8"/>
        <w:rPr>
          <w:rFonts w:ascii="宋体" w:hAnsi="宋体" w:cs="宋体" w:eastAsia="宋体" w:hint="default"/>
          <w:b/>
          <w:bCs/>
          <w:sz w:val="29"/>
          <w:szCs w:val="29"/>
        </w:rPr>
      </w:pPr>
    </w:p>
    <w:p>
      <w:pPr>
        <w:pStyle w:val="Heading1"/>
        <w:spacing w:line="240" w:lineRule="auto"/>
        <w:ind w:left="4591" w:right="4531"/>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524"/>
        <w:gridCol w:w="621"/>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尤洛卡、精准信息、本公司、公司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上海子公司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山东子公司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尤洛卡（山东）环境工程有限公司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富华宇祺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师凯科技</w:t>
            </w:r>
            <w:r>
              <w:rPr>
                <w:rFonts w:ascii="Times New Roman" w:hAnsi="Times New Roman" w:cs="Times New Roman" w:eastAsia="Times New Roman" w:hint="default"/>
                <w:sz w:val="18"/>
                <w:szCs w:val="18"/>
              </w:rPr>
              <w:t>/</w:t>
            </w:r>
            <w:r>
              <w:rPr>
                <w:rFonts w:ascii="宋体" w:hAnsi="宋体" w:cs="宋体" w:eastAsia="宋体" w:hint="default"/>
                <w:sz w:val="18"/>
                <w:szCs w:val="18"/>
              </w:rPr>
              <w:t>长春师凯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r>
      <w:tr>
        <w:trPr>
          <w:trHeight w:val="102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01" w:right="0"/>
              <w:jc w:val="left"/>
              <w:rPr>
                <w:rFonts w:ascii="宋体" w:hAnsi="宋体" w:cs="宋体" w:eastAsia="宋体" w:hint="default"/>
                <w:sz w:val="18"/>
                <w:szCs w:val="18"/>
              </w:rPr>
            </w:pPr>
            <w:r>
              <w:rPr>
                <w:rFonts w:ascii="宋体" w:hAnsi="宋体" w:cs="宋体" w:eastAsia="宋体" w:hint="default"/>
                <w:sz w:val="18"/>
                <w:szCs w:val="18"/>
              </w:rPr>
              <w:t>交通行业数据集成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4" w:right="100"/>
              <w:jc w:val="left"/>
              <w:rPr>
                <w:rFonts w:ascii="宋体" w:hAnsi="宋体" w:cs="宋体" w:eastAsia="宋体" w:hint="default"/>
                <w:sz w:val="18"/>
                <w:szCs w:val="18"/>
              </w:rPr>
            </w:pPr>
            <w:r>
              <w:rPr>
                <w:rFonts w:ascii="宋体" w:hAnsi="宋体" w:cs="宋体" w:eastAsia="宋体" w:hint="default"/>
                <w:sz w:val="18"/>
                <w:szCs w:val="18"/>
              </w:rPr>
              <w:t>通过结构化的综合布线系统和计算机网络技术，将各个分离的设 </w:t>
            </w:r>
            <w:r>
              <w:rPr>
                <w:rFonts w:ascii="宋体" w:hAnsi="宋体" w:cs="宋体" w:eastAsia="宋体" w:hint="default"/>
                <w:spacing w:val="-1"/>
                <w:sz w:val="18"/>
                <w:szCs w:val="18"/>
              </w:rPr>
              <w:t>备、功能和信息等集成到相互关联的、统一和协调的系统之中，使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资源达到充分共享，实现对交通行业集中、高效、便利的管理。</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01" w:right="0"/>
              <w:jc w:val="left"/>
              <w:rPr>
                <w:rFonts w:ascii="宋体" w:hAnsi="宋体" w:cs="宋体" w:eastAsia="宋体" w:hint="default"/>
                <w:sz w:val="18"/>
                <w:szCs w:val="18"/>
              </w:rPr>
            </w:pPr>
            <w:r>
              <w:rPr>
                <w:rFonts w:ascii="宋体" w:hAnsi="宋体" w:cs="宋体" w:eastAsia="宋体" w:hint="default"/>
                <w:sz w:val="18"/>
                <w:szCs w:val="18"/>
              </w:rPr>
              <w:t>普速列车机顶盒（普速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wifi</w:t>
            </w:r>
            <w:r>
              <w:rPr>
                <w:rFonts w:ascii="宋体" w:hAnsi="宋体" w:cs="宋体" w:eastAsia="宋体" w:hint="default"/>
                <w:sz w:val="18"/>
                <w:szCs w:val="18"/>
              </w:rPr>
              <w: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0"/>
              <w:ind w:left="104" w:right="11"/>
              <w:jc w:val="left"/>
              <w:rPr>
                <w:rFonts w:ascii="宋体" w:hAnsi="宋体" w:cs="宋体" w:eastAsia="宋体" w:hint="default"/>
                <w:sz w:val="18"/>
                <w:szCs w:val="18"/>
              </w:rPr>
            </w:pPr>
            <w:r>
              <w:rPr>
                <w:rFonts w:ascii="宋体" w:hAnsi="宋体" w:cs="宋体" w:eastAsia="宋体" w:hint="default"/>
                <w:sz w:val="18"/>
                <w:szCs w:val="18"/>
              </w:rPr>
              <w:t>是安装在普速列车上的具有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3G/4G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数据回传及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网络覆盖功能</w:t>
            </w:r>
            <w:r>
              <w:rPr>
                <w:rFonts w:ascii="宋体" w:hAnsi="宋体" w:cs="宋体" w:eastAsia="宋体" w:hint="default"/>
                <w:w w:val="99"/>
                <w:sz w:val="18"/>
                <w:szCs w:val="18"/>
              </w:rPr>
              <w:t> </w:t>
            </w:r>
            <w:r>
              <w:rPr>
                <w:rFonts w:ascii="宋体" w:hAnsi="宋体" w:cs="宋体" w:eastAsia="宋体" w:hint="default"/>
                <w:sz w:val="18"/>
                <w:szCs w:val="18"/>
              </w:rPr>
              <w:t>并在高速运动状态下不丢信号，支持国内最新开放的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频段和</w:t>
            </w:r>
            <w:r>
              <w:rPr>
                <w:rFonts w:ascii="宋体" w:hAnsi="宋体" w:cs="宋体" w:eastAsia="宋体" w:hint="default"/>
                <w:w w:val="99"/>
                <w:sz w:val="18"/>
                <w:szCs w:val="18"/>
              </w:rPr>
              <w:t> </w:t>
            </w:r>
            <w:r>
              <w:rPr>
                <w:rFonts w:ascii="Times New Roman" w:hAnsi="Times New Roman" w:cs="Times New Roman" w:eastAsia="Times New Roman" w:hint="default"/>
                <w:w w:val="99"/>
                <w:sz w:val="18"/>
                <w:szCs w:val="18"/>
              </w:rPr>
              <w:t>5.8g </w:t>
            </w:r>
            <w:r>
              <w:rPr>
                <w:rFonts w:ascii="宋体" w:hAnsi="宋体" w:cs="宋体" w:eastAsia="宋体" w:hint="default"/>
                <w:spacing w:val="-8"/>
                <w:w w:val="99"/>
                <w:sz w:val="18"/>
                <w:szCs w:val="18"/>
              </w:rPr>
              <w:t>频段数据传输，具有用户</w:t>
            </w:r>
            <w:r>
              <w:rPr>
                <w:rFonts w:ascii="宋体" w:hAnsi="宋体" w:cs="宋体" w:eastAsia="宋体" w:hint="default"/>
                <w:spacing w:val="-44"/>
                <w:w w:val="99"/>
                <w:sz w:val="18"/>
                <w:szCs w:val="18"/>
              </w:rPr>
              <w:t> </w:t>
            </w:r>
            <w:r>
              <w:rPr>
                <w:rFonts w:ascii="Times New Roman" w:hAnsi="Times New Roman" w:cs="Times New Roman" w:eastAsia="Times New Roman" w:hint="default"/>
                <w:w w:val="99"/>
                <w:sz w:val="18"/>
                <w:szCs w:val="18"/>
              </w:rPr>
              <w:t>Portal</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认证和手机短信实名验证功能， 支持本地内容分发服务功能，可提供在线视频、在线音乐、新闻、 </w:t>
            </w:r>
            <w:r>
              <w:rPr>
                <w:rFonts w:ascii="宋体" w:hAnsi="宋体" w:cs="宋体" w:eastAsia="宋体" w:hint="default"/>
                <w:spacing w:val="-11"/>
                <w:sz w:val="18"/>
                <w:szCs w:val="18"/>
              </w:rPr>
              <w:t>小说、</w:t>
            </w:r>
            <w:r>
              <w:rPr>
                <w:rFonts w:ascii="Times New Roman" w:hAnsi="Times New Roman" w:cs="Times New Roman" w:eastAsia="Times New Roman" w:hint="default"/>
                <w:spacing w:val="-11"/>
                <w:sz w:val="18"/>
                <w:szCs w:val="18"/>
              </w:rPr>
              <w:t>APP</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下载等几乎所有在线服务，具有本地内容异步更新功能，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具有远程运维管理平台的成套系统。</w:t>
            </w:r>
          </w:p>
        </w:tc>
      </w:tr>
      <w:tr>
        <w:trPr>
          <w:trHeight w:val="196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高铁机顶盒（高铁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wifi</w:t>
            </w:r>
            <w:r>
              <w:rPr>
                <w:rFonts w:ascii="宋体" w:hAnsi="宋体" w:cs="宋体" w:eastAsia="宋体" w:hint="default"/>
                <w:sz w:val="18"/>
                <w:szCs w:val="18"/>
              </w:rPr>
              <w:t>）</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104" w:right="73"/>
              <w:jc w:val="both"/>
              <w:rPr>
                <w:rFonts w:ascii="宋体" w:hAnsi="宋体" w:cs="宋体" w:eastAsia="宋体" w:hint="default"/>
                <w:sz w:val="18"/>
                <w:szCs w:val="18"/>
              </w:rPr>
            </w:pPr>
            <w:r>
              <w:rPr>
                <w:rFonts w:ascii="宋体" w:hAnsi="宋体" w:cs="宋体" w:eastAsia="宋体" w:hint="default"/>
                <w:sz w:val="18"/>
                <w:szCs w:val="18"/>
              </w:rPr>
              <w:t>是安装在高铁上的具有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3G/4G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数据回传及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网络覆盖功能并在</w:t>
            </w:r>
            <w:r>
              <w:rPr>
                <w:rFonts w:ascii="宋体" w:hAnsi="宋体" w:cs="宋体" w:eastAsia="宋体" w:hint="default"/>
                <w:w w:val="99"/>
                <w:sz w:val="18"/>
                <w:szCs w:val="18"/>
              </w:rPr>
              <w:t> </w:t>
            </w:r>
            <w:r>
              <w:rPr>
                <w:rFonts w:ascii="宋体" w:hAnsi="宋体" w:cs="宋体" w:eastAsia="宋体" w:hint="default"/>
                <w:spacing w:val="-3"/>
                <w:sz w:val="18"/>
                <w:szCs w:val="18"/>
              </w:rPr>
              <w:t>超高速运动状态下不丢信号，支持国内最新开放的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5.2g </w:t>
            </w:r>
            <w:r>
              <w:rPr>
                <w:rFonts w:ascii="宋体" w:hAnsi="宋体" w:cs="宋体" w:eastAsia="宋体" w:hint="default"/>
                <w:sz w:val="18"/>
                <w:szCs w:val="18"/>
              </w:rPr>
              <w:t>频段和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5.8g</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频段数据传输，具有用户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Portal</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认证和手机短信实名验证功能，支 持本地内容分发服务功能，可提供在线视频、在线音乐、新闻、小 说、</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下载等几乎所有在线服务，具有本地内容异步更新功能， 具有远程运维管理平台的成套系统。</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导弹制导系统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1"/>
              <w:jc w:val="left"/>
              <w:rPr>
                <w:rFonts w:ascii="宋体" w:hAnsi="宋体" w:cs="宋体" w:eastAsia="宋体" w:hint="default"/>
                <w:sz w:val="18"/>
                <w:szCs w:val="18"/>
              </w:rPr>
            </w:pPr>
            <w:r>
              <w:rPr>
                <w:rFonts w:ascii="宋体" w:hAnsi="宋体" w:cs="宋体" w:eastAsia="宋体" w:hint="default"/>
                <w:spacing w:val="-4"/>
                <w:sz w:val="18"/>
                <w:szCs w:val="18"/>
              </w:rPr>
              <w:t>移动目标（坦克、舰艇、直升机等）进行精准打击的导弹制导系统，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包括移动式制导系统、手持式制导系统及相关备件等。</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中央军民融合发展委员会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4" w:right="11"/>
              <w:jc w:val="left"/>
              <w:rPr>
                <w:rFonts w:ascii="宋体" w:hAnsi="宋体" w:cs="宋体" w:eastAsia="宋体" w:hint="default"/>
                <w:sz w:val="18"/>
                <w:szCs w:val="18"/>
              </w:rPr>
            </w:pPr>
            <w:r>
              <w:rPr>
                <w:rFonts w:ascii="宋体" w:hAnsi="宋体" w:cs="宋体" w:eastAsia="宋体" w:hint="default"/>
                <w:sz w:val="18"/>
                <w:szCs w:val="18"/>
              </w:rPr>
              <w:t>是中央层面军民融合发展重大问题的决策和议事协调机构，统一领 </w:t>
            </w:r>
            <w:r>
              <w:rPr>
                <w:rFonts w:ascii="宋体" w:hAnsi="宋体" w:cs="宋体" w:eastAsia="宋体" w:hint="default"/>
                <w:spacing w:val="-4"/>
                <w:sz w:val="18"/>
                <w:szCs w:val="18"/>
              </w:rPr>
              <w:t>导军民融合深度发展，向中央政治局、中央政治局常务委员会负责。</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西安军民融合产业基金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4" w:right="100"/>
              <w:jc w:val="left"/>
              <w:rPr>
                <w:rFonts w:ascii="宋体" w:hAnsi="宋体" w:cs="宋体" w:eastAsia="宋体" w:hint="default"/>
                <w:sz w:val="18"/>
                <w:szCs w:val="18"/>
              </w:rPr>
            </w:pPr>
            <w:r>
              <w:rPr>
                <w:rFonts w:ascii="宋体" w:hAnsi="宋体" w:cs="宋体" w:eastAsia="宋体" w:hint="default"/>
                <w:spacing w:val="-1"/>
                <w:sz w:val="18"/>
                <w:szCs w:val="18"/>
              </w:rPr>
              <w:t>公司与鲁信创业投资集团股份有限公司、西安市创投引导基金共同</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成立的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亿元的军民融合产业基金。</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4" w:right="100"/>
              <w:jc w:val="left"/>
              <w:rPr>
                <w:rFonts w:ascii="宋体" w:hAnsi="宋体" w:cs="宋体" w:eastAsia="宋体" w:hint="default"/>
                <w:sz w:val="18"/>
                <w:szCs w:val="18"/>
              </w:rPr>
            </w:pPr>
            <w:r>
              <w:rPr>
                <w:rFonts w:ascii="宋体" w:hAnsi="宋体" w:cs="宋体" w:eastAsia="宋体" w:hint="default"/>
                <w:spacing w:val="-1"/>
                <w:sz w:val="18"/>
                <w:szCs w:val="18"/>
              </w:rPr>
              <w:t>是分布式数据存储、点对点传输、共识机制、加密算法等计算机技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术的新型应用模式。</w:t>
            </w:r>
          </w:p>
        </w:tc>
      </w:tr>
    </w:tbl>
    <w:p>
      <w:pPr>
        <w:spacing w:after="0" w:line="316"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2606" w:right="357" w:firstLine="0"/>
        <w:jc w:val="left"/>
        <w:rPr>
          <w:rFonts w:ascii="宋体" w:hAnsi="宋体" w:cs="宋体" w:eastAsia="宋体" w:hint="default"/>
          <w:sz w:val="32"/>
          <w:szCs w:val="32"/>
        </w:rPr>
      </w:pPr>
      <w:r>
        <w:rPr>
          <w:rFonts w:ascii="宋体" w:hAnsi="宋体" w:cs="宋体" w:eastAsia="宋体" w:hint="default"/>
          <w:b/>
          <w:bCs/>
          <w:sz w:val="32"/>
          <w:szCs w:val="32"/>
        </w:rPr>
        <w:t>第二节</w:t>
      </w:r>
      <w:r>
        <w:rPr>
          <w:rFonts w:ascii="宋体" w:hAnsi="宋体" w:cs="宋体" w:eastAsia="宋体" w:hint="default"/>
          <w:b/>
          <w:bCs/>
          <w:spacing w:val="-11"/>
          <w:sz w:val="32"/>
          <w:szCs w:val="32"/>
        </w:rPr>
        <w:t> </w:t>
      </w:r>
      <w:r>
        <w:rPr>
          <w:rFonts w:ascii="宋体" w:hAnsi="宋体" w:cs="宋体" w:eastAsia="宋体" w:hint="default"/>
          <w:b/>
          <w:bCs/>
          <w:sz w:val="32"/>
          <w:szCs w:val="32"/>
        </w:rPr>
        <w:t>公司简介和主要财务指标</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pStyle w:val="Heading2"/>
        <w:spacing w:line="240" w:lineRule="auto" w:before="26"/>
        <w:ind w:right="357"/>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3"/>
        <w:gridCol w:w="2156"/>
        <w:gridCol w:w="2176"/>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精准信息</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300099</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尤洛卡</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Uroica Precision Information Engineering</w:t>
            </w:r>
            <w:r>
              <w:rPr>
                <w:rFonts w:ascii="Times New Roman"/>
                <w:spacing w:val="-17"/>
                <w:sz w:val="18"/>
              </w:rPr>
              <w:t> </w:t>
            </w:r>
            <w:r>
              <w:rPr>
                <w:rFonts w:ascii="Times New Roman"/>
                <w:sz w:val="18"/>
              </w:rPr>
              <w:t>Co.,Ltd</w:t>
            </w:r>
          </w:p>
        </w:tc>
      </w:tr>
      <w:tr>
        <w:trPr>
          <w:trHeight w:val="71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UPIE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黄自伟</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山东省泰安市高新区凤祥路以西规划支路以北</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r>
              <w:rPr>
                <w:rFonts w:ascii="Times New Roman"/>
                <w:sz w:val="18"/>
              </w:rPr>
              <w:t>271000</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0">
              <w:r>
                <w:rPr>
                  <w:rFonts w:ascii="Times New Roman"/>
                  <w:sz w:val="18"/>
                </w:rPr>
                <w:t>http://www.uroica.com.cn/</w:t>
              </w:r>
            </w:hyperlink>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2" w:right="0"/>
              <w:jc w:val="left"/>
              <w:rPr>
                <w:rFonts w:ascii="Times New Roman" w:hAnsi="Times New Roman" w:cs="Times New Roman" w:eastAsia="Times New Roman" w:hint="default"/>
                <w:sz w:val="18"/>
                <w:szCs w:val="18"/>
              </w:rPr>
            </w:pPr>
            <w:hyperlink r:id="rId11">
              <w:r>
                <w:rPr>
                  <w:rFonts w:ascii="Times New Roman"/>
                  <w:sz w:val="18"/>
                </w:rPr>
                <w:t>mail@uroica.com.cn</w:t>
              </w:r>
            </w:hyperlink>
          </w:p>
        </w:tc>
      </w:tr>
    </w:tbl>
    <w:p>
      <w:pPr>
        <w:spacing w:line="240" w:lineRule="auto" w:before="1"/>
        <w:rPr>
          <w:rFonts w:ascii="宋体" w:hAnsi="宋体" w:cs="宋体" w:eastAsia="宋体" w:hint="default"/>
          <w:b/>
          <w:bCs/>
          <w:sz w:val="18"/>
          <w:szCs w:val="18"/>
        </w:rPr>
      </w:pPr>
    </w:p>
    <w:p>
      <w:pPr>
        <w:spacing w:before="26"/>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二、联系人和联系方式</w:t>
      </w:r>
      <w:r>
        <w:rPr>
          <w:rFonts w:ascii="宋体" w:hAnsi="宋体" w:cs="宋体" w:eastAsia="宋体" w:hint="default"/>
          <w:sz w:val="24"/>
          <w:szCs w:val="24"/>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陈焕超</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95"/>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96"/>
              <w:jc w:val="left"/>
              <w:rPr>
                <w:rFonts w:ascii="宋体" w:hAnsi="宋体" w:cs="宋体" w:eastAsia="宋体" w:hint="default"/>
                <w:sz w:val="18"/>
                <w:szCs w:val="18"/>
              </w:rPr>
            </w:pPr>
            <w:r>
              <w:rPr>
                <w:rFonts w:ascii="宋体" w:hAnsi="宋体" w:cs="宋体" w:eastAsia="宋体" w:hint="default"/>
                <w:sz w:val="18"/>
                <w:szCs w:val="18"/>
              </w:rPr>
              <w:t>山东省泰安市高新区凤祥路以西规划 支路以北</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0538-8926155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0538-8926155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0538-8926202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0538-8926202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2">
              <w:r>
                <w:rPr>
                  <w:rFonts w:ascii="Times New Roman"/>
                  <w:sz w:val="18"/>
                </w:rPr>
                <w:t>chw600157@163.com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hyperlink r:id="rId13">
              <w:r>
                <w:rPr>
                  <w:rFonts w:ascii="Times New Roman"/>
                  <w:sz w:val="18"/>
                </w:rPr>
                <w:t>chen19341912@163.com</w:t>
              </w:r>
            </w:hyperlink>
          </w:p>
        </w:tc>
      </w:tr>
    </w:tbl>
    <w:p>
      <w:pPr>
        <w:spacing w:line="240" w:lineRule="auto" w:before="2"/>
        <w:rPr>
          <w:rFonts w:ascii="宋体" w:hAnsi="宋体" w:cs="宋体" w:eastAsia="宋体" w:hint="default"/>
          <w:b/>
          <w:bCs/>
          <w:sz w:val="18"/>
          <w:szCs w:val="18"/>
        </w:rPr>
      </w:pPr>
    </w:p>
    <w:p>
      <w:pPr>
        <w:spacing w:before="26"/>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三、信息披露及备置地点</w:t>
      </w:r>
      <w:r>
        <w:rPr>
          <w:rFonts w:ascii="宋体" w:hAnsi="宋体" w:cs="宋体" w:eastAsia="宋体" w:hint="default"/>
          <w:sz w:val="24"/>
          <w:szCs w:val="24"/>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2"/>
        <w:gridCol w:w="5576"/>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4">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9"/>
        <w:rPr>
          <w:rFonts w:ascii="宋体" w:hAnsi="宋体" w:cs="宋体" w:eastAsia="宋体" w:hint="default"/>
          <w:b/>
          <w:bCs/>
          <w:sz w:val="20"/>
          <w:szCs w:val="20"/>
        </w:rPr>
      </w:pPr>
    </w:p>
    <w:p>
      <w:pPr>
        <w:spacing w:before="26"/>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四、其他有关资料</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王传顺、郭冬梅</w:t>
            </w:r>
          </w:p>
        </w:tc>
      </w:tr>
    </w:tbl>
    <w:p>
      <w:pPr>
        <w:pStyle w:val="BodyText"/>
        <w:spacing w:line="240" w:lineRule="auto" w:before="51"/>
        <w:ind w:right="157"/>
        <w:jc w:val="left"/>
      </w:pPr>
      <w:r>
        <w:rPr/>
        <w:t>公司聘请的报告期内履行持续督导职责的保荐机构</w:t>
      </w:r>
    </w:p>
    <w:p>
      <w:pPr>
        <w:pStyle w:val="BodyText"/>
        <w:spacing w:line="357" w:lineRule="auto" w:before="117"/>
        <w:ind w:right="5774"/>
        <w:jc w:val="left"/>
      </w:pPr>
      <w:r>
        <w:rPr/>
        <w:t>□ 适用 √ 不适用 公司聘请的报告期内履行持续督导职责的财务顾问</w:t>
      </w:r>
    </w:p>
    <w:p>
      <w:pPr>
        <w:pStyle w:val="BodyText"/>
        <w:spacing w:line="240" w:lineRule="auto" w:before="29"/>
        <w:ind w:right="157"/>
        <w:jc w:val="left"/>
      </w:pPr>
      <w:r>
        <w:rPr/>
        <w:t>√ 适用 □ 不适用</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2" w:right="117"/>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新盛大厦 </w:t>
            </w:r>
            <w:r>
              <w:rPr>
                <w:rFonts w:ascii="Times New Roman" w:hAnsi="Times New Roman" w:cs="Times New Roman" w:eastAsia="Times New Roman" w:hint="default"/>
                <w:sz w:val="18"/>
                <w:szCs w:val="18"/>
              </w:rPr>
              <w:t>B </w:t>
            </w:r>
            <w:r>
              <w:rPr>
                <w:rFonts w:ascii="宋体" w:hAnsi="宋体" w:cs="宋体" w:eastAsia="宋体" w:hint="default"/>
                <w:sz w:val="18"/>
                <w:szCs w:val="18"/>
              </w:rPr>
              <w:t>座 </w:t>
            </w:r>
            <w:r>
              <w:rPr>
                <w:rFonts w:ascii="Times New Roman" w:hAnsi="Times New Roman" w:cs="Times New Roman" w:eastAsia="Times New Roman" w:hint="default"/>
                <w:sz w:val="18"/>
                <w:szCs w:val="18"/>
              </w:rPr>
              <w:t>12-15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姚浩杰、覃新林</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bl>
    <w:p>
      <w:pPr>
        <w:spacing w:line="240" w:lineRule="auto" w:before="1"/>
        <w:rPr>
          <w:rFonts w:ascii="宋体" w:hAnsi="宋体" w:cs="宋体" w:eastAsia="宋体" w:hint="default"/>
          <w:sz w:val="18"/>
          <w:szCs w:val="18"/>
        </w:rPr>
      </w:pPr>
    </w:p>
    <w:p>
      <w:pPr>
        <w:pStyle w:val="Heading2"/>
        <w:spacing w:line="240" w:lineRule="auto" w:before="26"/>
        <w:ind w:right="157"/>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公司是否需追溯调整或重述以前年度会计数据</w:t>
      </w:r>
    </w:p>
    <w:p>
      <w:pPr>
        <w:pStyle w:val="BodyText"/>
        <w:spacing w:line="240" w:lineRule="auto" w:before="117"/>
        <w:ind w:right="157"/>
        <w:jc w:val="left"/>
      </w:pPr>
      <w:r>
        <w:rPr/>
        <w:t>□ 是 √ 否</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21"/>
        <w:gridCol w:w="1738"/>
        <w:gridCol w:w="1737"/>
        <w:gridCol w:w="1737"/>
        <w:gridCol w:w="1736"/>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422,911,717.94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230,358,279.45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83.59%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165,066,017.10</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101,644,074.39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29,911,896.05</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239.81%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23,393,455.21</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99,198,541.29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31,231,617.83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217.62%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2,915,645.42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69,851,205.04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98,308,601.42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10,073,220.70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0.1539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0.0453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239.74%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0.1539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0.0453</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239.74%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0.035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6.09%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3.19%</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2.90%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2.79%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73" w:right="142" w:hanging="632"/>
              <w:jc w:val="left"/>
              <w:rPr>
                <w:rFonts w:ascii="宋体" w:hAnsi="宋体" w:cs="宋体" w:eastAsia="宋体" w:hint="default"/>
                <w:sz w:val="18"/>
                <w:szCs w:val="18"/>
              </w:rPr>
            </w:pPr>
            <w:r>
              <w:rPr>
                <w:rFonts w:ascii="宋体" w:hAnsi="宋体" w:cs="宋体" w:eastAsia="宋体" w:hint="default"/>
                <w:sz w:val="18"/>
                <w:szCs w:val="18"/>
              </w:rPr>
              <w:t>本年末比上年末增 减</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1,922,687,119.24</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1,824,793,418.38</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943,349,803.36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1,727,440,521.82</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1,655,493,481.06</w:t>
            </w:r>
          </w:p>
        </w:tc>
        <w:tc>
          <w:tcPr>
            <w:tcW w:w="1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828,930,119.16</w:t>
            </w:r>
          </w:p>
        </w:tc>
      </w:tr>
    </w:tbl>
    <w:p>
      <w:pPr>
        <w:spacing w:line="240" w:lineRule="auto" w:before="12"/>
        <w:rPr>
          <w:rFonts w:ascii="宋体" w:hAnsi="宋体" w:cs="宋体" w:eastAsia="宋体" w:hint="default"/>
          <w:sz w:val="17"/>
          <w:szCs w:val="17"/>
        </w:rPr>
      </w:pPr>
    </w:p>
    <w:p>
      <w:pPr>
        <w:pStyle w:val="Heading2"/>
        <w:spacing w:line="240" w:lineRule="auto" w:before="26"/>
        <w:ind w:right="157"/>
        <w:jc w:val="left"/>
        <w:rPr>
          <w:b w:val="0"/>
          <w:bCs w:val="0"/>
        </w:rPr>
      </w:pPr>
      <w:r>
        <w:rPr/>
        <w:t>六、分季度主要财务指标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after="0" w:line="240" w:lineRule="auto"/>
        <w:jc w:val="right"/>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621"/>
        <w:gridCol w:w="1740"/>
        <w:gridCol w:w="1739"/>
        <w:gridCol w:w="1739"/>
        <w:gridCol w:w="1730"/>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45,308,143.67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45,690,416.30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69,098,936.86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6"/>
              <w:jc w:val="right"/>
              <w:rPr>
                <w:rFonts w:ascii="Times New Roman" w:hAnsi="Times New Roman" w:cs="Times New Roman" w:eastAsia="Times New Roman" w:hint="default"/>
                <w:sz w:val="18"/>
                <w:szCs w:val="18"/>
              </w:rPr>
            </w:pPr>
            <w:r>
              <w:rPr>
                <w:rFonts w:ascii="Times New Roman"/>
                <w:spacing w:val="-1"/>
                <w:sz w:val="18"/>
              </w:rPr>
              <w:t>262,814,221.11</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7,841,172.60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-1,500,069.17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17,025,040.37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78,277,930.59</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67"/>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7,544,980.91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-1,839,169.52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16,117,431.35</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77,375,298.55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-15,393,169.68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35,392,362.91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47,318,686.26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2,533,325.55</w:t>
            </w:r>
          </w:p>
        </w:tc>
      </w:tr>
    </w:tbl>
    <w:p>
      <w:pPr>
        <w:pStyle w:val="BodyText"/>
        <w:spacing w:line="240" w:lineRule="auto" w:before="51"/>
        <w:ind w:right="157"/>
        <w:jc w:val="left"/>
      </w:pPr>
      <w:r>
        <w:rPr/>
        <w:t>上述财务指标或其加总数是否与公司已披露季度报告、半年度报告相关财务指标存在重大差异</w:t>
      </w:r>
    </w:p>
    <w:p>
      <w:pPr>
        <w:pStyle w:val="BodyText"/>
        <w:spacing w:line="240" w:lineRule="auto" w:before="117"/>
        <w:ind w:right="157"/>
        <w:jc w:val="left"/>
      </w:pPr>
      <w:r>
        <w:rPr/>
        <w:t>□ 是 √ 否</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157"/>
        <w:jc w:val="left"/>
      </w:pPr>
      <w:r>
        <w:rPr/>
        <w:t>□ 适用 √ 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0"/>
          <w:szCs w:val="20"/>
        </w:rPr>
      </w:pPr>
    </w:p>
    <w:p>
      <w:pPr>
        <w:pStyle w:val="Heading4"/>
        <w:spacing w:line="240" w:lineRule="auto"/>
        <w:ind w:right="157"/>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1634"/>
        <w:jc w:val="left"/>
      </w:pPr>
      <w:r>
        <w:rPr/>
        <w:t>□ 适用 √ 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8"/>
          <w:szCs w:val="18"/>
        </w:rPr>
      </w:pPr>
    </w:p>
    <w:p>
      <w:pPr>
        <w:pStyle w:val="Heading2"/>
        <w:spacing w:line="240" w:lineRule="auto"/>
        <w:ind w:right="157"/>
        <w:jc w:val="left"/>
        <w:rPr>
          <w:b w:val="0"/>
          <w:bCs w:val="0"/>
        </w:rPr>
      </w:pP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57"/>
        <w:jc w:val="left"/>
      </w:pPr>
      <w:r>
        <w:rPr/>
        <w:t>√ 适用 □ 不适用</w:t>
      </w:r>
    </w:p>
    <w:p>
      <w:pPr>
        <w:pStyle w:val="BodyText"/>
        <w:spacing w:line="240" w:lineRule="auto" w:before="117"/>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 减值准备的冲销部分）</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-235,771.42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259,416.43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25,856.29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1,478,266.00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2,254,000.00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2,515,000.00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-1,692,440.54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-2,800,080.67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-427,750.00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22"/>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3,612,849.86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22,315,912.18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22"/>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-103,454.76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-780,328.32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-148,913.83</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296"/>
        <w:gridCol w:w="1520"/>
        <w:gridCol w:w="1520"/>
        <w:gridCol w:w="1522"/>
        <w:gridCol w:w="1710"/>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514,951.25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-139,728.31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3,642,015.70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98,964.79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392,461.37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160,279.15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2,445,533.10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-1,319,721.78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20,477,809.79</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2"/>
        <w:ind w:right="157"/>
        <w:jc w:val="left"/>
      </w:pPr>
      <w:r>
        <w:rPr/>
        <w:t>□ 适用 √ 不适用</w:t>
      </w:r>
    </w:p>
    <w:p>
      <w:pPr>
        <w:pStyle w:val="BodyText"/>
        <w:spacing w:line="300" w:lineRule="auto" w:before="115"/>
        <w:ind w:right="9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07" w:footer="1013"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91" w:right="3511"/>
        <w:jc w:val="center"/>
        <w:rPr>
          <w:b w:val="0"/>
          <w:bCs w:val="0"/>
        </w:rPr>
      </w:pPr>
      <w:r>
        <w:rPr/>
        <w:t>第三节</w:t>
      </w:r>
      <w:r>
        <w:rPr>
          <w:spacing w:val="-10"/>
        </w:rPr>
        <w:t> </w:t>
      </w:r>
      <w:r>
        <w:rPr/>
        <w:t>公司业务概要</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11"/>
        <w:rPr>
          <w:rFonts w:ascii="宋体" w:hAnsi="宋体" w:cs="宋体" w:eastAsia="宋体" w:hint="default"/>
          <w:b/>
          <w:bCs/>
          <w:sz w:val="28"/>
          <w:szCs w:val="28"/>
        </w:rPr>
      </w:pPr>
    </w:p>
    <w:p>
      <w:pPr>
        <w:pStyle w:val="Heading3"/>
        <w:spacing w:line="357" w:lineRule="auto" w:before="0"/>
        <w:ind w:left="592" w:right="2654"/>
        <w:jc w:val="left"/>
      </w:pPr>
      <w:r>
        <w:rPr/>
        <w:t>报告期内，公司主要从事军工业务、煤矿安全业务及通信业务。 1、军工业务</w:t>
      </w:r>
    </w:p>
    <w:p>
      <w:pPr>
        <w:spacing w:line="357" w:lineRule="auto" w:before="36"/>
        <w:ind w:left="112" w:right="96" w:firstLine="480"/>
        <w:jc w:val="left"/>
        <w:rPr>
          <w:rFonts w:ascii="宋体" w:hAnsi="宋体" w:cs="宋体" w:eastAsia="宋体" w:hint="default"/>
          <w:sz w:val="24"/>
          <w:szCs w:val="24"/>
        </w:rPr>
      </w:pPr>
      <w:r>
        <w:rPr>
          <w:rFonts w:ascii="宋体" w:hAnsi="宋体" w:cs="宋体" w:eastAsia="宋体" w:hint="default"/>
          <w:sz w:val="24"/>
          <w:szCs w:val="24"/>
        </w:rPr>
        <w:t>公司军工方面的业务主要从事军工武器装备中光电技术的研发、集成和生产，以及利用 </w:t>
      </w:r>
      <w:r>
        <w:rPr>
          <w:rFonts w:ascii="宋体" w:hAnsi="宋体" w:cs="宋体" w:eastAsia="宋体" w:hint="default"/>
          <w:spacing w:val="-3"/>
          <w:sz w:val="24"/>
          <w:szCs w:val="24"/>
        </w:rPr>
        <w:t>高精度光学元器件加工技术研制、生产国防、安防、航天、航空所需的集成高品质光学系统。</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主要产品有导弹制导系统、精密光学系统等，其主要用途为单兵或兵组、装甲车、侦察车及 其它作战用导弹制导，其精密光学系统可应用于航天航空卫星、国防安防监控、天文监测及 医学监测等。</w:t>
      </w:r>
    </w:p>
    <w:p>
      <w:pPr>
        <w:spacing w:line="357" w:lineRule="auto" w:before="36"/>
        <w:ind w:left="112" w:right="232" w:firstLine="480"/>
        <w:jc w:val="both"/>
        <w:rPr>
          <w:rFonts w:ascii="宋体" w:hAnsi="宋体" w:cs="宋体" w:eastAsia="宋体" w:hint="default"/>
          <w:sz w:val="24"/>
          <w:szCs w:val="24"/>
        </w:rPr>
      </w:pPr>
      <w:r>
        <w:rPr>
          <w:rFonts w:ascii="宋体" w:hAnsi="宋体" w:cs="宋体" w:eastAsia="宋体" w:hint="default"/>
          <w:sz w:val="24"/>
          <w:szCs w:val="24"/>
        </w:rPr>
        <w:t>报告期内，师凯科技完成了手持式制导系统产品的更新换代和定型，实现批量生产和销 </w:t>
      </w:r>
      <w:r>
        <w:rPr>
          <w:rFonts w:ascii="宋体" w:hAnsi="宋体" w:cs="宋体" w:eastAsia="宋体" w:hint="default"/>
          <w:spacing w:val="-5"/>
          <w:sz w:val="24"/>
          <w:szCs w:val="24"/>
        </w:rPr>
        <w:t>售。师凯科技和富华宇祺联合研发的国产自主可控交换机入围自主可控认证资格名单，为2018</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年开展的自研产品序列获得入门资格。</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2、煤矿安全业务 煤矿安全业务主要是为煤矿安全提供监控监测、井下运输及工程施工相关产品和技术服</w:t>
      </w:r>
    </w:p>
    <w:p>
      <w:pPr>
        <w:spacing w:line="357" w:lineRule="auto" w:before="36"/>
        <w:ind w:left="112" w:right="271" w:firstLine="0"/>
        <w:jc w:val="both"/>
        <w:rPr>
          <w:rFonts w:ascii="宋体" w:hAnsi="宋体" w:cs="宋体" w:eastAsia="宋体" w:hint="default"/>
          <w:sz w:val="24"/>
          <w:szCs w:val="24"/>
        </w:rPr>
      </w:pPr>
      <w:r>
        <w:rPr>
          <w:rFonts w:ascii="宋体" w:hAnsi="宋体" w:cs="宋体" w:eastAsia="宋体" w:hint="default"/>
          <w:sz w:val="24"/>
          <w:szCs w:val="24"/>
        </w:rPr>
        <w:t>务等，主要产品包括煤矿顶板监测系统、蓝牙数字压力计等仪器仪表、智能集成供液系统、 井下智能运输系统等。主要用途保障煤矿顶板、采煤机械及相关场所安全，提供安全运输服 务等。</w:t>
      </w:r>
    </w:p>
    <w:p>
      <w:pPr>
        <w:spacing w:line="357" w:lineRule="auto" w:before="36"/>
        <w:ind w:left="112" w:right="271" w:firstLine="480"/>
        <w:jc w:val="both"/>
        <w:rPr>
          <w:rFonts w:ascii="宋体" w:hAnsi="宋体" w:cs="宋体" w:eastAsia="宋体" w:hint="default"/>
          <w:sz w:val="24"/>
          <w:szCs w:val="24"/>
        </w:rPr>
      </w:pPr>
      <w:r>
        <w:rPr>
          <w:rFonts w:ascii="宋体" w:hAnsi="宋体" w:cs="宋体" w:eastAsia="宋体" w:hint="default"/>
          <w:sz w:val="24"/>
          <w:szCs w:val="24"/>
        </w:rPr>
        <w:t>2017年，煤炭行业供给侧结构性改革进一步深化，随着煤炭去产能的持续推进，煤价进 一步回升，煤炭企业盈利能力增强，为煤炭提供安全装备、信息化建设等各项产品、技术及 其他服务的行业分别在不同程度上进一步好转。公司抓住时机，煤矿安全业务产品销售实现 了一定幅度增长：营业收入收入比去年同期增长73.88%，总体业绩实现了同比增长。</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3、信息通信业务 公司信息通信业务主要是矿山通讯业务、轨道交通通讯业务、军网通讯业务。主要产品</w:t>
      </w:r>
    </w:p>
    <w:p>
      <w:pPr>
        <w:spacing w:line="357" w:lineRule="auto" w:before="36"/>
        <w:ind w:left="112" w:right="232" w:firstLine="0"/>
        <w:jc w:val="both"/>
        <w:rPr>
          <w:rFonts w:ascii="宋体" w:hAnsi="宋体" w:cs="宋体" w:eastAsia="宋体" w:hint="default"/>
          <w:sz w:val="24"/>
          <w:szCs w:val="24"/>
        </w:rPr>
      </w:pPr>
      <w:r>
        <w:rPr>
          <w:rFonts w:ascii="宋体" w:hAnsi="宋体" w:cs="宋体" w:eastAsia="宋体" w:hint="default"/>
          <w:spacing w:val="-5"/>
          <w:sz w:val="24"/>
          <w:szCs w:val="24"/>
        </w:rPr>
        <w:t>为铁路综合通信系统，包括普列无线通信系统（WIFI）、高铁综合通信系统（含中心及单车服</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7"/>
          <w:sz w:val="24"/>
          <w:szCs w:val="24"/>
        </w:rPr>
        <w:t>务器等）、路局综合通信系统、井下4G</w:t>
      </w:r>
      <w:r>
        <w:rPr>
          <w:rFonts w:ascii="宋体" w:hAnsi="宋体" w:cs="宋体" w:eastAsia="宋体" w:hint="default"/>
          <w:spacing w:val="4"/>
          <w:sz w:val="24"/>
          <w:szCs w:val="24"/>
        </w:rPr>
        <w:t> </w:t>
      </w:r>
      <w:r>
        <w:rPr>
          <w:rFonts w:ascii="宋体" w:hAnsi="宋体" w:cs="宋体" w:eastAsia="宋体" w:hint="default"/>
          <w:sz w:val="24"/>
          <w:szCs w:val="24"/>
        </w:rPr>
        <w:t>无线通讯、地下无线通信系统等。其主要用途为：实</w:t>
      </w:r>
      <w:r>
        <w:rPr>
          <w:rFonts w:ascii="宋体" w:hAnsi="宋体" w:cs="宋体" w:eastAsia="宋体" w:hint="default"/>
          <w:sz w:val="24"/>
          <w:szCs w:val="24"/>
        </w:rPr>
        <w:t> 现普通列车、高铁的无线通讯，实现铁路局的综合通讯调度、交通大数据采集分析、货运定 位及矿山井下无线通信等。</w:t>
      </w:r>
    </w:p>
    <w:p>
      <w:pPr>
        <w:spacing w:after="0" w:line="357" w:lineRule="auto"/>
        <w:jc w:val="both"/>
        <w:rPr>
          <w:rFonts w:ascii="宋体" w:hAnsi="宋体" w:cs="宋体" w:eastAsia="宋体" w:hint="default"/>
          <w:sz w:val="24"/>
          <w:szCs w:val="24"/>
        </w:rPr>
        <w:sectPr>
          <w:pgSz w:w="11910" w:h="16840"/>
          <w:pgMar w:header="907" w:footer="1013" w:top="1100" w:bottom="1200" w:left="1020" w:right="900"/>
        </w:sectPr>
      </w:pPr>
    </w:p>
    <w:p>
      <w:pPr>
        <w:spacing w:line="240" w:lineRule="auto" w:before="7"/>
        <w:rPr>
          <w:rFonts w:ascii="宋体" w:hAnsi="宋体" w:cs="宋体" w:eastAsia="宋体" w:hint="default"/>
          <w:sz w:val="26"/>
          <w:szCs w:val="26"/>
        </w:rPr>
      </w:pPr>
    </w:p>
    <w:p>
      <w:pPr>
        <w:spacing w:line="357" w:lineRule="auto" w:before="26"/>
        <w:ind w:left="112" w:right="111" w:firstLine="480"/>
        <w:jc w:val="both"/>
        <w:rPr>
          <w:rFonts w:ascii="宋体" w:hAnsi="宋体" w:cs="宋体" w:eastAsia="宋体" w:hint="default"/>
          <w:sz w:val="24"/>
          <w:szCs w:val="24"/>
        </w:rPr>
      </w:pPr>
      <w:r>
        <w:rPr>
          <w:rFonts w:ascii="宋体" w:hAnsi="宋体" w:cs="宋体" w:eastAsia="宋体" w:hint="default"/>
          <w:sz w:val="24"/>
          <w:szCs w:val="24"/>
        </w:rPr>
        <w:t>高铁WIFI一体化服务器设备及解决方案实现新突破，并在高铁标准动车“复兴号”获得 首例成功应用，奠定了公司在行业自主定制领域的口碑和市场地位。在区块链业务方面主要 致力于行业客户私有链平台的开发，积极参与行业客户的区块链应用，目的是能够提供以区 块链技术为核心的支付平台解决方案，目前技术和产品已基本成熟，现处于推广应用阶段。</w:t>
      </w:r>
    </w:p>
    <w:p>
      <w:pPr>
        <w:spacing w:line="357" w:lineRule="auto" w:before="36"/>
        <w:ind w:left="592" w:right="1534" w:firstLine="0"/>
        <w:jc w:val="left"/>
        <w:rPr>
          <w:rFonts w:ascii="宋体" w:hAnsi="宋体" w:cs="宋体" w:eastAsia="宋体" w:hint="default"/>
          <w:sz w:val="24"/>
          <w:szCs w:val="24"/>
        </w:rPr>
      </w:pPr>
      <w:r>
        <w:rPr>
          <w:rFonts w:ascii="宋体" w:hAnsi="宋体" w:cs="宋体" w:eastAsia="宋体" w:hint="default"/>
          <w:sz w:val="24"/>
          <w:szCs w:val="24"/>
        </w:rPr>
        <w:t>行业发展等情况在经营情况讨论与分析中进行阐述，详见本报告第四节。 </w:t>
      </w:r>
      <w:r>
        <w:rPr>
          <w:rFonts w:ascii="宋体" w:hAnsi="宋体" w:cs="宋体" w:eastAsia="宋体" w:hint="default"/>
          <w:b/>
          <w:bCs/>
          <w:sz w:val="24"/>
          <w:szCs w:val="24"/>
        </w:rPr>
        <w:t>二、主要资产重大变化情况</w:t>
      </w:r>
      <w:r>
        <w:rPr>
          <w:rFonts w:ascii="宋体" w:hAnsi="宋体" w:cs="宋体" w:eastAsia="宋体" w:hint="default"/>
          <w:sz w:val="24"/>
          <w:szCs w:val="24"/>
        </w:rPr>
      </w:r>
    </w:p>
    <w:p>
      <w:pPr>
        <w:spacing w:line="240" w:lineRule="auto" w:before="8"/>
        <w:rPr>
          <w:rFonts w:ascii="宋体" w:hAnsi="宋体" w:cs="宋体" w:eastAsia="宋体" w:hint="default"/>
          <w:b/>
          <w:bCs/>
          <w:sz w:val="21"/>
          <w:szCs w:val="21"/>
        </w:rPr>
      </w:pPr>
    </w:p>
    <w:p>
      <w:pPr>
        <w:pStyle w:val="Heading4"/>
        <w:spacing w:line="240" w:lineRule="auto"/>
        <w:ind w:right="153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051"/>
        <w:gridCol w:w="6517"/>
      </w:tblGrid>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32"/>
              <w:jc w:val="left"/>
              <w:rPr>
                <w:rFonts w:ascii="宋体" w:hAnsi="宋体" w:cs="宋体" w:eastAsia="宋体" w:hint="default"/>
                <w:sz w:val="18"/>
                <w:szCs w:val="18"/>
              </w:rPr>
            </w:pPr>
            <w:r>
              <w:rPr>
                <w:rFonts w:ascii="宋体" w:hAnsi="宋体" w:cs="宋体" w:eastAsia="宋体" w:hint="default"/>
                <w:sz w:val="18"/>
                <w:szCs w:val="18"/>
              </w:rPr>
              <w:t>报告期末长期股权投资较期初增长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244.92%</w:t>
            </w:r>
            <w:r>
              <w:rPr>
                <w:rFonts w:ascii="宋体" w:hAnsi="宋体" w:cs="宋体" w:eastAsia="宋体" w:hint="default"/>
                <w:sz w:val="18"/>
                <w:szCs w:val="18"/>
              </w:rPr>
              <w:t>，主要是参投一家公司，投资金额为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应收账款较期初账面价值增长</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33.78%</w:t>
            </w:r>
            <w:r>
              <w:rPr>
                <w:rFonts w:ascii="宋体" w:hAnsi="宋体" w:cs="宋体" w:eastAsia="宋体" w:hint="default"/>
                <w:sz w:val="18"/>
                <w:szCs w:val="18"/>
              </w:rPr>
              <w:t>，主要是本报告期公司收入大幅度增加。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其他应收账款较期初账面价值增长</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52.22%</w:t>
            </w:r>
            <w:r>
              <w:rPr>
                <w:rFonts w:ascii="宋体" w:hAnsi="宋体" w:cs="宋体" w:eastAsia="宋体" w:hint="default"/>
                <w:spacing w:val="-3"/>
                <w:sz w:val="18"/>
                <w:szCs w:val="18"/>
              </w:rPr>
              <w:t>，主要原因是本报告期军工业务收入大</w:t>
            </w:r>
            <w:r>
              <w:rPr>
                <w:rFonts w:ascii="宋体" w:hAnsi="宋体" w:cs="宋体" w:eastAsia="宋体" w:hint="default"/>
                <w:sz w:val="18"/>
                <w:szCs w:val="18"/>
              </w:rPr>
              <w:t> 幅增加，相应的应收的增值税返还增加。</w:t>
            </w:r>
          </w:p>
        </w:tc>
      </w:tr>
      <w:tr>
        <w:trPr>
          <w:trHeight w:val="714"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3" w:right="132"/>
              <w:jc w:val="left"/>
              <w:rPr>
                <w:rFonts w:ascii="宋体" w:hAnsi="宋体" w:cs="宋体" w:eastAsia="宋体" w:hint="default"/>
                <w:sz w:val="18"/>
                <w:szCs w:val="18"/>
              </w:rPr>
            </w:pPr>
            <w:r>
              <w:rPr>
                <w:rFonts w:ascii="宋体" w:hAnsi="宋体" w:cs="宋体" w:eastAsia="宋体" w:hint="default"/>
                <w:sz w:val="18"/>
                <w:szCs w:val="18"/>
              </w:rPr>
              <w:t>其他流动资产较期初账面价值增长</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268.14%</w:t>
            </w:r>
            <w:r>
              <w:rPr>
                <w:rFonts w:ascii="宋体" w:hAnsi="宋体" w:cs="宋体" w:eastAsia="宋体" w:hint="default"/>
                <w:sz w:val="18"/>
                <w:szCs w:val="18"/>
              </w:rPr>
              <w:t>，主要原因是本报告购买期理财产品 未到期。</w:t>
            </w:r>
          </w:p>
        </w:tc>
      </w:tr>
      <w:tr>
        <w:trPr>
          <w:trHeight w:val="402"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期末余额较期初减少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，系公司研发项目完成，转入无形资产。</w:t>
            </w:r>
          </w:p>
        </w:tc>
      </w:tr>
    </w:tbl>
    <w:p>
      <w:pPr>
        <w:spacing w:line="240" w:lineRule="auto" w:before="3"/>
        <w:rPr>
          <w:rFonts w:ascii="宋体" w:hAnsi="宋体" w:cs="宋体" w:eastAsia="宋体" w:hint="default"/>
          <w:b/>
          <w:bCs/>
          <w:sz w:val="19"/>
          <w:szCs w:val="19"/>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、主要境外资产情况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 适用 √ 不适用</w:t>
      </w:r>
    </w:p>
    <w:p>
      <w:pPr>
        <w:spacing w:line="692" w:lineRule="exact" w:before="54"/>
        <w:ind w:left="592" w:right="94" w:hanging="480"/>
        <w:jc w:val="left"/>
        <w:rPr>
          <w:rFonts w:ascii="宋体" w:hAnsi="宋体" w:cs="宋体" w:eastAsia="宋体" w:hint="default"/>
          <w:sz w:val="24"/>
          <w:szCs w:val="24"/>
        </w:rPr>
      </w:pPr>
      <w:r>
        <w:rPr>
          <w:rFonts w:ascii="宋体" w:hAnsi="宋体" w:cs="宋体" w:eastAsia="宋体" w:hint="default"/>
          <w:b/>
          <w:bCs/>
          <w:sz w:val="24"/>
          <w:szCs w:val="24"/>
        </w:rPr>
        <w:t>三、核心竞争力分析</w:t>
      </w:r>
      <w:r>
        <w:rPr>
          <w:rFonts w:ascii="宋体" w:hAnsi="宋体" w:cs="宋体" w:eastAsia="宋体" w:hint="default"/>
          <w:b/>
          <w:bCs/>
          <w:w w:val="99"/>
          <w:sz w:val="24"/>
          <w:szCs w:val="24"/>
        </w:rPr>
        <w:t> </w:t>
      </w:r>
      <w:r>
        <w:rPr>
          <w:rFonts w:ascii="宋体" w:hAnsi="宋体" w:cs="宋体" w:eastAsia="宋体" w:hint="default"/>
          <w:sz w:val="24"/>
          <w:szCs w:val="24"/>
        </w:rPr>
        <w:t>报告期内，公司利用多年来在技术研发、服务能力、市场经验等方面的积累，努力耕耘</w:t>
      </w:r>
    </w:p>
    <w:p>
      <w:pPr>
        <w:pStyle w:val="Heading3"/>
        <w:spacing w:line="357" w:lineRule="auto" w:before="49"/>
        <w:ind w:right="111"/>
        <w:jc w:val="both"/>
      </w:pPr>
      <w:r>
        <w:rPr/>
        <w:t>军工业务、煤矿安全业务、通信业务，不断提升了公司在各个市场中的综合竞争力。同时， 公司的核心管理团队稳定，为优化组织架构，提高管理效率，公司广纳贤才并优化流程，提 升管理水平；坚持诚信为重、质量第一，为客户提供优质的产品和服务。</w:t>
      </w:r>
    </w:p>
    <w:p>
      <w:pPr>
        <w:spacing w:line="357" w:lineRule="auto" w:before="36"/>
        <w:ind w:left="592" w:right="94" w:firstLine="0"/>
        <w:jc w:val="left"/>
        <w:rPr>
          <w:rFonts w:ascii="宋体" w:hAnsi="宋体" w:cs="宋体" w:eastAsia="宋体" w:hint="default"/>
          <w:sz w:val="24"/>
          <w:szCs w:val="24"/>
        </w:rPr>
      </w:pPr>
      <w:r>
        <w:rPr>
          <w:rFonts w:ascii="宋体" w:hAnsi="宋体" w:cs="宋体" w:eastAsia="宋体" w:hint="default"/>
          <w:sz w:val="24"/>
          <w:szCs w:val="24"/>
        </w:rPr>
        <w:t>1、自主创新和技术领先优势 公司始终坚持自主研发的科技战略，紧跟市场需求与国内、国际技术发展趋势，建立了</w:t>
      </w:r>
    </w:p>
    <w:p>
      <w:pPr>
        <w:spacing w:before="36"/>
        <w:ind w:left="112" w:right="0" w:firstLine="0"/>
        <w:jc w:val="both"/>
        <w:rPr>
          <w:rFonts w:ascii="宋体" w:hAnsi="宋体" w:cs="宋体" w:eastAsia="宋体" w:hint="default"/>
          <w:sz w:val="24"/>
          <w:szCs w:val="24"/>
        </w:rPr>
      </w:pPr>
      <w:r>
        <w:rPr>
          <w:rFonts w:ascii="宋体" w:hAnsi="宋体" w:cs="宋体" w:eastAsia="宋体" w:hint="default"/>
          <w:sz w:val="24"/>
          <w:szCs w:val="24"/>
        </w:rPr>
        <w:t>专业的研发机构，打造了一支集应用研究与生产实践紧密结合，横跨机械精密加工、工业自</w:t>
      </w:r>
    </w:p>
    <w:p>
      <w:pPr>
        <w:spacing w:after="0"/>
        <w:jc w:val="both"/>
        <w:rPr>
          <w:rFonts w:ascii="宋体" w:hAnsi="宋体" w:cs="宋体" w:eastAsia="宋体" w:hint="default"/>
          <w:sz w:val="24"/>
          <w:szCs w:val="24"/>
        </w:rPr>
        <w:sectPr>
          <w:pgSz w:w="11910" w:h="16840"/>
          <w:pgMar w:header="907" w:footer="1013" w:top="1100" w:bottom="1200" w:left="1020" w:right="1060"/>
        </w:sectPr>
      </w:pPr>
    </w:p>
    <w:p>
      <w:pPr>
        <w:spacing w:line="240" w:lineRule="auto" w:before="7"/>
        <w:rPr>
          <w:rFonts w:ascii="宋体" w:hAnsi="宋体" w:cs="宋体" w:eastAsia="宋体" w:hint="default"/>
          <w:sz w:val="26"/>
          <w:szCs w:val="26"/>
        </w:rPr>
      </w:pPr>
    </w:p>
    <w:p>
      <w:pPr>
        <w:spacing w:line="357" w:lineRule="auto" w:before="26"/>
        <w:ind w:left="592" w:right="0" w:hanging="480"/>
        <w:jc w:val="left"/>
        <w:rPr>
          <w:rFonts w:ascii="宋体" w:hAnsi="宋体" w:cs="宋体" w:eastAsia="宋体" w:hint="default"/>
          <w:sz w:val="24"/>
          <w:szCs w:val="24"/>
        </w:rPr>
      </w:pPr>
      <w:r>
        <w:rPr>
          <w:rFonts w:ascii="宋体" w:hAnsi="宋体" w:cs="宋体" w:eastAsia="宋体" w:hint="default"/>
          <w:sz w:val="24"/>
          <w:szCs w:val="24"/>
        </w:rPr>
        <w:t>动化、软件工程、大数据等多专业的，具备持续创新能力的研发队伍。 </w:t>
      </w:r>
      <w:r>
        <w:rPr>
          <w:rFonts w:ascii="宋体" w:hAnsi="宋体" w:cs="宋体" w:eastAsia="宋体" w:hint="default"/>
          <w:spacing w:val="9"/>
          <w:sz w:val="24"/>
          <w:szCs w:val="24"/>
        </w:rPr>
        <w:t>截至2017年12月31日，公司及控股子公司共有研发及技术人员145人，占员工总数的</w:t>
      </w:r>
    </w:p>
    <w:p>
      <w:pPr>
        <w:spacing w:line="357" w:lineRule="auto" w:before="36"/>
        <w:ind w:left="112" w:right="112" w:firstLine="0"/>
        <w:jc w:val="both"/>
        <w:rPr>
          <w:rFonts w:ascii="宋体" w:hAnsi="宋体" w:cs="宋体" w:eastAsia="宋体" w:hint="default"/>
          <w:sz w:val="24"/>
          <w:szCs w:val="24"/>
        </w:rPr>
      </w:pPr>
      <w:r>
        <w:rPr>
          <w:rFonts w:ascii="宋体" w:hAnsi="宋体" w:cs="宋体" w:eastAsia="宋体" w:hint="default"/>
          <w:sz w:val="24"/>
          <w:szCs w:val="24"/>
        </w:rPr>
        <w:t>27.62%。截至报告期末公司拥有专利75项，其中发明专利22项，实用新型专利51项，外观设</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计专利2项，软件著作权证书79项，矿用产品安全标志认证200个，防爆合格证144个。</w:t>
      </w:r>
    </w:p>
    <w:p>
      <w:pPr>
        <w:spacing w:line="357" w:lineRule="auto" w:before="36"/>
        <w:ind w:left="592" w:right="134" w:firstLine="0"/>
        <w:jc w:val="left"/>
        <w:rPr>
          <w:rFonts w:ascii="宋体" w:hAnsi="宋体" w:cs="宋体" w:eastAsia="宋体" w:hint="default"/>
          <w:sz w:val="24"/>
          <w:szCs w:val="24"/>
        </w:rPr>
      </w:pPr>
      <w:r>
        <w:rPr>
          <w:rFonts w:ascii="宋体" w:hAnsi="宋体" w:cs="宋体" w:eastAsia="宋体" w:hint="default"/>
          <w:sz w:val="24"/>
          <w:szCs w:val="24"/>
        </w:rPr>
        <w:t>2、行业优势 公司主要从事军工行业、信息通信及安全监测监控业务，均为国家高度鼓励和重点支持</w:t>
      </w:r>
    </w:p>
    <w:p>
      <w:pPr>
        <w:spacing w:line="357" w:lineRule="auto" w:before="36"/>
        <w:ind w:left="112" w:right="151" w:firstLine="0"/>
        <w:jc w:val="both"/>
        <w:rPr>
          <w:rFonts w:ascii="宋体" w:hAnsi="宋体" w:cs="宋体" w:eastAsia="宋体" w:hint="default"/>
          <w:sz w:val="24"/>
          <w:szCs w:val="24"/>
        </w:rPr>
      </w:pPr>
      <w:r>
        <w:rPr>
          <w:rFonts w:ascii="宋体" w:hAnsi="宋体" w:cs="宋体" w:eastAsia="宋体" w:hint="default"/>
          <w:sz w:val="24"/>
          <w:szCs w:val="24"/>
        </w:rPr>
        <w:t>的行业，行业前景广阔、市场潜力大，因此具有较高的行业优势。这些行业对企业生产经营 资质和技术有较高的要求，因此有一定资质门槛和技术门槛。</w:t>
      </w:r>
    </w:p>
    <w:p>
      <w:pPr>
        <w:spacing w:line="357" w:lineRule="auto" w:before="36"/>
        <w:ind w:left="592" w:right="134" w:firstLine="0"/>
        <w:jc w:val="left"/>
        <w:rPr>
          <w:rFonts w:ascii="宋体" w:hAnsi="宋体" w:cs="宋体" w:eastAsia="宋体" w:hint="default"/>
          <w:sz w:val="24"/>
          <w:szCs w:val="24"/>
        </w:rPr>
      </w:pPr>
      <w:r>
        <w:rPr>
          <w:rFonts w:ascii="宋体" w:hAnsi="宋体" w:cs="宋体" w:eastAsia="宋体" w:hint="default"/>
          <w:sz w:val="24"/>
          <w:szCs w:val="24"/>
        </w:rPr>
        <w:t>3、科技成果转化优势 持续技术创新能力是公司在行业内建立技术制高点的基础条件。拥有院士专家工作站、</w:t>
      </w:r>
    </w:p>
    <w:p>
      <w:pPr>
        <w:spacing w:line="357" w:lineRule="auto" w:before="36"/>
        <w:ind w:left="112" w:right="151" w:firstLine="0"/>
        <w:jc w:val="both"/>
        <w:rPr>
          <w:rFonts w:ascii="宋体" w:hAnsi="宋体" w:cs="宋体" w:eastAsia="宋体" w:hint="default"/>
          <w:sz w:val="24"/>
          <w:szCs w:val="24"/>
        </w:rPr>
      </w:pPr>
      <w:r>
        <w:rPr>
          <w:rFonts w:ascii="宋体" w:hAnsi="宋体" w:cs="宋体" w:eastAsia="宋体" w:hint="default"/>
          <w:sz w:val="24"/>
          <w:szCs w:val="24"/>
        </w:rPr>
        <w:t>博士后科研工作站、国家地方联合工程技术中心，省级工程研发中心等高技术支撑平台。公 司紧紧依托这些工作站和中心，为将研发优势迅速转化为市场优势，并结合专业化、规模化 的生产优势，建立了以充分满足市场个性化需求为目标的科技成果转化体系，并在售后服务 中不断让客户充分体会公司的技术成果所带来的有效安全保障。精准信息在技术研发的开始 阶段、样机试用阶段、批量生产阶段及安装调试阶段等环节，形成了一套高效、可持续的科 技成果转化体制，保障了公司技术创新与成果高效转化，推动了公司主营业务规模的持续发 展。</w:t>
      </w:r>
    </w:p>
    <w:p>
      <w:pPr>
        <w:spacing w:line="357" w:lineRule="auto" w:before="36"/>
        <w:ind w:left="592" w:right="134" w:firstLine="0"/>
        <w:jc w:val="left"/>
        <w:rPr>
          <w:rFonts w:ascii="宋体" w:hAnsi="宋体" w:cs="宋体" w:eastAsia="宋体" w:hint="default"/>
          <w:sz w:val="24"/>
          <w:szCs w:val="24"/>
        </w:rPr>
      </w:pPr>
      <w:r>
        <w:rPr>
          <w:rFonts w:ascii="宋体" w:hAnsi="宋体" w:cs="宋体" w:eastAsia="宋体" w:hint="default"/>
          <w:sz w:val="24"/>
          <w:szCs w:val="24"/>
        </w:rPr>
        <w:t>4、人才战略优势 经过十余年的发展探索，公司塑造了以人为本的公司文化，吸引并留住了一批优秀的人</w:t>
      </w:r>
    </w:p>
    <w:p>
      <w:pPr>
        <w:spacing w:line="357" w:lineRule="auto" w:before="36"/>
        <w:ind w:left="112" w:right="112" w:firstLine="0"/>
        <w:jc w:val="both"/>
        <w:rPr>
          <w:rFonts w:ascii="宋体" w:hAnsi="宋体" w:cs="宋体" w:eastAsia="宋体" w:hint="default"/>
          <w:sz w:val="24"/>
          <w:szCs w:val="24"/>
        </w:rPr>
      </w:pPr>
      <w:r>
        <w:rPr>
          <w:rFonts w:ascii="宋体" w:hAnsi="宋体" w:cs="宋体" w:eastAsia="宋体" w:hint="default"/>
          <w:sz w:val="24"/>
          <w:szCs w:val="24"/>
        </w:rPr>
        <w:t>才，打造了拥有丰富管理经验的管理团队、专业技术过硬的研发团队、熟悉行业技能的一线 员工队伍。公司通过内部培养结合外部引进的方式进行各类人才梯队的建设，不断拓展人才 团队的专业领域与知识结构。公司为员工提供了良好的事业发展平台，组织各类专业培训与 考核，营造良性的学习与竞争氛围，进一步强化员工认同的企业文化。同时，公司不断完善 </w:t>
      </w:r>
      <w:r>
        <w:rPr>
          <w:rFonts w:ascii="宋体" w:hAnsi="宋体" w:cs="宋体" w:eastAsia="宋体" w:hint="default"/>
          <w:spacing w:val="-2"/>
          <w:sz w:val="24"/>
          <w:szCs w:val="24"/>
        </w:rPr>
        <w:t>人才激励机制，在2017年公司实施了限制性股票激励计划，激励对象共174人，有助于进一步</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z w:val="24"/>
          <w:szCs w:val="24"/>
        </w:rPr>
        <w:t>建立、健全公司长效激励机制，充分调动公司高级管理人员、中层管理人员、核心技术（业 务）人员的积极性，有效地将股东利益、公司利益和核心团队个人利益结合在一起，使各方 共同关注公司的长远发展。</w:t>
      </w:r>
    </w:p>
    <w:p>
      <w:pPr>
        <w:spacing w:line="357" w:lineRule="auto" w:before="36"/>
        <w:ind w:left="592" w:right="134" w:firstLine="0"/>
        <w:jc w:val="left"/>
        <w:rPr>
          <w:rFonts w:ascii="宋体" w:hAnsi="宋体" w:cs="宋体" w:eastAsia="宋体" w:hint="default"/>
          <w:sz w:val="24"/>
          <w:szCs w:val="24"/>
        </w:rPr>
      </w:pPr>
      <w:r>
        <w:rPr>
          <w:rFonts w:ascii="宋体" w:hAnsi="宋体" w:cs="宋体" w:eastAsia="宋体" w:hint="default"/>
          <w:sz w:val="24"/>
          <w:szCs w:val="24"/>
        </w:rPr>
        <w:t>5、资金优势 公司一直崇尚稳健、不冒进的经营风格，重视经营现金流，重视成本、费用的降低，减</w:t>
      </w:r>
    </w:p>
    <w:p>
      <w:pPr>
        <w:spacing w:after="0" w:line="357" w:lineRule="auto"/>
        <w:jc w:val="left"/>
        <w:rPr>
          <w:rFonts w:ascii="宋体" w:hAnsi="宋体" w:cs="宋体" w:eastAsia="宋体" w:hint="default"/>
          <w:sz w:val="24"/>
          <w:szCs w:val="24"/>
        </w:rPr>
        <w:sectPr>
          <w:pgSz w:w="11910" w:h="16840"/>
          <w:pgMar w:header="907" w:footer="1013" w:top="1100" w:bottom="1200" w:left="1020" w:right="1020"/>
        </w:sectPr>
      </w:pPr>
    </w:p>
    <w:p>
      <w:pPr>
        <w:spacing w:line="240" w:lineRule="auto" w:before="7"/>
        <w:rPr>
          <w:rFonts w:ascii="宋体" w:hAnsi="宋体" w:cs="宋体" w:eastAsia="宋体" w:hint="default"/>
          <w:sz w:val="26"/>
          <w:szCs w:val="26"/>
        </w:rPr>
      </w:pPr>
    </w:p>
    <w:p>
      <w:pPr>
        <w:spacing w:line="357" w:lineRule="auto" w:before="26"/>
        <w:ind w:left="112" w:right="112" w:firstLine="0"/>
        <w:jc w:val="both"/>
        <w:rPr>
          <w:rFonts w:ascii="宋体" w:hAnsi="宋体" w:cs="宋体" w:eastAsia="宋体" w:hint="default"/>
          <w:sz w:val="24"/>
          <w:szCs w:val="24"/>
        </w:rPr>
      </w:pPr>
      <w:r>
        <w:rPr>
          <w:rFonts w:ascii="宋体" w:hAnsi="宋体" w:cs="宋体" w:eastAsia="宋体" w:hint="default"/>
          <w:sz w:val="24"/>
          <w:szCs w:val="24"/>
        </w:rPr>
        <w:t>少了对煤炭行业等传统项目的投资，因此，公司有了一定的资金储备，截至2017年期末货币 资金余额29433.26万元，这对新业务的拓展、快速抢抓商业机会、提高竞争力和减少经营风 险奠定了基础。公司依靠西安军民融合产业基金及专业管理团队，对市场前景好、科技水平 </w:t>
      </w:r>
      <w:r>
        <w:rPr>
          <w:rFonts w:ascii="宋体" w:hAnsi="宋体" w:cs="宋体" w:eastAsia="宋体" w:hint="default"/>
          <w:spacing w:val="-5"/>
          <w:sz w:val="24"/>
          <w:szCs w:val="24"/>
        </w:rPr>
        <w:t>高、国家重点支持的军工等行业和项目进行投资，推行适度多元化经营方式，有利于公司“行</w:t>
      </w:r>
      <w:r>
        <w:rPr>
          <w:rFonts w:ascii="宋体" w:hAnsi="宋体" w:cs="宋体" w:eastAsia="宋体" w:hint="default"/>
          <w:sz w:val="24"/>
          <w:szCs w:val="24"/>
        </w:rPr>
        <w:t> 业转型、产品转型”战略的纵深发展。</w:t>
      </w:r>
    </w:p>
    <w:p>
      <w:pPr>
        <w:spacing w:after="0" w:line="357" w:lineRule="auto"/>
        <w:jc w:val="both"/>
        <w:rPr>
          <w:rFonts w:ascii="宋体" w:hAnsi="宋体" w:cs="宋体" w:eastAsia="宋体" w:hint="default"/>
          <w:sz w:val="24"/>
          <w:szCs w:val="24"/>
        </w:rPr>
        <w:sectPr>
          <w:pgSz w:w="11910" w:h="16840"/>
          <w:pgMar w:header="907" w:footer="1013" w:top="1100" w:bottom="1200" w:left="102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spacing w:before="0"/>
        <w:ind w:left="2928" w:right="2654" w:firstLine="0"/>
        <w:jc w:val="left"/>
        <w:rPr>
          <w:rFonts w:ascii="宋体" w:hAnsi="宋体" w:cs="宋体" w:eastAsia="宋体" w:hint="default"/>
          <w:sz w:val="32"/>
          <w:szCs w:val="32"/>
        </w:rPr>
      </w:pPr>
      <w:r>
        <w:rPr>
          <w:rFonts w:ascii="宋体" w:hAnsi="宋体" w:cs="宋体" w:eastAsia="宋体" w:hint="default"/>
          <w:b/>
          <w:bCs/>
          <w:sz w:val="32"/>
          <w:szCs w:val="32"/>
        </w:rPr>
        <w:t>第四节</w:t>
      </w:r>
      <w:r>
        <w:rPr>
          <w:rFonts w:ascii="宋体" w:hAnsi="宋体" w:cs="宋体" w:eastAsia="宋体" w:hint="default"/>
          <w:b/>
          <w:bCs/>
          <w:spacing w:val="-13"/>
          <w:sz w:val="32"/>
          <w:szCs w:val="32"/>
        </w:rPr>
        <w:t> </w:t>
      </w:r>
      <w:r>
        <w:rPr>
          <w:rFonts w:ascii="宋体" w:hAnsi="宋体" w:cs="宋体" w:eastAsia="宋体" w:hint="default"/>
          <w:b/>
          <w:bCs/>
          <w:sz w:val="32"/>
          <w:szCs w:val="32"/>
        </w:rPr>
        <w:t>经营情况讨论与分析</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2654" w:firstLine="0"/>
        <w:jc w:val="left"/>
        <w:rPr>
          <w:rFonts w:ascii="宋体" w:hAnsi="宋体" w:cs="宋体" w:eastAsia="宋体" w:hint="default"/>
          <w:sz w:val="24"/>
          <w:szCs w:val="24"/>
        </w:rPr>
      </w:pPr>
      <w:r>
        <w:rPr>
          <w:rFonts w:ascii="宋体" w:hAnsi="宋体" w:cs="宋体" w:eastAsia="宋体" w:hint="default"/>
          <w:b/>
          <w:bCs/>
          <w:sz w:val="24"/>
          <w:szCs w:val="24"/>
        </w:rPr>
        <w:t>一、概述</w:t>
      </w:r>
      <w:r>
        <w:rPr>
          <w:rFonts w:ascii="宋体" w:hAnsi="宋体" w:cs="宋体" w:eastAsia="宋体" w:hint="default"/>
          <w:sz w:val="24"/>
          <w:szCs w:val="24"/>
        </w:rPr>
      </w:r>
    </w:p>
    <w:p>
      <w:pPr>
        <w:spacing w:line="240" w:lineRule="auto" w:before="11"/>
        <w:rPr>
          <w:rFonts w:ascii="宋体" w:hAnsi="宋体" w:cs="宋体" w:eastAsia="宋体" w:hint="default"/>
          <w:b/>
          <w:bCs/>
          <w:sz w:val="28"/>
          <w:szCs w:val="28"/>
        </w:rPr>
      </w:pPr>
    </w:p>
    <w:p>
      <w:pPr>
        <w:spacing w:line="357" w:lineRule="auto" w:before="0"/>
        <w:ind w:left="112" w:right="254" w:firstLine="480"/>
        <w:jc w:val="left"/>
        <w:rPr>
          <w:rFonts w:ascii="宋体" w:hAnsi="宋体" w:cs="宋体" w:eastAsia="宋体" w:hint="default"/>
          <w:sz w:val="24"/>
          <w:szCs w:val="24"/>
        </w:rPr>
      </w:pPr>
      <w:r>
        <w:rPr>
          <w:rFonts w:ascii="宋体" w:hAnsi="宋体" w:cs="宋体" w:eastAsia="宋体" w:hint="default"/>
          <w:sz w:val="24"/>
          <w:szCs w:val="24"/>
        </w:rPr>
        <w:t>报告期内，公司经营管理层在董事会的领导下，持续以市场开拓为核心，以业务协同整 合为主线，以资本运作为手段，明晰发展思路，上下齐心，共同努力，践行公司长期发展战 略和年度经营计划，强化公司核心竞争力，提升公司产品和服务品质，稳步推进各项业务顺 利开展，公司经营业绩保持稳健上升的发展态势。报告期内，公司实现营业收入42,291.17 万元，比上年同期增长83.59%；实现营业利润12,636.13万元，比上年同期增长172.78%；实 现归属于母公司净利润10,164.41万元，比上年同期增长239.81%。重点推进完成了以下几项 工作：</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1、首抓生产经营，深耕主营巩固行业地位 报告期内，公司主要从事军工业务、煤矿安全业务及通信业务，分别占公司2017年度营</w:t>
      </w:r>
    </w:p>
    <w:p>
      <w:pPr>
        <w:spacing w:before="36"/>
        <w:ind w:left="112" w:right="2654" w:firstLine="0"/>
        <w:jc w:val="left"/>
        <w:rPr>
          <w:rFonts w:ascii="宋体" w:hAnsi="宋体" w:cs="宋体" w:eastAsia="宋体" w:hint="default"/>
          <w:sz w:val="24"/>
          <w:szCs w:val="24"/>
        </w:rPr>
      </w:pPr>
      <w:r>
        <w:rPr>
          <w:rFonts w:ascii="宋体" w:hAnsi="宋体" w:cs="宋体" w:eastAsia="宋体" w:hint="default"/>
          <w:sz w:val="24"/>
          <w:szCs w:val="24"/>
        </w:rPr>
        <w:t>业收入的37.88%、27.75%、34.37%。</w:t>
      </w:r>
    </w:p>
    <w:p>
      <w:pPr>
        <w:spacing w:line="357" w:lineRule="auto" w:before="154"/>
        <w:ind w:left="112" w:right="96" w:firstLine="480"/>
        <w:jc w:val="left"/>
        <w:rPr>
          <w:rFonts w:ascii="宋体" w:hAnsi="宋体" w:cs="宋体" w:eastAsia="宋体" w:hint="default"/>
          <w:sz w:val="24"/>
          <w:szCs w:val="24"/>
        </w:rPr>
      </w:pPr>
      <w:r>
        <w:rPr>
          <w:rFonts w:ascii="宋体" w:hAnsi="宋体" w:cs="宋体" w:eastAsia="宋体" w:hint="default"/>
          <w:sz w:val="24"/>
          <w:szCs w:val="24"/>
        </w:rPr>
        <w:t>军工业务方面：传统军工产品保持了良好发展和行业优势地位，传统手持式制导系统产 品完成更新换代和定型，占收入比重开始提高。公司利用已经成熟的轨道交通的信息化技术 </w:t>
      </w:r>
      <w:r>
        <w:rPr>
          <w:rFonts w:ascii="宋体" w:hAnsi="宋体" w:cs="宋体" w:eastAsia="宋体" w:hint="default"/>
          <w:spacing w:val="-2"/>
          <w:sz w:val="24"/>
          <w:szCs w:val="24"/>
        </w:rPr>
        <w:t>和经验，重点进军国防信息化业务，研发的国产自主可控交换机入围自主可控认证资格名单，</w:t>
      </w:r>
      <w:r>
        <w:rPr>
          <w:rFonts w:ascii="宋体" w:hAnsi="宋体" w:cs="宋体" w:eastAsia="宋体" w:hint="default"/>
          <w:sz w:val="24"/>
          <w:szCs w:val="24"/>
        </w:rPr>
        <w:t> </w:t>
      </w:r>
      <w:r>
        <w:rPr>
          <w:rFonts w:ascii="宋体" w:hAnsi="宋体" w:cs="宋体" w:eastAsia="宋体" w:hint="default"/>
          <w:spacing w:val="-2"/>
          <w:sz w:val="24"/>
          <w:szCs w:val="24"/>
        </w:rPr>
        <w:t>基于公司方案积累，结合行业应用需求而定制的产品解决方案，公司中标的某军种坑道项目，</w:t>
      </w:r>
      <w:r>
        <w:rPr>
          <w:rFonts w:ascii="宋体" w:hAnsi="宋体" w:cs="宋体" w:eastAsia="宋体" w:hint="default"/>
          <w:sz w:val="24"/>
          <w:szCs w:val="24"/>
        </w:rPr>
        <w:t> 是公司第一个军工行业突破的定制类项目。以军工业务中的精密光学加工技术为基础，开始 向医学检测、航海、航空、天文等方面突破，迈开了军民融合的步伐。</w:t>
      </w:r>
    </w:p>
    <w:p>
      <w:pPr>
        <w:spacing w:line="357" w:lineRule="auto" w:before="36"/>
        <w:ind w:left="112" w:right="96" w:firstLine="480"/>
        <w:jc w:val="left"/>
        <w:rPr>
          <w:rFonts w:ascii="宋体" w:hAnsi="宋体" w:cs="宋体" w:eastAsia="宋体" w:hint="default"/>
          <w:sz w:val="24"/>
          <w:szCs w:val="24"/>
        </w:rPr>
      </w:pPr>
      <w:r>
        <w:rPr>
          <w:rFonts w:ascii="宋体" w:hAnsi="宋体" w:cs="宋体" w:eastAsia="宋体" w:hint="default"/>
          <w:sz w:val="24"/>
          <w:szCs w:val="24"/>
        </w:rPr>
        <w:t>通信业务方面：能源市场的通讯系统市场已经逐步有复苏的迹象，随着煤价逐步回升， </w:t>
      </w:r>
      <w:r>
        <w:rPr>
          <w:rFonts w:ascii="宋体" w:hAnsi="宋体" w:cs="宋体" w:eastAsia="宋体" w:hint="default"/>
          <w:spacing w:val="-2"/>
          <w:sz w:val="24"/>
          <w:szCs w:val="24"/>
        </w:rPr>
        <w:t>对通讯系统建设的规划重新开始推动，井下4G无线通讯也成为矿山行业的一个主流建设方式。</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
          <w:sz w:val="24"/>
          <w:szCs w:val="24"/>
        </w:rPr>
        <w:t>煤化工领域，公司已经有了较为完善的技术储备和产品，在此领域进行了深度定制产品开发，</w:t>
      </w:r>
      <w:r>
        <w:rPr>
          <w:rFonts w:ascii="宋体" w:hAnsi="宋体" w:cs="宋体" w:eastAsia="宋体" w:hint="default"/>
          <w:sz w:val="24"/>
          <w:szCs w:val="24"/>
        </w:rPr>
        <w:t> </w:t>
      </w:r>
      <w:r>
        <w:rPr>
          <w:rFonts w:ascii="宋体" w:hAnsi="宋体" w:cs="宋体" w:eastAsia="宋体" w:hint="default"/>
          <w:spacing w:val="-11"/>
          <w:sz w:val="24"/>
          <w:szCs w:val="24"/>
        </w:rPr>
        <w:t>有望成为一个细分的新兴市场。“高铁车载旅客</w:t>
      </w:r>
      <w:r>
        <w:rPr>
          <w:rFonts w:ascii="宋体" w:hAnsi="宋体" w:cs="宋体" w:eastAsia="宋体" w:hint="default"/>
          <w:sz w:val="24"/>
          <w:szCs w:val="24"/>
        </w:rPr>
        <w:t> wifi</w:t>
      </w:r>
      <w:r>
        <w:rPr>
          <w:rFonts w:ascii="宋体" w:hAnsi="宋体" w:cs="宋体" w:eastAsia="宋体" w:hint="default"/>
          <w:spacing w:val="28"/>
          <w:sz w:val="24"/>
          <w:szCs w:val="24"/>
        </w:rPr>
        <w:t> </w:t>
      </w:r>
      <w:r>
        <w:rPr>
          <w:rFonts w:ascii="宋体" w:hAnsi="宋体" w:cs="宋体" w:eastAsia="宋体" w:hint="default"/>
          <w:spacing w:val="-6"/>
          <w:sz w:val="24"/>
          <w:szCs w:val="24"/>
        </w:rPr>
        <w:t>上网系统”在2017年内实现了市场突破，</w:t>
      </w:r>
      <w:r>
        <w:rPr>
          <w:rFonts w:ascii="宋体" w:hAnsi="宋体" w:cs="宋体" w:eastAsia="宋体" w:hint="default"/>
          <w:sz w:val="24"/>
          <w:szCs w:val="24"/>
        </w:rPr>
        <w:t> 复兴号动车组的上网系统将在未来成为高铁设备的标准配置。在铁路系统集成方面，先后开 拓了杭黄、京通无线、</w:t>
      </w:r>
      <w:r>
        <w:rPr>
          <w:rFonts w:ascii="宋体" w:hAnsi="宋体" w:cs="宋体" w:eastAsia="宋体" w:hint="default"/>
          <w:spacing w:val="-46"/>
          <w:sz w:val="24"/>
          <w:szCs w:val="24"/>
        </w:rPr>
        <w:t> </w:t>
      </w:r>
      <w:r>
        <w:rPr>
          <w:rFonts w:ascii="宋体" w:hAnsi="宋体" w:cs="宋体" w:eastAsia="宋体" w:hint="default"/>
          <w:sz w:val="24"/>
          <w:szCs w:val="24"/>
        </w:rPr>
        <w:t>渝黔会议电视等项目。另外，在互联网信息通信方面，公司紧跟国际</w:t>
      </w:r>
      <w:r>
        <w:rPr>
          <w:rFonts w:ascii="宋体" w:hAnsi="宋体" w:cs="宋体" w:eastAsia="宋体" w:hint="default"/>
          <w:sz w:val="24"/>
          <w:szCs w:val="24"/>
        </w:rPr>
        <w:t> 国内技术发展趋势，对包括区块链技术在内的部分新技术行业应用方面进行了探索和研究。</w:t>
      </w:r>
    </w:p>
    <w:p>
      <w:pPr>
        <w:spacing w:line="357" w:lineRule="auto" w:before="36"/>
        <w:ind w:left="112" w:right="254" w:firstLine="480"/>
        <w:jc w:val="left"/>
        <w:rPr>
          <w:rFonts w:ascii="宋体" w:hAnsi="宋体" w:cs="宋体" w:eastAsia="宋体" w:hint="default"/>
          <w:sz w:val="24"/>
          <w:szCs w:val="24"/>
        </w:rPr>
      </w:pPr>
      <w:r>
        <w:rPr>
          <w:rFonts w:ascii="宋体" w:hAnsi="宋体" w:cs="宋体" w:eastAsia="宋体" w:hint="default"/>
          <w:sz w:val="24"/>
          <w:szCs w:val="24"/>
        </w:rPr>
        <w:t>煤矿安全业务方面：2017年，煤炭行业供给侧结构性改革进一步深化，随着煤炭去产能 的持续推进，煤炭价格企稳回升，供需格局得到改善，煤炭企业盈利能力增强。公司抓住当</w:t>
      </w:r>
    </w:p>
    <w:p>
      <w:pPr>
        <w:spacing w:after="0" w:line="357" w:lineRule="auto"/>
        <w:jc w:val="left"/>
        <w:rPr>
          <w:rFonts w:ascii="宋体" w:hAnsi="宋体" w:cs="宋体" w:eastAsia="宋体" w:hint="default"/>
          <w:sz w:val="24"/>
          <w:szCs w:val="24"/>
        </w:rPr>
        <w:sectPr>
          <w:pgSz w:w="11910" w:h="16840"/>
          <w:pgMar w:header="907" w:footer="1013" w:top="1100" w:bottom="1200" w:left="1020" w:right="900"/>
        </w:sectPr>
      </w:pPr>
    </w:p>
    <w:p>
      <w:pPr>
        <w:spacing w:line="240" w:lineRule="auto" w:before="7"/>
        <w:rPr>
          <w:rFonts w:ascii="宋体" w:hAnsi="宋体" w:cs="宋体" w:eastAsia="宋体" w:hint="default"/>
          <w:sz w:val="26"/>
          <w:szCs w:val="26"/>
        </w:rPr>
      </w:pPr>
    </w:p>
    <w:p>
      <w:pPr>
        <w:spacing w:line="357" w:lineRule="auto" w:before="26"/>
        <w:ind w:left="112" w:right="96" w:firstLine="0"/>
        <w:jc w:val="left"/>
        <w:rPr>
          <w:rFonts w:ascii="宋体" w:hAnsi="宋体" w:cs="宋体" w:eastAsia="宋体" w:hint="default"/>
          <w:sz w:val="24"/>
          <w:szCs w:val="24"/>
        </w:rPr>
      </w:pPr>
      <w:r>
        <w:rPr>
          <w:rFonts w:ascii="宋体" w:hAnsi="宋体" w:cs="宋体" w:eastAsia="宋体" w:hint="default"/>
          <w:sz w:val="24"/>
          <w:szCs w:val="24"/>
        </w:rPr>
        <w:t>前行业形势好转的机遇，充分发挥在煤矿顶板安全的技术和经验优势，加强生产和销售，继 </w:t>
      </w:r>
      <w:r>
        <w:rPr>
          <w:rFonts w:ascii="宋体" w:hAnsi="宋体" w:cs="宋体" w:eastAsia="宋体" w:hint="default"/>
          <w:spacing w:val="-2"/>
          <w:sz w:val="24"/>
          <w:szCs w:val="24"/>
        </w:rPr>
        <w:t>续保持了行业领先地位。公司超募资金所投资建设的智能安全运输系统业务量有了较大提高，</w:t>
      </w:r>
      <w:r>
        <w:rPr>
          <w:rFonts w:ascii="宋体" w:hAnsi="宋体" w:cs="宋体" w:eastAsia="宋体" w:hint="default"/>
          <w:sz w:val="24"/>
          <w:szCs w:val="24"/>
        </w:rPr>
        <w:t> 为公司业绩做出了贡献。</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2、公司并购对象的整合开始取得成效 利用母公司具有高端制造能力和经验及生产人力成本较低的优势，信息通信业务方面的</w:t>
      </w:r>
    </w:p>
    <w:p>
      <w:pPr>
        <w:spacing w:line="357" w:lineRule="auto" w:before="36"/>
        <w:ind w:left="112" w:right="271" w:firstLine="0"/>
        <w:jc w:val="both"/>
        <w:rPr>
          <w:rFonts w:ascii="宋体" w:hAnsi="宋体" w:cs="宋体" w:eastAsia="宋体" w:hint="default"/>
          <w:sz w:val="24"/>
          <w:szCs w:val="24"/>
        </w:rPr>
      </w:pPr>
      <w:r>
        <w:rPr>
          <w:rFonts w:ascii="宋体" w:hAnsi="宋体" w:cs="宋体" w:eastAsia="宋体" w:hint="default"/>
          <w:sz w:val="24"/>
          <w:szCs w:val="24"/>
        </w:rPr>
        <w:t>生产，迁移到了母公司；师凯军工业务方面的资质与富华宇祺公司拥有的较高信息通信技术 进行了对接合作，并实现了军工信息通信项目的突破。母公司还利用资金优势对富华宇祺公 司的信息通信业务进行了资助和增资，有力地促进富华宇祺公司新业务的拓展。</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3、实施股权激励计划，加强公司竞争力 公司一直重视人才建设，为不断加强公司竞争力，报告期内公司实施了股权激励计划。</w:t>
      </w:r>
    </w:p>
    <w:p>
      <w:pPr>
        <w:spacing w:line="357" w:lineRule="auto" w:before="36"/>
        <w:ind w:left="112" w:right="232" w:firstLine="0"/>
        <w:jc w:val="both"/>
        <w:rPr>
          <w:rFonts w:ascii="宋体" w:hAnsi="宋体" w:cs="宋体" w:eastAsia="宋体" w:hint="default"/>
          <w:sz w:val="24"/>
          <w:szCs w:val="24"/>
        </w:rPr>
      </w:pPr>
      <w:r>
        <w:rPr>
          <w:rFonts w:ascii="宋体" w:hAnsi="宋体" w:cs="宋体" w:eastAsia="宋体" w:hint="default"/>
          <w:spacing w:val="-8"/>
          <w:sz w:val="24"/>
          <w:szCs w:val="24"/>
        </w:rPr>
        <w:t>根据《上市公司股权激励管理办法》、公司《限制性股票激励计划（2017-2019）（草案）》等</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有关规定以及公司2017年第二次临时股东大会、第四届董事会2017年第七次会议决议，最终 </w:t>
      </w:r>
      <w:r>
        <w:rPr>
          <w:rFonts w:ascii="宋体" w:hAnsi="宋体" w:cs="宋体" w:eastAsia="宋体" w:hint="default"/>
          <w:spacing w:val="-2"/>
          <w:sz w:val="24"/>
          <w:szCs w:val="24"/>
        </w:rPr>
        <w:t>向公司高级管理人员、中层管理人员以及公司的核心技术（业务）骨干等174名激励对象授予</w:t>
      </w:r>
      <w:r>
        <w:rPr>
          <w:rFonts w:ascii="宋体" w:hAnsi="宋体" w:cs="宋体" w:eastAsia="宋体" w:hint="default"/>
          <w:sz w:val="24"/>
          <w:szCs w:val="24"/>
        </w:rPr>
        <w:t> </w:t>
      </w:r>
      <w:r>
        <w:rPr>
          <w:rFonts w:ascii="宋体" w:hAnsi="宋体" w:cs="宋体" w:eastAsia="宋体" w:hint="default"/>
          <w:spacing w:val="-2"/>
          <w:sz w:val="24"/>
          <w:szCs w:val="24"/>
        </w:rPr>
        <w:t>888万股限制性股票。该股权激励计划的实施，有利于提高员工的积极性，有利于增强团队的</w:t>
      </w:r>
      <w:r>
        <w:rPr>
          <w:rFonts w:ascii="宋体" w:hAnsi="宋体" w:cs="宋体" w:eastAsia="宋体" w:hint="default"/>
          <w:sz w:val="24"/>
          <w:szCs w:val="24"/>
        </w:rPr>
        <w:t> 竞争力，有效地将股东利益、公司利益和核心团队个人利益结合在一起，使各方共同关注公 司的长远发展。</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4、军民融合产业基金进展顺利 军民融合产业基金根据“军民融合业务、信息通讯”的业务发展方向，并结合国内特别</w:t>
      </w:r>
    </w:p>
    <w:p>
      <w:pPr>
        <w:spacing w:line="357" w:lineRule="auto" w:before="36"/>
        <w:ind w:left="112" w:right="96" w:firstLine="0"/>
        <w:jc w:val="left"/>
        <w:rPr>
          <w:rFonts w:ascii="宋体" w:hAnsi="宋体" w:cs="宋体" w:eastAsia="宋体" w:hint="default"/>
          <w:sz w:val="24"/>
          <w:szCs w:val="24"/>
        </w:rPr>
      </w:pPr>
      <w:r>
        <w:rPr>
          <w:rFonts w:ascii="宋体" w:hAnsi="宋体" w:cs="宋体" w:eastAsia="宋体" w:hint="default"/>
          <w:spacing w:val="-3"/>
          <w:sz w:val="24"/>
          <w:szCs w:val="24"/>
        </w:rPr>
        <w:t>是西安、成都、北京等地军工院所和军民融合企业行业特点，加大了对项目的考察投资力度。</w:t>
      </w:r>
      <w:r>
        <w:rPr>
          <w:rFonts w:ascii="宋体" w:hAnsi="宋体" w:cs="宋体" w:eastAsia="宋体" w:hint="default"/>
          <w:spacing w:val="-80"/>
          <w:sz w:val="24"/>
          <w:szCs w:val="24"/>
        </w:rPr>
        <w:t> </w:t>
      </w:r>
      <w:r>
        <w:rPr>
          <w:rFonts w:ascii="宋体" w:hAnsi="宋体" w:cs="宋体" w:eastAsia="宋体" w:hint="default"/>
          <w:spacing w:val="-80"/>
          <w:sz w:val="24"/>
          <w:szCs w:val="24"/>
        </w:rPr>
      </w:r>
      <w:r>
        <w:rPr>
          <w:rFonts w:ascii="宋体" w:hAnsi="宋体" w:cs="宋体" w:eastAsia="宋体" w:hint="default"/>
          <w:sz w:val="24"/>
          <w:szCs w:val="24"/>
        </w:rPr>
        <w:t>与军方和部分军工集团以及军工体系中军民重要部门建立了广泛联系，与部分军工集团的重 点科研院所建立了战略合作关系，在项目开发、资源对接、信息共享等方面优先合作，实现 共赢。基金先后组织对数十家军民融合企业进行了考察，完成了正博电子、四叶草安全公司 等2个项目的投资。</w:t>
      </w:r>
    </w:p>
    <w:p>
      <w:pPr>
        <w:spacing w:line="357" w:lineRule="auto" w:before="36"/>
        <w:ind w:left="592" w:right="254" w:firstLine="0"/>
        <w:jc w:val="left"/>
        <w:rPr>
          <w:rFonts w:ascii="宋体" w:hAnsi="宋体" w:cs="宋体" w:eastAsia="宋体" w:hint="default"/>
          <w:sz w:val="24"/>
          <w:szCs w:val="24"/>
        </w:rPr>
      </w:pPr>
      <w:r>
        <w:rPr>
          <w:rFonts w:ascii="宋体" w:hAnsi="宋体" w:cs="宋体" w:eastAsia="宋体" w:hint="default"/>
          <w:sz w:val="24"/>
          <w:szCs w:val="24"/>
        </w:rPr>
        <w:t>5、优化公司治理，全面提高管理水平 报告期内，公司采取了一系列的措施全面提升管理水平，均取得了实质性进展，尤其在</w:t>
      </w:r>
    </w:p>
    <w:p>
      <w:pPr>
        <w:spacing w:line="357" w:lineRule="auto" w:before="36"/>
        <w:ind w:left="112" w:right="254" w:firstLine="0"/>
        <w:jc w:val="left"/>
        <w:rPr>
          <w:rFonts w:ascii="宋体" w:hAnsi="宋体" w:cs="宋体" w:eastAsia="宋体" w:hint="default"/>
          <w:sz w:val="24"/>
          <w:szCs w:val="24"/>
        </w:rPr>
      </w:pPr>
      <w:r>
        <w:rPr>
          <w:rFonts w:ascii="宋体" w:hAnsi="宋体" w:cs="宋体" w:eastAsia="宋体" w:hint="default"/>
          <w:sz w:val="24"/>
          <w:szCs w:val="24"/>
        </w:rPr>
        <w:t>财务管控、生产流程管控等方面均有了行之有效显著成果，进一步确保公司战略目标的实现 和可持续发展。</w:t>
      </w:r>
    </w:p>
    <w:p>
      <w:pPr>
        <w:spacing w:line="357" w:lineRule="auto" w:before="36"/>
        <w:ind w:left="112" w:right="96" w:firstLine="480"/>
        <w:jc w:val="left"/>
        <w:rPr>
          <w:rFonts w:ascii="宋体" w:hAnsi="宋体" w:cs="宋体" w:eastAsia="宋体" w:hint="default"/>
          <w:sz w:val="24"/>
          <w:szCs w:val="24"/>
        </w:rPr>
      </w:pPr>
      <w:r>
        <w:rPr>
          <w:rFonts w:ascii="宋体" w:hAnsi="宋体" w:cs="宋体" w:eastAsia="宋体" w:hint="default"/>
          <w:spacing w:val="-3"/>
          <w:sz w:val="24"/>
          <w:szCs w:val="24"/>
        </w:rPr>
        <w:t>（1）加强人才队伍建设，在积极培养现有人才队伍的基础上，以具有吸引力、竞争力的</w:t>
      </w:r>
      <w:r>
        <w:rPr>
          <w:rFonts w:ascii="宋体" w:hAnsi="宋体" w:cs="宋体" w:eastAsia="宋体" w:hint="default"/>
          <w:sz w:val="24"/>
          <w:szCs w:val="24"/>
        </w:rPr>
        <w:t> 综合待遇引进高素质人才，为公司补充新鲜血液和后备力量，满足公司规模不断扩大对人才</w:t>
      </w:r>
    </w:p>
    <w:p>
      <w:pPr>
        <w:spacing w:after="0" w:line="357" w:lineRule="auto"/>
        <w:jc w:val="left"/>
        <w:rPr>
          <w:rFonts w:ascii="宋体" w:hAnsi="宋体" w:cs="宋体" w:eastAsia="宋体" w:hint="default"/>
          <w:sz w:val="24"/>
          <w:szCs w:val="24"/>
        </w:rPr>
        <w:sectPr>
          <w:pgSz w:w="11910" w:h="16840"/>
          <w:pgMar w:header="907" w:footer="1013" w:top="1100" w:bottom="1200" w:left="1020" w:right="900"/>
        </w:sectPr>
      </w:pPr>
    </w:p>
    <w:p>
      <w:pPr>
        <w:spacing w:line="240" w:lineRule="auto" w:before="7"/>
        <w:rPr>
          <w:rFonts w:ascii="宋体" w:hAnsi="宋体" w:cs="宋体" w:eastAsia="宋体" w:hint="default"/>
          <w:sz w:val="26"/>
          <w:szCs w:val="26"/>
        </w:rPr>
      </w:pPr>
    </w:p>
    <w:p>
      <w:pPr>
        <w:spacing w:before="26"/>
        <w:ind w:left="112" w:right="0" w:firstLine="0"/>
        <w:jc w:val="both"/>
        <w:rPr>
          <w:rFonts w:ascii="宋体" w:hAnsi="宋体" w:cs="宋体" w:eastAsia="宋体" w:hint="default"/>
          <w:sz w:val="24"/>
          <w:szCs w:val="24"/>
        </w:rPr>
      </w:pPr>
      <w:r>
        <w:rPr>
          <w:rFonts w:ascii="宋体" w:hAnsi="宋体" w:cs="宋体" w:eastAsia="宋体" w:hint="default"/>
          <w:sz w:val="24"/>
          <w:szCs w:val="24"/>
        </w:rPr>
        <w:t>的需求。</w:t>
      </w:r>
    </w:p>
    <w:p>
      <w:pPr>
        <w:spacing w:line="357" w:lineRule="auto" w:before="154"/>
        <w:ind w:left="112" w:right="94" w:firstLine="480"/>
        <w:jc w:val="left"/>
        <w:rPr>
          <w:rFonts w:ascii="宋体" w:hAnsi="宋体" w:cs="宋体" w:eastAsia="宋体" w:hint="default"/>
          <w:sz w:val="24"/>
          <w:szCs w:val="24"/>
        </w:rPr>
      </w:pPr>
      <w:r>
        <w:rPr>
          <w:rFonts w:ascii="宋体" w:hAnsi="宋体" w:cs="宋体" w:eastAsia="宋体" w:hint="default"/>
          <w:sz w:val="24"/>
          <w:szCs w:val="24"/>
        </w:rPr>
        <w:t>（2）全面贯彻实施精细化管理，完善绩效考核和目标责任管理工作，加强部门间协作， 提升公司总体执行能力。</w:t>
      </w:r>
    </w:p>
    <w:p>
      <w:pPr>
        <w:spacing w:line="357" w:lineRule="auto" w:before="36"/>
        <w:ind w:left="112" w:right="94" w:firstLine="480"/>
        <w:jc w:val="left"/>
        <w:rPr>
          <w:rFonts w:ascii="宋体" w:hAnsi="宋体" w:cs="宋体" w:eastAsia="宋体" w:hint="default"/>
          <w:sz w:val="24"/>
          <w:szCs w:val="24"/>
        </w:rPr>
      </w:pPr>
      <w:r>
        <w:rPr>
          <w:rFonts w:ascii="宋体" w:hAnsi="宋体" w:cs="宋体" w:eastAsia="宋体" w:hint="default"/>
          <w:spacing w:val="-3"/>
          <w:sz w:val="24"/>
          <w:szCs w:val="24"/>
        </w:rPr>
        <w:t>（3）加强企业管理信息化建设，财务软件由U8升级到U9，全面加强信息化的融合，提升</w:t>
      </w:r>
      <w:r>
        <w:rPr>
          <w:rFonts w:ascii="宋体" w:hAnsi="宋体" w:cs="宋体" w:eastAsia="宋体" w:hint="default"/>
          <w:sz w:val="24"/>
          <w:szCs w:val="24"/>
        </w:rPr>
        <w:t> 管理信息化水平。</w:t>
      </w:r>
    </w:p>
    <w:p>
      <w:pPr>
        <w:spacing w:line="357" w:lineRule="auto" w:before="36"/>
        <w:ind w:left="592" w:right="214" w:firstLine="0"/>
        <w:jc w:val="left"/>
        <w:rPr>
          <w:rFonts w:ascii="宋体" w:hAnsi="宋体" w:cs="宋体" w:eastAsia="宋体" w:hint="default"/>
          <w:sz w:val="24"/>
          <w:szCs w:val="24"/>
        </w:rPr>
      </w:pPr>
      <w:r>
        <w:rPr>
          <w:rFonts w:ascii="宋体" w:hAnsi="宋体" w:cs="宋体" w:eastAsia="宋体" w:hint="default"/>
          <w:sz w:val="24"/>
          <w:szCs w:val="24"/>
        </w:rPr>
        <w:t>（4）推行的“阿米巴”管理模式初见成效，在组织架构和管理体系进行相应调整。 6、投资者关系管理方面 公司建立了多渠道、多样化的投资者沟通模式，保持与投资者特别是中小投资者的沟通</w:t>
      </w:r>
    </w:p>
    <w:p>
      <w:pPr>
        <w:spacing w:line="357" w:lineRule="auto" w:before="36"/>
        <w:ind w:left="112" w:right="231" w:firstLine="0"/>
        <w:jc w:val="both"/>
        <w:rPr>
          <w:rFonts w:ascii="宋体" w:hAnsi="宋体" w:cs="宋体" w:eastAsia="宋体" w:hint="default"/>
          <w:sz w:val="24"/>
          <w:szCs w:val="24"/>
        </w:rPr>
      </w:pPr>
      <w:r>
        <w:rPr>
          <w:rFonts w:ascii="宋体" w:hAnsi="宋体" w:cs="宋体" w:eastAsia="宋体" w:hint="default"/>
          <w:sz w:val="24"/>
          <w:szCs w:val="24"/>
        </w:rPr>
        <w:t>交流。对于机构投资者的现场调研，公司根据《投资者关系管理制度》的要求，建立了完备 的投资者关系管理档案，详细地做好接待资料存档工作，并按要求合理、妥善地安排机构投 资者、分析师等特定对象到公司现场调研活动。在日常工作中，公司董事会办公室工作人员 认真对待投资者的电话及提问。2017年度，公司通过现场接待调研、回复深交所互动平台提 问等方式，不断促进公司与投资者之间的良性互动，加深投资者对公司的了解和认同。</w:t>
      </w:r>
    </w:p>
    <w:p>
      <w:pPr>
        <w:spacing w:line="240" w:lineRule="auto" w:before="11"/>
        <w:rPr>
          <w:rFonts w:ascii="宋体" w:hAnsi="宋体" w:cs="宋体" w:eastAsia="宋体" w:hint="default"/>
          <w:sz w:val="19"/>
          <w:szCs w:val="19"/>
        </w:rPr>
      </w:pPr>
    </w:p>
    <w:p>
      <w:pPr>
        <w:spacing w:before="0"/>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二、主营业务分析</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r>
        <w:rPr>
          <w:rFonts w:ascii="Times New Roman" w:hAnsi="Times New Roman" w:cs="Times New Roman" w:eastAsia="Times New Roman" w:hint="default"/>
        </w:rPr>
        <w:t>2</w:t>
      </w:r>
      <w:r>
        <w:rPr/>
        <w:t>、收入与成本</w:t>
      </w:r>
      <w:r>
        <w:rPr>
          <w:b w:val="0"/>
          <w:bCs w:val="0"/>
        </w:rPr>
      </w:r>
    </w:p>
    <w:p>
      <w:pPr>
        <w:spacing w:line="240" w:lineRule="auto" w:before="7"/>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）营业收入构成</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357" w:lineRule="auto"/>
        <w:ind w:right="6034"/>
        <w:jc w:val="left"/>
      </w:pPr>
      <w:r>
        <w:rPr/>
        <w:t>公司是否需要遵守光伏产业链相关业的披露要求 否</w:t>
      </w:r>
    </w:p>
    <w:p>
      <w:pPr>
        <w:pStyle w:val="BodyText"/>
        <w:spacing w:line="340" w:lineRule="auto" w:before="29"/>
        <w:ind w:right="4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39"/>
        <w:ind w:right="63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pStyle w:val="BodyText"/>
        <w:spacing w:line="338" w:lineRule="auto" w:before="41"/>
        <w:ind w:right="199"/>
        <w:jc w:val="left"/>
      </w:pPr>
      <w:r>
        <w:rPr/>
        <w:t>公司是否需遵守《深圳证券交易所创业板行业信息披露指引第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号——上市公司从事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40" w:lineRule="auto" w:before="43"/>
        <w:ind w:right="725"/>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号——上市公司从事医疗器械业务》的披露要求： 否</w:t>
      </w:r>
    </w:p>
    <w:p>
      <w:pPr>
        <w:pStyle w:val="BodyText"/>
        <w:spacing w:line="240" w:lineRule="auto" w:before="39"/>
        <w:ind w:right="0"/>
        <w:jc w:val="both"/>
      </w:pPr>
      <w:r>
        <w:rPr/>
        <w:t>营业收入整体情况</w:t>
      </w:r>
    </w:p>
    <w:p>
      <w:pPr>
        <w:pStyle w:val="BodyText"/>
        <w:spacing w:line="240" w:lineRule="auto" w:before="117"/>
        <w:ind w:left="0" w:right="192"/>
        <w:jc w:val="right"/>
      </w:pPr>
      <w:r>
        <w:rPr/>
        <w:t>单位：元</w:t>
      </w:r>
    </w:p>
    <w:p>
      <w:pPr>
        <w:spacing w:after="0" w:line="240" w:lineRule="auto"/>
        <w:jc w:val="right"/>
        <w:sectPr>
          <w:pgSz w:w="11910" w:h="16840"/>
          <w:pgMar w:header="907" w:footer="1013" w:top="1100" w:bottom="1200" w:left="1020" w:right="9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9"/>
              <w:jc w:val="righ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422,911,717.94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230,358,279.45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83.59%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160,204,904.43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18,820,846.81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751.21%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117,352,412.73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67,491,030.77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145,354,400.78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138,272,357.27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5.12%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技术服务及贸易 业</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5,774,044.60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160,204,904.43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18,820,846.81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751.21%</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2"/>
              <w:jc w:val="both"/>
              <w:rPr>
                <w:rFonts w:ascii="宋体" w:hAnsi="宋体" w:cs="宋体" w:eastAsia="宋体" w:hint="default"/>
                <w:sz w:val="18"/>
                <w:szCs w:val="18"/>
              </w:rPr>
            </w:pPr>
            <w:r>
              <w:rPr>
                <w:rFonts w:ascii="宋体" w:hAnsi="宋体" w:cs="宋体" w:eastAsia="宋体" w:hint="default"/>
                <w:sz w:val="18"/>
                <w:szCs w:val="18"/>
              </w:rPr>
              <w:t>煤矿顶板安全监 测系统及相关仪 器仪表等产品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117,352,412.73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67,491,030.77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73.88%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2"/>
              <w:jc w:val="left"/>
              <w:rPr>
                <w:rFonts w:ascii="宋体" w:hAnsi="宋体" w:cs="宋体" w:eastAsia="宋体" w:hint="default"/>
                <w:sz w:val="18"/>
                <w:szCs w:val="18"/>
              </w:rPr>
            </w:pPr>
            <w:r>
              <w:rPr>
                <w:rFonts w:ascii="宋体" w:hAnsi="宋体" w:cs="宋体" w:eastAsia="宋体" w:hint="default"/>
                <w:sz w:val="18"/>
                <w:szCs w:val="18"/>
              </w:rPr>
              <w:t>轨道交通信息化 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145,354,400.78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138,272,357.27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技术服务产品及 贸易产品</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5,774,044.60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68,444,166.37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26,052,259.50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162.72%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34,825,435.32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17,407,540.65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陕西省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16,938,361.20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20,859,114.21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-18.80%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4,314,852.69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6,846,046.34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2.97%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-36.97%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20,139,691.45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13,067,748.60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54.12%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安徽省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8,659,778.81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1,898,859.71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356.05%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河北省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2,125,371.70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1,787,851.07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甘肃省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2,582,466.67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1,356,914.54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66,252,904.61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17,819,243.84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271.81%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73,412,138.86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3,100,957.43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2,267.40%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广东省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397,949.23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13,619,717.98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-97.08%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黑龙江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597,008.55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28,928,103.38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-97.94%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60,455,504.80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57,912,934.43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25.14%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4.39%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辽宁省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29,104,273.48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6.88%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福建省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12,820,512.80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21,841,301.40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5.16%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19,700,987.77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10.86%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9"/>
        <w:rPr>
          <w:rFonts w:ascii="Times New Roman" w:hAnsi="Times New Roman" w:cs="Times New Roman" w:eastAsia="Times New Roman" w:hint="default"/>
          <w:sz w:val="24"/>
          <w:szCs w:val="24"/>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）占公司营业收入或营业利润</w:t>
      </w:r>
      <w:r>
        <w:rPr>
          <w:spacing w:val="-66"/>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3" w:top="1100" w:bottom="1200" w:left="1020" w:right="1020"/>
        </w:sectPr>
      </w:pPr>
    </w:p>
    <w:p>
      <w:pPr>
        <w:pStyle w:val="BodyText"/>
        <w:spacing w:line="357" w:lineRule="auto" w:before="44"/>
        <w:ind w:right="-20"/>
        <w:jc w:val="left"/>
      </w:pPr>
      <w:r>
        <w:rPr/>
        <w:t>√ 适用 □ 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100" w:bottom="280" w:left="1020" w:right="1020"/>
          <w:cols w:num="2" w:equalWidth="0">
            <w:col w:w="3173" w:space="5745"/>
            <w:col w:w="952"/>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6"/>
        <w:gridCol w:w="1367"/>
        <w:gridCol w:w="1367"/>
        <w:gridCol w:w="1367"/>
        <w:gridCol w:w="1371"/>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136"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137" w:hanging="92"/>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21" w:right="138"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军工行业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160,204,904.43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76,195,366.11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1,123.20%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117,352,412.73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41,029,086.69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73.88%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145,354,400.78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83,061,438.79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160,204,904.43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76,195,366.11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1,123.20%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-14.46%</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3"/>
              <w:jc w:val="both"/>
              <w:rPr>
                <w:rFonts w:ascii="宋体" w:hAnsi="宋体" w:cs="宋体" w:eastAsia="宋体" w:hint="default"/>
                <w:sz w:val="18"/>
                <w:szCs w:val="18"/>
              </w:rPr>
            </w:pPr>
            <w:r>
              <w:rPr>
                <w:rFonts w:ascii="宋体" w:hAnsi="宋体" w:cs="宋体" w:eastAsia="宋体" w:hint="default"/>
                <w:sz w:val="18"/>
                <w:szCs w:val="18"/>
              </w:rPr>
              <w:t>煤矿顶板安全 监测系统及相 关仪器仪表等 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117,352,412.73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41,029,086.69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39.98%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8.47%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3"/>
              <w:jc w:val="left"/>
              <w:rPr>
                <w:rFonts w:ascii="宋体" w:hAnsi="宋体" w:cs="宋体" w:eastAsia="宋体" w:hint="default"/>
                <w:sz w:val="18"/>
                <w:szCs w:val="18"/>
              </w:rPr>
            </w:pPr>
            <w:r>
              <w:rPr>
                <w:rFonts w:ascii="宋体" w:hAnsi="宋体" w:cs="宋体" w:eastAsia="宋体" w:hint="default"/>
                <w:sz w:val="18"/>
                <w:szCs w:val="18"/>
              </w:rPr>
              <w:t>轨道交通信息 化产品及服务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145,354,400.78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83,061,438.79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21.58%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-7.73%</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山东省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68,444,166.37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31,598,539.75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249.48%</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江苏省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66,252,904.61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27,930,625.46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57.84%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455.27%</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吉林省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73,412,138.86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40,360,182.94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3,083.00%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-14.09%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60,455,504.80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30,810,322.72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z w:val="18"/>
              </w:rPr>
              <w:t>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2"/>
                <w:sz w:val="18"/>
              </w:rPr>
              <w:t>16.11%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-5.14%</w:t>
            </w:r>
          </w:p>
        </w:tc>
      </w:tr>
    </w:tbl>
    <w:p>
      <w:pPr>
        <w:pStyle w:val="BodyText"/>
        <w:spacing w:line="240" w:lineRule="auto" w:before="52"/>
        <w:ind w:right="157"/>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是 □ 否</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563,101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420,630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33.87%</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563,558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34.20%</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8,573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8,116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8"/>
              <w:jc w:val="right"/>
              <w:rPr>
                <w:rFonts w:ascii="Times New Roman" w:hAnsi="Times New Roman" w:cs="Times New Roman" w:eastAsia="Times New Roman" w:hint="default"/>
                <w:sz w:val="18"/>
                <w:szCs w:val="18"/>
              </w:rPr>
            </w:pPr>
            <w:r>
              <w:rPr>
                <w:rFonts w:ascii="Times New Roman"/>
                <w:sz w:val="18"/>
              </w:rPr>
              <w:t>5.63%</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台（套）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15,406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11.82%</w:t>
            </w:r>
          </w:p>
        </w:tc>
      </w:tr>
      <w:tr>
        <w:trPr>
          <w:trHeight w:val="400"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16,070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17.64%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1,324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7" w:right="0"/>
              <w:jc w:val="left"/>
              <w:rPr>
                <w:rFonts w:ascii="Times New Roman" w:hAnsi="Times New Roman" w:cs="Times New Roman" w:eastAsia="Times New Roman" w:hint="default"/>
                <w:sz w:val="18"/>
                <w:szCs w:val="18"/>
              </w:rPr>
            </w:pPr>
            <w:r>
              <w:rPr>
                <w:rFonts w:ascii="Times New Roman"/>
                <w:sz w:val="18"/>
              </w:rPr>
              <w:t>100.61%</w:t>
            </w:r>
          </w:p>
        </w:tc>
      </w:tr>
    </w:tbl>
    <w:p>
      <w:pPr>
        <w:pStyle w:val="BodyText"/>
        <w:spacing w:line="240" w:lineRule="auto" w:before="51"/>
        <w:ind w:right="94"/>
        <w:jc w:val="left"/>
      </w:pPr>
      <w:r>
        <w:rPr/>
        <w:t>相关数据同比发生变动</w:t>
      </w:r>
      <w:r>
        <w:rPr>
          <w:spacing w:val="-48"/>
        </w:rPr>
        <w:t> </w:t>
      </w:r>
      <w:r>
        <w:rPr>
          <w:rFonts w:ascii="Times New Roman" w:hAnsi="Times New Roman" w:cs="Times New Roman" w:eastAsia="Times New Roman" w:hint="default"/>
        </w:rPr>
        <w:t>30%</w:t>
      </w:r>
      <w:r>
        <w:rPr/>
        <w:t>以上的原因说明</w:t>
      </w:r>
    </w:p>
    <w:p>
      <w:pPr>
        <w:pStyle w:val="BodyText"/>
        <w:spacing w:line="338" w:lineRule="auto" w:before="103"/>
        <w:ind w:right="182"/>
        <w:jc w:val="left"/>
      </w:pPr>
      <w:r>
        <w:rPr/>
        <w:t>√ 适用 □ 不适用 </w:t>
      </w:r>
      <w:r>
        <w:rPr>
          <w:spacing w:val="-4"/>
        </w:rPr>
        <w:t>注1：全资子公司师凯科技系军工企业，长期承担武器装备科研任务，拥有《武器装备科研生产许可证》、《装备承制单位注</w:t>
      </w:r>
      <w:r>
        <w:rPr>
          <w:spacing w:val="-50"/>
        </w:rPr>
        <w:t> </w:t>
      </w:r>
      <w:r>
        <w:rPr>
          <w:spacing w:val="-50"/>
        </w:rPr>
      </w:r>
      <w:r>
        <w:rPr>
          <w:spacing w:val="-8"/>
        </w:rPr>
        <w:t>册证书》、《二级保密资格单位证书》、《武器装备质量体系认证证书》等军工企业相关资质证书。根据国家国防科技工业局等</w:t>
      </w:r>
    </w:p>
    <w:p>
      <w:pPr>
        <w:pStyle w:val="BodyText"/>
        <w:spacing w:line="316" w:lineRule="auto" w:before="2"/>
        <w:ind w:right="192"/>
        <w:jc w:val="both"/>
      </w:pPr>
      <w:r>
        <w:rPr>
          <w:spacing w:val="-2"/>
        </w:rPr>
        <w:t>相关规定，以下相关信息豁免披露或采取脱密处理方式进行披露：申请豁免披露下列内容：军品生产技术、武器研制所处阶</w:t>
      </w:r>
      <w:r>
        <w:rPr>
          <w:spacing w:val="-66"/>
        </w:rPr>
        <w:t> </w:t>
      </w:r>
      <w:r>
        <w:rPr>
          <w:spacing w:val="-66"/>
        </w:rPr>
      </w:r>
      <w:r>
        <w:rPr>
          <w:spacing w:val="-2"/>
        </w:rPr>
        <w:t>段；产能、产量、销量、单价及期初、期末库存数量；国家涉密政策文件。采用代称、打包或者汇总等方式，脱密处理后对</w:t>
      </w:r>
      <w:r>
        <w:rPr>
          <w:spacing w:val="-68"/>
        </w:rPr>
        <w:t> </w:t>
      </w:r>
      <w:r>
        <w:rPr>
          <w:spacing w:val="-68"/>
        </w:rPr>
      </w:r>
      <w:r>
        <w:rPr>
          <w:spacing w:val="-2"/>
        </w:rPr>
        <w:t>外披露：军品名称、型号（含在产品、半成品、产成品及原材料）；涉及军品的研制、销售合同；涉军客户名称。</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4"/>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94"/>
        <w:jc w:val="left"/>
      </w:pPr>
      <w:r>
        <w:rPr/>
        <w:t>行业分类</w:t>
      </w:r>
    </w:p>
    <w:p>
      <w:pPr>
        <w:pStyle w:val="BodyText"/>
        <w:spacing w:line="240" w:lineRule="auto" w:before="117"/>
        <w:ind w:left="0" w:right="19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87" w:right="136" w:hanging="449"/>
              <w:jc w:val="left"/>
              <w:rPr>
                <w:rFonts w:ascii="宋体" w:hAnsi="宋体" w:cs="宋体" w:eastAsia="宋体" w:hint="default"/>
                <w:sz w:val="18"/>
                <w:szCs w:val="18"/>
              </w:rPr>
            </w:pPr>
            <w:r>
              <w:rPr>
                <w:rFonts w:ascii="宋体" w:hAnsi="宋体" w:cs="宋体" w:eastAsia="宋体" w:hint="default"/>
                <w:sz w:val="18"/>
                <w:szCs w:val="18"/>
              </w:rPr>
              <w:t>占营业成本比 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煤矿安全行业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23,052,934.23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16,960,575.14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35.92%</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11,881,627.96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6,490,289.66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83.07%</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6,094,524.50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5,860,519.34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3.99%</w:t>
            </w:r>
          </w:p>
        </w:tc>
      </w:tr>
      <w:tr>
        <w:trPr>
          <w:trHeight w:val="402" w:hRule="exact"/>
        </w:trPr>
        <w:tc>
          <w:tcPr>
            <w:tcW w:w="136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通信行业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80,947,475.07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64,576,053.22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25.35%</w:t>
            </w:r>
          </w:p>
        </w:tc>
      </w:tr>
      <w:tr>
        <w:trPr>
          <w:trHeight w:val="402" w:hRule="exact"/>
        </w:trPr>
        <w:tc>
          <w:tcPr>
            <w:tcW w:w="1369"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595,817.79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2,706,571.54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-77.99%</w:t>
            </w:r>
          </w:p>
        </w:tc>
      </w:tr>
      <w:tr>
        <w:trPr>
          <w:trHeight w:val="402" w:hRule="exact"/>
        </w:trPr>
        <w:tc>
          <w:tcPr>
            <w:tcW w:w="1369"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1,518,145.93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1,037,186.44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46.37%</w:t>
            </w:r>
          </w:p>
        </w:tc>
      </w:tr>
    </w:tbl>
    <w:p>
      <w:pPr>
        <w:pStyle w:val="BodyText"/>
        <w:spacing w:line="360" w:lineRule="auto" w:before="49"/>
        <w:ind w:right="94"/>
        <w:jc w:val="left"/>
      </w:pPr>
      <w:r>
        <w:rPr/>
        <w:t>说明 </w:t>
      </w:r>
      <w:r>
        <w:rPr>
          <w:spacing w:val="-10"/>
        </w:rPr>
        <w:t>全资子公司师凯科技系军工企业，长期承担武器装备科研任务，拥有《武器装备科研生产许可证》、《装备承制单位注册证书》、</w:t>
      </w:r>
    </w:p>
    <w:p>
      <w:pPr>
        <w:pStyle w:val="BodyText"/>
        <w:spacing w:line="222" w:lineRule="exact"/>
        <w:ind w:right="0"/>
        <w:jc w:val="left"/>
      </w:pPr>
      <w:r>
        <w:rPr/>
        <w:t>《二级保密资格单位证书</w:t>
      </w:r>
      <w:r>
        <w:rPr>
          <w:spacing w:val="-89"/>
        </w:rPr>
        <w:t>》</w:t>
      </w:r>
      <w:r>
        <w:rPr>
          <w:spacing w:val="-147"/>
        </w:rPr>
        <w:t>、</w:t>
      </w:r>
      <w:r>
        <w:rPr>
          <w:spacing w:val="-3"/>
        </w:rPr>
        <w:t>《</w:t>
      </w:r>
      <w:r>
        <w:rPr/>
        <w:t>武器装备质量体系认证证书</w:t>
      </w:r>
      <w:r>
        <w:rPr>
          <w:spacing w:val="-56"/>
        </w:rPr>
        <w:t>》</w:t>
      </w:r>
      <w:r>
        <w:rPr/>
        <w:t>等军工企业相关资质证书</w:t>
      </w:r>
      <w:r>
        <w:rPr>
          <w:spacing w:val="-58"/>
        </w:rPr>
        <w:t>。</w:t>
      </w:r>
      <w:r>
        <w:rPr/>
        <w:t>根据国家国防科技工业局等相关规定，</w:t>
      </w:r>
    </w:p>
    <w:p>
      <w:pPr>
        <w:pStyle w:val="BodyText"/>
        <w:spacing w:line="316" w:lineRule="auto" w:before="76"/>
        <w:ind w:right="94"/>
        <w:jc w:val="left"/>
      </w:pPr>
      <w:r>
        <w:rPr/>
        <w:t>以下相关信息豁免披露或采取脱密处理方式进行披露：申请豁免披露下列内容：军品生产技术、武器研制所处阶段；产能、 </w:t>
      </w:r>
      <w:r>
        <w:rPr>
          <w:spacing w:val="-2"/>
        </w:rPr>
        <w:t>产量、销量、单价及期初、期末库存数量；国家涉密政策文件。采用代称、打包或者汇总等方式，脱密处理后对外披露：军</w:t>
      </w:r>
      <w:r>
        <w:rPr>
          <w:spacing w:val="-66"/>
        </w:rPr>
        <w:t> </w:t>
      </w:r>
      <w:r>
        <w:rPr>
          <w:spacing w:val="-66"/>
        </w:rPr>
      </w:r>
      <w:r>
        <w:rPr>
          <w:spacing w:val="-2"/>
        </w:rPr>
        <w:t>品名称、型号（含在产品、半成品、产成品及原材料）；涉及军品的研制、销售合同；涉军客户名称。</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94"/>
        <w:jc w:val="left"/>
      </w:pPr>
      <w:r>
        <w:rPr/>
        <w:t>□ 是 √ 否</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94"/>
        <w:jc w:val="left"/>
      </w:pPr>
      <w:r>
        <w:rPr/>
        <w:t>□ 适用 √ 不适用</w:t>
      </w:r>
    </w:p>
    <w:p>
      <w:pPr>
        <w:spacing w:after="0" w:line="240" w:lineRule="auto"/>
        <w:jc w:val="left"/>
        <w:sectPr>
          <w:pgSz w:w="11910" w:h="16840"/>
          <w:pgMar w:header="907" w:footer="1013" w:top="1100" w:bottom="1200" w:left="1020" w:right="94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208,514,512.86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49.30%</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57"/>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64,292,307.69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15.20%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62,057,264.96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35,182,034.21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29,051,282.03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6.87%</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01"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17,931,623.97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208,514,512.86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49.30%</w:t>
            </w:r>
          </w:p>
        </w:tc>
      </w:tr>
    </w:tbl>
    <w:p>
      <w:pPr>
        <w:pStyle w:val="BodyText"/>
        <w:spacing w:line="240" w:lineRule="auto" w:before="51"/>
        <w:ind w:right="157"/>
        <w:jc w:val="left"/>
      </w:pPr>
      <w:r>
        <w:rPr/>
        <w:t>主要客户其他情况说明</w:t>
      </w:r>
    </w:p>
    <w:p>
      <w:pPr>
        <w:pStyle w:val="BodyText"/>
        <w:spacing w:line="357" w:lineRule="auto" w:before="117"/>
        <w:ind w:right="8114"/>
        <w:jc w:val="left"/>
      </w:pPr>
      <w:r>
        <w:rPr/>
        <w:t>□ 适用 √ 不适用 公司主要供应商情况</w:t>
      </w:r>
    </w:p>
    <w:tbl>
      <w:tblPr>
        <w:tblW w:w="0" w:type="auto"/>
        <w:jc w:val="left"/>
        <w:tblInd w:w="10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85,380,623.95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41.92%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 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157"/>
        <w:jc w:val="left"/>
      </w:pPr>
      <w:r>
        <w:rPr/>
        <w:t>公司前</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27,928,999.98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20,940,170.96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10.28%</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17,156,752.16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8.42%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10,739,316.24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1"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8,615,384.62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4.23%</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85,380,623.95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41.92%</w:t>
            </w:r>
          </w:p>
        </w:tc>
      </w:tr>
    </w:tbl>
    <w:p>
      <w:pPr>
        <w:pStyle w:val="BodyText"/>
        <w:spacing w:line="240" w:lineRule="auto" w:before="50"/>
        <w:ind w:right="157"/>
        <w:jc w:val="left"/>
      </w:pPr>
      <w:r>
        <w:rPr/>
        <w:t>主要供应商其他情况说明</w:t>
      </w:r>
    </w:p>
    <w:p>
      <w:pPr>
        <w:pStyle w:val="BodyText"/>
        <w:spacing w:line="240" w:lineRule="auto" w:before="117"/>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0"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5"/>
        <w:gridCol w:w="1637"/>
        <w:gridCol w:w="1637"/>
        <w:gridCol w:w="1461"/>
        <w:gridCol w:w="2918"/>
      </w:tblGrid>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29,881,768.15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27,370,797.55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9.17%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77,947,892.50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58,631,507.74</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32.95%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4"/>
              <w:jc w:val="left"/>
              <w:rPr>
                <w:rFonts w:ascii="宋体" w:hAnsi="宋体" w:cs="宋体" w:eastAsia="宋体" w:hint="default"/>
                <w:sz w:val="18"/>
                <w:szCs w:val="18"/>
              </w:rPr>
            </w:pPr>
            <w:r>
              <w:rPr>
                <w:rFonts w:ascii="宋体" w:hAnsi="宋体" w:cs="宋体" w:eastAsia="宋体" w:hint="default"/>
                <w:sz w:val="18"/>
                <w:szCs w:val="18"/>
              </w:rPr>
              <w:t>主要原因本报期收入大幅增加，相 应研发人员增加及整体薪酬增加</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-6,354,729.52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-5,369,591.01</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bl>
    <w:p>
      <w:pPr>
        <w:spacing w:line="240" w:lineRule="auto" w:before="4"/>
        <w:rPr>
          <w:rFonts w:ascii="宋体" w:hAnsi="宋体" w:cs="宋体" w:eastAsia="宋体" w:hint="default"/>
          <w:sz w:val="19"/>
          <w:szCs w:val="19"/>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、研发投入</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112" w:right="112" w:firstLine="420"/>
        <w:jc w:val="both"/>
        <w:rPr>
          <w:rFonts w:ascii="宋体" w:hAnsi="宋体" w:cs="宋体" w:eastAsia="宋体" w:hint="default"/>
          <w:sz w:val="21"/>
          <w:szCs w:val="21"/>
        </w:rPr>
      </w:pPr>
      <w:r>
        <w:rPr>
          <w:rFonts w:ascii="宋体" w:hAnsi="宋体" w:cs="宋体" w:eastAsia="宋体" w:hint="default"/>
          <w:w w:val="95"/>
          <w:sz w:val="21"/>
          <w:szCs w:val="21"/>
        </w:rPr>
        <w:t>公司多年来持续保持高额的研发投入，制定了中长期技术研发体系和平台提升战略，依托“国家地方</w:t>
      </w:r>
      <w:r>
        <w:rPr>
          <w:rFonts w:ascii="宋体" w:hAnsi="宋体" w:cs="宋体" w:eastAsia="宋体" w:hint="default"/>
          <w:w w:val="99"/>
          <w:sz w:val="21"/>
          <w:szCs w:val="21"/>
        </w:rPr>
        <w:t> </w:t>
      </w:r>
      <w:r>
        <w:rPr>
          <w:rFonts w:ascii="宋体" w:hAnsi="宋体" w:cs="宋体" w:eastAsia="宋体" w:hint="default"/>
          <w:spacing w:val="-9"/>
          <w:w w:val="99"/>
          <w:sz w:val="21"/>
          <w:szCs w:val="21"/>
        </w:rPr>
        <w:t>联合工程研究中心”、“院士专家工作站”、“博士后科研工作站”等一批高层次科技平台，积极引进高端研</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w w:val="95"/>
          <w:sz w:val="21"/>
          <w:szCs w:val="21"/>
        </w:rPr>
        <w:t>发技术人员，充分利用和整合公司及社会资源，积极与高校、科研院所展开合作，为公司持续发展奠基了  </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基础。</w:t>
      </w:r>
    </w:p>
    <w:p>
      <w:pPr>
        <w:spacing w:line="408" w:lineRule="auto" w:before="46"/>
        <w:ind w:left="112" w:right="112" w:firstLine="420"/>
        <w:jc w:val="both"/>
        <w:rPr>
          <w:rFonts w:ascii="宋体" w:hAnsi="宋体" w:cs="宋体" w:eastAsia="宋体" w:hint="default"/>
          <w:sz w:val="21"/>
          <w:szCs w:val="21"/>
        </w:rPr>
      </w:pPr>
      <w:r>
        <w:rPr>
          <w:rFonts w:ascii="宋体" w:hAnsi="宋体" w:cs="宋体" w:eastAsia="宋体" w:hint="default"/>
          <w:w w:val="95"/>
          <w:sz w:val="21"/>
          <w:szCs w:val="21"/>
        </w:rPr>
        <w:t>报告期内，师凯科技完成了手持式制导系统产品的更新换代，并定型成功；富华宇祺的高铁WIFI一体</w:t>
      </w:r>
      <w:r>
        <w:rPr>
          <w:rFonts w:ascii="宋体" w:hAnsi="宋体" w:cs="宋体" w:eastAsia="宋体" w:hint="default"/>
          <w:w w:val="99"/>
          <w:sz w:val="21"/>
          <w:szCs w:val="21"/>
        </w:rPr>
        <w:t> </w:t>
      </w:r>
      <w:r>
        <w:rPr>
          <w:rFonts w:ascii="宋体" w:hAnsi="宋体" w:cs="宋体" w:eastAsia="宋体" w:hint="default"/>
          <w:w w:val="95"/>
          <w:sz w:val="21"/>
          <w:szCs w:val="21"/>
        </w:rPr>
        <w:t>化服务器设备及解决方案实现新突破，并在高铁标准动车“复兴号”获得首例成功应用；在区块链业务方</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面富华宇祺主要致力于行业客户私有链平台的开发，积极参与行业客户的区块链应用，目的是能够提供以</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区块链技术为核心的支付平台解决方案，目前技术和产品已基本成熟，现处于推广应用阶段。师凯科技和</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富华宇祺联合研发的国产自主可控交换机入围自主可控认证资格名单，为2018年开展的自研产品序列获得</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sz w:val="21"/>
          <w:szCs w:val="21"/>
        </w:rPr>
        <w:t>入门资格。</w:t>
      </w:r>
    </w:p>
    <w:p>
      <w:pPr>
        <w:pStyle w:val="BodyText"/>
        <w:spacing w:line="240" w:lineRule="auto" w:before="33"/>
        <w:ind w:right="157"/>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30,637,420.38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22,356,383.89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18,920,221.98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研发支出资本化的金额（元）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1,557,480.73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3,537,108.18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8,182,185.78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43.25%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23.71%</w:t>
            </w:r>
          </w:p>
        </w:tc>
      </w:tr>
    </w:tbl>
    <w:p>
      <w:pPr>
        <w:pStyle w:val="BodyText"/>
        <w:spacing w:line="240" w:lineRule="auto" w:before="51"/>
        <w:ind w:right="157"/>
        <w:jc w:val="left"/>
      </w:pPr>
      <w:r>
        <w:rPr/>
        <w:t>研发投入总额占营业收入的比重较上年发生显著变化的原因</w:t>
      </w:r>
    </w:p>
    <w:p>
      <w:pPr>
        <w:pStyle w:val="BodyText"/>
        <w:spacing w:line="357" w:lineRule="auto" w:before="117"/>
        <w:ind w:right="5774"/>
        <w:jc w:val="left"/>
      </w:pPr>
      <w:r>
        <w:rPr/>
        <w:t>□ 适用 √ 不适用 研发投入资本化率大幅变动的原因及其合理性说明</w:t>
      </w:r>
    </w:p>
    <w:p>
      <w:pPr>
        <w:pStyle w:val="BodyText"/>
        <w:spacing w:line="240" w:lineRule="auto" w:before="29"/>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after="0" w:line="240" w:lineRule="auto"/>
        <w:jc w:val="right"/>
        <w:sectPr>
          <w:footerReference w:type="default" r:id="rId15"/>
          <w:pgSz w:w="11910" w:h="16840"/>
          <w:pgMar w:footer="1013" w:header="907" w:top="1100" w:bottom="1200" w:left="1020" w:right="1020"/>
          <w:pgNumType w:start="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390,168,463.76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289,871,922.37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34.60%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320,317,258.72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191,563,320.95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67.21%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69,851,205.04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98,308,601.42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-28.95%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405,780,334.59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1,442,399.60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28,032.31%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494,820,300.80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129,844,176.10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281.09%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8"/>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-89,039,966.21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-128,401,776.50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-30.66%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62,537,459.01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199,005,264.06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-68.57%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87,728,451.50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52,041,028.60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68.58%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1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-25,190,992.49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146,964,235.46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-117.14%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-44,379,753.66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116,871,060.38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-137.97%</w:t>
            </w:r>
          </w:p>
        </w:tc>
      </w:tr>
    </w:tbl>
    <w:p>
      <w:pPr>
        <w:pStyle w:val="BodyText"/>
        <w:spacing w:line="240" w:lineRule="auto" w:before="51"/>
        <w:ind w:right="157"/>
        <w:jc w:val="left"/>
      </w:pPr>
      <w:r>
        <w:rPr/>
        <w:t>相关数据同比发生重大变动的主要影响因素说明</w:t>
      </w:r>
    </w:p>
    <w:p>
      <w:pPr>
        <w:pStyle w:val="BodyText"/>
        <w:spacing w:line="240" w:lineRule="auto" w:before="117"/>
        <w:ind w:right="157"/>
        <w:jc w:val="left"/>
      </w:pPr>
      <w:r>
        <w:rPr/>
        <w:t>√ 适用 □ 不适用</w:t>
      </w:r>
    </w:p>
    <w:p>
      <w:pPr>
        <w:pStyle w:val="BodyText"/>
        <w:spacing w:line="316" w:lineRule="auto" w:before="115"/>
        <w:ind w:right="104"/>
        <w:jc w:val="left"/>
      </w:pPr>
      <w:r>
        <w:rPr/>
        <w:t>1、投资活动产生的现金流量净额2017年发生数为-89,039,966.21元，比上年同期下降30.66%，主要原因是2016年并购师凯 科技公司支付的现金净额71857037元，本期没发生。</w:t>
      </w:r>
    </w:p>
    <w:p>
      <w:pPr>
        <w:pStyle w:val="BodyText"/>
        <w:spacing w:line="338" w:lineRule="auto" w:before="19"/>
        <w:ind w:right="0"/>
        <w:jc w:val="left"/>
      </w:pPr>
      <w:r>
        <w:rPr>
          <w:spacing w:val="-2"/>
        </w:rPr>
        <w:t>2、筹资活动产生的现金流量净额2017年发生数为-25,190,992.49元，比上年同期下降117.14%，主要原因是去年同期并购师</w:t>
      </w:r>
      <w:r>
        <w:rPr>
          <w:spacing w:val="-51"/>
        </w:rPr>
        <w:t> </w:t>
      </w:r>
      <w:r>
        <w:rPr>
          <w:spacing w:val="-51"/>
        </w:rPr>
      </w:r>
      <w:r>
        <w:rPr/>
        <w:t>凯科技公司发行股份并配套募集资金吸收投资收到的现金增加，同时本报告期现金分红支付的现金增加。 报告期内公司经营活动产生的现金净流量与本年度净利润存在重大差异的原因说明</w:t>
      </w:r>
    </w:p>
    <w:p>
      <w:pPr>
        <w:pStyle w:val="BodyText"/>
        <w:spacing w:line="240" w:lineRule="auto" w:before="43"/>
        <w:ind w:right="15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三、非主营业务情况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04" w:right="122"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91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6"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47" w:right="16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294,332,671.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15.31%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364,155,484.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-4.65%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326,973,205.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244,402,498.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3.62%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02"/>
              <w:jc w:val="left"/>
              <w:rPr>
                <w:rFonts w:ascii="宋体" w:hAnsi="宋体" w:cs="宋体" w:eastAsia="宋体" w:hint="default"/>
                <w:sz w:val="18"/>
                <w:szCs w:val="18"/>
              </w:rPr>
            </w:pPr>
            <w:r>
              <w:rPr>
                <w:rFonts w:ascii="宋体" w:hAnsi="宋体" w:cs="宋体" w:eastAsia="宋体" w:hint="default"/>
                <w:sz w:val="18"/>
                <w:szCs w:val="18"/>
              </w:rPr>
              <w:t>主要是本报告期公司收入大幅度增 加</w:t>
            </w:r>
          </w:p>
        </w:tc>
      </w:tr>
    </w:tbl>
    <w:p>
      <w:pPr>
        <w:spacing w:after="0" w:line="316"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8"/>
        <w:gridCol w:w="1164"/>
        <w:gridCol w:w="1063"/>
        <w:gridCol w:w="1195"/>
        <w:gridCol w:w="1063"/>
        <w:gridCol w:w="798"/>
        <w:gridCol w:w="291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95,520,185.2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80,180,058.6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0.58%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2,732,653.12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792,252.92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主要是参投一家公司，投资金额为</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206,619,677.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214,675,397.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11.76%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-1.01%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-0.29%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主要原因是归还部分银行贷款</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57"/>
        <w:jc w:val="left"/>
      </w:pPr>
      <w:r>
        <w:rPr/>
        <w:t>√ 适用 □ 不适用</w:t>
      </w:r>
    </w:p>
    <w:p>
      <w:pPr>
        <w:pStyle w:val="BodyText"/>
        <w:spacing w:line="240" w:lineRule="auto" w:before="117"/>
        <w:ind w:left="0" w:right="112"/>
        <w:jc w:val="right"/>
      </w:pPr>
      <w:r>
        <w:rPr/>
        <w:t>单位：万元</w:t>
      </w:r>
    </w:p>
    <w:p>
      <w:pPr>
        <w:spacing w:after="0" w:line="240" w:lineRule="auto"/>
        <w:jc w:val="right"/>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70"/>
        <w:gridCol w:w="870"/>
        <w:gridCol w:w="870"/>
        <w:gridCol w:w="869"/>
        <w:gridCol w:w="870"/>
        <w:gridCol w:w="870"/>
        <w:gridCol w:w="870"/>
        <w:gridCol w:w="870"/>
        <w:gridCol w:w="869"/>
      </w:tblGrid>
      <w:tr>
        <w:trPr>
          <w:trHeight w:val="1650"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37" w:right="156" w:hanging="180"/>
              <w:jc w:val="left"/>
              <w:rPr>
                <w:rFonts w:ascii="宋体" w:hAnsi="宋体" w:cs="宋体" w:eastAsia="宋体" w:hint="default"/>
                <w:sz w:val="18"/>
                <w:szCs w:val="18"/>
              </w:rPr>
            </w:pPr>
            <w:r>
              <w:rPr>
                <w:rFonts w:ascii="宋体" w:hAnsi="宋体" w:cs="宋体" w:eastAsia="宋体" w:hint="default"/>
                <w:sz w:val="18"/>
                <w:szCs w:val="18"/>
              </w:rPr>
              <w:t>募集年 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340" w:right="157" w:hanging="180"/>
              <w:jc w:val="left"/>
              <w:rPr>
                <w:rFonts w:ascii="宋体" w:hAnsi="宋体" w:cs="宋体" w:eastAsia="宋体" w:hint="default"/>
                <w:sz w:val="18"/>
                <w:szCs w:val="18"/>
              </w:rPr>
            </w:pPr>
            <w:r>
              <w:rPr>
                <w:rFonts w:ascii="宋体" w:hAnsi="宋体" w:cs="宋体" w:eastAsia="宋体" w:hint="default"/>
                <w:sz w:val="18"/>
                <w:szCs w:val="18"/>
              </w:rPr>
              <w:t>募集方 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8"/>
              <w:jc w:val="left"/>
              <w:rPr>
                <w:rFonts w:ascii="宋体" w:hAnsi="宋体" w:cs="宋体" w:eastAsia="宋体" w:hint="default"/>
                <w:sz w:val="18"/>
                <w:szCs w:val="18"/>
              </w:rPr>
            </w:pPr>
            <w:r>
              <w:rPr>
                <w:rFonts w:ascii="宋体" w:hAnsi="宋体" w:cs="宋体" w:eastAsia="宋体" w:hint="default"/>
                <w:sz w:val="18"/>
                <w:szCs w:val="18"/>
              </w:rPr>
              <w:t>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1" w:right="157"/>
              <w:jc w:val="both"/>
              <w:rPr>
                <w:rFonts w:ascii="宋体" w:hAnsi="宋体" w:cs="宋体" w:eastAsia="宋体" w:hint="default"/>
                <w:sz w:val="18"/>
                <w:szCs w:val="18"/>
              </w:rPr>
            </w:pPr>
            <w:r>
              <w:rPr>
                <w:rFonts w:ascii="宋体" w:hAnsi="宋体" w:cs="宋体" w:eastAsia="宋体" w:hint="default"/>
                <w:sz w:val="18"/>
                <w:szCs w:val="18"/>
              </w:rPr>
              <w:t>本期已 使用募 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8"/>
              <w:jc w:val="both"/>
              <w:rPr>
                <w:rFonts w:ascii="宋体" w:hAnsi="宋体" w:cs="宋体" w:eastAsia="宋体" w:hint="default"/>
                <w:sz w:val="18"/>
                <w:szCs w:val="18"/>
              </w:rPr>
            </w:pPr>
            <w:r>
              <w:rPr>
                <w:rFonts w:ascii="宋体" w:hAnsi="宋体" w:cs="宋体" w:eastAsia="宋体" w:hint="default"/>
                <w:sz w:val="18"/>
                <w:szCs w:val="18"/>
              </w:rPr>
              <w:t>已累计 使用募 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8" w:right="158"/>
              <w:jc w:val="both"/>
              <w:rPr>
                <w:rFonts w:ascii="宋体" w:hAnsi="宋体" w:cs="宋体" w:eastAsia="宋体" w:hint="default"/>
                <w:sz w:val="18"/>
                <w:szCs w:val="18"/>
              </w:rPr>
            </w:pPr>
            <w:r>
              <w:rPr>
                <w:rFonts w:ascii="宋体" w:hAnsi="宋体" w:cs="宋体" w:eastAsia="宋体" w:hint="default"/>
                <w:sz w:val="18"/>
                <w:szCs w:val="18"/>
              </w:rPr>
              <w:t>报告期 内变更 用途的 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0" w:right="157"/>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0" w:right="157"/>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9"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8" w:right="159"/>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321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03" w:right="215"/>
              <w:jc w:val="left"/>
              <w:rPr>
                <w:rFonts w:ascii="宋体" w:hAnsi="宋体" w:cs="宋体" w:eastAsia="宋体" w:hint="default"/>
                <w:sz w:val="18"/>
                <w:szCs w:val="18"/>
              </w:rPr>
            </w:pPr>
            <w:r>
              <w:rPr>
                <w:rFonts w:ascii="宋体" w:hAnsi="宋体" w:cs="宋体" w:eastAsia="宋体" w:hint="default"/>
                <w:sz w:val="18"/>
                <w:szCs w:val="18"/>
              </w:rPr>
              <w:t>公开发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50,304.1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190.22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47,052.3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2,137.76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公司已 经安排 </w:t>
            </w:r>
            <w:r>
              <w:rPr>
                <w:rFonts w:ascii="宋体" w:hAnsi="宋体" w:cs="宋体" w:eastAsia="宋体" w:hint="default"/>
                <w:spacing w:val="-17"/>
                <w:sz w:val="18"/>
                <w:szCs w:val="18"/>
              </w:rPr>
              <w:t>使用，尚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未实际 使用的 募集资 金均存 放于募 集资金 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非公开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1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68,304.1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12,690.2</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65,052.3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2,137.76</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314" w:hRule="exact"/>
        </w:trPr>
        <w:tc>
          <w:tcPr>
            <w:tcW w:w="9563"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日，公司对募集资金项目累计投入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47052.36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7,122.92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20973.29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2012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5445.13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2013 </w:t>
            </w:r>
            <w:r>
              <w:rPr>
                <w:rFonts w:ascii="宋体" w:hAnsi="宋体" w:cs="宋体" w:eastAsia="宋体" w:hint="default"/>
                <w:sz w:val="18"/>
                <w:szCs w:val="18"/>
              </w:rPr>
              <w:t>年度使用募集资金 </w:t>
            </w:r>
            <w:r>
              <w:rPr>
                <w:rFonts w:ascii="Times New Roman" w:hAnsi="Times New Roman" w:cs="Times New Roman" w:eastAsia="Times New Roman" w:hint="default"/>
                <w:sz w:val="18"/>
                <w:szCs w:val="18"/>
              </w:rPr>
              <w:t>2014.82 </w:t>
            </w:r>
            <w:r>
              <w:rPr>
                <w:rFonts w:ascii="宋体" w:hAnsi="宋体" w:cs="宋体" w:eastAsia="宋体" w:hint="default"/>
                <w:sz w:val="18"/>
                <w:szCs w:val="18"/>
              </w:rPr>
              <w:t>万元；</w:t>
            </w:r>
          </w:p>
          <w:p>
            <w:pPr>
              <w:pStyle w:val="TableParagraph"/>
              <w:spacing w:line="240" w:lineRule="auto" w:before="63"/>
              <w:ind w:left="10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6586.95</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2015</w:t>
            </w:r>
            <w:r>
              <w:rPr>
                <w:rFonts w:ascii="Times New Roman" w:hAnsi="Times New Roman" w:cs="Times New Roman" w:eastAsia="Times New Roman" w:hint="default"/>
                <w:sz w:val="18"/>
                <w:szCs w:val="18"/>
              </w:rPr>
              <w:t> </w:t>
            </w:r>
            <w:r>
              <w:rPr>
                <w:rFonts w:ascii="宋体" w:hAnsi="宋体" w:cs="宋体" w:eastAsia="宋体" w:hint="default"/>
                <w:sz w:val="18"/>
                <w:szCs w:val="18"/>
              </w:rPr>
              <w:t>年度使用募集资金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4246.79</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z w:val="18"/>
                <w:szCs w:val="18"/>
              </w:rPr>
              <w:t> </w:t>
            </w:r>
            <w:r>
              <w:rPr>
                <w:rFonts w:ascii="宋体" w:hAnsi="宋体" w:cs="宋体" w:eastAsia="宋体" w:hint="default"/>
                <w:sz w:val="18"/>
                <w:szCs w:val="18"/>
              </w:rPr>
              <w:t>年度使用募集资金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472.24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2017</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年度使用募集资金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日，募集资金余额为人民币</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万元（含已得存款利息</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月公司收到第二次募集资金人民币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月末利息收入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75.60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w:t>
            </w:r>
            <w:r>
              <w:rPr>
                <w:rFonts w:ascii="Times New Roman" w:hAnsi="Times New Roman" w:cs="Times New Roman" w:eastAsia="Times New Roman" w:hint="default"/>
                <w:spacing w:val="-5"/>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5,500.00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12500.00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万元，存款利息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75.60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万元已转入流动资金。截止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日募集资金无余额。</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 适用 □ 不适用</w:t>
      </w:r>
    </w:p>
    <w:p>
      <w:pPr>
        <w:pStyle w:val="BodyText"/>
        <w:spacing w:line="240" w:lineRule="auto" w:before="117"/>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65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30" w:right="158"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15"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6" w:right="11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6" w:right="112"/>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3" w:right="11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4"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114"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4"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4"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16"/>
              <w:jc w:val="both"/>
              <w:rPr>
                <w:rFonts w:ascii="宋体" w:hAnsi="宋体" w:cs="宋体" w:eastAsia="宋体" w:hint="default"/>
                <w:sz w:val="18"/>
                <w:szCs w:val="18"/>
              </w:rPr>
            </w:pPr>
            <w:r>
              <w:rPr>
                <w:rFonts w:ascii="宋体" w:hAnsi="宋体" w:cs="宋体" w:eastAsia="宋体" w:hint="default"/>
                <w:sz w:val="18"/>
                <w:szCs w:val="18"/>
              </w:rPr>
              <w:t>煤矿顶板安全监控 设备扩建及技术改 造项目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15,039.</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2"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11,823.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572.65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1" w:right="110"/>
              <w:jc w:val="left"/>
              <w:rPr>
                <w:rFonts w:ascii="宋体" w:hAnsi="宋体" w:cs="宋体" w:eastAsia="宋体" w:hint="default"/>
                <w:sz w:val="18"/>
                <w:szCs w:val="18"/>
              </w:rPr>
            </w:pPr>
            <w:r>
              <w:rPr>
                <w:rFonts w:ascii="宋体" w:hAnsi="宋体" w:cs="宋体" w:eastAsia="宋体" w:hint="default"/>
                <w:sz w:val="18"/>
                <w:szCs w:val="18"/>
              </w:rPr>
              <w:t>支付李巍屹等人持 有师凯科技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权之现金对价及补 充流动资金项目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pacing w:val="-1"/>
                <w:sz w:val="18"/>
              </w:rPr>
              <w:t>18,000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6,777.3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33,039.</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8" w:right="0"/>
              <w:jc w:val="left"/>
              <w:rPr>
                <w:rFonts w:ascii="Times New Roman" w:hAnsi="Times New Roman" w:cs="Times New Roman" w:eastAsia="Times New Roman" w:hint="default"/>
                <w:sz w:val="18"/>
                <w:szCs w:val="18"/>
              </w:rPr>
            </w:pPr>
            <w:r>
              <w:rPr>
                <w:rFonts w:ascii="Times New Roman"/>
                <w:sz w:val="18"/>
              </w:rPr>
              <w:t>29,823.</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6" w:right="0"/>
              <w:jc w:val="left"/>
              <w:rPr>
                <w:rFonts w:ascii="Times New Roman" w:hAnsi="Times New Roman" w:cs="Times New Roman" w:eastAsia="Times New Roman" w:hint="default"/>
                <w:sz w:val="18"/>
                <w:szCs w:val="18"/>
              </w:rPr>
            </w:pPr>
            <w:r>
              <w:rPr>
                <w:rFonts w:ascii="Times New Roman"/>
                <w:sz w:val="18"/>
              </w:rPr>
              <w:t>29,823.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48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7,350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、国家工程技术研 究中心筹建项目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6,216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6,216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、煤矿安全监测新 产品研发和生产项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、煤矿综采工作面 乳化液全自动配液 装置及乳化液高压 自动反冲洗过滤站 装置研发和生产项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、煤矿顶板充填材 料项目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5,300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5,300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-96.71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、尤洛卡（北京） 矿业工程技术研究 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1,671.8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、尤洛卡（上海） 国际贸易有限公司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-172.99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101" w:right="175"/>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、煤矿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无线网 络多媒体移动通讯 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、矿井粉尘监测、 降尘控制与环境评 价系统项目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25"/>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、煤矿井下安全运 输系统项目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4,200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101" w:right="101"/>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10</w:t>
            </w:r>
            <w:r>
              <w:rPr>
                <w:rFonts w:ascii="宋体" w:hAnsi="宋体" w:cs="宋体" w:eastAsia="宋体" w:hint="default"/>
                <w:spacing w:val="-7"/>
                <w:sz w:val="18"/>
                <w:szCs w:val="18"/>
              </w:rPr>
              <w:t>、煤矿智能集成供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液系统项目（使用募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集资金利息</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50.53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1,750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1,457.0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83.26%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3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11</w:t>
            </w:r>
            <w:r>
              <w:rPr>
                <w:rFonts w:ascii="宋体" w:hAnsi="宋体" w:cs="宋体" w:eastAsia="宋体" w:hint="default"/>
                <w:spacing w:val="-7"/>
                <w:sz w:val="18"/>
                <w:szCs w:val="18"/>
              </w:rPr>
              <w:t>、支付田斌等人持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有富华宇祺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53.21% </w:t>
            </w:r>
            <w:r>
              <w:rPr>
                <w:rFonts w:ascii="宋体" w:hAnsi="宋体" w:cs="宋体" w:eastAsia="宋体" w:hint="default"/>
                <w:sz w:val="18"/>
                <w:szCs w:val="18"/>
              </w:rPr>
              <w:t>股权之现金对价项 </w:t>
            </w:r>
            <w:r>
              <w:rPr>
                <w:rFonts w:ascii="宋体" w:hAnsi="宋体" w:cs="宋体" w:eastAsia="宋体" w:hint="default"/>
                <w:spacing w:val="-8"/>
                <w:sz w:val="18"/>
                <w:szCs w:val="18"/>
              </w:rPr>
              <w:t>目（使用募集资金利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息）</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955.83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804.61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16"/>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3,100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1" w:right="0"/>
              <w:jc w:val="center"/>
              <w:rPr>
                <w:rFonts w:ascii="Times New Roman" w:hAnsi="Times New Roman" w:cs="Times New Roman" w:eastAsia="Times New Roman" w:hint="default"/>
                <w:sz w:val="18"/>
                <w:szCs w:val="18"/>
              </w:rPr>
            </w:pPr>
            <w:r>
              <w:rPr>
                <w:rFonts w:ascii="Times New Roman"/>
                <w:sz w:val="18"/>
              </w:rPr>
              <w:t>3,100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32,305.</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83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35,521.</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83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190.22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35,228.</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88</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2,753.2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65,345.</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65,345.</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31</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5" w:right="0"/>
              <w:jc w:val="left"/>
              <w:rPr>
                <w:rFonts w:ascii="Times New Roman" w:hAnsi="Times New Roman" w:cs="Times New Roman" w:eastAsia="Times New Roman" w:hint="default"/>
                <w:sz w:val="18"/>
                <w:szCs w:val="18"/>
              </w:rPr>
            </w:pPr>
            <w:r>
              <w:rPr>
                <w:rFonts w:ascii="Times New Roman"/>
                <w:sz w:val="18"/>
              </w:rPr>
              <w:t>12,690.</w:t>
            </w:r>
          </w:p>
          <w:p>
            <w:pPr>
              <w:pStyle w:val="TableParagraph"/>
              <w:spacing w:line="240" w:lineRule="auto" w:before="105"/>
              <w:ind w:left="485" w:right="0"/>
              <w:jc w:val="left"/>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65,052.</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36</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10,103.</w:t>
            </w:r>
          </w:p>
          <w:p>
            <w:pPr>
              <w:pStyle w:val="TableParagraph"/>
              <w:spacing w:line="240" w:lineRule="auto" w:before="105"/>
              <w:ind w:left="486" w:right="0"/>
              <w:jc w:val="left"/>
              <w:rPr>
                <w:rFonts w:ascii="Times New Roman" w:hAnsi="Times New Roman" w:cs="Times New Roman" w:eastAsia="Times New Roman" w:hint="default"/>
                <w:sz w:val="18"/>
                <w:szCs w:val="18"/>
              </w:rPr>
            </w:pPr>
            <w:r>
              <w:rPr>
                <w:rFonts w:ascii="Times New Roman"/>
                <w:sz w:val="18"/>
              </w:rPr>
              <w:t>24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所投项目均按计划进度进行，部分项目未达到预期效益的主要原因是国家推行煤矿去产能政策造 成近几年煤炭市场低迷。</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101" w:right="101"/>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4"/>
              <w:jc w:val="left"/>
              <w:rPr>
                <w:rFonts w:ascii="宋体" w:hAnsi="宋体" w:cs="宋体" w:eastAsia="宋体" w:hint="default"/>
                <w:sz w:val="18"/>
                <w:szCs w:val="18"/>
              </w:rPr>
            </w:pPr>
            <w:r>
              <w:rPr>
                <w:rFonts w:ascii="宋体" w:hAnsi="宋体" w:cs="宋体" w:eastAsia="宋体" w:hint="default"/>
                <w:sz w:val="18"/>
                <w:szCs w:val="18"/>
              </w:rPr>
              <w:t>截至报告期末，所有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超募资金所投项目均已完成投入，并达到可使用状态。节余的少量资金 及历年所形成的利息收入共计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2137.76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日数字。具体金额以资金转</w:t>
            </w:r>
          </w:p>
          <w:p>
            <w:pPr>
              <w:pStyle w:val="TableParagraph"/>
              <w:spacing w:line="300" w:lineRule="auto" w:before="13"/>
              <w:ind w:left="103" w:right="101"/>
              <w:jc w:val="left"/>
              <w:rPr>
                <w:rFonts w:ascii="宋体" w:hAnsi="宋体" w:cs="宋体" w:eastAsia="宋体" w:hint="default"/>
                <w:sz w:val="18"/>
                <w:szCs w:val="18"/>
              </w:rPr>
            </w:pPr>
            <w:r>
              <w:rPr>
                <w:rFonts w:ascii="宋体" w:hAnsi="宋体" w:cs="宋体" w:eastAsia="宋体" w:hint="default"/>
                <w:sz w:val="18"/>
                <w:szCs w:val="18"/>
              </w:rPr>
              <w:t>出当日银行结息余额为准</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经第四届董事会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w:t>
            </w:r>
            <w:r>
              <w:rPr>
                <w:rFonts w:ascii="宋体" w:hAnsi="宋体" w:cs="宋体" w:eastAsia="宋体" w:hint="default"/>
                <w:spacing w:val="-34"/>
                <w:sz w:val="18"/>
                <w:szCs w:val="18"/>
              </w:rPr>
              <w:t>过</w:t>
            </w:r>
            <w:r>
              <w:rPr>
                <w:rFonts w:ascii="宋体" w:hAnsi="宋体" w:cs="宋体" w:eastAsia="宋体" w:hint="default"/>
                <w:sz w:val="18"/>
                <w:szCs w:val="18"/>
              </w:rPr>
              <w:t>（尚需</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会批准</w:t>
            </w:r>
            <w:r>
              <w:rPr>
                <w:rFonts w:ascii="宋体" w:hAnsi="宋体" w:cs="宋体" w:eastAsia="宋体" w:hint="default"/>
                <w:spacing w:val="-92"/>
                <w:sz w:val="18"/>
                <w:szCs w:val="18"/>
              </w:rPr>
              <w:t>）</w:t>
            </w:r>
            <w:r>
              <w:rPr>
                <w:rFonts w:ascii="宋体" w:hAnsi="宋体" w:cs="宋体" w:eastAsia="宋体" w:hint="default"/>
                <w:sz w:val="18"/>
                <w:szCs w:val="18"/>
              </w:rPr>
              <w:t>，永久性补充流动资金。公司超募资金专户将随之注销。</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6" w:lineRule="auto"/>
              <w:ind w:left="101"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2"/>
                <w:sz w:val="18"/>
                <w:szCs w:val="18"/>
              </w:rPr>
              <w:t>公司将“煤矿顶板安全监控设备扩建及技术改造项目”中投资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3216</w:t>
            </w:r>
            <w:r>
              <w:rPr>
                <w:rFonts w:ascii="Times New Roman" w:hAnsi="Times New Roman" w:cs="Times New Roman" w:eastAsia="Times New Roman" w:hint="default"/>
                <w:spacing w:val="2"/>
                <w:sz w:val="18"/>
                <w:szCs w:val="18"/>
              </w:rPr>
              <w:t> </w:t>
            </w:r>
            <w:r>
              <w:rPr>
                <w:rFonts w:ascii="宋体" w:hAnsi="宋体" w:cs="宋体" w:eastAsia="宋体" w:hint="default"/>
                <w:spacing w:val="-2"/>
                <w:sz w:val="18"/>
                <w:szCs w:val="18"/>
              </w:rPr>
              <w:t>万元的一个子项目“研发试验</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中心建设</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并</w:t>
            </w:r>
            <w:r>
              <w:rPr>
                <w:rFonts w:ascii="宋体" w:hAnsi="宋体" w:cs="宋体" w:eastAsia="宋体" w:hint="default"/>
                <w:spacing w:val="-3"/>
                <w:sz w:val="18"/>
                <w:szCs w:val="18"/>
              </w:rPr>
              <w:t>入“</w:t>
            </w:r>
            <w:r>
              <w:rPr>
                <w:rFonts w:ascii="宋体" w:hAnsi="宋体" w:cs="宋体" w:eastAsia="宋体" w:hint="default"/>
                <w:sz w:val="18"/>
                <w:szCs w:val="18"/>
              </w:rPr>
              <w:t>国家工程技术研究中心项</w:t>
            </w:r>
            <w:r>
              <w:rPr>
                <w:rFonts w:ascii="宋体" w:hAnsi="宋体" w:cs="宋体" w:eastAsia="宋体" w:hint="default"/>
                <w:spacing w:val="-3"/>
                <w:sz w:val="18"/>
                <w:szCs w:val="18"/>
              </w:rPr>
              <w:t>目</w:t>
            </w:r>
            <w:r>
              <w:rPr>
                <w:rFonts w:ascii="宋体" w:hAnsi="宋体" w:cs="宋体" w:eastAsia="宋体" w:hint="default"/>
                <w:sz w:val="18"/>
                <w:szCs w:val="18"/>
              </w:rPr>
              <w:t>（超募项目</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中实施</w:t>
            </w:r>
            <w:r>
              <w:rPr>
                <w:rFonts w:ascii="宋体" w:hAnsi="宋体" w:cs="宋体" w:eastAsia="宋体" w:hint="default"/>
                <w:spacing w:val="-5"/>
                <w:sz w:val="18"/>
                <w:szCs w:val="18"/>
              </w:rPr>
              <w:t>。</w:t>
            </w:r>
            <w:r>
              <w:rPr>
                <w:rFonts w:ascii="宋体" w:hAnsi="宋体" w:cs="宋体" w:eastAsia="宋体" w:hint="default"/>
                <w:sz w:val="18"/>
                <w:szCs w:val="18"/>
              </w:rPr>
              <w:t>该调整事项已经公司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日的临时股东大会审议批准。</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101"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日，公司董事会批准，并经立信大华会计师事务所有限公司出具立信大华核字</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[2010]2242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号审核报告核验，公司用募集资金置换先期投入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23,755,672.49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p>
            <w:pPr>
              <w:pStyle w:val="TableParagraph"/>
              <w:spacing w:line="309" w:lineRule="auto" w:before="101"/>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日，公司第三届董事会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年第一次会议、第三届监事会</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年第一次会议 </w:t>
            </w:r>
            <w:r>
              <w:rPr>
                <w:rFonts w:ascii="宋体" w:hAnsi="宋体" w:cs="宋体" w:eastAsia="宋体" w:hint="default"/>
                <w:spacing w:val="-3"/>
                <w:sz w:val="18"/>
                <w:szCs w:val="18"/>
              </w:rPr>
              <w:t>审议通过《关于使用募集资金置换预先投入募投项目自筹资金的议案》，同意公司使用募集资金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Times New Roman" w:hAnsi="Times New Roman" w:cs="Times New Roman" w:eastAsia="Times New Roman" w:hint="default"/>
                <w:sz w:val="18"/>
                <w:szCs w:val="18"/>
              </w:rPr>
              <w:t>6,060.00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万元置换先行支付的资金。</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1"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1"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煤矿智能集成供液系统项目（使用募集资金利息</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50.53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日，已经达到</w:t>
            </w:r>
          </w:p>
          <w:p>
            <w:pPr>
              <w:pStyle w:val="TableParagraph"/>
              <w:spacing w:line="300"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可使用状态。节余资金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292.95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万元。结余原因：部分工艺改进，控制材料成本，降低费用，减少 了总开支。</w:t>
            </w:r>
          </w:p>
        </w:tc>
      </w:tr>
      <w:tr>
        <w:trPr>
          <w:trHeight w:val="36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截至报告期末，所有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超募资金所投项目均已完成投入，并达到可使用状态。截至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日节余的少量资金及历年所形成的利息收入共计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2137.76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万元（具体金额以资金转出当日银</w:t>
            </w: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行结息余额为准</w:t>
            </w:r>
            <w:r>
              <w:rPr>
                <w:rFonts w:ascii="宋体" w:hAnsi="宋体" w:cs="宋体" w:eastAsia="宋体" w:hint="default"/>
                <w:spacing w:val="-92"/>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经第四届董事会</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年第一次会议审议通</w:t>
            </w:r>
            <w:r>
              <w:rPr>
                <w:rFonts w:ascii="宋体" w:hAnsi="宋体" w:cs="宋体" w:eastAsia="宋体" w:hint="default"/>
                <w:spacing w:val="-34"/>
                <w:sz w:val="18"/>
                <w:szCs w:val="18"/>
              </w:rPr>
              <w:t>过</w:t>
            </w:r>
            <w:r>
              <w:rPr>
                <w:rFonts w:ascii="宋体" w:hAnsi="宋体" w:cs="宋体" w:eastAsia="宋体" w:hint="default"/>
                <w:sz w:val="18"/>
                <w:szCs w:val="18"/>
              </w:rPr>
              <w:t>（尚经</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年度股东大会批准</w:t>
            </w:r>
            <w:r>
              <w:rPr>
                <w:rFonts w:ascii="宋体" w:hAnsi="宋体" w:cs="宋体" w:eastAsia="宋体" w:hint="default"/>
                <w:spacing w:val="-89"/>
                <w:sz w:val="18"/>
                <w:szCs w:val="18"/>
              </w:rPr>
              <w:t>）</w:t>
            </w:r>
            <w:r>
              <w:rPr>
                <w:rFonts w:ascii="宋体" w:hAnsi="宋体" w:cs="宋体" w:eastAsia="宋体" w:hint="default"/>
                <w:sz w:val="18"/>
                <w:szCs w:val="18"/>
              </w:rPr>
              <w:t>，</w:t>
            </w:r>
          </w:p>
        </w:tc>
      </w:tr>
      <w:tr>
        <w:trPr>
          <w:trHeight w:val="353"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永久性补充流动资金。公司超募资金专户将随之注销。</w:t>
            </w:r>
          </w:p>
        </w:tc>
      </w:tr>
      <w:tr>
        <w:trPr>
          <w:trHeight w:val="358"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7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7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56"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7798" w:type="dxa"/>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314"/>
        <w:jc w:val="left"/>
      </w:pPr>
      <w:r>
        <w:rPr/>
        <w:t>□ 适用 √ 不适用 公司报告期不存在募集资金变更项目情况。</w:t>
      </w:r>
    </w:p>
    <w:p>
      <w:pPr>
        <w:spacing w:line="240" w:lineRule="auto" w:before="2"/>
        <w:rPr>
          <w:rFonts w:ascii="宋体" w:hAnsi="宋体" w:cs="宋体" w:eastAsia="宋体" w:hint="default"/>
          <w:sz w:val="18"/>
          <w:szCs w:val="18"/>
        </w:rPr>
      </w:pPr>
    </w:p>
    <w:p>
      <w:pPr>
        <w:pStyle w:val="Heading2"/>
        <w:spacing w:line="240" w:lineRule="auto"/>
        <w:ind w:right="157"/>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394"/>
        <w:jc w:val="left"/>
      </w:pPr>
      <w:r>
        <w:rPr/>
        <w:t>□ 适用 √ 不适用 公司报告期未出售重大资产。</w:t>
      </w:r>
    </w:p>
    <w:p>
      <w:pPr>
        <w:spacing w:line="240" w:lineRule="auto" w:before="3"/>
        <w:rPr>
          <w:rFonts w:ascii="宋体" w:hAnsi="宋体" w:cs="宋体" w:eastAsia="宋体" w:hint="default"/>
          <w:sz w:val="20"/>
          <w:szCs w:val="20"/>
        </w:rPr>
      </w:pPr>
    </w:p>
    <w:p>
      <w:pPr>
        <w:pStyle w:val="Heading4"/>
        <w:spacing w:line="240" w:lineRule="auto"/>
        <w:ind w:right="157"/>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3" w:top="1100" w:bottom="1200" w:left="1020" w:right="1020"/>
        </w:sectPr>
      </w:pPr>
    </w:p>
    <w:p>
      <w:pPr>
        <w:pStyle w:val="BodyText"/>
        <w:spacing w:line="240" w:lineRule="auto" w:before="44"/>
        <w:ind w:right="-17"/>
        <w:jc w:val="left"/>
      </w:pPr>
      <w:r>
        <w:rPr/>
        <w:t>√ 适用 □ 不适用</w:t>
      </w:r>
    </w:p>
    <w:p>
      <w:pPr>
        <w:pStyle w:val="BodyText"/>
        <w:spacing w:line="240" w:lineRule="auto" w:before="115"/>
        <w:ind w:right="-17"/>
        <w:jc w:val="left"/>
      </w:pPr>
      <w:r>
        <w:rPr/>
        <w:t>主要子公司及对公司净利润影响达</w:t>
      </w:r>
      <w:r>
        <w:rPr>
          <w:spacing w:val="-48"/>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280" w:left="1020" w:right="1020"/>
          <w:cols w:num="2" w:equalWidth="0">
            <w:col w:w="4808" w:space="4111"/>
            <w:col w:w="95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6"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12"/>
                <w:sz w:val="18"/>
                <w:szCs w:val="18"/>
              </w:rPr>
              <w:t>尤洛卡（北</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0"/>
              <w:jc w:val="left"/>
              <w:rPr>
                <w:rFonts w:ascii="宋体" w:hAnsi="宋体" w:cs="宋体" w:eastAsia="宋体" w:hint="default"/>
                <w:sz w:val="18"/>
                <w:szCs w:val="18"/>
              </w:rPr>
            </w:pPr>
            <w:r>
              <w:rPr>
                <w:rFonts w:ascii="宋体" w:hAnsi="宋体" w:cs="宋体" w:eastAsia="宋体" w:hint="default"/>
                <w:spacing w:val="-12"/>
                <w:sz w:val="18"/>
                <w:szCs w:val="18"/>
              </w:rPr>
              <w:t>京）产业信</w:t>
            </w:r>
            <w:r>
              <w:rPr>
                <w:rFonts w:ascii="宋体" w:hAnsi="宋体" w:cs="宋体" w:eastAsia="宋体" w:hint="default"/>
                <w:sz w:val="18"/>
                <w:szCs w:val="18"/>
              </w:rPr>
              <w:t> 息技术研 究院有限</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10"/>
              <w:jc w:val="left"/>
              <w:rPr>
                <w:rFonts w:ascii="宋体" w:hAnsi="宋体" w:cs="宋体" w:eastAsia="宋体" w:hint="default"/>
                <w:sz w:val="18"/>
                <w:szCs w:val="18"/>
              </w:rPr>
            </w:pPr>
            <w:r>
              <w:rPr>
                <w:rFonts w:ascii="宋体" w:hAnsi="宋体" w:cs="宋体" w:eastAsia="宋体" w:hint="default"/>
                <w:sz w:val="18"/>
                <w:szCs w:val="18"/>
              </w:rPr>
              <w:t>计算机软 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center"/>
              <w:rPr>
                <w:rFonts w:ascii="Times New Roman" w:hAnsi="Times New Roman" w:cs="Times New Roman" w:eastAsia="Times New Roman" w:hint="default"/>
                <w:sz w:val="18"/>
                <w:szCs w:val="18"/>
              </w:rPr>
            </w:pPr>
            <w:r>
              <w:rPr>
                <w:rFonts w:ascii="Times New Roman"/>
                <w:sz w:val="18"/>
              </w:rPr>
              <w:t>50,000,000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89,512,097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86,180,443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.88</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19,036,995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19,106,680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.42</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16,718,677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.26</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101" w:right="220"/>
              <w:jc w:val="both"/>
              <w:rPr>
                <w:rFonts w:ascii="宋体" w:hAnsi="宋体" w:cs="宋体" w:eastAsia="宋体" w:hint="default"/>
                <w:sz w:val="18"/>
                <w:szCs w:val="18"/>
              </w:rPr>
            </w:pPr>
            <w:r>
              <w:rPr>
                <w:rFonts w:ascii="宋体" w:hAnsi="宋体" w:cs="宋体" w:eastAsia="宋体" w:hint="default"/>
                <w:sz w:val="18"/>
                <w:szCs w:val="18"/>
              </w:rPr>
              <w:t>北京富华 宇祺信息 技术有限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0"/>
              <w:jc w:val="both"/>
              <w:rPr>
                <w:rFonts w:ascii="宋体" w:hAnsi="宋体" w:cs="宋体" w:eastAsia="宋体" w:hint="default"/>
                <w:sz w:val="18"/>
                <w:szCs w:val="18"/>
              </w:rPr>
            </w:pPr>
            <w:r>
              <w:rPr>
                <w:rFonts w:ascii="宋体" w:hAnsi="宋体" w:cs="宋体" w:eastAsia="宋体" w:hint="default"/>
                <w:sz w:val="18"/>
                <w:szCs w:val="18"/>
              </w:rPr>
              <w:t>矿山通讯 及信息通 信产品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245,882,37</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7.74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89,279,776</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153,326,34</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0.78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16,115,249</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15,121,487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54"/>
        <w:gridCol w:w="1196"/>
        <w:gridCol w:w="1045"/>
        <w:gridCol w:w="1045"/>
        <w:gridCol w:w="1046"/>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长春师凯</w:t>
            </w: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20"/>
              <w:jc w:val="left"/>
              <w:rPr>
                <w:rFonts w:ascii="宋体" w:hAnsi="宋体" w:cs="宋体" w:eastAsia="宋体" w:hint="default"/>
                <w:sz w:val="18"/>
                <w:szCs w:val="18"/>
              </w:rPr>
            </w:pPr>
            <w:r>
              <w:rPr>
                <w:rFonts w:ascii="宋体" w:hAnsi="宋体" w:cs="宋体" w:eastAsia="宋体" w:hint="default"/>
                <w:sz w:val="18"/>
                <w:szCs w:val="18"/>
              </w:rPr>
              <w:t>科技产业 有限责任</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50,000,000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332,473,36</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7.54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3" w:right="0"/>
              <w:jc w:val="left"/>
              <w:rPr>
                <w:rFonts w:ascii="Times New Roman" w:hAnsi="Times New Roman" w:cs="Times New Roman" w:eastAsia="Times New Roman" w:hint="default"/>
                <w:sz w:val="18"/>
                <w:szCs w:val="18"/>
              </w:rPr>
            </w:pPr>
            <w:r>
              <w:rPr>
                <w:rFonts w:ascii="Times New Roman"/>
                <w:sz w:val="18"/>
              </w:rPr>
              <w:t>279,440,70</w:t>
            </w:r>
          </w:p>
          <w:p>
            <w:pPr>
              <w:pStyle w:val="TableParagraph"/>
              <w:spacing w:line="240" w:lineRule="auto" w:before="105"/>
              <w:ind w:left="617" w:right="0"/>
              <w:jc w:val="left"/>
              <w:rPr>
                <w:rFonts w:ascii="Times New Roman" w:hAnsi="Times New Roman" w:cs="Times New Roman" w:eastAsia="Times New Roman" w:hint="default"/>
                <w:sz w:val="18"/>
                <w:szCs w:val="18"/>
              </w:rPr>
            </w:pPr>
            <w:r>
              <w:rPr>
                <w:rFonts w:ascii="Times New Roman"/>
                <w:sz w:val="18"/>
              </w:rPr>
              <w:t>5.90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2" w:right="0"/>
              <w:jc w:val="left"/>
              <w:rPr>
                <w:rFonts w:ascii="Times New Roman" w:hAnsi="Times New Roman" w:cs="Times New Roman" w:eastAsia="Times New Roman" w:hint="default"/>
                <w:sz w:val="18"/>
                <w:szCs w:val="18"/>
              </w:rPr>
            </w:pPr>
            <w:r>
              <w:rPr>
                <w:rFonts w:ascii="Times New Roman"/>
                <w:sz w:val="18"/>
              </w:rPr>
              <w:t>160,204,90</w:t>
            </w:r>
          </w:p>
          <w:p>
            <w:pPr>
              <w:pStyle w:val="TableParagraph"/>
              <w:spacing w:line="240" w:lineRule="auto" w:before="105"/>
              <w:ind w:left="616" w:right="0"/>
              <w:jc w:val="left"/>
              <w:rPr>
                <w:rFonts w:ascii="Times New Roman" w:hAnsi="Times New Roman" w:cs="Times New Roman" w:eastAsia="Times New Roman" w:hint="default"/>
                <w:sz w:val="18"/>
                <w:szCs w:val="18"/>
              </w:rPr>
            </w:pPr>
            <w:r>
              <w:rPr>
                <w:rFonts w:ascii="Times New Roman"/>
                <w:sz w:val="18"/>
              </w:rPr>
              <w:t>4.43</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pacing w:val="-1"/>
                <w:sz w:val="18"/>
              </w:rPr>
              <w:t>80,377,682</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67,772,078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.21</w:t>
            </w:r>
          </w:p>
        </w:tc>
      </w:tr>
      <w:tr>
        <w:trPr>
          <w:trHeight w:val="352" w:hRule="exact"/>
        </w:trPr>
        <w:tc>
          <w:tcPr>
            <w:tcW w:w="10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05"/>
        <w:jc w:val="left"/>
      </w:pPr>
      <w:r>
        <w:rPr/>
        <w:t>报告期内取得和处置子公司的情况</w:t>
      </w:r>
    </w:p>
    <w:p>
      <w:pPr>
        <w:pStyle w:val="BodyText"/>
        <w:spacing w:line="360" w:lineRule="auto" w:before="115"/>
        <w:ind w:right="7674"/>
        <w:jc w:val="left"/>
      </w:pPr>
      <w:r>
        <w:rPr/>
        <w:t>□ 适用 √ 不适用 主要控股参股公司情况说明</w:t>
      </w:r>
    </w:p>
    <w:p>
      <w:pPr>
        <w:spacing w:line="240" w:lineRule="auto" w:before="2"/>
        <w:rPr>
          <w:rFonts w:ascii="宋体" w:hAnsi="宋体" w:cs="宋体" w:eastAsia="宋体" w:hint="default"/>
          <w:sz w:val="18"/>
          <w:szCs w:val="18"/>
        </w:rPr>
      </w:pPr>
    </w:p>
    <w:p>
      <w:pPr>
        <w:pStyle w:val="Heading2"/>
        <w:spacing w:line="240" w:lineRule="auto"/>
        <w:ind w:right="105"/>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05"/>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05"/>
        <w:jc w:val="left"/>
        <w:rPr>
          <w:b w:val="0"/>
          <w:bCs w:val="0"/>
        </w:rPr>
      </w:pPr>
      <w:r>
        <w:rPr/>
        <w:t>九、公司未来发展的展望</w:t>
      </w:r>
      <w:r>
        <w:rPr>
          <w:b w:val="0"/>
          <w:bCs w:val="0"/>
        </w:rPr>
      </w:r>
    </w:p>
    <w:p>
      <w:pPr>
        <w:spacing w:line="240" w:lineRule="auto" w:before="8"/>
        <w:rPr>
          <w:rFonts w:ascii="宋体" w:hAnsi="宋体" w:cs="宋体" w:eastAsia="宋体" w:hint="default"/>
          <w:b/>
          <w:bCs/>
          <w:sz w:val="30"/>
          <w:szCs w:val="30"/>
        </w:rPr>
      </w:pPr>
    </w:p>
    <w:p>
      <w:pPr>
        <w:spacing w:line="408" w:lineRule="auto" w:before="0"/>
        <w:ind w:left="532" w:right="7314" w:firstLine="0"/>
        <w:jc w:val="left"/>
        <w:rPr>
          <w:rFonts w:ascii="宋体" w:hAnsi="宋体" w:cs="宋体" w:eastAsia="宋体" w:hint="default"/>
          <w:sz w:val="21"/>
          <w:szCs w:val="21"/>
        </w:rPr>
      </w:pPr>
      <w:r>
        <w:rPr>
          <w:rFonts w:ascii="宋体" w:hAnsi="宋体" w:cs="宋体" w:eastAsia="宋体" w:hint="default"/>
          <w:sz w:val="21"/>
          <w:szCs w:val="21"/>
        </w:rPr>
        <w:t>（一）行业格局及趋势</w:t>
      </w:r>
      <w:r>
        <w:rPr>
          <w:rFonts w:ascii="宋体" w:hAnsi="宋体" w:cs="宋体" w:eastAsia="宋体" w:hint="default"/>
          <w:w w:val="99"/>
          <w:sz w:val="21"/>
          <w:szCs w:val="21"/>
        </w:rPr>
        <w:t> </w:t>
      </w:r>
      <w:r>
        <w:rPr>
          <w:rFonts w:ascii="宋体" w:hAnsi="宋体" w:cs="宋体" w:eastAsia="宋体" w:hint="default"/>
          <w:sz w:val="21"/>
          <w:szCs w:val="21"/>
        </w:rPr>
        <w:t>1、军工行业</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国防科技工业是军民融合发展的重点领域，是实施军民融合发展战略的重要组成部分，也是推进国家</w:t>
      </w:r>
      <w:r>
        <w:rPr>
          <w:rFonts w:ascii="宋体" w:hAnsi="宋体" w:cs="宋体" w:eastAsia="宋体" w:hint="default"/>
          <w:w w:val="99"/>
          <w:sz w:val="21"/>
          <w:szCs w:val="21"/>
        </w:rPr>
        <w:t> </w:t>
      </w:r>
      <w:r>
        <w:rPr>
          <w:rFonts w:ascii="宋体" w:hAnsi="宋体" w:cs="宋体" w:eastAsia="宋体" w:hint="default"/>
          <w:sz w:val="21"/>
          <w:szCs w:val="21"/>
        </w:rPr>
        <w:t>创新驱动发展战略实施、促进供给侧结构性改革的迫切需要。国防科技工业必须以军民融合发展战略为引</w:t>
      </w:r>
      <w:r>
        <w:rPr>
          <w:rFonts w:ascii="宋体" w:hAnsi="宋体" w:cs="宋体" w:eastAsia="宋体" w:hint="default"/>
          <w:w w:val="99"/>
          <w:sz w:val="21"/>
          <w:szCs w:val="21"/>
        </w:rPr>
        <w:t> </w:t>
      </w:r>
      <w:r>
        <w:rPr>
          <w:rFonts w:ascii="宋体" w:hAnsi="宋体" w:cs="宋体" w:eastAsia="宋体" w:hint="default"/>
          <w:sz w:val="21"/>
          <w:szCs w:val="21"/>
        </w:rPr>
        <w:t>领，紧紧依靠国家科技和工业基础，深深融入国家社会经济体系，为促进经济社会发展提供更加强劲的发</w:t>
      </w:r>
      <w:r>
        <w:rPr>
          <w:rFonts w:ascii="宋体" w:hAnsi="宋体" w:cs="宋体" w:eastAsia="宋体" w:hint="default"/>
          <w:w w:val="99"/>
          <w:sz w:val="21"/>
          <w:szCs w:val="21"/>
        </w:rPr>
        <w:t> </w:t>
      </w:r>
      <w:r>
        <w:rPr>
          <w:rFonts w:ascii="宋体" w:hAnsi="宋体" w:cs="宋体" w:eastAsia="宋体" w:hint="default"/>
          <w:spacing w:val="-3"/>
          <w:sz w:val="21"/>
          <w:szCs w:val="21"/>
        </w:rPr>
        <w:t>展新动能。坚持自主创新，增强核心基础产品和国防关键技术自主可控能力，完善国防科技协同创新机制，</w:t>
      </w:r>
      <w:r>
        <w:rPr>
          <w:rFonts w:ascii="宋体" w:hAnsi="宋体" w:cs="宋体" w:eastAsia="宋体" w:hint="default"/>
          <w:w w:val="99"/>
          <w:sz w:val="21"/>
          <w:szCs w:val="21"/>
        </w:rPr>
        <w:t> </w:t>
      </w:r>
      <w:r>
        <w:rPr>
          <w:rFonts w:ascii="宋体" w:hAnsi="宋体" w:cs="宋体" w:eastAsia="宋体" w:hint="default"/>
          <w:sz w:val="21"/>
          <w:szCs w:val="21"/>
        </w:rPr>
        <w:t>促进武器装备体系化、信息化、自主化、实战化发展。坚持深化改革，积极推进国防科技工业体制改革，</w:t>
      </w:r>
      <w:r>
        <w:rPr>
          <w:rFonts w:ascii="宋体" w:hAnsi="宋体" w:cs="宋体" w:eastAsia="宋体" w:hint="default"/>
          <w:w w:val="99"/>
          <w:sz w:val="21"/>
          <w:szCs w:val="21"/>
        </w:rPr>
        <w:t> </w:t>
      </w:r>
      <w:r>
        <w:rPr>
          <w:rFonts w:ascii="宋体" w:hAnsi="宋体" w:cs="宋体" w:eastAsia="宋体" w:hint="default"/>
          <w:sz w:val="21"/>
          <w:szCs w:val="21"/>
        </w:rPr>
        <w:t>瞄准各方反映强烈的矛盾和问题，坚决拆壁垒、破坚冰、去门槛，破除制度藩篱和利益羁绊，营造公平竞</w:t>
      </w:r>
      <w:r>
        <w:rPr>
          <w:rFonts w:ascii="宋体" w:hAnsi="宋体" w:cs="宋体" w:eastAsia="宋体" w:hint="default"/>
          <w:w w:val="99"/>
          <w:sz w:val="21"/>
          <w:szCs w:val="21"/>
        </w:rPr>
        <w:t> </w:t>
      </w:r>
      <w:r>
        <w:rPr>
          <w:rFonts w:ascii="宋体" w:hAnsi="宋体" w:cs="宋体" w:eastAsia="宋体" w:hint="default"/>
          <w:sz w:val="21"/>
          <w:szCs w:val="21"/>
        </w:rPr>
        <w:t>争的政策环境。坚持优化体系，扩大军工开放，推动军品科研生产能力结构调整。坚持融合共享，加快技</w:t>
      </w:r>
      <w:r>
        <w:rPr>
          <w:rFonts w:ascii="宋体" w:hAnsi="宋体" w:cs="宋体" w:eastAsia="宋体" w:hint="default"/>
          <w:w w:val="99"/>
          <w:sz w:val="21"/>
          <w:szCs w:val="21"/>
        </w:rPr>
        <w:t> </w:t>
      </w:r>
      <w:r>
        <w:rPr>
          <w:rFonts w:ascii="宋体" w:hAnsi="宋体" w:cs="宋体" w:eastAsia="宋体" w:hint="default"/>
          <w:sz w:val="21"/>
          <w:szCs w:val="21"/>
        </w:rPr>
        <w:t>术、资本、信息、人才、设备设施等资源要素的军民互动，实现相互支撑、有效转化。</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军民融合上升为国家战略，新出台的《国防科技工业军民融合深度发展“十三五”规划》及《2016年</w:t>
      </w:r>
      <w:r>
        <w:rPr>
          <w:rFonts w:ascii="宋体" w:hAnsi="宋体" w:cs="宋体" w:eastAsia="宋体" w:hint="default"/>
          <w:w w:val="99"/>
          <w:sz w:val="21"/>
          <w:szCs w:val="21"/>
        </w:rPr>
        <w:t> </w:t>
      </w:r>
      <w:r>
        <w:rPr>
          <w:rFonts w:ascii="宋体" w:hAnsi="宋体" w:cs="宋体" w:eastAsia="宋体" w:hint="default"/>
          <w:w w:val="95"/>
          <w:sz w:val="21"/>
          <w:szCs w:val="21"/>
        </w:rPr>
        <w:t>国防科工局军民融合专项行动计划》均着力健全军民科技协同创新机制，鼓励并深化资本、技术、产品的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2"/>
          <w:w w:val="99"/>
          <w:sz w:val="21"/>
          <w:szCs w:val="21"/>
        </w:rPr>
        <w:t>“民参军”，让民用企业参与到国防军工的建设之中。启动实施首批41家军工科研院所改革，深化论证空</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宋体" w:hAnsi="宋体" w:cs="宋体" w:eastAsia="宋体" w:hint="default"/>
          <w:w w:val="95"/>
          <w:sz w:val="21"/>
          <w:szCs w:val="21"/>
        </w:rPr>
        <w:t>域管理体制、军品定价议价规则、装备采购制度等改革方案，全面推开武器装备科研生产许可与装备承制</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单位联合审查工作机制。在全国范围推广军民大型国防科研仪器设备整合共享、以股权为纽带的军民两用</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技术联盟创新合作、民营企业配套核心军品的认定和准入标准3项创新举措。</w:t>
      </w:r>
    </w:p>
    <w:p>
      <w:pPr>
        <w:spacing w:line="408" w:lineRule="auto" w:before="46"/>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十九届中央军民融合发展委员会第一次全体会议召开，军民融合继续大力推进，会议审议通过了《军</w:t>
      </w:r>
      <w:r>
        <w:rPr>
          <w:rFonts w:ascii="宋体" w:hAnsi="宋体" w:cs="宋体" w:eastAsia="宋体" w:hint="default"/>
          <w:w w:val="99"/>
          <w:sz w:val="21"/>
          <w:szCs w:val="21"/>
        </w:rPr>
        <w:t> </w:t>
      </w:r>
      <w:r>
        <w:rPr>
          <w:rFonts w:ascii="宋体" w:hAnsi="宋体" w:cs="宋体" w:eastAsia="宋体" w:hint="default"/>
          <w:spacing w:val="-9"/>
          <w:w w:val="99"/>
          <w:sz w:val="21"/>
          <w:szCs w:val="21"/>
        </w:rPr>
        <w:t>民融合发展战略纲要》、《中央军民融合发展委员会2018年工作要点》、《国家军民融合创新示范区建设实施</w:t>
      </w:r>
      <w:r>
        <w:rPr>
          <w:rFonts w:ascii="宋体" w:hAnsi="宋体" w:cs="宋体" w:eastAsia="宋体" w:hint="default"/>
          <w:spacing w:val="-72"/>
          <w:w w:val="99"/>
          <w:sz w:val="21"/>
          <w:szCs w:val="21"/>
        </w:rPr>
        <w:t> </w:t>
      </w:r>
      <w:r>
        <w:rPr>
          <w:rFonts w:ascii="宋体" w:hAnsi="宋体" w:cs="宋体" w:eastAsia="宋体" w:hint="default"/>
          <w:spacing w:val="-72"/>
          <w:w w:val="99"/>
          <w:sz w:val="21"/>
          <w:szCs w:val="21"/>
        </w:rPr>
      </w:r>
      <w:r>
        <w:rPr>
          <w:rFonts w:ascii="宋体" w:hAnsi="宋体" w:cs="宋体" w:eastAsia="宋体" w:hint="default"/>
          <w:w w:val="95"/>
          <w:sz w:val="21"/>
          <w:szCs w:val="21"/>
        </w:rPr>
        <w:t>方案》及第一批创新示范区建设名单。国防科技工业是军民融合的重点领域，会议也强调要加快国防科技</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112" w:right="192" w:firstLine="0"/>
        <w:jc w:val="both"/>
        <w:rPr>
          <w:rFonts w:ascii="宋体" w:hAnsi="宋体" w:cs="宋体" w:eastAsia="宋体" w:hint="default"/>
          <w:sz w:val="21"/>
          <w:szCs w:val="21"/>
        </w:rPr>
      </w:pPr>
      <w:r>
        <w:rPr>
          <w:rFonts w:ascii="宋体" w:hAnsi="宋体" w:cs="宋体" w:eastAsia="宋体" w:hint="default"/>
          <w:spacing w:val="-5"/>
          <w:w w:val="99"/>
          <w:sz w:val="21"/>
          <w:szCs w:val="21"/>
        </w:rPr>
        <w:t>工业体制、装备采购制度、军品价格和税收等关键性改革，加快破除“民参军”、“军转民”壁垒。提高资</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w w:val="95"/>
          <w:sz w:val="21"/>
          <w:szCs w:val="21"/>
        </w:rPr>
        <w:t>源使用效率、激发创新活力是军民融合的重要目标，军工科研院所改制、军工资产证券化、军品定价机制</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改革都将对军工企业形成实质性利好，提升企业的综合实力和市场活力。本次会议也强调要在重点领域、</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重点区域、重点行业取得实效，2018年国防军工领域军民融合将加速推进。</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2018年国防支出预算增速超预期达到8.1%，预计将达到11069.51亿元人民币，占财政支出比例和GDP</w:t>
      </w:r>
      <w:r>
        <w:rPr>
          <w:rFonts w:ascii="宋体" w:hAnsi="宋体" w:cs="宋体" w:eastAsia="宋体" w:hint="default"/>
          <w:w w:val="99"/>
          <w:sz w:val="21"/>
          <w:szCs w:val="21"/>
        </w:rPr>
        <w:t> </w:t>
      </w:r>
      <w:r>
        <w:rPr>
          <w:rFonts w:ascii="宋体" w:hAnsi="宋体" w:cs="宋体" w:eastAsia="宋体" w:hint="default"/>
          <w:w w:val="95"/>
          <w:sz w:val="21"/>
          <w:szCs w:val="21"/>
        </w:rPr>
        <w:t>比例双双提升。国防支出的快速增长是当前国际局势和国家战略目标下的必然选择，预计未来我国国防支</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出会继续保持较快增速。</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pacing w:val="-18"/>
          <w:w w:val="99"/>
          <w:sz w:val="21"/>
          <w:szCs w:val="21"/>
        </w:rPr>
        <w:t>公司拥有《武器装备科研生产许可证》、《二级保密资格单位证书》、《武器装备质量体系认证证书》、《装</w:t>
      </w:r>
      <w:r>
        <w:rPr>
          <w:rFonts w:ascii="宋体" w:hAnsi="宋体" w:cs="宋体" w:eastAsia="宋体" w:hint="default"/>
          <w:w w:val="99"/>
          <w:sz w:val="21"/>
          <w:szCs w:val="21"/>
        </w:rPr>
        <w:t> </w:t>
      </w:r>
      <w:r>
        <w:rPr>
          <w:rFonts w:ascii="宋体" w:hAnsi="宋体" w:cs="宋体" w:eastAsia="宋体" w:hint="default"/>
          <w:spacing w:val="-2"/>
          <w:w w:val="99"/>
          <w:sz w:val="21"/>
          <w:szCs w:val="21"/>
        </w:rPr>
        <w:t>备承制单位资格注册证书》，具备了承担武器装备科研生产任务的各项资格。公司军工业务一直致力于反</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坦克导弹制导系统的研发，具备多年的研发及生产经验，已经与下游军工企业及军方建立了深度的合作研</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发关系，已经融入到军工研发体系当中，具备持续研发能力。作为军工企业将直接受益于相关政策的实质</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推进，公司订单的数量、体量有望实现继续增长，军品业绩将步入高速兑现期。报告期内,公司确定了军</w:t>
      </w:r>
      <w:r>
        <w:rPr>
          <w:rFonts w:ascii="宋体" w:hAnsi="宋体" w:cs="宋体" w:eastAsia="宋体" w:hint="default"/>
          <w:w w:val="99"/>
          <w:sz w:val="21"/>
          <w:szCs w:val="21"/>
        </w:rPr>
        <w:t> </w:t>
      </w:r>
      <w:r>
        <w:rPr>
          <w:rFonts w:ascii="宋体" w:hAnsi="宋体" w:cs="宋体" w:eastAsia="宋体" w:hint="default"/>
          <w:spacing w:val="-2"/>
          <w:w w:val="99"/>
          <w:sz w:val="21"/>
          <w:szCs w:val="21"/>
        </w:rPr>
        <w:t>工行业的总体发展思路：“保持传统业务优势地位、加快研制新型产品、积极做大新兴业务、优化收入结</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2"/>
          <w:w w:val="99"/>
          <w:sz w:val="21"/>
          <w:szCs w:val="21"/>
        </w:rPr>
        <w:t>构、提升未来可持续发展能力”。在此思路下，传统军工产品保持了良好发展和行业优势地位，传统手持</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式制导系统产品完成更新换代和定型，且占收入比重开始提高。公司将加大已经成熟的轨道交通的信息化</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技术和经验与已有军工资质和资源结合力度，重点进军国防信息化业务，研发的国产自主可控交换机已经</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入围自主可控认证资格名单，为2018年开展的自研产品序列获得入门资格。基于公司方案积累，</w:t>
      </w:r>
      <w:r>
        <w:rPr>
          <w:rFonts w:ascii="宋体" w:hAnsi="宋体" w:cs="宋体" w:eastAsia="宋体" w:hint="default"/>
          <w:spacing w:val="-11"/>
          <w:sz w:val="21"/>
          <w:szCs w:val="21"/>
        </w:rPr>
        <w:t> </w:t>
      </w:r>
      <w:r>
        <w:rPr>
          <w:rFonts w:ascii="宋体" w:hAnsi="宋体" w:cs="宋体" w:eastAsia="宋体" w:hint="default"/>
          <w:sz w:val="21"/>
          <w:szCs w:val="21"/>
        </w:rPr>
        <w:t>结合军</w:t>
      </w:r>
      <w:r>
        <w:rPr>
          <w:rFonts w:ascii="宋体" w:hAnsi="宋体" w:cs="宋体" w:eastAsia="宋体" w:hint="default"/>
          <w:w w:val="99"/>
          <w:sz w:val="21"/>
          <w:szCs w:val="21"/>
        </w:rPr>
        <w:t> </w:t>
      </w:r>
      <w:r>
        <w:rPr>
          <w:rFonts w:ascii="宋体" w:hAnsi="宋体" w:cs="宋体" w:eastAsia="宋体" w:hint="default"/>
          <w:sz w:val="21"/>
          <w:szCs w:val="21"/>
        </w:rPr>
        <w:t>方需求而定制产品解决方案。在公司中标的某军种坑道项目基础上，继续拓展军方新的应用业务。</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2、通信行业</w:t>
      </w:r>
      <w:r>
        <w:rPr>
          <w:rFonts w:ascii="宋体" w:hAnsi="宋体" w:cs="宋体" w:eastAsia="宋体" w:hint="default"/>
          <w:w w:val="99"/>
          <w:sz w:val="21"/>
          <w:szCs w:val="21"/>
        </w:rPr>
        <w:t> </w:t>
      </w:r>
      <w:r>
        <w:rPr>
          <w:rFonts w:ascii="宋体" w:hAnsi="宋体" w:cs="宋体" w:eastAsia="宋体" w:hint="default"/>
          <w:w w:val="95"/>
          <w:sz w:val="21"/>
          <w:szCs w:val="21"/>
        </w:rPr>
        <w:t>根据中国铁路总公司“交通强国、铁路先行”奋斗目标，计划2018年铁路投资7320亿元，预计投产铁</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pacing w:val="-2"/>
          <w:w w:val="95"/>
          <w:sz w:val="21"/>
          <w:szCs w:val="21"/>
        </w:rPr>
        <w:t>路新线4000多公里，其中高铁3500公里；2019年、2020年新线投产将达到5000公里左右。截止到2017年底，</w:t>
      </w:r>
      <w:r>
        <w:rPr>
          <w:rFonts w:ascii="宋体" w:hAnsi="宋体" w:cs="宋体" w:eastAsia="宋体" w:hint="default"/>
          <w:spacing w:val="64"/>
          <w:w w:val="95"/>
          <w:sz w:val="21"/>
          <w:szCs w:val="21"/>
        </w:rPr>
        <w:t> </w:t>
      </w:r>
      <w:r>
        <w:rPr>
          <w:rFonts w:ascii="宋体" w:hAnsi="宋体" w:cs="宋体" w:eastAsia="宋体" w:hint="default"/>
          <w:spacing w:val="64"/>
          <w:w w:val="95"/>
          <w:sz w:val="21"/>
          <w:szCs w:val="21"/>
        </w:rPr>
      </w:r>
      <w:r>
        <w:rPr>
          <w:rFonts w:ascii="宋体" w:hAnsi="宋体" w:cs="宋体" w:eastAsia="宋体" w:hint="default"/>
          <w:sz w:val="21"/>
          <w:szCs w:val="21"/>
        </w:rPr>
        <w:t>中国铁路营业里程达到12.7万公里，其中高速铁路2.5万公里，中西部地区(含东三省)铁路营业里程达9.7</w:t>
      </w:r>
      <w:r>
        <w:rPr>
          <w:rFonts w:ascii="宋体" w:hAnsi="宋体" w:cs="宋体" w:eastAsia="宋体" w:hint="default"/>
          <w:w w:val="99"/>
          <w:sz w:val="21"/>
          <w:szCs w:val="21"/>
        </w:rPr>
        <w:t> </w:t>
      </w:r>
      <w:r>
        <w:rPr>
          <w:rFonts w:ascii="宋体" w:hAnsi="宋体" w:cs="宋体" w:eastAsia="宋体" w:hint="default"/>
          <w:spacing w:val="-5"/>
          <w:w w:val="99"/>
          <w:sz w:val="21"/>
          <w:szCs w:val="21"/>
        </w:rPr>
        <w:t>万公里。根据国家铁路局发布的《铁路“十三五”发展规划(征求意见稿)》，“十三五”期间，我国铁路固</w:t>
      </w:r>
      <w:r>
        <w:rPr>
          <w:rFonts w:ascii="宋体" w:hAnsi="宋体" w:cs="宋体" w:eastAsia="宋体" w:hint="default"/>
          <w:spacing w:val="-74"/>
          <w:w w:val="99"/>
          <w:sz w:val="21"/>
          <w:szCs w:val="21"/>
        </w:rPr>
        <w:t> </w:t>
      </w:r>
      <w:r>
        <w:rPr>
          <w:rFonts w:ascii="宋体" w:hAnsi="宋体" w:cs="宋体" w:eastAsia="宋体" w:hint="default"/>
          <w:spacing w:val="-74"/>
          <w:w w:val="99"/>
          <w:sz w:val="21"/>
          <w:szCs w:val="21"/>
        </w:rPr>
      </w:r>
      <w:r>
        <w:rPr>
          <w:rFonts w:ascii="宋体" w:hAnsi="宋体" w:cs="宋体" w:eastAsia="宋体" w:hint="default"/>
          <w:sz w:val="21"/>
          <w:szCs w:val="21"/>
        </w:rPr>
        <w:t>定资产投资规模将达3.5万亿元至3.8万亿元，建设新线3万公里。至2020年，全国铁路营业里程达到15万</w:t>
      </w:r>
      <w:r>
        <w:rPr>
          <w:rFonts w:ascii="宋体" w:hAnsi="宋体" w:cs="宋体" w:eastAsia="宋体" w:hint="default"/>
          <w:w w:val="99"/>
          <w:sz w:val="21"/>
          <w:szCs w:val="21"/>
        </w:rPr>
        <w:t> </w:t>
      </w:r>
      <w:r>
        <w:rPr>
          <w:rFonts w:ascii="宋体" w:hAnsi="宋体" w:cs="宋体" w:eastAsia="宋体" w:hint="default"/>
          <w:sz w:val="21"/>
          <w:szCs w:val="21"/>
        </w:rPr>
        <w:t>公里，其中高速铁路达3万公里。随着经济的发展，我国的城市规模不断扩张，城市化率显著提高，经济</w:t>
      </w:r>
      <w:r>
        <w:rPr>
          <w:rFonts w:ascii="宋体" w:hAnsi="宋体" w:cs="宋体" w:eastAsia="宋体" w:hint="default"/>
          <w:w w:val="99"/>
          <w:sz w:val="21"/>
          <w:szCs w:val="21"/>
        </w:rPr>
        <w:t> </w:t>
      </w:r>
      <w:r>
        <w:rPr>
          <w:rFonts w:ascii="宋体" w:hAnsi="宋体" w:cs="宋体" w:eastAsia="宋体" w:hint="default"/>
          <w:sz w:val="21"/>
          <w:szCs w:val="21"/>
        </w:rPr>
        <w:t>实力进一步提升，地铁成为经济发展较快的大城市公共交通建设的重要内容，地铁运营网络初具规模，运</w:t>
      </w:r>
      <w:r>
        <w:rPr>
          <w:rFonts w:ascii="宋体" w:hAnsi="宋体" w:cs="宋体" w:eastAsia="宋体" w:hint="default"/>
          <w:w w:val="99"/>
          <w:sz w:val="21"/>
          <w:szCs w:val="21"/>
        </w:rPr>
        <w:t> </w:t>
      </w:r>
      <w:r>
        <w:rPr>
          <w:rFonts w:ascii="宋体" w:hAnsi="宋体" w:cs="宋体" w:eastAsia="宋体" w:hint="default"/>
          <w:spacing w:val="-3"/>
          <w:sz w:val="21"/>
          <w:szCs w:val="21"/>
        </w:rPr>
        <w:t>量和网络密度仍远低于世界主要大城市。我国地铁运营里程正处于快速增长期，按照发达国家的建设经验，</w:t>
      </w:r>
      <w:r>
        <w:rPr>
          <w:rFonts w:ascii="宋体" w:hAnsi="宋体" w:cs="宋体" w:eastAsia="宋体" w:hint="default"/>
          <w:w w:val="99"/>
          <w:sz w:val="21"/>
          <w:szCs w:val="21"/>
        </w:rPr>
        <w:t> </w:t>
      </w:r>
      <w:r>
        <w:rPr>
          <w:rFonts w:ascii="宋体" w:hAnsi="宋体" w:cs="宋体" w:eastAsia="宋体" w:hint="default"/>
          <w:sz w:val="21"/>
          <w:szCs w:val="21"/>
        </w:rPr>
        <w:t>这一阶段将伴随整个城市化进程持续存在，公司将受益于行业的高速发展，业务迎来稳定增长期。</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中国铁路总公司副总经理、党组成员黄民在第十九届北大光华新年论坛上称，目前京沪高铁复兴号动</w:t>
      </w:r>
      <w:r>
        <w:rPr>
          <w:rFonts w:ascii="宋体" w:hAnsi="宋体" w:cs="宋体" w:eastAsia="宋体" w:hint="default"/>
          <w:w w:val="99"/>
          <w:sz w:val="21"/>
          <w:szCs w:val="21"/>
        </w:rPr>
        <w:t> </w:t>
      </w:r>
      <w:r>
        <w:rPr>
          <w:rFonts w:ascii="宋体" w:hAnsi="宋体" w:cs="宋体" w:eastAsia="宋体" w:hint="default"/>
          <w:spacing w:val="-5"/>
          <w:sz w:val="21"/>
          <w:szCs w:val="21"/>
        </w:rPr>
        <w:t>车组实现了WiFi全覆盖，这个今后将推广到全部高铁。公司主力产品“ </w:t>
      </w:r>
      <w:r>
        <w:rPr>
          <w:rFonts w:ascii="宋体" w:hAnsi="宋体" w:cs="宋体" w:eastAsia="宋体" w:hint="default"/>
          <w:sz w:val="21"/>
          <w:szCs w:val="21"/>
        </w:rPr>
        <w:t>高铁车载旅客 wifi 上网系统”</w:t>
      </w:r>
      <w:r>
        <w:rPr>
          <w:rFonts w:ascii="宋体" w:hAnsi="宋体" w:cs="宋体" w:eastAsia="宋体" w:hint="default"/>
          <w:spacing w:val="-85"/>
          <w:sz w:val="21"/>
          <w:szCs w:val="21"/>
        </w:rPr>
        <w:t> </w:t>
      </w:r>
      <w:r>
        <w:rPr>
          <w:rFonts w:ascii="宋体" w:hAnsi="宋体" w:cs="宋体" w:eastAsia="宋体" w:hint="default"/>
          <w:sz w:val="21"/>
          <w:szCs w:val="21"/>
        </w:rPr>
        <w:t>在</w:t>
      </w:r>
    </w:p>
    <w:p>
      <w:pPr>
        <w:spacing w:after="0" w:line="408" w:lineRule="auto"/>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112" w:right="296" w:firstLine="0"/>
        <w:jc w:val="both"/>
        <w:rPr>
          <w:rFonts w:ascii="宋体" w:hAnsi="宋体" w:cs="宋体" w:eastAsia="宋体" w:hint="default"/>
          <w:sz w:val="21"/>
          <w:szCs w:val="21"/>
        </w:rPr>
      </w:pPr>
      <w:r>
        <w:rPr>
          <w:rFonts w:ascii="宋体" w:hAnsi="宋体" w:cs="宋体" w:eastAsia="宋体" w:hint="default"/>
          <w:sz w:val="21"/>
          <w:szCs w:val="21"/>
        </w:rPr>
        <w:t>2017年内实现了市场突破。</w:t>
      </w:r>
      <w:r>
        <w:rPr>
          <w:rFonts w:ascii="宋体" w:hAnsi="宋体" w:cs="宋体" w:eastAsia="宋体" w:hint="default"/>
          <w:spacing w:val="-18"/>
          <w:sz w:val="21"/>
          <w:szCs w:val="21"/>
        </w:rPr>
        <w:t> </w:t>
      </w:r>
      <w:r>
        <w:rPr>
          <w:rFonts w:ascii="宋体" w:hAnsi="宋体" w:cs="宋体" w:eastAsia="宋体" w:hint="default"/>
          <w:sz w:val="21"/>
          <w:szCs w:val="21"/>
        </w:rPr>
        <w:t>复兴号动车组的上网系统将在未来成为高铁设备的标准配置设置，在未来三</w:t>
      </w:r>
      <w:r>
        <w:rPr>
          <w:rFonts w:ascii="宋体" w:hAnsi="宋体" w:cs="宋体" w:eastAsia="宋体" w:hint="default"/>
          <w:w w:val="99"/>
          <w:sz w:val="21"/>
          <w:szCs w:val="21"/>
        </w:rPr>
        <w:t> </w:t>
      </w:r>
      <w:r>
        <w:rPr>
          <w:rFonts w:ascii="宋体" w:hAnsi="宋体" w:cs="宋体" w:eastAsia="宋体" w:hint="default"/>
          <w:w w:val="95"/>
          <w:sz w:val="21"/>
          <w:szCs w:val="21"/>
        </w:rPr>
        <w:t>年内产生900列车的出厂预装市场。同时，针对既有2000列车的加装改造工作也将在2018年启动，带来集</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w w:val="95"/>
          <w:sz w:val="21"/>
          <w:szCs w:val="21"/>
        </w:rPr>
        <w:t>中采购的机会。2018年3月底开行对数已增加至85.5对，年内还将组织更多的“复兴号”动车组上线，不</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断扩大“复兴号”开行范围。</w:t>
      </w:r>
    </w:p>
    <w:p>
      <w:pPr>
        <w:spacing w:line="408" w:lineRule="auto" w:before="46"/>
        <w:ind w:left="112" w:right="215" w:firstLine="420"/>
        <w:jc w:val="both"/>
        <w:rPr>
          <w:rFonts w:ascii="宋体" w:hAnsi="宋体" w:cs="宋体" w:eastAsia="宋体" w:hint="default"/>
          <w:sz w:val="21"/>
          <w:szCs w:val="21"/>
        </w:rPr>
      </w:pPr>
      <w:r>
        <w:rPr>
          <w:rFonts w:ascii="宋体" w:hAnsi="宋体" w:cs="宋体" w:eastAsia="宋体" w:hint="default"/>
          <w:sz w:val="21"/>
          <w:szCs w:val="21"/>
        </w:rPr>
        <w:t>铁路系统集成项目包括杭黄、 京通无线、</w:t>
      </w:r>
      <w:r>
        <w:rPr>
          <w:rFonts w:ascii="宋体" w:hAnsi="宋体" w:cs="宋体" w:eastAsia="宋体" w:hint="default"/>
          <w:spacing w:val="-41"/>
          <w:sz w:val="21"/>
          <w:szCs w:val="21"/>
        </w:rPr>
        <w:t> </w:t>
      </w:r>
      <w:r>
        <w:rPr>
          <w:rFonts w:ascii="宋体" w:hAnsi="宋体" w:cs="宋体" w:eastAsia="宋体" w:hint="default"/>
          <w:sz w:val="21"/>
          <w:szCs w:val="21"/>
        </w:rPr>
        <w:t>渝黔会议电视等等组成，系统集成项目今后的市场竞争可</w:t>
      </w:r>
      <w:r>
        <w:rPr>
          <w:rFonts w:ascii="宋体" w:hAnsi="宋体" w:cs="宋体" w:eastAsia="宋体" w:hint="default"/>
          <w:w w:val="99"/>
          <w:sz w:val="21"/>
          <w:szCs w:val="21"/>
        </w:rPr>
        <w:t> </w:t>
      </w:r>
      <w:r>
        <w:rPr>
          <w:rFonts w:ascii="宋体" w:hAnsi="宋体" w:cs="宋体" w:eastAsia="宋体" w:hint="default"/>
          <w:w w:val="95"/>
          <w:sz w:val="21"/>
          <w:szCs w:val="21"/>
        </w:rPr>
        <w:t>能面临着愈发白热化的趋势，毛利率和项目周期的压力会越来越大。公司根据自身条件有选择的开展系统</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集成业务，争取保持目前的收入水平和毛利水平。</w:t>
      </w:r>
    </w:p>
    <w:p>
      <w:pPr>
        <w:spacing w:line="408" w:lineRule="auto" w:before="46"/>
        <w:ind w:left="112" w:right="104" w:firstLine="420"/>
        <w:jc w:val="left"/>
        <w:rPr>
          <w:rFonts w:ascii="宋体" w:hAnsi="宋体" w:cs="宋体" w:eastAsia="宋体" w:hint="default"/>
          <w:sz w:val="21"/>
          <w:szCs w:val="21"/>
        </w:rPr>
      </w:pPr>
      <w:r>
        <w:rPr>
          <w:rFonts w:ascii="宋体" w:hAnsi="宋体" w:cs="宋体" w:eastAsia="宋体" w:hint="default"/>
          <w:sz w:val="21"/>
          <w:szCs w:val="21"/>
        </w:rPr>
        <w:t>2017年，能源市场的通讯系统市场已经逐步有复苏的迹象，随着煤价逐步回升，对通讯系统建设的规</w:t>
      </w:r>
      <w:r>
        <w:rPr>
          <w:rFonts w:ascii="宋体" w:hAnsi="宋体" w:cs="宋体" w:eastAsia="宋体" w:hint="default"/>
          <w:w w:val="99"/>
          <w:sz w:val="21"/>
          <w:szCs w:val="21"/>
        </w:rPr>
        <w:t> </w:t>
      </w:r>
      <w:r>
        <w:rPr>
          <w:rFonts w:ascii="宋体" w:hAnsi="宋体" w:cs="宋体" w:eastAsia="宋体" w:hint="default"/>
          <w:sz w:val="21"/>
          <w:szCs w:val="21"/>
        </w:rPr>
        <w:t>划重新开始推动。</w:t>
      </w:r>
      <w:r>
        <w:rPr>
          <w:rFonts w:ascii="宋体" w:hAnsi="宋体" w:cs="宋体" w:eastAsia="宋体" w:hint="default"/>
          <w:spacing w:val="-70"/>
          <w:sz w:val="21"/>
          <w:szCs w:val="21"/>
        </w:rPr>
        <w:t> </w:t>
      </w:r>
      <w:r>
        <w:rPr>
          <w:rFonts w:ascii="宋体" w:hAnsi="宋体" w:cs="宋体" w:eastAsia="宋体" w:hint="default"/>
          <w:spacing w:val="-3"/>
          <w:sz w:val="21"/>
          <w:szCs w:val="21"/>
        </w:rPr>
        <w:t>随着运营商网络逐步向4G过渡，井下4G</w:t>
      </w:r>
      <w:r>
        <w:rPr>
          <w:rFonts w:ascii="宋体" w:hAnsi="宋体" w:cs="宋体" w:eastAsia="宋体" w:hint="default"/>
          <w:spacing w:val="-18"/>
          <w:sz w:val="21"/>
          <w:szCs w:val="21"/>
        </w:rPr>
        <w:t> </w:t>
      </w:r>
      <w:r>
        <w:rPr>
          <w:rFonts w:ascii="宋体" w:hAnsi="宋体" w:cs="宋体" w:eastAsia="宋体" w:hint="default"/>
          <w:sz w:val="21"/>
          <w:szCs w:val="21"/>
        </w:rPr>
        <w:t>无线通讯也成为矿山行业的一个主流建设方式。</w:t>
      </w:r>
      <w:r>
        <w:rPr>
          <w:rFonts w:ascii="宋体" w:hAnsi="宋体" w:cs="宋体" w:eastAsia="宋体" w:hint="default"/>
          <w:w w:val="99"/>
          <w:sz w:val="21"/>
          <w:szCs w:val="21"/>
        </w:rPr>
        <w:t> </w:t>
      </w:r>
      <w:r>
        <w:rPr>
          <w:rFonts w:ascii="宋体" w:hAnsi="宋体" w:cs="宋体" w:eastAsia="宋体" w:hint="default"/>
          <w:spacing w:val="-8"/>
          <w:w w:val="99"/>
          <w:sz w:val="21"/>
          <w:szCs w:val="21"/>
        </w:rPr>
        <w:t>公司已成功的项目案例作为基础，在陕北、蒙西、山西部分市场有比较强的竞争力。煤化工领域，</w:t>
      </w:r>
      <w:r>
        <w:rPr>
          <w:rFonts w:ascii="宋体" w:hAnsi="宋体" w:cs="宋体" w:eastAsia="宋体" w:hint="default"/>
          <w:spacing w:val="-85"/>
          <w:w w:val="99"/>
          <w:sz w:val="21"/>
          <w:szCs w:val="21"/>
        </w:rPr>
        <w:t> </w:t>
      </w:r>
      <w:r>
        <w:rPr>
          <w:rFonts w:ascii="宋体" w:hAnsi="宋体" w:cs="宋体" w:eastAsia="宋体" w:hint="default"/>
          <w:spacing w:val="-1"/>
          <w:w w:val="99"/>
          <w:sz w:val="21"/>
          <w:szCs w:val="21"/>
        </w:rPr>
        <w:t>经过</w:t>
      </w:r>
      <w:r>
        <w:rPr>
          <w:rFonts w:ascii="宋体" w:hAnsi="宋体" w:cs="宋体" w:eastAsia="宋体" w:hint="default"/>
          <w:spacing w:val="7"/>
          <w:w w:val="99"/>
          <w:sz w:val="21"/>
          <w:szCs w:val="21"/>
        </w:rPr>
        <w:t> </w:t>
      </w:r>
      <w:r>
        <w:rPr>
          <w:rFonts w:ascii="宋体" w:hAnsi="宋体" w:cs="宋体" w:eastAsia="宋体" w:hint="default"/>
          <w:w w:val="99"/>
          <w:sz w:val="21"/>
          <w:szCs w:val="21"/>
        </w:rPr>
        <w:t>2017</w:t>
      </w:r>
      <w:r>
        <w:rPr>
          <w:rFonts w:ascii="宋体" w:hAnsi="宋体" w:cs="宋体" w:eastAsia="宋体" w:hint="default"/>
          <w:spacing w:val="-96"/>
          <w:w w:val="99"/>
          <w:sz w:val="21"/>
          <w:szCs w:val="21"/>
        </w:rPr>
        <w:t> </w:t>
      </w:r>
      <w:r>
        <w:rPr>
          <w:rFonts w:ascii="宋体" w:hAnsi="宋体" w:cs="宋体" w:eastAsia="宋体" w:hint="default"/>
          <w:spacing w:val="-96"/>
          <w:w w:val="99"/>
          <w:sz w:val="21"/>
          <w:szCs w:val="21"/>
        </w:rPr>
      </w:r>
      <w:r>
        <w:rPr>
          <w:rFonts w:ascii="宋体" w:hAnsi="宋体" w:cs="宋体" w:eastAsia="宋体" w:hint="default"/>
          <w:spacing w:val="-3"/>
          <w:sz w:val="21"/>
          <w:szCs w:val="21"/>
        </w:rPr>
        <w:t>年与客户的长时间讨论设计，公司已经储备了有比较强适用性的产品，在此领域进行了深度定制产品开发。</w:t>
      </w:r>
      <w:r>
        <w:rPr>
          <w:rFonts w:ascii="宋体" w:hAnsi="宋体" w:cs="宋体" w:eastAsia="宋体" w:hint="default"/>
          <w:w w:val="99"/>
          <w:sz w:val="21"/>
          <w:szCs w:val="21"/>
        </w:rPr>
        <w:t> </w:t>
      </w:r>
      <w:r>
        <w:rPr>
          <w:rFonts w:ascii="宋体" w:hAnsi="宋体" w:cs="宋体" w:eastAsia="宋体" w:hint="default"/>
          <w:sz w:val="21"/>
          <w:szCs w:val="21"/>
        </w:rPr>
        <w:t>煤化工企业主要集中在山西、</w:t>
      </w:r>
      <w:r>
        <w:rPr>
          <w:rFonts w:ascii="宋体" w:hAnsi="宋体" w:cs="宋体" w:eastAsia="宋体" w:hint="default"/>
          <w:spacing w:val="-35"/>
          <w:sz w:val="21"/>
          <w:szCs w:val="21"/>
        </w:rPr>
        <w:t> </w:t>
      </w:r>
      <w:r>
        <w:rPr>
          <w:rFonts w:ascii="宋体" w:hAnsi="宋体" w:cs="宋体" w:eastAsia="宋体" w:hint="default"/>
          <w:sz w:val="21"/>
          <w:szCs w:val="21"/>
        </w:rPr>
        <w:t>陕西、内蒙、宁夏等区域，并且比较大型的项目集中在近几年内陆续投产，</w:t>
      </w:r>
      <w:r>
        <w:rPr>
          <w:rFonts w:ascii="宋体" w:hAnsi="宋体" w:cs="宋体" w:eastAsia="宋体" w:hint="default"/>
          <w:w w:val="99"/>
          <w:sz w:val="21"/>
          <w:szCs w:val="21"/>
        </w:rPr>
        <w:t> </w:t>
      </w:r>
      <w:r>
        <w:rPr>
          <w:rFonts w:ascii="宋体" w:hAnsi="宋体" w:cs="宋体" w:eastAsia="宋体" w:hint="default"/>
          <w:sz w:val="21"/>
          <w:szCs w:val="21"/>
        </w:rPr>
        <w:t>有望成为一个细分的新兴市场。</w:t>
      </w:r>
    </w:p>
    <w:p>
      <w:pPr>
        <w:spacing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3、煤矿安全服务行业</w:t>
      </w:r>
    </w:p>
    <w:p>
      <w:pPr>
        <w:spacing w:line="240" w:lineRule="auto" w:before="10"/>
        <w:rPr>
          <w:rFonts w:ascii="宋体" w:hAnsi="宋体" w:cs="宋体" w:eastAsia="宋体" w:hint="default"/>
          <w:sz w:val="14"/>
          <w:szCs w:val="14"/>
        </w:rPr>
      </w:pPr>
    </w:p>
    <w:p>
      <w:pPr>
        <w:spacing w:line="408" w:lineRule="auto" w:before="0"/>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2017年全国原煤产量自2014年以来首次出现恢复性增长，全年原煤产量35.2亿吨，同比增加1.1亿吨，</w:t>
      </w:r>
      <w:r>
        <w:rPr>
          <w:rFonts w:ascii="宋体" w:hAnsi="宋体" w:cs="宋体" w:eastAsia="宋体" w:hint="default"/>
          <w:spacing w:val="-95"/>
          <w:w w:val="95"/>
          <w:sz w:val="21"/>
          <w:szCs w:val="21"/>
        </w:rPr>
        <w:t> </w:t>
      </w:r>
      <w:r>
        <w:rPr>
          <w:rFonts w:ascii="宋体" w:hAnsi="宋体" w:cs="宋体" w:eastAsia="宋体" w:hint="default"/>
          <w:spacing w:val="-95"/>
          <w:w w:val="95"/>
          <w:sz w:val="21"/>
          <w:szCs w:val="21"/>
        </w:rPr>
      </w:r>
      <w:r>
        <w:rPr>
          <w:rFonts w:ascii="宋体" w:hAnsi="宋体" w:cs="宋体" w:eastAsia="宋体" w:hint="default"/>
          <w:sz w:val="21"/>
          <w:szCs w:val="21"/>
        </w:rPr>
        <w:t>增长3.3%。从供给侧看，由于煤炭供应格局变化，未来铁路运输压力将加大，对运力配置提出新挑战，煤</w:t>
      </w:r>
      <w:r>
        <w:rPr>
          <w:rFonts w:ascii="宋体" w:hAnsi="宋体" w:cs="宋体" w:eastAsia="宋体" w:hint="default"/>
          <w:w w:val="99"/>
          <w:sz w:val="21"/>
          <w:szCs w:val="21"/>
        </w:rPr>
        <w:t> </w:t>
      </w:r>
      <w:r>
        <w:rPr>
          <w:rFonts w:ascii="宋体" w:hAnsi="宋体" w:cs="宋体" w:eastAsia="宋体" w:hint="default"/>
          <w:sz w:val="21"/>
          <w:szCs w:val="21"/>
        </w:rPr>
        <w:t>炭铁路运输加大。从需求侧看，受能源资源禀赋的约束，煤炭作为我国的主体能源，需求总量依然较大，</w:t>
      </w:r>
      <w:r>
        <w:rPr>
          <w:rFonts w:ascii="宋体" w:hAnsi="宋体" w:cs="宋体" w:eastAsia="宋体" w:hint="default"/>
          <w:w w:val="99"/>
          <w:sz w:val="21"/>
          <w:szCs w:val="21"/>
        </w:rPr>
        <w:t> </w:t>
      </w:r>
      <w:r>
        <w:rPr>
          <w:rFonts w:ascii="宋体" w:hAnsi="宋体" w:cs="宋体" w:eastAsia="宋体" w:hint="default"/>
          <w:sz w:val="21"/>
          <w:szCs w:val="21"/>
        </w:rPr>
        <w:t>预测今后几年全国煤炭消费总量仍将保持在40亿吨左右。</w:t>
      </w:r>
    </w:p>
    <w:p>
      <w:pPr>
        <w:spacing w:line="240" w:lineRule="auto" w:before="1"/>
        <w:rPr>
          <w:rFonts w:ascii="宋体" w:hAnsi="宋体" w:cs="宋体" w:eastAsia="宋体" w:hint="default"/>
          <w:sz w:val="8"/>
          <w:szCs w:val="8"/>
        </w:rPr>
      </w:pPr>
    </w:p>
    <w:p>
      <w:pPr>
        <w:spacing w:line="3810" w:lineRule="exact"/>
        <w:ind w:left="535" w:right="0" w:firstLine="0"/>
        <w:rPr>
          <w:rFonts w:ascii="宋体" w:hAnsi="宋体" w:cs="宋体" w:eastAsia="宋体" w:hint="default"/>
          <w:sz w:val="20"/>
          <w:szCs w:val="20"/>
        </w:rPr>
      </w:pPr>
      <w:r>
        <w:rPr>
          <w:rFonts w:ascii="宋体" w:hAnsi="宋体" w:cs="宋体" w:eastAsia="宋体" w:hint="default"/>
          <w:position w:val="-75"/>
          <w:sz w:val="20"/>
          <w:szCs w:val="20"/>
        </w:rPr>
        <w:drawing>
          <wp:inline distT="0" distB="0" distL="0" distR="0">
            <wp:extent cx="5446584" cy="241935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5446584" cy="2419350"/>
                    </a:xfrm>
                    <a:prstGeom prst="rect">
                      <a:avLst/>
                    </a:prstGeom>
                  </pic:spPr>
                </pic:pic>
              </a:graphicData>
            </a:graphic>
          </wp:inline>
        </w:drawing>
      </w:r>
      <w:r>
        <w:rPr>
          <w:rFonts w:ascii="宋体" w:hAnsi="宋体" w:cs="宋体" w:eastAsia="宋体" w:hint="default"/>
          <w:position w:val="-75"/>
          <w:sz w:val="20"/>
          <w:szCs w:val="20"/>
        </w:rPr>
      </w:r>
    </w:p>
    <w:p>
      <w:pPr>
        <w:spacing w:line="240" w:lineRule="auto" w:before="3"/>
        <w:rPr>
          <w:rFonts w:ascii="宋体" w:hAnsi="宋体" w:cs="宋体" w:eastAsia="宋体" w:hint="default"/>
          <w:sz w:val="14"/>
          <w:szCs w:val="14"/>
        </w:rPr>
      </w:pPr>
    </w:p>
    <w:p>
      <w:pPr>
        <w:spacing w:before="0"/>
        <w:ind w:left="1624" w:right="105" w:firstLine="0"/>
        <w:jc w:val="left"/>
        <w:rPr>
          <w:rFonts w:ascii="宋体" w:hAnsi="宋体" w:cs="宋体" w:eastAsia="宋体" w:hint="default"/>
          <w:sz w:val="21"/>
          <w:szCs w:val="21"/>
        </w:rPr>
      </w:pPr>
      <w:r>
        <w:rPr>
          <w:rFonts w:ascii="宋体" w:hAnsi="宋体" w:cs="宋体" w:eastAsia="宋体" w:hint="default"/>
          <w:sz w:val="21"/>
          <w:szCs w:val="21"/>
        </w:rPr>
        <w:t>资料来源：中国煤炭工业协会3月27日发布的《2017煤炭行业发展年度报告》</w:t>
      </w:r>
    </w:p>
    <w:p>
      <w:pPr>
        <w:spacing w:line="240" w:lineRule="auto" w:before="10"/>
        <w:rPr>
          <w:rFonts w:ascii="宋体" w:hAnsi="宋体" w:cs="宋体" w:eastAsia="宋体" w:hint="default"/>
          <w:sz w:val="14"/>
          <w:szCs w:val="14"/>
        </w:rPr>
      </w:pPr>
    </w:p>
    <w:p>
      <w:pPr>
        <w:spacing w:line="408" w:lineRule="auto" w:before="0"/>
        <w:ind w:left="112" w:right="103" w:firstLine="42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4"/>
          <w:sz w:val="21"/>
          <w:szCs w:val="21"/>
        </w:rPr>
        <w:t> </w:t>
      </w:r>
      <w:r>
        <w:rPr>
          <w:rFonts w:ascii="宋体" w:hAnsi="宋体" w:cs="宋体" w:eastAsia="宋体" w:hint="default"/>
          <w:sz w:val="21"/>
          <w:szCs w:val="21"/>
        </w:rPr>
        <w:t>年，煤炭行业供给侧结构性改革进一步深化，随着煤炭去产能的持续推进，煤炭价格企稳回升，</w:t>
      </w:r>
      <w:r>
        <w:rPr>
          <w:rFonts w:ascii="宋体" w:hAnsi="宋体" w:cs="宋体" w:eastAsia="宋体" w:hint="default"/>
          <w:w w:val="99"/>
          <w:sz w:val="21"/>
          <w:szCs w:val="21"/>
        </w:rPr>
        <w:t> </w:t>
      </w:r>
      <w:r>
        <w:rPr>
          <w:rFonts w:ascii="宋体" w:hAnsi="宋体" w:cs="宋体" w:eastAsia="宋体" w:hint="default"/>
          <w:sz w:val="21"/>
          <w:szCs w:val="21"/>
        </w:rPr>
        <w:t>供需格局得到改善，煤炭企业盈利能力增强。预计未来我国煤价将保持稳定。煤炭仍为中国主导能源，短</w:t>
      </w:r>
    </w:p>
    <w:p>
      <w:pPr>
        <w:spacing w:after="0" w:line="408" w:lineRule="auto"/>
        <w:jc w:val="left"/>
        <w:rPr>
          <w:rFonts w:ascii="宋体" w:hAnsi="宋体" w:cs="宋体" w:eastAsia="宋体" w:hint="default"/>
          <w:sz w:val="21"/>
          <w:szCs w:val="21"/>
        </w:rPr>
        <w:sectPr>
          <w:footerReference w:type="default" r:id="rId16"/>
          <w:pgSz w:w="11910" w:h="16840"/>
          <w:pgMar w:footer="1013" w:header="907"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期内难以改变。在可预见的将来，随着宏观经济的发展、能源需求的增加以及国家煤炭行业政策的影响逐</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渐显现，为煤炭提供安全装备、信息化建设等各项产品、技术及其他服务的行业将会进一步好转。更为重</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要的是，自2018</w:t>
      </w:r>
      <w:r>
        <w:rPr>
          <w:rFonts w:ascii="宋体" w:hAnsi="宋体" w:cs="宋体" w:eastAsia="宋体" w:hint="default"/>
          <w:spacing w:val="-12"/>
          <w:sz w:val="21"/>
          <w:szCs w:val="21"/>
        </w:rPr>
        <w:t> </w:t>
      </w:r>
      <w:r>
        <w:rPr>
          <w:rFonts w:ascii="宋体" w:hAnsi="宋体" w:cs="宋体" w:eastAsia="宋体" w:hint="default"/>
          <w:sz w:val="21"/>
          <w:szCs w:val="21"/>
        </w:rPr>
        <w:t>年开始，全国产煤企业将进行第四次安全监控系统升级换代工作，无疑将为公司的更好</w:t>
      </w:r>
      <w:r>
        <w:rPr>
          <w:rFonts w:ascii="宋体" w:hAnsi="宋体" w:cs="宋体" w:eastAsia="宋体" w:hint="default"/>
          <w:w w:val="99"/>
          <w:sz w:val="21"/>
          <w:szCs w:val="21"/>
        </w:rPr>
        <w:t> </w:t>
      </w:r>
      <w:r>
        <w:rPr>
          <w:rFonts w:ascii="宋体" w:hAnsi="宋体" w:cs="宋体" w:eastAsia="宋体" w:hint="default"/>
          <w:sz w:val="21"/>
          <w:szCs w:val="21"/>
        </w:rPr>
        <w:t>发展带来新的机会。</w:t>
      </w:r>
    </w:p>
    <w:p>
      <w:pPr>
        <w:spacing w:line="408" w:lineRule="auto" w:before="46"/>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在国家大力推进结构化改革，强力去产能的政策推动下，煤炭行业开始复苏，矿山企业的经济效益出</w:t>
      </w:r>
      <w:r>
        <w:rPr>
          <w:rFonts w:ascii="宋体" w:hAnsi="宋体" w:cs="宋体" w:eastAsia="宋体" w:hint="default"/>
          <w:w w:val="99"/>
          <w:sz w:val="21"/>
          <w:szCs w:val="21"/>
        </w:rPr>
        <w:t> </w:t>
      </w:r>
      <w:r>
        <w:rPr>
          <w:rFonts w:ascii="宋体" w:hAnsi="宋体" w:cs="宋体" w:eastAsia="宋体" w:hint="default"/>
          <w:w w:val="95"/>
          <w:sz w:val="21"/>
          <w:szCs w:val="21"/>
        </w:rPr>
        <w:t>现好转。煤矿生产涉及人员及财产安全，国家一直高度重视，是一个永恒话题，因此公司必须抓住当前行</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业形势好转的机遇，充分利用公司在该领域尤其是煤矿顶板安全的技术和经验优势，加强生产和销售，继</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续保持行业领先地位，创造更大经济效益回报股东。</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（二）公司发展战略</w:t>
      </w:r>
      <w:r>
        <w:rPr>
          <w:rFonts w:ascii="宋体" w:hAnsi="宋体" w:cs="宋体" w:eastAsia="宋体" w:hint="default"/>
          <w:w w:val="99"/>
          <w:sz w:val="21"/>
          <w:szCs w:val="21"/>
        </w:rPr>
        <w:t> </w:t>
      </w:r>
      <w:r>
        <w:rPr>
          <w:rFonts w:ascii="宋体" w:hAnsi="宋体" w:cs="宋体" w:eastAsia="宋体" w:hint="default"/>
          <w:w w:val="95"/>
          <w:sz w:val="21"/>
          <w:szCs w:val="21"/>
        </w:rPr>
        <w:t>公司已形成军工业务、煤矿安全业务及通信业务三大业务板块，未来，公司推进的“行业转型、产品</w:t>
      </w:r>
      <w:r>
        <w:rPr>
          <w:rFonts w:ascii="宋体" w:hAnsi="宋体" w:cs="宋体" w:eastAsia="宋体" w:hint="default"/>
          <w:sz w:val="21"/>
          <w:szCs w:val="21"/>
        </w:rPr>
      </w:r>
    </w:p>
    <w:p>
      <w:pPr>
        <w:spacing w:line="408" w:lineRule="auto" w:before="46"/>
        <w:ind w:left="112" w:right="215" w:firstLine="0"/>
        <w:jc w:val="both"/>
        <w:rPr>
          <w:rFonts w:ascii="宋体" w:hAnsi="宋体" w:cs="宋体" w:eastAsia="宋体" w:hint="default"/>
          <w:sz w:val="21"/>
          <w:szCs w:val="21"/>
        </w:rPr>
      </w:pPr>
      <w:r>
        <w:rPr>
          <w:rFonts w:ascii="宋体" w:hAnsi="宋体" w:cs="宋体" w:eastAsia="宋体" w:hint="default"/>
          <w:w w:val="95"/>
          <w:sz w:val="21"/>
          <w:szCs w:val="21"/>
        </w:rPr>
        <w:t>转型”的发展战略，将有所侧重，重点推进产品转型。优化业务构架与管理层级，将上市公司母公司打造</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为控股管理平台，提高公司经营管理效率，将进一步完善内控管理制度，以对整合后的业务实现科学有效</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的管理和监督。</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（三）2018年经营计划</w:t>
      </w:r>
      <w:r>
        <w:rPr>
          <w:rFonts w:ascii="宋体" w:hAnsi="宋体" w:cs="宋体" w:eastAsia="宋体" w:hint="default"/>
          <w:w w:val="99"/>
          <w:sz w:val="21"/>
          <w:szCs w:val="21"/>
        </w:rPr>
        <w:t> </w:t>
      </w:r>
      <w:r>
        <w:rPr>
          <w:rFonts w:ascii="宋体" w:hAnsi="宋体" w:cs="宋体" w:eastAsia="宋体" w:hint="default"/>
          <w:w w:val="95"/>
          <w:sz w:val="21"/>
          <w:szCs w:val="21"/>
        </w:rPr>
        <w:t>2018年，公司将进一步落实发展战略及董事会制定的经营方针。坚持技术创新和管理创新，加大研发</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投入、进一步提高公司技术创新能力，加强员工队伍素质建设和管理水平建设，继续坚持核心技术的研发</w:t>
      </w:r>
      <w:r>
        <w:rPr>
          <w:rFonts w:ascii="宋体" w:hAnsi="宋体" w:cs="宋体" w:eastAsia="宋体" w:hint="default"/>
          <w:w w:val="99"/>
          <w:sz w:val="21"/>
          <w:szCs w:val="21"/>
        </w:rPr>
        <w:t> </w:t>
      </w:r>
      <w:r>
        <w:rPr>
          <w:rFonts w:ascii="宋体" w:hAnsi="宋体" w:cs="宋体" w:eastAsia="宋体" w:hint="default"/>
          <w:spacing w:val="-3"/>
          <w:sz w:val="21"/>
          <w:szCs w:val="21"/>
        </w:rPr>
        <w:t>提升产品附加值，提升市场份额，增强公司盈利能力，在公司现有积累的市场基础上进一步开拓新的市场，</w:t>
      </w:r>
      <w:r>
        <w:rPr>
          <w:rFonts w:ascii="宋体" w:hAnsi="宋体" w:cs="宋体" w:eastAsia="宋体" w:hint="default"/>
          <w:w w:val="99"/>
          <w:sz w:val="21"/>
          <w:szCs w:val="21"/>
        </w:rPr>
        <w:t> </w:t>
      </w:r>
      <w:r>
        <w:rPr>
          <w:rFonts w:ascii="宋体" w:hAnsi="宋体" w:cs="宋体" w:eastAsia="宋体" w:hint="default"/>
          <w:sz w:val="21"/>
          <w:szCs w:val="21"/>
        </w:rPr>
        <w:t>积极应对市场变化，实现销售的持续快速发展，同时，持续加强内部控制和规范运作，全面提升企业的经</w:t>
      </w:r>
      <w:r>
        <w:rPr>
          <w:rFonts w:ascii="宋体" w:hAnsi="宋体" w:cs="宋体" w:eastAsia="宋体" w:hint="default"/>
          <w:w w:val="99"/>
          <w:sz w:val="21"/>
          <w:szCs w:val="21"/>
        </w:rPr>
        <w:t> </w:t>
      </w:r>
      <w:r>
        <w:rPr>
          <w:rFonts w:ascii="宋体" w:hAnsi="宋体" w:cs="宋体" w:eastAsia="宋体" w:hint="default"/>
          <w:sz w:val="21"/>
          <w:szCs w:val="21"/>
        </w:rPr>
        <w:t>营管理效率和市场竞争力，以保持公司持续健康发展。</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具体来说，公司2018年经营计划如下：</w:t>
      </w:r>
      <w:r>
        <w:rPr>
          <w:rFonts w:ascii="宋体" w:hAnsi="宋体" w:cs="宋体" w:eastAsia="宋体" w:hint="default"/>
          <w:w w:val="99"/>
          <w:sz w:val="21"/>
          <w:szCs w:val="21"/>
        </w:rPr>
        <w:t> </w:t>
      </w:r>
      <w:r>
        <w:rPr>
          <w:rFonts w:ascii="宋体" w:hAnsi="宋体" w:cs="宋体" w:eastAsia="宋体" w:hint="default"/>
          <w:w w:val="95"/>
          <w:sz w:val="21"/>
          <w:szCs w:val="21"/>
        </w:rPr>
        <w:t>1、完成集团管控体系的建设，提高公司经营管理效率，优化业务构架与管理层级，促进公司健康稳</w:t>
      </w:r>
      <w:r>
        <w:rPr>
          <w:rFonts w:ascii="宋体" w:hAnsi="宋体" w:cs="宋体" w:eastAsia="宋体" w:hint="default"/>
          <w:sz w:val="21"/>
          <w:szCs w:val="21"/>
        </w:rPr>
      </w:r>
    </w:p>
    <w:p>
      <w:pPr>
        <w:spacing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定发展，将除股权投资之外的与煤矿安全业务相关的资产、负债、人员整体划转下沉至全资子公司尤洛卡</w:t>
      </w:r>
    </w:p>
    <w:p>
      <w:pPr>
        <w:spacing w:line="240" w:lineRule="auto" w:before="10"/>
        <w:rPr>
          <w:rFonts w:ascii="宋体" w:hAnsi="宋体" w:cs="宋体" w:eastAsia="宋体" w:hint="default"/>
          <w:sz w:val="14"/>
          <w:szCs w:val="14"/>
        </w:rPr>
      </w:pPr>
    </w:p>
    <w:p>
      <w:pPr>
        <w:spacing w:line="408" w:lineRule="auto" w:before="0"/>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（山东）环境工程有限公司。上市公司母公司将调整为控股管理平台，将进一步完善内控管理制度，以对</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整合后的业务实现科学有效的管理和监督。</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2、军工业务方面，首先，公司将继续保持和扩大在导弹制导系统领域的市场优势和技术优势，进一</w:t>
      </w:r>
      <w:r>
        <w:rPr>
          <w:rFonts w:ascii="宋体" w:hAnsi="宋体" w:cs="宋体" w:eastAsia="宋体" w:hint="default"/>
          <w:w w:val="99"/>
          <w:sz w:val="21"/>
          <w:szCs w:val="21"/>
        </w:rPr>
        <w:t> </w:t>
      </w:r>
      <w:r>
        <w:rPr>
          <w:rFonts w:ascii="宋体" w:hAnsi="宋体" w:cs="宋体" w:eastAsia="宋体" w:hint="default"/>
          <w:w w:val="95"/>
          <w:sz w:val="21"/>
          <w:szCs w:val="21"/>
        </w:rPr>
        <w:t>步提高细分市场占有率，对完成更新换代后的手持式制导系统产品，扩大市场销售。其次，国家、军队的</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信息安全体系明确了自主可控的要求，为掌握核心技术的民营企业带来广阔的发展空间，争取研发更多的</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国产自主可控交换机入围自主可控认证资格名单，并实现销售收入。最后，国防信息化方面，继续在国防</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地下工程及警用、军用通信车项目加大研发投入，丰富其相关产品规格，不断推出系列化产品。</w:t>
      </w:r>
    </w:p>
    <w:p>
      <w:pPr>
        <w:spacing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在军民融合方面，继续加强军工光电精密加工和应用技术民用化探索，争取在医学领域、常规武器等</w:t>
      </w:r>
    </w:p>
    <w:p>
      <w:pPr>
        <w:spacing w:after="0"/>
        <w:jc w:val="left"/>
        <w:rPr>
          <w:rFonts w:ascii="宋体" w:hAnsi="宋体" w:cs="宋体" w:eastAsia="宋体" w:hint="default"/>
          <w:sz w:val="21"/>
          <w:szCs w:val="21"/>
        </w:rPr>
        <w:sectPr>
          <w:footerReference w:type="default" r:id="rId18"/>
          <w:pgSz w:w="11910" w:h="16840"/>
          <w:pgMar w:footer="1013" w:header="907" w:top="1100" w:bottom="1200" w:left="1020" w:right="920"/>
          <w:pgNumType w:start="30"/>
        </w:sectPr>
      </w:pPr>
    </w:p>
    <w:p>
      <w:pPr>
        <w:spacing w:line="240" w:lineRule="auto" w:before="9"/>
        <w:rPr>
          <w:rFonts w:ascii="宋体" w:hAnsi="宋体" w:cs="宋体" w:eastAsia="宋体" w:hint="default"/>
          <w:sz w:val="27"/>
          <w:szCs w:val="27"/>
        </w:rPr>
      </w:pPr>
    </w:p>
    <w:p>
      <w:pPr>
        <w:spacing w:line="408" w:lineRule="auto" w:before="34"/>
        <w:ind w:left="532" w:right="105" w:hanging="420"/>
        <w:jc w:val="left"/>
        <w:rPr>
          <w:rFonts w:ascii="宋体" w:hAnsi="宋体" w:cs="宋体" w:eastAsia="宋体" w:hint="default"/>
          <w:sz w:val="21"/>
          <w:szCs w:val="21"/>
        </w:rPr>
      </w:pPr>
      <w:r>
        <w:rPr>
          <w:rFonts w:ascii="宋体" w:hAnsi="宋体" w:cs="宋体" w:eastAsia="宋体" w:hint="default"/>
          <w:sz w:val="21"/>
          <w:szCs w:val="21"/>
        </w:rPr>
        <w:t>方面，开展新的业务，实现收入。</w:t>
      </w:r>
      <w:r>
        <w:rPr>
          <w:rFonts w:ascii="宋体" w:hAnsi="宋体" w:cs="宋体" w:eastAsia="宋体" w:hint="default"/>
          <w:w w:val="99"/>
          <w:sz w:val="21"/>
          <w:szCs w:val="21"/>
        </w:rPr>
        <w:t> </w:t>
      </w:r>
      <w:r>
        <w:rPr>
          <w:rFonts w:ascii="宋体" w:hAnsi="宋体" w:cs="宋体" w:eastAsia="宋体" w:hint="default"/>
          <w:w w:val="95"/>
          <w:sz w:val="21"/>
          <w:szCs w:val="21"/>
        </w:rPr>
        <w:t>3、煤矿安全业务方面，必须抓住当前行业形势好转的机遇，充分利用公司在该领域尤其是煤矿顶板</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安全的技术和经验优势，加强生产和销售，继续保持行业领先地位；重点做好安全智能运输系统等新产品</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的市场拓展工作，降低生产成本，实现量产和销售，进一步提升公司的盈利能力与可持续发展能力。</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pacing w:val="-9"/>
          <w:sz w:val="21"/>
          <w:szCs w:val="21"/>
        </w:rPr>
        <w:t>4、通信业务方面，公司主力产品“</w:t>
      </w:r>
      <w:r>
        <w:rPr>
          <w:rFonts w:ascii="宋体" w:hAnsi="宋体" w:cs="宋体" w:eastAsia="宋体" w:hint="default"/>
          <w:spacing w:val="-4"/>
          <w:sz w:val="21"/>
          <w:szCs w:val="21"/>
        </w:rPr>
        <w:t> </w:t>
      </w:r>
      <w:r>
        <w:rPr>
          <w:rFonts w:ascii="宋体" w:hAnsi="宋体" w:cs="宋体" w:eastAsia="宋体" w:hint="default"/>
          <w:sz w:val="21"/>
          <w:szCs w:val="21"/>
        </w:rPr>
        <w:t>高铁车载旅客</w:t>
      </w:r>
      <w:r>
        <w:rPr>
          <w:rFonts w:ascii="宋体" w:hAnsi="宋体" w:cs="宋体" w:eastAsia="宋体" w:hint="default"/>
          <w:spacing w:val="-2"/>
          <w:sz w:val="21"/>
          <w:szCs w:val="21"/>
        </w:rPr>
        <w:t> </w:t>
      </w:r>
      <w:r>
        <w:rPr>
          <w:rFonts w:ascii="宋体" w:hAnsi="宋体" w:cs="宋体" w:eastAsia="宋体" w:hint="default"/>
          <w:sz w:val="21"/>
          <w:szCs w:val="21"/>
        </w:rPr>
        <w:t>wifi</w:t>
      </w:r>
      <w:r>
        <w:rPr>
          <w:rFonts w:ascii="宋体" w:hAnsi="宋体" w:cs="宋体" w:eastAsia="宋体" w:hint="default"/>
          <w:spacing w:val="-5"/>
          <w:sz w:val="21"/>
          <w:szCs w:val="21"/>
        </w:rPr>
        <w:t> </w:t>
      </w:r>
      <w:r>
        <w:rPr>
          <w:rFonts w:ascii="宋体" w:hAnsi="宋体" w:cs="宋体" w:eastAsia="宋体" w:hint="default"/>
          <w:sz w:val="21"/>
          <w:szCs w:val="21"/>
        </w:rPr>
        <w:t>上网系统”</w:t>
      </w:r>
      <w:r>
        <w:rPr>
          <w:rFonts w:ascii="宋体" w:hAnsi="宋体" w:cs="宋体" w:eastAsia="宋体" w:hint="default"/>
          <w:spacing w:val="-48"/>
          <w:sz w:val="21"/>
          <w:szCs w:val="21"/>
        </w:rPr>
        <w:t> </w:t>
      </w:r>
      <w:r>
        <w:rPr>
          <w:rFonts w:ascii="宋体" w:hAnsi="宋体" w:cs="宋体" w:eastAsia="宋体" w:hint="default"/>
          <w:sz w:val="21"/>
          <w:szCs w:val="21"/>
        </w:rPr>
        <w:t>在2017年内实现了市场突破。</w:t>
      </w:r>
      <w:r>
        <w:rPr>
          <w:rFonts w:ascii="宋体" w:hAnsi="宋体" w:cs="宋体" w:eastAsia="宋体" w:hint="default"/>
          <w:spacing w:val="-48"/>
          <w:sz w:val="21"/>
          <w:szCs w:val="21"/>
        </w:rPr>
        <w:t> </w:t>
      </w:r>
      <w:r>
        <w:rPr>
          <w:rFonts w:ascii="宋体" w:hAnsi="宋体" w:cs="宋体" w:eastAsia="宋体" w:hint="default"/>
          <w:sz w:val="21"/>
          <w:szCs w:val="21"/>
        </w:rPr>
        <w:t>复</w:t>
      </w:r>
      <w:r>
        <w:rPr>
          <w:rFonts w:ascii="宋体" w:hAnsi="宋体" w:cs="宋体" w:eastAsia="宋体" w:hint="default"/>
          <w:w w:val="99"/>
          <w:sz w:val="21"/>
          <w:szCs w:val="21"/>
        </w:rPr>
        <w:t> </w:t>
      </w:r>
      <w:r>
        <w:rPr>
          <w:rFonts w:ascii="宋体" w:hAnsi="宋体" w:cs="宋体" w:eastAsia="宋体" w:hint="default"/>
          <w:sz w:val="21"/>
          <w:szCs w:val="21"/>
        </w:rPr>
        <w:t>兴号动车组的上网系统将在未来成为高铁设备的标准配置设置，在未来三年内产生900列车的出厂预装市</w:t>
      </w:r>
      <w:r>
        <w:rPr>
          <w:rFonts w:ascii="宋体" w:hAnsi="宋体" w:cs="宋体" w:eastAsia="宋体" w:hint="default"/>
          <w:w w:val="99"/>
          <w:sz w:val="21"/>
          <w:szCs w:val="21"/>
        </w:rPr>
        <w:t> </w:t>
      </w:r>
      <w:r>
        <w:rPr>
          <w:rFonts w:ascii="宋体" w:hAnsi="宋体" w:cs="宋体" w:eastAsia="宋体" w:hint="default"/>
          <w:spacing w:val="-3"/>
          <w:sz w:val="21"/>
          <w:szCs w:val="21"/>
        </w:rPr>
        <w:t>场。同时，针对既有2000列车的加装改造工作也将在2018年启动，带来集中采购的机会，公司应抓住机遇，</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扩大市场份额。</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5、加大区块链业务的研发和市场开拓力度，做好在中国铁塔股份有限公司的推广应用，做好目前中</w:t>
      </w:r>
      <w:r>
        <w:rPr>
          <w:rFonts w:ascii="宋体" w:hAnsi="宋体" w:cs="宋体" w:eastAsia="宋体" w:hint="default"/>
          <w:w w:val="99"/>
          <w:sz w:val="21"/>
          <w:szCs w:val="21"/>
        </w:rPr>
        <w:t> </w:t>
      </w:r>
      <w:r>
        <w:rPr>
          <w:rFonts w:ascii="宋体" w:hAnsi="宋体" w:cs="宋体" w:eastAsia="宋体" w:hint="default"/>
          <w:w w:val="95"/>
          <w:sz w:val="21"/>
          <w:szCs w:val="21"/>
        </w:rPr>
        <w:t>标合同的履行，实现收入；同时跟踪电信运营商、医药健康、质量检测等应用领域，围绕行业客户的需求</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与区块链技术的特点，不断研发投入，为行业信息化提供系统解决方案。</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6、加大创新板块的研发投入力度，创新板块是公司围绕智慧健康产业，智慧制造产业而进入的全新</w:t>
      </w:r>
      <w:r>
        <w:rPr>
          <w:rFonts w:ascii="宋体" w:hAnsi="宋体" w:cs="宋体" w:eastAsia="宋体" w:hint="default"/>
          <w:w w:val="99"/>
          <w:sz w:val="21"/>
          <w:szCs w:val="21"/>
        </w:rPr>
        <w:t> </w:t>
      </w:r>
      <w:r>
        <w:rPr>
          <w:rFonts w:ascii="宋体" w:hAnsi="宋体" w:cs="宋体" w:eastAsia="宋体" w:hint="default"/>
          <w:spacing w:val="-3"/>
          <w:sz w:val="21"/>
          <w:szCs w:val="21"/>
        </w:rPr>
        <w:t>领域，是公司基于信息技术上的适度多元化的产业分支，是公司2018年乃至未来五年的重点研发方向之一。</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7、2018年，为满足公司规模扩张、市场开拓等因素产生的高级人才需求，公司将进一步加强管理团</w:t>
      </w:r>
      <w:r>
        <w:rPr>
          <w:rFonts w:ascii="宋体" w:hAnsi="宋体" w:cs="宋体" w:eastAsia="宋体" w:hint="default"/>
          <w:w w:val="99"/>
          <w:sz w:val="21"/>
          <w:szCs w:val="21"/>
        </w:rPr>
        <w:t> </w:t>
      </w:r>
      <w:r>
        <w:rPr>
          <w:rFonts w:ascii="宋体" w:hAnsi="宋体" w:cs="宋体" w:eastAsia="宋体" w:hint="default"/>
          <w:sz w:val="21"/>
          <w:szCs w:val="21"/>
        </w:rPr>
        <w:t>队建设，通过内部培养与外部引进两种方式建立业务队伍，一方面积极引进高素质的技术开发人才，另一</w:t>
      </w:r>
      <w:r>
        <w:rPr>
          <w:rFonts w:ascii="宋体" w:hAnsi="宋体" w:cs="宋体" w:eastAsia="宋体" w:hint="default"/>
          <w:w w:val="99"/>
          <w:sz w:val="21"/>
          <w:szCs w:val="21"/>
        </w:rPr>
        <w:t> </w:t>
      </w:r>
      <w:r>
        <w:rPr>
          <w:rFonts w:ascii="宋体" w:hAnsi="宋体" w:cs="宋体" w:eastAsia="宋体" w:hint="default"/>
          <w:spacing w:val="-3"/>
          <w:sz w:val="21"/>
          <w:szCs w:val="21"/>
        </w:rPr>
        <w:t>方面公司内部积极培养、选拔、引进营销人才、管理人才。在人才结构方面，注重协调研发、营销、服务、</w:t>
      </w:r>
      <w:r>
        <w:rPr>
          <w:rFonts w:ascii="宋体" w:hAnsi="宋体" w:cs="宋体" w:eastAsia="宋体" w:hint="default"/>
          <w:w w:val="99"/>
          <w:sz w:val="21"/>
          <w:szCs w:val="21"/>
        </w:rPr>
        <w:t> </w:t>
      </w:r>
      <w:r>
        <w:rPr>
          <w:rFonts w:ascii="宋体" w:hAnsi="宋体" w:cs="宋体" w:eastAsia="宋体" w:hint="default"/>
          <w:sz w:val="21"/>
          <w:szCs w:val="21"/>
        </w:rPr>
        <w:t>技术、生产、管理等方面的人员比例，注意不同年龄结构配比，科学、合理配置和优化人才结构。建立有</w:t>
      </w:r>
      <w:r>
        <w:rPr>
          <w:rFonts w:ascii="宋体" w:hAnsi="宋体" w:cs="宋体" w:eastAsia="宋体" w:hint="default"/>
          <w:w w:val="99"/>
          <w:sz w:val="21"/>
          <w:szCs w:val="21"/>
        </w:rPr>
        <w:t> </w:t>
      </w:r>
      <w:r>
        <w:rPr>
          <w:rFonts w:ascii="宋体" w:hAnsi="宋体" w:cs="宋体" w:eastAsia="宋体" w:hint="default"/>
          <w:sz w:val="21"/>
          <w:szCs w:val="21"/>
        </w:rPr>
        <w:t>序的岗位竞争、激励、淘汰机制，增加岗位流通性，充分发挥员工的主观能动性，为员工提供职业发展的</w:t>
      </w:r>
      <w:r>
        <w:rPr>
          <w:rFonts w:ascii="宋体" w:hAnsi="宋体" w:cs="宋体" w:eastAsia="宋体" w:hint="default"/>
          <w:w w:val="99"/>
          <w:sz w:val="21"/>
          <w:szCs w:val="21"/>
        </w:rPr>
        <w:t> </w:t>
      </w:r>
      <w:r>
        <w:rPr>
          <w:rFonts w:ascii="宋体" w:hAnsi="宋体" w:cs="宋体" w:eastAsia="宋体" w:hint="default"/>
          <w:sz w:val="21"/>
          <w:szCs w:val="21"/>
        </w:rPr>
        <w:t>广阔空间与平台。</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8、进一步提高公司治理水平。公司将严格遵守国家法律法规和公司章程的规定，不断的完善法人治</w:t>
      </w:r>
      <w:r>
        <w:rPr>
          <w:rFonts w:ascii="宋体" w:hAnsi="宋体" w:cs="宋体" w:eastAsia="宋体" w:hint="default"/>
          <w:w w:val="99"/>
          <w:sz w:val="21"/>
          <w:szCs w:val="21"/>
        </w:rPr>
        <w:t> </w:t>
      </w:r>
      <w:r>
        <w:rPr>
          <w:rFonts w:ascii="宋体" w:hAnsi="宋体" w:cs="宋体" w:eastAsia="宋体" w:hint="default"/>
          <w:sz w:val="21"/>
          <w:szCs w:val="21"/>
        </w:rPr>
        <w:t>理结构，形成各组织结构清晰，互相制衡的营运体制。按照企业发展计划的要求，充实完善各项制度，形</w:t>
      </w:r>
      <w:r>
        <w:rPr>
          <w:rFonts w:ascii="宋体" w:hAnsi="宋体" w:cs="宋体" w:eastAsia="宋体" w:hint="default"/>
          <w:w w:val="99"/>
          <w:sz w:val="21"/>
          <w:szCs w:val="21"/>
        </w:rPr>
        <w:t> </w:t>
      </w:r>
      <w:r>
        <w:rPr>
          <w:rFonts w:ascii="宋体" w:hAnsi="宋体" w:cs="宋体" w:eastAsia="宋体" w:hint="default"/>
          <w:spacing w:val="-3"/>
          <w:sz w:val="21"/>
          <w:szCs w:val="21"/>
        </w:rPr>
        <w:t>成健全的公司管理机制以提高公司的管理水平，公司将建立良好的信息披露制度，重视公司社会责任活动，</w:t>
      </w:r>
      <w:r>
        <w:rPr>
          <w:rFonts w:ascii="宋体" w:hAnsi="宋体" w:cs="宋体" w:eastAsia="宋体" w:hint="default"/>
          <w:w w:val="99"/>
          <w:sz w:val="21"/>
          <w:szCs w:val="21"/>
        </w:rPr>
        <w:t> </w:t>
      </w:r>
      <w:r>
        <w:rPr>
          <w:rFonts w:ascii="宋体" w:hAnsi="宋体" w:cs="宋体" w:eastAsia="宋体" w:hint="default"/>
          <w:sz w:val="21"/>
          <w:szCs w:val="21"/>
        </w:rPr>
        <w:t>树立并维护公司良好的社会形象，提高公司知名度。</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pacing w:val="-3"/>
          <w:sz w:val="21"/>
          <w:szCs w:val="21"/>
        </w:rPr>
        <w:t>特别提示：公司上述经营目标不代表公司对2018年度的盈利预测，能否顺利实现取决于市场状况变化、</w:t>
      </w:r>
      <w:r>
        <w:rPr>
          <w:rFonts w:ascii="宋体" w:hAnsi="宋体" w:cs="宋体" w:eastAsia="宋体" w:hint="default"/>
          <w:w w:val="99"/>
          <w:sz w:val="21"/>
          <w:szCs w:val="21"/>
        </w:rPr>
        <w:t> </w:t>
      </w:r>
      <w:r>
        <w:rPr>
          <w:rFonts w:ascii="宋体" w:hAnsi="宋体" w:cs="宋体" w:eastAsia="宋体" w:hint="default"/>
          <w:sz w:val="21"/>
          <w:szCs w:val="21"/>
        </w:rPr>
        <w:t>经营团队的努力程度等多种因素，存在一定的不确定性，敬请广大投资者和本年度报告阅读人特别留意。</w:t>
      </w:r>
    </w:p>
    <w:p>
      <w:pPr>
        <w:spacing w:line="408" w:lineRule="auto" w:before="46"/>
        <w:ind w:left="532" w:right="854" w:firstLine="0"/>
        <w:jc w:val="left"/>
        <w:rPr>
          <w:rFonts w:ascii="宋体" w:hAnsi="宋体" w:cs="宋体" w:eastAsia="宋体" w:hint="default"/>
          <w:sz w:val="21"/>
          <w:szCs w:val="21"/>
        </w:rPr>
      </w:pPr>
      <w:r>
        <w:rPr>
          <w:rFonts w:ascii="宋体" w:hAnsi="宋体" w:cs="宋体" w:eastAsia="宋体" w:hint="default"/>
          <w:w w:val="95"/>
          <w:sz w:val="21"/>
          <w:szCs w:val="21"/>
        </w:rPr>
        <w:t>（四）除在本报告前面所提示的风险外，还要重点关注如下几个风险：</w:t>
      </w:r>
      <w:r>
        <w:rPr>
          <w:rFonts w:ascii="宋体" w:hAnsi="宋体" w:cs="宋体" w:eastAsia="宋体" w:hint="default"/>
          <w:spacing w:val="10"/>
          <w:w w:val="95"/>
          <w:sz w:val="21"/>
          <w:szCs w:val="21"/>
        </w:rPr>
        <w:t> </w:t>
      </w:r>
      <w:r>
        <w:rPr>
          <w:rFonts w:ascii="宋体" w:hAnsi="宋体" w:cs="宋体" w:eastAsia="宋体" w:hint="default"/>
          <w:spacing w:val="10"/>
          <w:w w:val="95"/>
          <w:sz w:val="21"/>
          <w:szCs w:val="21"/>
        </w:rPr>
      </w:r>
      <w:r>
        <w:rPr>
          <w:rFonts w:ascii="宋体" w:hAnsi="宋体" w:cs="宋体" w:eastAsia="宋体" w:hint="default"/>
          <w:sz w:val="21"/>
          <w:szCs w:val="21"/>
        </w:rPr>
        <w:t>1、客户集中度较高的风险</w:t>
      </w:r>
    </w:p>
    <w:p>
      <w:pPr>
        <w:spacing w:line="408" w:lineRule="auto" w:before="46"/>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公司主要业务集中在少数几个客户，存在客户集中度较高的风险。公司已经与主要客户建立了战略合</w:t>
      </w:r>
      <w:r>
        <w:rPr>
          <w:rFonts w:ascii="宋体" w:hAnsi="宋体" w:cs="宋体" w:eastAsia="宋体" w:hint="default"/>
          <w:w w:val="99"/>
          <w:sz w:val="21"/>
          <w:szCs w:val="21"/>
        </w:rPr>
        <w:t> </w:t>
      </w:r>
      <w:r>
        <w:rPr>
          <w:rFonts w:ascii="宋体" w:hAnsi="宋体" w:cs="宋体" w:eastAsia="宋体" w:hint="default"/>
          <w:w w:val="95"/>
          <w:sz w:val="21"/>
          <w:szCs w:val="21"/>
        </w:rPr>
        <w:t>作伙伴关系，并不断开发新产品，开拓新客户。如果客户要求有变化，可能出现销售延期实现或取消的情   </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形。</w:t>
      </w:r>
    </w:p>
    <w:p>
      <w:pPr>
        <w:spacing w:after="0" w:line="408" w:lineRule="auto"/>
        <w:jc w:val="both"/>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532" w:right="105" w:firstLine="0"/>
        <w:jc w:val="left"/>
        <w:rPr>
          <w:rFonts w:ascii="宋体" w:hAnsi="宋体" w:cs="宋体" w:eastAsia="宋体" w:hint="default"/>
          <w:sz w:val="21"/>
          <w:szCs w:val="21"/>
        </w:rPr>
      </w:pPr>
      <w:r>
        <w:rPr>
          <w:rFonts w:ascii="宋体" w:hAnsi="宋体" w:cs="宋体" w:eastAsia="宋体" w:hint="default"/>
          <w:sz w:val="21"/>
          <w:szCs w:val="21"/>
        </w:rPr>
        <w:t>2、应收账款增大的风险</w:t>
      </w:r>
      <w:r>
        <w:rPr>
          <w:rFonts w:ascii="宋体" w:hAnsi="宋体" w:cs="宋体" w:eastAsia="宋体" w:hint="default"/>
          <w:w w:val="99"/>
          <w:sz w:val="21"/>
          <w:szCs w:val="21"/>
        </w:rPr>
        <w:t> </w:t>
      </w:r>
      <w:r>
        <w:rPr>
          <w:rFonts w:ascii="宋体" w:hAnsi="宋体" w:cs="宋体" w:eastAsia="宋体" w:hint="default"/>
          <w:w w:val="95"/>
          <w:sz w:val="21"/>
          <w:szCs w:val="21"/>
        </w:rPr>
        <w:t>随着业务规模的扩大，公司应收账款金额增加较快，公司的应收账款占总资产的比例较高，虽然绝大</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部分应收账款的账龄在1年以内，且应收货款集中在财务状况良好的大中型企业，客户信用良好，收回风</w:t>
      </w:r>
      <w:r>
        <w:rPr>
          <w:rFonts w:ascii="宋体" w:hAnsi="宋体" w:cs="宋体" w:eastAsia="宋体" w:hint="default"/>
          <w:w w:val="99"/>
          <w:sz w:val="21"/>
          <w:szCs w:val="21"/>
        </w:rPr>
        <w:t> </w:t>
      </w:r>
      <w:r>
        <w:rPr>
          <w:rFonts w:ascii="宋体" w:hAnsi="宋体" w:cs="宋体" w:eastAsia="宋体" w:hint="default"/>
          <w:w w:val="95"/>
          <w:sz w:val="21"/>
          <w:szCs w:val="21"/>
        </w:rPr>
        <w:t>险不大，但是仍然存在部分应收账款不能及时收回的可能性。同时，应收账款增加了对公司资金的占用，</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w w:val="95"/>
          <w:sz w:val="21"/>
          <w:szCs w:val="21"/>
        </w:rPr>
        <w:t>一定程度上影响了公司盈利质量。若主要客户经营发生困难，进而推迟付款进度或付款能力受到影响，则</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将给公司的生产经营带来不利影响。</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3、股权激励对公司费用增加影响的风险</w:t>
      </w:r>
      <w:r>
        <w:rPr>
          <w:rFonts w:ascii="宋体" w:hAnsi="宋体" w:cs="宋体" w:eastAsia="宋体" w:hint="default"/>
          <w:w w:val="99"/>
          <w:sz w:val="21"/>
          <w:szCs w:val="21"/>
        </w:rPr>
        <w:t> </w:t>
      </w:r>
      <w:r>
        <w:rPr>
          <w:rFonts w:ascii="宋体" w:hAnsi="宋体" w:cs="宋体" w:eastAsia="宋体" w:hint="default"/>
          <w:w w:val="95"/>
          <w:sz w:val="21"/>
          <w:szCs w:val="21"/>
        </w:rPr>
        <w:t>公司一直坚持“以奋斗者为本”的人才理念，重视人才建设。报告期内，公司实施股权激励计划，向</w:t>
      </w:r>
      <w:r>
        <w:rPr>
          <w:rFonts w:ascii="宋体" w:hAnsi="宋体" w:cs="宋体" w:eastAsia="宋体" w:hint="default"/>
          <w:sz w:val="21"/>
          <w:szCs w:val="21"/>
        </w:rPr>
      </w:r>
    </w:p>
    <w:p>
      <w:pPr>
        <w:spacing w:line="408" w:lineRule="auto" w:before="46"/>
        <w:ind w:left="112" w:right="108" w:firstLine="0"/>
        <w:jc w:val="left"/>
        <w:rPr>
          <w:rFonts w:ascii="宋体" w:hAnsi="宋体" w:cs="宋体" w:eastAsia="宋体" w:hint="default"/>
          <w:sz w:val="21"/>
          <w:szCs w:val="21"/>
        </w:rPr>
      </w:pPr>
      <w:r>
        <w:rPr>
          <w:rFonts w:ascii="宋体" w:hAnsi="宋体" w:cs="宋体" w:eastAsia="宋体" w:hint="default"/>
          <w:sz w:val="21"/>
          <w:szCs w:val="21"/>
        </w:rPr>
        <w:t>公司高级管理人员、中层管理人员以及公司的核心技术（业务）骨干等174名激励对象授予888万股限制性</w:t>
      </w:r>
      <w:r>
        <w:rPr>
          <w:rFonts w:ascii="宋体" w:hAnsi="宋体" w:cs="宋体" w:eastAsia="宋体" w:hint="default"/>
          <w:w w:val="99"/>
          <w:sz w:val="21"/>
          <w:szCs w:val="21"/>
        </w:rPr>
        <w:t> </w:t>
      </w:r>
      <w:r>
        <w:rPr>
          <w:rFonts w:ascii="宋体" w:hAnsi="宋体" w:cs="宋体" w:eastAsia="宋体" w:hint="default"/>
          <w:sz w:val="21"/>
          <w:szCs w:val="21"/>
        </w:rPr>
        <w:t>股票。预计2017年-2020年限制性股票成本摊销总额约为905.41万元，公司以目前信息初步估计，在不考</w:t>
      </w:r>
      <w:r>
        <w:rPr>
          <w:rFonts w:ascii="宋体" w:hAnsi="宋体" w:cs="宋体" w:eastAsia="宋体" w:hint="default"/>
          <w:w w:val="99"/>
          <w:sz w:val="21"/>
          <w:szCs w:val="21"/>
        </w:rPr>
        <w:t> </w:t>
      </w:r>
      <w:r>
        <w:rPr>
          <w:rFonts w:ascii="宋体" w:hAnsi="宋体" w:cs="宋体" w:eastAsia="宋体" w:hint="default"/>
          <w:spacing w:val="-3"/>
          <w:sz w:val="21"/>
          <w:szCs w:val="21"/>
        </w:rPr>
        <w:t>虑激励计划对公司业绩的刺激作用情况下，限制性股票费用的摊销对有效期内各年净利润有所影响。因此，</w:t>
      </w:r>
      <w:r>
        <w:rPr>
          <w:rFonts w:ascii="宋体" w:hAnsi="宋体" w:cs="宋体" w:eastAsia="宋体" w:hint="default"/>
          <w:w w:val="99"/>
          <w:sz w:val="21"/>
          <w:szCs w:val="21"/>
        </w:rPr>
        <w:t> </w:t>
      </w:r>
      <w:r>
        <w:rPr>
          <w:rFonts w:ascii="宋体" w:hAnsi="宋体" w:cs="宋体" w:eastAsia="宋体" w:hint="default"/>
          <w:sz w:val="21"/>
          <w:szCs w:val="21"/>
        </w:rPr>
        <w:t>需要通过激发管理团队的积极性和凝聚力，提高经营效率，降低成本，减少本激励计划对公司带来的费用</w:t>
      </w:r>
      <w:r>
        <w:rPr>
          <w:rFonts w:ascii="宋体" w:hAnsi="宋体" w:cs="宋体" w:eastAsia="宋体" w:hint="default"/>
          <w:w w:val="99"/>
          <w:sz w:val="21"/>
          <w:szCs w:val="21"/>
        </w:rPr>
        <w:t> </w:t>
      </w:r>
      <w:r>
        <w:rPr>
          <w:rFonts w:ascii="宋体" w:hAnsi="宋体" w:cs="宋体" w:eastAsia="宋体" w:hint="default"/>
          <w:sz w:val="21"/>
          <w:szCs w:val="21"/>
        </w:rPr>
        <w:t>增加的不利影响。</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4、实施集团化管理模式的风险</w:t>
      </w:r>
      <w:r>
        <w:rPr>
          <w:rFonts w:ascii="宋体" w:hAnsi="宋体" w:cs="宋体" w:eastAsia="宋体" w:hint="default"/>
          <w:w w:val="99"/>
          <w:sz w:val="21"/>
          <w:szCs w:val="21"/>
        </w:rPr>
        <w:t> </w:t>
      </w:r>
      <w:r>
        <w:rPr>
          <w:rFonts w:ascii="宋体" w:hAnsi="宋体" w:cs="宋体" w:eastAsia="宋体" w:hint="default"/>
          <w:w w:val="95"/>
          <w:sz w:val="21"/>
          <w:szCs w:val="21"/>
        </w:rPr>
        <w:t>因公司推行行业转型的发展战略，业务板块增多，原有管理架构已经不适应经营需要，为提高效率，</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减少环节，计划实行集团化管理模式，同时将母公司煤矿安全业务相关资产划转至全资子公司。推行新经</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营管理模式存在能否顺利完成、产生一定税费及有效运转的风险。</w:t>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十、接待调研、沟通、采访等活动登记表</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、报告期内接待调研、沟通、采访等活动登记表</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240" w:lineRule="auto"/>
        <w:ind w:right="105"/>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2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02"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年度业绩等问题</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年度业绩快报披露时间</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31"/>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年第一季度业绩情况及煤 炭行业对公司的影响</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0"/>
              <w:jc w:val="left"/>
              <w:rPr>
                <w:rFonts w:ascii="宋体" w:hAnsi="宋体" w:cs="宋体" w:eastAsia="宋体" w:hint="default"/>
                <w:sz w:val="18"/>
                <w:szCs w:val="18"/>
              </w:rPr>
            </w:pPr>
            <w:r>
              <w:rPr>
                <w:rFonts w:ascii="宋体" w:hAnsi="宋体" w:cs="宋体" w:eastAsia="宋体" w:hint="default"/>
                <w:spacing w:val="-4"/>
                <w:sz w:val="18"/>
                <w:szCs w:val="18"/>
              </w:rPr>
              <w:t>咨询公司最近生产经营情况、重组后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整合等问题</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咨询子公司师凯科技业绩情况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咨询公司半年度业绩情况</w:t>
            </w:r>
          </w:p>
        </w:tc>
      </w:tr>
      <w:tr>
        <w:trPr>
          <w:trHeight w:val="400"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咨询公司股价等情况</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9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咨询限制性股票激励等情况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咨询股价连续下跌等情况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月份公司经营情况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咨询股权激励等情况</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咨询公司全年业绩等情况</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3711" w:right="3711"/>
        <w:jc w:val="center"/>
        <w:rPr>
          <w:b w:val="0"/>
          <w:bCs w:val="0"/>
        </w:rPr>
      </w:pPr>
      <w:r>
        <w:rPr/>
        <w:t>第五节</w:t>
      </w:r>
      <w:r>
        <w:rPr>
          <w:spacing w:val="-7"/>
        </w:rPr>
        <w:t> </w:t>
      </w:r>
      <w:r>
        <w:rPr/>
        <w:t>重要事项</w:t>
      </w:r>
      <w:r>
        <w:rPr>
          <w:b w:val="0"/>
          <w:bCs w:val="0"/>
        </w:rPr>
      </w:r>
    </w:p>
    <w:p>
      <w:pPr>
        <w:spacing w:line="240" w:lineRule="auto" w:before="10"/>
        <w:rPr>
          <w:rFonts w:ascii="宋体" w:hAnsi="宋体" w:cs="宋体" w:eastAsia="宋体" w:hint="default"/>
          <w:b/>
          <w:bCs/>
          <w:sz w:val="38"/>
          <w:szCs w:val="38"/>
        </w:rPr>
      </w:pPr>
    </w:p>
    <w:p>
      <w:pPr>
        <w:pStyle w:val="Heading2"/>
        <w:spacing w:line="240" w:lineRule="auto"/>
        <w:ind w:right="157"/>
        <w:jc w:val="left"/>
        <w:rPr>
          <w:b w:val="0"/>
          <w:bCs w:val="0"/>
        </w:rPr>
      </w:pPr>
      <w:r>
        <w:rPr/>
        <w:t>一、公司普通股利润分配及资本公积金转增股本情况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报告期内普通股利润分配政策，特别是现金分红政策的制定、执行或调整情况：</w:t>
      </w:r>
      <w:r>
        <w:rPr>
          <w:rFonts w:ascii="宋体" w:hAnsi="宋体" w:cs="宋体" w:eastAsia="宋体" w:hint="default"/>
          <w:w w:val="99"/>
          <w:sz w:val="21"/>
          <w:szCs w:val="21"/>
        </w:rPr>
        <w:t> </w:t>
      </w:r>
      <w:r>
        <w:rPr>
          <w:rFonts w:ascii="宋体" w:hAnsi="宋体" w:cs="宋体" w:eastAsia="宋体" w:hint="default"/>
          <w:w w:val="95"/>
          <w:sz w:val="21"/>
          <w:szCs w:val="21"/>
        </w:rPr>
        <w:t>报告期利润分配预案及资本公积金转增股本预案与公司章程和分红管理办法等的相关规定一致：公司</w:t>
      </w:r>
      <w:r>
        <w:rPr>
          <w:rFonts w:ascii="宋体" w:hAnsi="宋体" w:cs="宋体" w:eastAsia="宋体" w:hint="default"/>
          <w:sz w:val="21"/>
          <w:szCs w:val="21"/>
        </w:rPr>
      </w:r>
    </w:p>
    <w:p>
      <w:pPr>
        <w:spacing w:before="46"/>
        <w:ind w:left="112" w:right="157" w:firstLine="0"/>
        <w:jc w:val="left"/>
        <w:rPr>
          <w:rFonts w:ascii="宋体" w:hAnsi="宋体" w:cs="宋体" w:eastAsia="宋体" w:hint="default"/>
          <w:sz w:val="21"/>
          <w:szCs w:val="21"/>
        </w:rPr>
      </w:pPr>
      <w:r>
        <w:rPr>
          <w:rFonts w:ascii="宋体" w:hAnsi="宋体" w:cs="宋体" w:eastAsia="宋体" w:hint="default"/>
          <w:sz w:val="21"/>
          <w:szCs w:val="21"/>
        </w:rPr>
        <w:t>报告期利润分配预案及资本公积金转增股本预案符合公司章程等的相关规定。</w:t>
      </w:r>
    </w:p>
    <w:p>
      <w:pPr>
        <w:spacing w:line="240" w:lineRule="auto" w:before="0"/>
        <w:rPr>
          <w:rFonts w:ascii="宋体" w:hAnsi="宋体" w:cs="宋体" w:eastAsia="宋体"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0"/>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 是否得到了充分保护：</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70"/>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 透明：</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63"/>
        <w:ind w:left="532" w:right="157" w:firstLine="0"/>
        <w:jc w:val="left"/>
        <w:rPr>
          <w:rFonts w:ascii="宋体" w:hAnsi="宋体" w:cs="宋体" w:eastAsia="宋体" w:hint="default"/>
          <w:sz w:val="21"/>
          <w:szCs w:val="21"/>
        </w:rPr>
      </w:pPr>
      <w:r>
        <w:rPr>
          <w:rFonts w:ascii="宋体" w:hAnsi="宋体" w:cs="宋体" w:eastAsia="宋体" w:hint="default"/>
          <w:sz w:val="21"/>
          <w:szCs w:val="21"/>
        </w:rPr>
        <w:t>公司报告期利润分配预案及资本公积金转增股本预案与公司章程和分红管理办法等的相关规定一致</w:t>
      </w:r>
    </w:p>
    <w:p>
      <w:pPr>
        <w:spacing w:line="240" w:lineRule="auto" w:before="10"/>
        <w:rPr>
          <w:rFonts w:ascii="宋体" w:hAnsi="宋体" w:cs="宋体" w:eastAsia="宋体" w:hint="default"/>
          <w:sz w:val="14"/>
          <w:szCs w:val="14"/>
        </w:rPr>
      </w:pPr>
    </w:p>
    <w:p>
      <w:pPr>
        <w:spacing w:line="408" w:lineRule="auto"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 是 □ 否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公司报告期利润分配预案及资本公积金转增股本预案符合公司章程等的相关规定。</w:t>
      </w:r>
      <w:r>
        <w:rPr>
          <w:rFonts w:ascii="宋体" w:hAnsi="宋体" w:cs="宋体" w:eastAsia="宋体" w:hint="default"/>
          <w:spacing w:val="58"/>
          <w:w w:val="95"/>
          <w:sz w:val="21"/>
          <w:szCs w:val="21"/>
        </w:rPr>
        <w:t> </w:t>
      </w:r>
      <w:r>
        <w:rPr>
          <w:rFonts w:ascii="宋体" w:hAnsi="宋体" w:cs="宋体" w:eastAsia="宋体" w:hint="default"/>
          <w:spacing w:val="58"/>
          <w:w w:val="95"/>
          <w:sz w:val="21"/>
          <w:szCs w:val="21"/>
        </w:rPr>
      </w:r>
      <w:r>
        <w:rPr>
          <w:rFonts w:ascii="宋体" w:hAnsi="宋体" w:cs="宋体" w:eastAsia="宋体" w:hint="default"/>
          <w:sz w:val="21"/>
          <w:szCs w:val="21"/>
        </w:rPr>
        <w:t>本年度利润分配及资本公积金转增股本预案</w:t>
      </w:r>
    </w:p>
    <w:tbl>
      <w:tblPr>
        <w:tblW w:w="0" w:type="auto"/>
        <w:jc w:val="left"/>
        <w:tblInd w:w="10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669,279,255</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89"/>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0"/>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10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00"/>
              <w:jc w:val="right"/>
              <w:rPr>
                <w:rFonts w:ascii="Times New Roman" w:hAnsi="Times New Roman" w:cs="Times New Roman" w:eastAsia="Times New Roman" w:hint="default"/>
                <w:sz w:val="18"/>
                <w:szCs w:val="18"/>
              </w:rPr>
            </w:pPr>
            <w:r>
              <w:rPr>
                <w:rFonts w:ascii="Times New Roman"/>
                <w:spacing w:val="-1"/>
                <w:sz w:val="18"/>
              </w:rPr>
              <w:t>118,235,016.69</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公司发展阶段属成熟期且有重大资金支出安排的，进行利润分配时，现金分红在本次利润分配中所占比例最低应达到</w:t>
            </w:r>
          </w:p>
          <w:p>
            <w:pPr>
              <w:pStyle w:val="TableParagraph"/>
              <w:spacing w:line="240" w:lineRule="auto" w:before="76"/>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68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年度利润分配预案为：以截止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669,279,255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股利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元人民币（含税</w:t>
            </w:r>
            <w:r>
              <w:rPr>
                <w:rFonts w:ascii="宋体" w:hAnsi="宋体" w:cs="宋体" w:eastAsia="宋体" w:hint="default"/>
                <w:spacing w:val="-89"/>
                <w:sz w:val="18"/>
                <w:szCs w:val="18"/>
              </w:rPr>
              <w:t>）</w:t>
            </w:r>
            <w:r>
              <w:rPr>
                <w:rFonts w:ascii="宋体" w:hAnsi="宋体" w:cs="宋体" w:eastAsia="宋体" w:hint="default"/>
                <w:sz w:val="18"/>
                <w:szCs w:val="18"/>
              </w:rPr>
              <w:t>，合计派发现金股利</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89"/>
                <w:sz w:val="18"/>
                <w:szCs w:val="18"/>
              </w:rPr>
              <w:t>）</w:t>
            </w:r>
            <w:r>
              <w:rPr>
                <w:rFonts w:ascii="宋体" w:hAnsi="宋体" w:cs="宋体" w:eastAsia="宋体" w:hint="default"/>
                <w:sz w:val="18"/>
                <w:szCs w:val="18"/>
              </w:rPr>
              <w:t>，本年度不进行送红股，亦不进行转增股本，剩余</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11"/>
        <w:rPr>
          <w:rFonts w:ascii="宋体" w:hAnsi="宋体" w:cs="宋体" w:eastAsia="宋体" w:hint="default"/>
          <w:sz w:val="25"/>
          <w:szCs w:val="25"/>
        </w:rPr>
      </w:pPr>
    </w:p>
    <w:p>
      <w:pPr>
        <w:spacing w:line="362" w:lineRule="exact"/>
        <w:ind w:left="11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pt;height:18.1pt;mso-position-horizontal-relative:char;mso-position-vertical-relative:line" type="#_x0000_t202" filled="false" stroked="true" strokeweight=".48pt" strokecolor="#000000">
            <w10:anchorlock/>
            <v:textbox inset="0,0,0,0">
              <w:txbxContent>
                <w:p>
                  <w:pPr>
                    <w:pStyle w:val="BodyText"/>
                    <w:spacing w:line="240" w:lineRule="auto" w:before="11"/>
                    <w:ind w:left="101" w:right="0"/>
                    <w:jc w:val="left"/>
                  </w:pPr>
                  <w:r>
                    <w:rPr/>
                    <w:t>未分配利润结转以后年度。</w:t>
                  </w:r>
                </w:p>
              </w:txbxContent>
            </v:textbox>
          </v:shape>
        </w:pict>
      </w:r>
      <w:r>
        <w:rPr>
          <w:rFonts w:ascii="宋体" w:hAnsi="宋体" w:cs="宋体" w:eastAsia="宋体" w:hint="default"/>
          <w:position w:val="-6"/>
          <w:sz w:val="20"/>
          <w:szCs w:val="20"/>
        </w:rPr>
      </w:r>
    </w:p>
    <w:p>
      <w:pPr>
        <w:spacing w:before="68"/>
        <w:ind w:left="532"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公</w:t>
      </w:r>
      <w:r>
        <w:rPr>
          <w:rFonts w:ascii="宋体" w:hAnsi="宋体" w:cs="宋体" w:eastAsia="宋体" w:hint="default"/>
          <w:spacing w:val="2"/>
          <w:w w:val="99"/>
          <w:sz w:val="21"/>
          <w:szCs w:val="21"/>
        </w:rPr>
        <w:t>司</w:t>
      </w:r>
      <w:r>
        <w:rPr>
          <w:rFonts w:ascii="宋体" w:hAnsi="宋体" w:cs="宋体" w:eastAsia="宋体" w:hint="default"/>
          <w:w w:val="99"/>
          <w:sz w:val="21"/>
          <w:szCs w:val="21"/>
        </w:rPr>
        <w:t>近</w:t>
      </w:r>
      <w:r>
        <w:rPr>
          <w:rFonts w:ascii="宋体" w:hAnsi="宋体" w:cs="宋体" w:eastAsia="宋体" w:hint="default"/>
          <w:spacing w:val="-50"/>
          <w:sz w:val="21"/>
          <w:szCs w:val="21"/>
        </w:rPr>
        <w:t> </w:t>
      </w:r>
      <w:r>
        <w:rPr>
          <w:rFonts w:ascii="宋体" w:hAnsi="宋体" w:cs="宋体" w:eastAsia="宋体" w:hint="default"/>
          <w:w w:val="99"/>
          <w:sz w:val="21"/>
          <w:szCs w:val="21"/>
        </w:rPr>
        <w:t>3</w:t>
      </w:r>
      <w:r>
        <w:rPr>
          <w:rFonts w:ascii="宋体" w:hAnsi="宋体" w:cs="宋体" w:eastAsia="宋体" w:hint="default"/>
          <w:spacing w:val="-54"/>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包</w:t>
      </w:r>
      <w:r>
        <w:rPr>
          <w:rFonts w:ascii="宋体" w:hAnsi="宋体" w:cs="宋体" w:eastAsia="宋体" w:hint="default"/>
          <w:spacing w:val="2"/>
          <w:w w:val="99"/>
          <w:sz w:val="21"/>
          <w:szCs w:val="21"/>
        </w:rPr>
        <w:t>括</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报</w:t>
      </w:r>
      <w:r>
        <w:rPr>
          <w:rFonts w:ascii="宋体" w:hAnsi="宋体" w:cs="宋体" w:eastAsia="宋体" w:hint="default"/>
          <w:spacing w:val="-1"/>
          <w:w w:val="99"/>
          <w:sz w:val="21"/>
          <w:szCs w:val="21"/>
        </w:rPr>
        <w:t>告</w:t>
      </w:r>
      <w:r>
        <w:rPr>
          <w:rFonts w:ascii="宋体" w:hAnsi="宋体" w:cs="宋体" w:eastAsia="宋体" w:hint="default"/>
          <w:spacing w:val="2"/>
          <w:w w:val="99"/>
          <w:sz w:val="21"/>
          <w:szCs w:val="21"/>
        </w:rPr>
        <w:t>期</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普</w:t>
      </w:r>
      <w:r>
        <w:rPr>
          <w:rFonts w:ascii="宋体" w:hAnsi="宋体" w:cs="宋体" w:eastAsia="宋体" w:hint="default"/>
          <w:spacing w:val="2"/>
          <w:w w:val="99"/>
          <w:sz w:val="21"/>
          <w:szCs w:val="21"/>
        </w:rPr>
        <w:t>通</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利</w:t>
      </w:r>
      <w:r>
        <w:rPr>
          <w:rFonts w:ascii="宋体" w:hAnsi="宋体" w:cs="宋体" w:eastAsia="宋体" w:hint="default"/>
          <w:spacing w:val="2"/>
          <w:w w:val="99"/>
          <w:sz w:val="21"/>
          <w:szCs w:val="21"/>
        </w:rPr>
        <w:t>分</w:t>
      </w:r>
      <w:r>
        <w:rPr>
          <w:rFonts w:ascii="宋体" w:hAnsi="宋体" w:cs="宋体" w:eastAsia="宋体" w:hint="default"/>
          <w:spacing w:val="-1"/>
          <w:w w:val="99"/>
          <w:sz w:val="21"/>
          <w:szCs w:val="21"/>
        </w:rPr>
        <w:t>配</w:t>
      </w:r>
      <w:r>
        <w:rPr>
          <w:rFonts w:ascii="宋体" w:hAnsi="宋体" w:cs="宋体" w:eastAsia="宋体" w:hint="default"/>
          <w:spacing w:val="2"/>
          <w:w w:val="99"/>
          <w:sz w:val="21"/>
          <w:szCs w:val="21"/>
        </w:rPr>
        <w:t>方</w:t>
      </w:r>
      <w:r>
        <w:rPr>
          <w:rFonts w:ascii="宋体" w:hAnsi="宋体" w:cs="宋体" w:eastAsia="宋体" w:hint="default"/>
          <w:spacing w:val="-1"/>
          <w:w w:val="99"/>
          <w:sz w:val="21"/>
          <w:szCs w:val="21"/>
        </w:rPr>
        <w:t>案</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预</w:t>
      </w:r>
      <w:r>
        <w:rPr>
          <w:rFonts w:ascii="宋体" w:hAnsi="宋体" w:cs="宋体" w:eastAsia="宋体" w:hint="default"/>
          <w:spacing w:val="2"/>
          <w:w w:val="99"/>
          <w:sz w:val="21"/>
          <w:szCs w:val="21"/>
        </w:rPr>
        <w:t>案</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资</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公</w:t>
      </w:r>
      <w:r>
        <w:rPr>
          <w:rFonts w:ascii="宋体" w:hAnsi="宋体" w:cs="宋体" w:eastAsia="宋体" w:hint="default"/>
          <w:spacing w:val="-1"/>
          <w:w w:val="99"/>
          <w:sz w:val="21"/>
          <w:szCs w:val="21"/>
        </w:rPr>
        <w:t>积</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转</w:t>
      </w:r>
      <w:r>
        <w:rPr>
          <w:rFonts w:ascii="宋体" w:hAnsi="宋体" w:cs="宋体" w:eastAsia="宋体" w:hint="default"/>
          <w:spacing w:val="2"/>
          <w:w w:val="99"/>
          <w:sz w:val="21"/>
          <w:szCs w:val="21"/>
        </w:rPr>
        <w:t>增</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本</w:t>
      </w:r>
      <w:r>
        <w:rPr>
          <w:rFonts w:ascii="宋体" w:hAnsi="宋体" w:cs="宋体" w:eastAsia="宋体" w:hint="default"/>
          <w:spacing w:val="-1"/>
          <w:w w:val="99"/>
          <w:sz w:val="21"/>
          <w:szCs w:val="21"/>
        </w:rPr>
        <w:t>方</w:t>
      </w:r>
      <w:r>
        <w:rPr>
          <w:rFonts w:ascii="宋体" w:hAnsi="宋体" w:cs="宋体" w:eastAsia="宋体" w:hint="default"/>
          <w:spacing w:val="2"/>
          <w:w w:val="99"/>
          <w:sz w:val="21"/>
          <w:szCs w:val="21"/>
        </w:rPr>
        <w:t>案</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预</w:t>
      </w:r>
      <w:r>
        <w:rPr>
          <w:rFonts w:ascii="宋体" w:hAnsi="宋体" w:cs="宋体" w:eastAsia="宋体" w:hint="default"/>
          <w:spacing w:val="-1"/>
          <w:w w:val="99"/>
          <w:sz w:val="21"/>
          <w:szCs w:val="21"/>
        </w:rPr>
        <w:t>案</w:t>
      </w:r>
      <w:r>
        <w:rPr>
          <w:rFonts w:ascii="宋体" w:hAnsi="宋体" w:cs="宋体" w:eastAsia="宋体" w:hint="default"/>
          <w:spacing w:val="2"/>
          <w:w w:val="99"/>
          <w:sz w:val="21"/>
          <w:szCs w:val="21"/>
        </w:rPr>
        <w:t>）</w:t>
      </w:r>
      <w:r>
        <w:rPr>
          <w:rFonts w:ascii="宋体" w:hAnsi="宋体" w:cs="宋体" w:eastAsia="宋体" w:hint="default"/>
          <w:w w:val="99"/>
          <w:sz w:val="21"/>
          <w:szCs w:val="21"/>
        </w:rPr>
        <w:t>情</w:t>
      </w:r>
      <w:r>
        <w:rPr>
          <w:rFonts w:ascii="宋体" w:hAnsi="宋体" w:cs="宋体" w:eastAsia="宋体" w:hint="default"/>
          <w:sz w:val="21"/>
          <w:szCs w:val="21"/>
        </w:rPr>
      </w:r>
    </w:p>
    <w:p>
      <w:pPr>
        <w:spacing w:line="240" w:lineRule="auto" w:before="2"/>
        <w:rPr>
          <w:rFonts w:ascii="宋体" w:hAnsi="宋体" w:cs="宋体" w:eastAsia="宋体" w:hint="default"/>
          <w:sz w:val="12"/>
          <w:szCs w:val="12"/>
        </w:rPr>
      </w:pPr>
    </w:p>
    <w:p>
      <w:pPr>
        <w:spacing w:before="34"/>
        <w:ind w:left="112" w:right="0" w:firstLine="0"/>
        <w:jc w:val="left"/>
        <w:rPr>
          <w:rFonts w:ascii="宋体" w:hAnsi="宋体" w:cs="宋体" w:eastAsia="宋体" w:hint="default"/>
          <w:sz w:val="21"/>
          <w:szCs w:val="21"/>
        </w:rPr>
      </w:pPr>
      <w:r>
        <w:rPr>
          <w:rFonts w:ascii="宋体" w:hAnsi="宋体" w:cs="宋体" w:eastAsia="宋体" w:hint="default"/>
          <w:sz w:val="21"/>
          <w:szCs w:val="21"/>
        </w:rPr>
        <w:t>况：</w:t>
      </w:r>
    </w:p>
    <w:p>
      <w:pPr>
        <w:spacing w:line="240" w:lineRule="auto" w:before="2"/>
        <w:rPr>
          <w:rFonts w:ascii="宋体" w:hAnsi="宋体" w:cs="宋体" w:eastAsia="宋体" w:hint="default"/>
          <w:sz w:val="12"/>
          <w:szCs w:val="12"/>
        </w:rPr>
      </w:pPr>
    </w:p>
    <w:p>
      <w:pPr>
        <w:spacing w:before="34"/>
        <w:ind w:left="532" w:right="0" w:firstLine="0"/>
        <w:jc w:val="left"/>
        <w:rPr>
          <w:rFonts w:ascii="宋体" w:hAnsi="宋体" w:cs="宋体" w:eastAsia="宋体" w:hint="default"/>
          <w:sz w:val="21"/>
          <w:szCs w:val="21"/>
        </w:rPr>
      </w:pPr>
      <w:r>
        <w:rPr>
          <w:rFonts w:ascii="宋体" w:hAnsi="宋体" w:cs="宋体" w:eastAsia="宋体" w:hint="default"/>
          <w:spacing w:val="-3"/>
          <w:sz w:val="21"/>
          <w:szCs w:val="21"/>
        </w:rPr>
        <w:t>1、2015</w:t>
      </w:r>
      <w:r>
        <w:rPr>
          <w:rFonts w:ascii="宋体" w:hAnsi="宋体" w:cs="宋体" w:eastAsia="宋体" w:hint="default"/>
          <w:spacing w:val="-58"/>
          <w:sz w:val="21"/>
          <w:szCs w:val="21"/>
        </w:rPr>
        <w:t> </w:t>
      </w:r>
      <w:r>
        <w:rPr>
          <w:rFonts w:ascii="宋体" w:hAnsi="宋体" w:cs="宋体" w:eastAsia="宋体" w:hint="default"/>
          <w:spacing w:val="-3"/>
          <w:sz w:val="21"/>
          <w:szCs w:val="21"/>
        </w:rPr>
        <w:t>年度，利润分配方案为：截止</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31</w:t>
      </w:r>
      <w:r>
        <w:rPr>
          <w:rFonts w:ascii="宋体" w:hAnsi="宋体" w:cs="宋体" w:eastAsia="宋体" w:hint="default"/>
          <w:spacing w:val="-56"/>
          <w:sz w:val="21"/>
          <w:szCs w:val="21"/>
        </w:rPr>
        <w:t> </w:t>
      </w:r>
      <w:r>
        <w:rPr>
          <w:rFonts w:ascii="宋体" w:hAnsi="宋体" w:cs="宋体" w:eastAsia="宋体" w:hint="default"/>
          <w:sz w:val="21"/>
          <w:szCs w:val="21"/>
        </w:rPr>
        <w:t>日公司总股本</w:t>
      </w:r>
      <w:r>
        <w:rPr>
          <w:rFonts w:ascii="宋体" w:hAnsi="宋体" w:cs="宋体" w:eastAsia="宋体" w:hint="default"/>
          <w:spacing w:val="-52"/>
          <w:sz w:val="21"/>
          <w:szCs w:val="21"/>
        </w:rPr>
        <w:t> </w:t>
      </w:r>
      <w:r>
        <w:rPr>
          <w:rFonts w:ascii="宋体" w:hAnsi="宋体" w:cs="宋体" w:eastAsia="宋体" w:hint="default"/>
          <w:sz w:val="21"/>
          <w:szCs w:val="21"/>
        </w:rPr>
        <w:t>214,599,453</w:t>
      </w:r>
      <w:r>
        <w:rPr>
          <w:rFonts w:ascii="宋体" w:hAnsi="宋体" w:cs="宋体" w:eastAsia="宋体" w:hint="default"/>
          <w:spacing w:val="-56"/>
          <w:sz w:val="21"/>
          <w:szCs w:val="21"/>
        </w:rPr>
        <w:t> </w:t>
      </w:r>
      <w:r>
        <w:rPr>
          <w:rFonts w:ascii="宋体" w:hAnsi="宋体" w:cs="宋体" w:eastAsia="宋体" w:hint="default"/>
          <w:spacing w:val="-3"/>
          <w:sz w:val="21"/>
          <w:szCs w:val="21"/>
        </w:rPr>
        <w:t>股为为基数，向全</w:t>
      </w:r>
    </w:p>
    <w:p>
      <w:pPr>
        <w:spacing w:line="240" w:lineRule="auto" w:before="10"/>
        <w:rPr>
          <w:rFonts w:ascii="宋体" w:hAnsi="宋体" w:cs="宋体" w:eastAsia="宋体" w:hint="default"/>
          <w:sz w:val="14"/>
          <w:szCs w:val="1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体</w:t>
      </w:r>
      <w:r>
        <w:rPr>
          <w:rFonts w:ascii="宋体" w:hAnsi="宋体" w:cs="宋体" w:eastAsia="宋体" w:hint="default"/>
          <w:spacing w:val="2"/>
          <w:w w:val="99"/>
          <w:sz w:val="21"/>
          <w:szCs w:val="21"/>
        </w:rPr>
        <w:t>股</w:t>
      </w:r>
      <w:r>
        <w:rPr>
          <w:rFonts w:ascii="宋体" w:hAnsi="宋体" w:cs="宋体" w:eastAsia="宋体" w:hint="default"/>
          <w:spacing w:val="-1"/>
          <w:w w:val="99"/>
          <w:sz w:val="21"/>
          <w:szCs w:val="21"/>
        </w:rPr>
        <w:t>东</w:t>
      </w:r>
      <w:r>
        <w:rPr>
          <w:rFonts w:ascii="宋体" w:hAnsi="宋体" w:cs="宋体" w:eastAsia="宋体" w:hint="default"/>
          <w:w w:val="99"/>
          <w:sz w:val="21"/>
          <w:szCs w:val="21"/>
        </w:rPr>
        <w:t>每</w:t>
      </w:r>
      <w:r>
        <w:rPr>
          <w:rFonts w:ascii="宋体" w:hAnsi="宋体" w:cs="宋体" w:eastAsia="宋体" w:hint="default"/>
          <w:spacing w:val="-50"/>
          <w:sz w:val="21"/>
          <w:szCs w:val="21"/>
        </w:rPr>
        <w:t> </w:t>
      </w:r>
      <w:r>
        <w:rPr>
          <w:rFonts w:ascii="宋体" w:hAnsi="宋体" w:cs="宋体" w:eastAsia="宋体" w:hint="default"/>
          <w:spacing w:val="1"/>
          <w:w w:val="99"/>
          <w:sz w:val="21"/>
          <w:szCs w:val="21"/>
        </w:rPr>
        <w:t>1</w:t>
      </w:r>
      <w:r>
        <w:rPr>
          <w:rFonts w:ascii="宋体" w:hAnsi="宋体" w:cs="宋体" w:eastAsia="宋体" w:hint="default"/>
          <w:w w:val="99"/>
          <w:sz w:val="21"/>
          <w:szCs w:val="21"/>
        </w:rPr>
        <w:t>0</w:t>
      </w:r>
      <w:r>
        <w:rPr>
          <w:rFonts w:ascii="宋体" w:hAnsi="宋体" w:cs="宋体" w:eastAsia="宋体" w:hint="default"/>
          <w:spacing w:val="-52"/>
          <w:sz w:val="21"/>
          <w:szCs w:val="21"/>
        </w:rPr>
        <w:t> </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派</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现</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股</w:t>
      </w:r>
      <w:r>
        <w:rPr>
          <w:rFonts w:ascii="宋体" w:hAnsi="宋体" w:cs="宋体" w:eastAsia="宋体" w:hint="default"/>
          <w:w w:val="99"/>
          <w:sz w:val="21"/>
          <w:szCs w:val="21"/>
        </w:rPr>
        <w:t>利</w:t>
      </w:r>
      <w:r>
        <w:rPr>
          <w:rFonts w:ascii="宋体" w:hAnsi="宋体" w:cs="宋体" w:eastAsia="宋体" w:hint="default"/>
          <w:spacing w:val="-53"/>
          <w:sz w:val="21"/>
          <w:szCs w:val="21"/>
        </w:rPr>
        <w:t> </w:t>
      </w:r>
      <w:r>
        <w:rPr>
          <w:rFonts w:ascii="宋体" w:hAnsi="宋体" w:cs="宋体" w:eastAsia="宋体" w:hint="default"/>
          <w:w w:val="99"/>
          <w:sz w:val="21"/>
          <w:szCs w:val="21"/>
        </w:rPr>
        <w:t>1</w:t>
      </w:r>
      <w:r>
        <w:rPr>
          <w:rFonts w:ascii="宋体" w:hAnsi="宋体" w:cs="宋体" w:eastAsia="宋体" w:hint="default"/>
          <w:spacing w:val="-52"/>
          <w:sz w:val="21"/>
          <w:szCs w:val="21"/>
        </w:rPr>
        <w:t> </w:t>
      </w:r>
      <w:r>
        <w:rPr>
          <w:rFonts w:ascii="宋体" w:hAnsi="宋体" w:cs="宋体" w:eastAsia="宋体" w:hint="default"/>
          <w:spacing w:val="-1"/>
          <w:w w:val="99"/>
          <w:sz w:val="21"/>
          <w:szCs w:val="21"/>
        </w:rPr>
        <w:t>元</w:t>
      </w:r>
      <w:r>
        <w:rPr>
          <w:rFonts w:ascii="宋体" w:hAnsi="宋体" w:cs="宋体" w:eastAsia="宋体" w:hint="default"/>
          <w:spacing w:val="2"/>
          <w:w w:val="99"/>
          <w:sz w:val="21"/>
          <w:szCs w:val="21"/>
        </w:rPr>
        <w:t>人</w:t>
      </w:r>
      <w:r>
        <w:rPr>
          <w:rFonts w:ascii="宋体" w:hAnsi="宋体" w:cs="宋体" w:eastAsia="宋体" w:hint="default"/>
          <w:spacing w:val="-1"/>
          <w:w w:val="99"/>
          <w:sz w:val="21"/>
          <w:szCs w:val="21"/>
        </w:rPr>
        <w:t>民</w:t>
      </w:r>
      <w:r>
        <w:rPr>
          <w:rFonts w:ascii="宋体" w:hAnsi="宋体" w:cs="宋体" w:eastAsia="宋体" w:hint="default"/>
          <w:spacing w:val="-3"/>
          <w:w w:val="99"/>
          <w:sz w:val="21"/>
          <w:szCs w:val="21"/>
        </w:rPr>
        <w:t>币</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6"/>
          <w:w w:val="99"/>
          <w:sz w:val="21"/>
          <w:szCs w:val="21"/>
        </w:rPr>
        <w:t>）</w:t>
      </w:r>
      <w:r>
        <w:rPr>
          <w:rFonts w:ascii="宋体" w:hAnsi="宋体" w:cs="宋体" w:eastAsia="宋体" w:hint="default"/>
          <w:spacing w:val="-3"/>
          <w:w w:val="99"/>
          <w:sz w:val="21"/>
          <w:szCs w:val="21"/>
        </w:rPr>
        <w:t>，</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派</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股</w:t>
      </w:r>
      <w:r>
        <w:rPr>
          <w:rFonts w:ascii="宋体" w:hAnsi="宋体" w:cs="宋体" w:eastAsia="宋体" w:hint="default"/>
          <w:w w:val="99"/>
          <w:sz w:val="21"/>
          <w:szCs w:val="21"/>
        </w:rPr>
        <w:t>利</w:t>
      </w:r>
      <w:r>
        <w:rPr>
          <w:rFonts w:ascii="宋体" w:hAnsi="宋体" w:cs="宋体" w:eastAsia="宋体" w:hint="default"/>
          <w:spacing w:val="-50"/>
          <w:sz w:val="21"/>
          <w:szCs w:val="21"/>
        </w:rPr>
        <w:t> </w:t>
      </w:r>
      <w:r>
        <w:rPr>
          <w:rFonts w:ascii="宋体" w:hAnsi="宋体" w:cs="宋体" w:eastAsia="宋体" w:hint="default"/>
          <w:spacing w:val="1"/>
          <w:w w:val="99"/>
          <w:sz w:val="21"/>
          <w:szCs w:val="21"/>
        </w:rPr>
        <w:t>21</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459</w:t>
      </w:r>
      <w:r>
        <w:rPr>
          <w:rFonts w:ascii="宋体" w:hAnsi="宋体" w:cs="宋体" w:eastAsia="宋体" w:hint="default"/>
          <w:spacing w:val="-2"/>
          <w:w w:val="99"/>
          <w:sz w:val="21"/>
          <w:szCs w:val="21"/>
        </w:rPr>
        <w:t>,</w:t>
      </w:r>
      <w:r>
        <w:rPr>
          <w:rFonts w:ascii="宋体" w:hAnsi="宋体" w:cs="宋体" w:eastAsia="宋体" w:hint="default"/>
          <w:spacing w:val="1"/>
          <w:w w:val="99"/>
          <w:sz w:val="21"/>
          <w:szCs w:val="21"/>
        </w:rPr>
        <w:t>945</w:t>
      </w:r>
      <w:r>
        <w:rPr>
          <w:rFonts w:ascii="宋体" w:hAnsi="宋体" w:cs="宋体" w:eastAsia="宋体" w:hint="default"/>
          <w:spacing w:val="-2"/>
          <w:w w:val="99"/>
          <w:sz w:val="21"/>
          <w:szCs w:val="21"/>
        </w:rPr>
        <w:t>.</w:t>
      </w:r>
      <w:r>
        <w:rPr>
          <w:rFonts w:ascii="宋体" w:hAnsi="宋体" w:cs="宋体" w:eastAsia="宋体" w:hint="default"/>
          <w:w w:val="99"/>
          <w:sz w:val="21"/>
          <w:szCs w:val="21"/>
        </w:rPr>
        <w:t>3</w:t>
      </w:r>
      <w:r>
        <w:rPr>
          <w:rFonts w:ascii="宋体" w:hAnsi="宋体" w:cs="宋体" w:eastAsia="宋体" w:hint="default"/>
          <w:spacing w:val="-51"/>
          <w:sz w:val="21"/>
          <w:szCs w:val="21"/>
        </w:rPr>
        <w:t> </w:t>
      </w:r>
      <w:r>
        <w:rPr>
          <w:rFonts w:ascii="宋体" w:hAnsi="宋体" w:cs="宋体" w:eastAsia="宋体" w:hint="default"/>
          <w:spacing w:val="-5"/>
          <w:w w:val="99"/>
          <w:sz w:val="21"/>
          <w:szCs w:val="21"/>
        </w:rPr>
        <w:t>元</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4"/>
          <w:w w:val="99"/>
          <w:sz w:val="21"/>
          <w:szCs w:val="21"/>
        </w:rPr>
        <w:t>）</w:t>
      </w:r>
      <w:r>
        <w:rPr>
          <w:rFonts w:ascii="宋体" w:hAnsi="宋体" w:cs="宋体" w:eastAsia="宋体" w:hint="default"/>
          <w:spacing w:val="-5"/>
          <w:w w:val="99"/>
          <w:sz w:val="21"/>
          <w:szCs w:val="21"/>
        </w:rPr>
        <w:t>，</w:t>
      </w:r>
      <w:r>
        <w:rPr>
          <w:rFonts w:ascii="宋体" w:hAnsi="宋体" w:cs="宋体" w:eastAsia="宋体" w:hint="default"/>
          <w:spacing w:val="-1"/>
          <w:w w:val="99"/>
          <w:sz w:val="21"/>
          <w:szCs w:val="21"/>
        </w:rPr>
        <w:t>同</w:t>
      </w:r>
      <w:r>
        <w:rPr>
          <w:rFonts w:ascii="宋体" w:hAnsi="宋体" w:cs="宋体" w:eastAsia="宋体" w:hint="default"/>
          <w:spacing w:val="2"/>
          <w:w w:val="99"/>
          <w:sz w:val="21"/>
          <w:szCs w:val="21"/>
        </w:rPr>
        <w:t>时</w:t>
      </w:r>
      <w:r>
        <w:rPr>
          <w:rFonts w:ascii="宋体" w:hAnsi="宋体" w:cs="宋体" w:eastAsia="宋体" w:hint="default"/>
          <w:spacing w:val="-1"/>
          <w:w w:val="99"/>
          <w:sz w:val="21"/>
          <w:szCs w:val="21"/>
        </w:rPr>
        <w:t>以</w:t>
      </w:r>
      <w:r>
        <w:rPr>
          <w:rFonts w:ascii="宋体" w:hAnsi="宋体" w:cs="宋体" w:eastAsia="宋体" w:hint="default"/>
          <w:w w:val="99"/>
          <w:sz w:val="21"/>
          <w:szCs w:val="21"/>
        </w:rPr>
        <w:t>资</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本公积金向全体股东每</w:t>
      </w:r>
      <w:r>
        <w:rPr>
          <w:rFonts w:ascii="宋体" w:hAnsi="宋体" w:cs="宋体" w:eastAsia="宋体" w:hint="default"/>
          <w:spacing w:val="-56"/>
          <w:sz w:val="21"/>
          <w:szCs w:val="21"/>
        </w:rPr>
        <w:t>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股转增</w:t>
      </w:r>
      <w:r>
        <w:rPr>
          <w:rFonts w:ascii="宋体" w:hAnsi="宋体" w:cs="宋体" w:eastAsia="宋体" w:hint="default"/>
          <w:spacing w:val="-59"/>
          <w:sz w:val="21"/>
          <w:szCs w:val="21"/>
        </w:rPr>
        <w:t> </w:t>
      </w:r>
      <w:r>
        <w:rPr>
          <w:rFonts w:ascii="宋体" w:hAnsi="宋体" w:cs="宋体" w:eastAsia="宋体" w:hint="default"/>
          <w:sz w:val="21"/>
          <w:szCs w:val="21"/>
        </w:rPr>
        <w:t>15</w:t>
      </w:r>
      <w:r>
        <w:rPr>
          <w:rFonts w:ascii="宋体" w:hAnsi="宋体" w:cs="宋体" w:eastAsia="宋体" w:hint="default"/>
          <w:spacing w:val="-60"/>
          <w:sz w:val="21"/>
          <w:szCs w:val="21"/>
        </w:rPr>
        <w:t> </w:t>
      </w:r>
      <w:r>
        <w:rPr>
          <w:rFonts w:ascii="宋体" w:hAnsi="宋体" w:cs="宋体" w:eastAsia="宋体" w:hint="default"/>
          <w:sz w:val="21"/>
          <w:szCs w:val="21"/>
        </w:rPr>
        <w:t>股，剩余未分配利润结转以后年度。已实施完毕。</w:t>
      </w:r>
    </w:p>
    <w:p>
      <w:pPr>
        <w:spacing w:line="240" w:lineRule="auto" w:before="10"/>
        <w:rPr>
          <w:rFonts w:ascii="宋体" w:hAnsi="宋体" w:cs="宋体" w:eastAsia="宋体" w:hint="default"/>
          <w:sz w:val="14"/>
          <w:szCs w:val="14"/>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pacing w:val="-3"/>
          <w:sz w:val="21"/>
          <w:szCs w:val="21"/>
        </w:rPr>
        <w:t>2、2016</w:t>
      </w:r>
      <w:r>
        <w:rPr>
          <w:rFonts w:ascii="宋体" w:hAnsi="宋体" w:cs="宋体" w:eastAsia="宋体" w:hint="default"/>
          <w:spacing w:val="-60"/>
          <w:sz w:val="21"/>
          <w:szCs w:val="21"/>
        </w:rPr>
        <w:t> </w:t>
      </w:r>
      <w:r>
        <w:rPr>
          <w:rFonts w:ascii="宋体" w:hAnsi="宋体" w:cs="宋体" w:eastAsia="宋体" w:hint="default"/>
          <w:spacing w:val="-3"/>
          <w:sz w:val="21"/>
          <w:szCs w:val="21"/>
        </w:rPr>
        <w:t>年度，利润分配方案为：截止</w:t>
      </w:r>
      <w:r>
        <w:rPr>
          <w:rFonts w:ascii="宋体" w:hAnsi="宋体" w:cs="宋体" w:eastAsia="宋体" w:hint="default"/>
          <w:spacing w:val="-54"/>
          <w:sz w:val="21"/>
          <w:szCs w:val="21"/>
        </w:rPr>
        <w:t> </w:t>
      </w:r>
      <w:r>
        <w:rPr>
          <w:rFonts w:ascii="宋体" w:hAnsi="宋体" w:cs="宋体" w:eastAsia="宋体" w:hint="default"/>
          <w:sz w:val="21"/>
          <w:szCs w:val="21"/>
        </w:rPr>
        <w:t>2016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8"/>
          <w:sz w:val="21"/>
          <w:szCs w:val="21"/>
        </w:rPr>
        <w:t> </w:t>
      </w:r>
      <w:r>
        <w:rPr>
          <w:rFonts w:ascii="宋体" w:hAnsi="宋体" w:cs="宋体" w:eastAsia="宋体" w:hint="default"/>
          <w:sz w:val="21"/>
          <w:szCs w:val="21"/>
        </w:rPr>
        <w:t>日公司总股本</w:t>
      </w:r>
      <w:r>
        <w:rPr>
          <w:rFonts w:ascii="宋体" w:hAnsi="宋体" w:cs="宋体" w:eastAsia="宋体" w:hint="default"/>
          <w:spacing w:val="-54"/>
          <w:sz w:val="21"/>
          <w:szCs w:val="21"/>
        </w:rPr>
        <w:t> </w:t>
      </w:r>
      <w:r>
        <w:rPr>
          <w:rFonts w:ascii="宋体" w:hAnsi="宋体" w:cs="宋体" w:eastAsia="宋体" w:hint="default"/>
          <w:sz w:val="21"/>
          <w:szCs w:val="21"/>
        </w:rPr>
        <w:t>660,399,255</w:t>
      </w:r>
      <w:r>
        <w:rPr>
          <w:rFonts w:ascii="宋体" w:hAnsi="宋体" w:cs="宋体" w:eastAsia="宋体" w:hint="default"/>
          <w:spacing w:val="-58"/>
          <w:sz w:val="21"/>
          <w:szCs w:val="21"/>
        </w:rPr>
        <w:t> </w:t>
      </w:r>
      <w:r>
        <w:rPr>
          <w:rFonts w:ascii="宋体" w:hAnsi="宋体" w:cs="宋体" w:eastAsia="宋体" w:hint="default"/>
          <w:sz w:val="21"/>
          <w:szCs w:val="21"/>
        </w:rPr>
        <w:t>股为基数，向全体</w:t>
      </w:r>
    </w:p>
    <w:p>
      <w:pPr>
        <w:spacing w:line="240" w:lineRule="auto" w:before="10"/>
        <w:rPr>
          <w:rFonts w:ascii="宋体" w:hAnsi="宋体" w:cs="宋体" w:eastAsia="宋体" w:hint="default"/>
          <w:sz w:val="14"/>
          <w:szCs w:val="14"/>
        </w:rPr>
      </w:pPr>
    </w:p>
    <w:p>
      <w:pPr>
        <w:spacing w:line="408" w:lineRule="auto" w:before="0"/>
        <w:ind w:left="112" w:right="0" w:firstLine="0"/>
        <w:jc w:val="left"/>
        <w:rPr>
          <w:rFonts w:ascii="宋体" w:hAnsi="宋体" w:cs="宋体" w:eastAsia="宋体" w:hint="default"/>
          <w:sz w:val="21"/>
          <w:szCs w:val="21"/>
        </w:rPr>
      </w:pPr>
      <w:r>
        <w:rPr>
          <w:rFonts w:ascii="宋体" w:hAnsi="宋体" w:cs="宋体" w:eastAsia="宋体" w:hint="default"/>
          <w:w w:val="99"/>
          <w:sz w:val="21"/>
          <w:szCs w:val="21"/>
        </w:rPr>
        <w:t>股东每</w:t>
      </w:r>
      <w:r>
        <w:rPr>
          <w:rFonts w:ascii="宋体" w:hAnsi="宋体" w:cs="宋体" w:eastAsia="宋体" w:hint="default"/>
          <w:spacing w:val="-46"/>
          <w:w w:val="99"/>
          <w:sz w:val="21"/>
          <w:szCs w:val="21"/>
        </w:rPr>
        <w:t> </w:t>
      </w:r>
      <w:r>
        <w:rPr>
          <w:rFonts w:ascii="宋体" w:hAnsi="宋体" w:cs="宋体" w:eastAsia="宋体" w:hint="default"/>
          <w:w w:val="99"/>
          <w:sz w:val="21"/>
          <w:szCs w:val="21"/>
        </w:rPr>
        <w:t>10</w:t>
      </w:r>
      <w:r>
        <w:rPr>
          <w:rFonts w:ascii="宋体" w:hAnsi="宋体" w:cs="宋体" w:eastAsia="宋体" w:hint="default"/>
          <w:spacing w:val="-51"/>
          <w:w w:val="99"/>
          <w:sz w:val="21"/>
          <w:szCs w:val="21"/>
        </w:rPr>
        <w:t> </w:t>
      </w:r>
      <w:r>
        <w:rPr>
          <w:rFonts w:ascii="宋体" w:hAnsi="宋体" w:cs="宋体" w:eastAsia="宋体" w:hint="default"/>
          <w:w w:val="99"/>
          <w:sz w:val="21"/>
          <w:szCs w:val="21"/>
        </w:rPr>
        <w:t>股派发现金股利</w:t>
      </w:r>
      <w:r>
        <w:rPr>
          <w:rFonts w:ascii="宋体" w:hAnsi="宋体" w:cs="宋体" w:eastAsia="宋体" w:hint="default"/>
          <w:spacing w:val="-50"/>
          <w:w w:val="99"/>
          <w:sz w:val="21"/>
          <w:szCs w:val="21"/>
        </w:rPr>
        <w:t> </w:t>
      </w:r>
      <w:r>
        <w:rPr>
          <w:rFonts w:ascii="宋体" w:hAnsi="宋体" w:cs="宋体" w:eastAsia="宋体" w:hint="default"/>
          <w:w w:val="99"/>
          <w:sz w:val="21"/>
          <w:szCs w:val="21"/>
        </w:rPr>
        <w:t>1</w:t>
      </w:r>
      <w:r>
        <w:rPr>
          <w:rFonts w:ascii="宋体" w:hAnsi="宋体" w:cs="宋体" w:eastAsia="宋体" w:hint="default"/>
          <w:spacing w:val="-48"/>
          <w:w w:val="99"/>
          <w:sz w:val="21"/>
          <w:szCs w:val="21"/>
        </w:rPr>
        <w:t> </w:t>
      </w:r>
      <w:r>
        <w:rPr>
          <w:rFonts w:ascii="宋体" w:hAnsi="宋体" w:cs="宋体" w:eastAsia="宋体" w:hint="default"/>
          <w:spacing w:val="-6"/>
          <w:w w:val="99"/>
          <w:sz w:val="21"/>
          <w:szCs w:val="21"/>
        </w:rPr>
        <w:t>元人民币（含税），合计派发现金股利</w:t>
      </w:r>
      <w:r>
        <w:rPr>
          <w:rFonts w:ascii="宋体" w:hAnsi="宋体" w:cs="宋体" w:eastAsia="宋体" w:hint="default"/>
          <w:spacing w:val="-46"/>
          <w:w w:val="99"/>
          <w:sz w:val="21"/>
          <w:szCs w:val="21"/>
        </w:rPr>
        <w:t> </w:t>
      </w:r>
      <w:r>
        <w:rPr>
          <w:rFonts w:ascii="宋体" w:hAnsi="宋体" w:cs="宋体" w:eastAsia="宋体" w:hint="default"/>
          <w:w w:val="99"/>
          <w:sz w:val="21"/>
          <w:szCs w:val="21"/>
        </w:rPr>
        <w:t>66,039,925.50</w:t>
      </w:r>
      <w:r>
        <w:rPr>
          <w:rFonts w:ascii="宋体" w:hAnsi="宋体" w:cs="宋体" w:eastAsia="宋体" w:hint="default"/>
          <w:spacing w:val="-51"/>
          <w:w w:val="99"/>
          <w:sz w:val="21"/>
          <w:szCs w:val="21"/>
        </w:rPr>
        <w:t> </w:t>
      </w:r>
      <w:r>
        <w:rPr>
          <w:rFonts w:ascii="宋体" w:hAnsi="宋体" w:cs="宋体" w:eastAsia="宋体" w:hint="default"/>
          <w:spacing w:val="-11"/>
          <w:w w:val="99"/>
          <w:sz w:val="21"/>
          <w:szCs w:val="21"/>
        </w:rPr>
        <w:t>元（含税），本年度不</w:t>
      </w:r>
      <w:r>
        <w:rPr>
          <w:rFonts w:ascii="宋体" w:hAnsi="宋体" w:cs="宋体" w:eastAsia="宋体" w:hint="default"/>
          <w:w w:val="99"/>
          <w:sz w:val="21"/>
          <w:szCs w:val="21"/>
        </w:rPr>
        <w:t> </w:t>
      </w:r>
      <w:r>
        <w:rPr>
          <w:rFonts w:ascii="宋体" w:hAnsi="宋体" w:cs="宋体" w:eastAsia="宋体" w:hint="default"/>
          <w:sz w:val="21"/>
          <w:szCs w:val="21"/>
        </w:rPr>
        <w:t>进行送红股，亦不进行转增股本，剩余未分配利润结转以后年度。已实施完毕。</w:t>
      </w:r>
    </w:p>
    <w:p>
      <w:pPr>
        <w:spacing w:before="46"/>
        <w:ind w:left="532" w:right="0" w:firstLine="0"/>
        <w:jc w:val="left"/>
        <w:rPr>
          <w:rFonts w:ascii="宋体" w:hAnsi="宋体" w:cs="宋体" w:eastAsia="宋体" w:hint="default"/>
          <w:sz w:val="21"/>
          <w:szCs w:val="21"/>
        </w:rPr>
      </w:pPr>
      <w:r>
        <w:rPr>
          <w:rFonts w:ascii="宋体" w:hAnsi="宋体" w:cs="宋体" w:eastAsia="宋体" w:hint="default"/>
          <w:spacing w:val="-4"/>
          <w:sz w:val="21"/>
          <w:szCs w:val="21"/>
        </w:rPr>
        <w:t>3、2017</w:t>
      </w:r>
      <w:r>
        <w:rPr>
          <w:rFonts w:ascii="宋体" w:hAnsi="宋体" w:cs="宋体" w:eastAsia="宋体" w:hint="default"/>
          <w:spacing w:val="-59"/>
          <w:sz w:val="21"/>
          <w:szCs w:val="21"/>
        </w:rPr>
        <w:t> </w:t>
      </w:r>
      <w:r>
        <w:rPr>
          <w:rFonts w:ascii="宋体" w:hAnsi="宋体" w:cs="宋体" w:eastAsia="宋体" w:hint="default"/>
          <w:sz w:val="21"/>
          <w:szCs w:val="21"/>
        </w:rPr>
        <w:t>年度利润分配预案为：以截止</w:t>
      </w:r>
      <w:r>
        <w:rPr>
          <w:rFonts w:ascii="宋体" w:hAnsi="宋体" w:cs="宋体" w:eastAsia="宋体" w:hint="default"/>
          <w:spacing w:val="-58"/>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9"/>
          <w:sz w:val="21"/>
          <w:szCs w:val="21"/>
        </w:rPr>
        <w:t> </w:t>
      </w:r>
      <w:r>
        <w:rPr>
          <w:rFonts w:ascii="宋体" w:hAnsi="宋体" w:cs="宋体" w:eastAsia="宋体" w:hint="default"/>
          <w:sz w:val="21"/>
          <w:szCs w:val="21"/>
        </w:rPr>
        <w:t>日公司总股本</w:t>
      </w:r>
      <w:r>
        <w:rPr>
          <w:rFonts w:ascii="宋体" w:hAnsi="宋体" w:cs="宋体" w:eastAsia="宋体" w:hint="default"/>
          <w:spacing w:val="-55"/>
          <w:sz w:val="21"/>
          <w:szCs w:val="21"/>
        </w:rPr>
        <w:t> </w:t>
      </w:r>
      <w:r>
        <w:rPr>
          <w:rFonts w:ascii="宋体" w:hAnsi="宋体" w:cs="宋体" w:eastAsia="宋体" w:hint="default"/>
          <w:sz w:val="21"/>
          <w:szCs w:val="21"/>
        </w:rPr>
        <w:t>669,279,255</w:t>
      </w:r>
      <w:r>
        <w:rPr>
          <w:rFonts w:ascii="宋体" w:hAnsi="宋体" w:cs="宋体" w:eastAsia="宋体" w:hint="default"/>
          <w:spacing w:val="-59"/>
          <w:sz w:val="21"/>
          <w:szCs w:val="21"/>
        </w:rPr>
        <w:t> </w:t>
      </w:r>
      <w:r>
        <w:rPr>
          <w:rFonts w:ascii="宋体" w:hAnsi="宋体" w:cs="宋体" w:eastAsia="宋体" w:hint="default"/>
          <w:spacing w:val="-3"/>
          <w:sz w:val="21"/>
          <w:szCs w:val="21"/>
        </w:rPr>
        <w:t>股为基数，向全体</w:t>
      </w:r>
    </w:p>
    <w:p>
      <w:pPr>
        <w:spacing w:line="240" w:lineRule="auto" w:before="10"/>
        <w:rPr>
          <w:rFonts w:ascii="宋体" w:hAnsi="宋体" w:cs="宋体" w:eastAsia="宋体" w:hint="default"/>
          <w:sz w:val="14"/>
          <w:szCs w:val="1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东</w:t>
      </w:r>
      <w:r>
        <w:rPr>
          <w:rFonts w:ascii="宋体" w:hAnsi="宋体" w:cs="宋体" w:eastAsia="宋体" w:hint="default"/>
          <w:w w:val="99"/>
          <w:sz w:val="21"/>
          <w:szCs w:val="21"/>
        </w:rPr>
        <w:t>每</w:t>
      </w:r>
      <w:r>
        <w:rPr>
          <w:rFonts w:ascii="宋体" w:hAnsi="宋体" w:cs="宋体" w:eastAsia="宋体" w:hint="default"/>
          <w:spacing w:val="-50"/>
          <w:sz w:val="21"/>
          <w:szCs w:val="21"/>
        </w:rPr>
        <w:t> </w:t>
      </w:r>
      <w:r>
        <w:rPr>
          <w:rFonts w:ascii="宋体" w:hAnsi="宋体" w:cs="宋体" w:eastAsia="宋体" w:hint="default"/>
          <w:spacing w:val="1"/>
          <w:w w:val="99"/>
          <w:sz w:val="21"/>
          <w:szCs w:val="21"/>
        </w:rPr>
        <w:t>1</w:t>
      </w:r>
      <w:r>
        <w:rPr>
          <w:rFonts w:ascii="宋体" w:hAnsi="宋体" w:cs="宋体" w:eastAsia="宋体" w:hint="default"/>
          <w:w w:val="99"/>
          <w:sz w:val="21"/>
          <w:szCs w:val="21"/>
        </w:rPr>
        <w:t>0</w:t>
      </w:r>
      <w:r>
        <w:rPr>
          <w:rFonts w:ascii="宋体" w:hAnsi="宋体" w:cs="宋体" w:eastAsia="宋体" w:hint="default"/>
          <w:spacing w:val="-54"/>
          <w:sz w:val="21"/>
          <w:szCs w:val="21"/>
        </w:rPr>
        <w:t> </w:t>
      </w:r>
      <w:r>
        <w:rPr>
          <w:rFonts w:ascii="宋体" w:hAnsi="宋体" w:cs="宋体" w:eastAsia="宋体" w:hint="default"/>
          <w:spacing w:val="-1"/>
          <w:w w:val="99"/>
          <w:sz w:val="21"/>
          <w:szCs w:val="21"/>
        </w:rPr>
        <w:t>股</w:t>
      </w:r>
      <w:r>
        <w:rPr>
          <w:rFonts w:ascii="宋体" w:hAnsi="宋体" w:cs="宋体" w:eastAsia="宋体" w:hint="default"/>
          <w:spacing w:val="2"/>
          <w:w w:val="99"/>
          <w:sz w:val="21"/>
          <w:szCs w:val="21"/>
        </w:rPr>
        <w:t>派</w:t>
      </w:r>
      <w:r>
        <w:rPr>
          <w:rFonts w:ascii="宋体" w:hAnsi="宋体" w:cs="宋体" w:eastAsia="宋体" w:hint="default"/>
          <w:spacing w:val="-1"/>
          <w:w w:val="99"/>
          <w:sz w:val="21"/>
          <w:szCs w:val="21"/>
        </w:rPr>
        <w:t>发</w:t>
      </w:r>
      <w:r>
        <w:rPr>
          <w:rFonts w:ascii="宋体" w:hAnsi="宋体" w:cs="宋体" w:eastAsia="宋体" w:hint="default"/>
          <w:spacing w:val="2"/>
          <w:w w:val="99"/>
          <w:sz w:val="21"/>
          <w:szCs w:val="21"/>
        </w:rPr>
        <w:t>现</w:t>
      </w:r>
      <w:r>
        <w:rPr>
          <w:rFonts w:ascii="宋体" w:hAnsi="宋体" w:cs="宋体" w:eastAsia="宋体" w:hint="default"/>
          <w:spacing w:val="-1"/>
          <w:w w:val="99"/>
          <w:sz w:val="21"/>
          <w:szCs w:val="21"/>
        </w:rPr>
        <w:t>金</w:t>
      </w:r>
      <w:r>
        <w:rPr>
          <w:rFonts w:ascii="宋体" w:hAnsi="宋体" w:cs="宋体" w:eastAsia="宋体" w:hint="default"/>
          <w:spacing w:val="2"/>
          <w:w w:val="99"/>
          <w:sz w:val="21"/>
          <w:szCs w:val="21"/>
        </w:rPr>
        <w:t>股</w:t>
      </w:r>
      <w:r>
        <w:rPr>
          <w:rFonts w:ascii="宋体" w:hAnsi="宋体" w:cs="宋体" w:eastAsia="宋体" w:hint="default"/>
          <w:w w:val="99"/>
          <w:sz w:val="21"/>
          <w:szCs w:val="21"/>
        </w:rPr>
        <w:t>利</w:t>
      </w:r>
      <w:r>
        <w:rPr>
          <w:rFonts w:ascii="宋体" w:hAnsi="宋体" w:cs="宋体" w:eastAsia="宋体" w:hint="default"/>
          <w:spacing w:val="-53"/>
          <w:sz w:val="21"/>
          <w:szCs w:val="21"/>
        </w:rPr>
        <w:t> </w:t>
      </w:r>
      <w:r>
        <w:rPr>
          <w:rFonts w:ascii="宋体" w:hAnsi="宋体" w:cs="宋体" w:eastAsia="宋体" w:hint="default"/>
          <w:w w:val="99"/>
          <w:sz w:val="21"/>
          <w:szCs w:val="21"/>
        </w:rPr>
        <w:t>1</w:t>
      </w:r>
      <w:r>
        <w:rPr>
          <w:rFonts w:ascii="宋体" w:hAnsi="宋体" w:cs="宋体" w:eastAsia="宋体" w:hint="default"/>
          <w:spacing w:val="-52"/>
          <w:sz w:val="21"/>
          <w:szCs w:val="21"/>
        </w:rPr>
        <w:t> </w:t>
      </w:r>
      <w:r>
        <w:rPr>
          <w:rFonts w:ascii="宋体" w:hAnsi="宋体" w:cs="宋体" w:eastAsia="宋体" w:hint="default"/>
          <w:spacing w:val="-1"/>
          <w:w w:val="99"/>
          <w:sz w:val="21"/>
          <w:szCs w:val="21"/>
        </w:rPr>
        <w:t>元</w:t>
      </w:r>
      <w:r>
        <w:rPr>
          <w:rFonts w:ascii="宋体" w:hAnsi="宋体" w:cs="宋体" w:eastAsia="宋体" w:hint="default"/>
          <w:spacing w:val="2"/>
          <w:w w:val="99"/>
          <w:sz w:val="21"/>
          <w:szCs w:val="21"/>
        </w:rPr>
        <w:t>人</w:t>
      </w:r>
      <w:r>
        <w:rPr>
          <w:rFonts w:ascii="宋体" w:hAnsi="宋体" w:cs="宋体" w:eastAsia="宋体" w:hint="default"/>
          <w:spacing w:val="-1"/>
          <w:w w:val="99"/>
          <w:sz w:val="21"/>
          <w:szCs w:val="21"/>
        </w:rPr>
        <w:t>民</w:t>
      </w:r>
      <w:r>
        <w:rPr>
          <w:rFonts w:ascii="宋体" w:hAnsi="宋体" w:cs="宋体" w:eastAsia="宋体" w:hint="default"/>
          <w:spacing w:val="-3"/>
          <w:w w:val="99"/>
          <w:sz w:val="21"/>
          <w:szCs w:val="21"/>
        </w:rPr>
        <w:t>币</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4"/>
          <w:w w:val="99"/>
          <w:sz w:val="21"/>
          <w:szCs w:val="21"/>
        </w:rPr>
        <w:t>）</w:t>
      </w:r>
      <w:r>
        <w:rPr>
          <w:rFonts w:ascii="宋体" w:hAnsi="宋体" w:cs="宋体" w:eastAsia="宋体" w:hint="default"/>
          <w:spacing w:val="-5"/>
          <w:w w:val="99"/>
          <w:sz w:val="21"/>
          <w:szCs w:val="21"/>
        </w:rPr>
        <w:t>，</w:t>
      </w:r>
      <w:r>
        <w:rPr>
          <w:rFonts w:ascii="宋体" w:hAnsi="宋体" w:cs="宋体" w:eastAsia="宋体" w:hint="default"/>
          <w:spacing w:val="-1"/>
          <w:w w:val="99"/>
          <w:sz w:val="21"/>
          <w:szCs w:val="21"/>
        </w:rPr>
        <w:t>合</w:t>
      </w:r>
      <w:r>
        <w:rPr>
          <w:rFonts w:ascii="宋体" w:hAnsi="宋体" w:cs="宋体" w:eastAsia="宋体" w:hint="default"/>
          <w:spacing w:val="2"/>
          <w:w w:val="99"/>
          <w:sz w:val="21"/>
          <w:szCs w:val="21"/>
        </w:rPr>
        <w:t>计</w:t>
      </w:r>
      <w:r>
        <w:rPr>
          <w:rFonts w:ascii="宋体" w:hAnsi="宋体" w:cs="宋体" w:eastAsia="宋体" w:hint="default"/>
          <w:spacing w:val="-1"/>
          <w:w w:val="99"/>
          <w:sz w:val="21"/>
          <w:szCs w:val="21"/>
        </w:rPr>
        <w:t>派</w:t>
      </w:r>
      <w:r>
        <w:rPr>
          <w:rFonts w:ascii="宋体" w:hAnsi="宋体" w:cs="宋体" w:eastAsia="宋体" w:hint="default"/>
          <w:spacing w:val="2"/>
          <w:w w:val="99"/>
          <w:sz w:val="21"/>
          <w:szCs w:val="21"/>
        </w:rPr>
        <w:t>发</w:t>
      </w:r>
      <w:r>
        <w:rPr>
          <w:rFonts w:ascii="宋体" w:hAnsi="宋体" w:cs="宋体" w:eastAsia="宋体" w:hint="default"/>
          <w:spacing w:val="-1"/>
          <w:w w:val="99"/>
          <w:sz w:val="21"/>
          <w:szCs w:val="21"/>
        </w:rPr>
        <w:t>现</w:t>
      </w:r>
      <w:r>
        <w:rPr>
          <w:rFonts w:ascii="宋体" w:hAnsi="宋体" w:cs="宋体" w:eastAsia="宋体" w:hint="default"/>
          <w:spacing w:val="2"/>
          <w:w w:val="99"/>
          <w:sz w:val="21"/>
          <w:szCs w:val="21"/>
        </w:rPr>
        <w:t>金</w:t>
      </w:r>
      <w:r>
        <w:rPr>
          <w:rFonts w:ascii="宋体" w:hAnsi="宋体" w:cs="宋体" w:eastAsia="宋体" w:hint="default"/>
          <w:spacing w:val="-1"/>
          <w:w w:val="99"/>
          <w:sz w:val="21"/>
          <w:szCs w:val="21"/>
        </w:rPr>
        <w:t>股</w:t>
      </w:r>
      <w:r>
        <w:rPr>
          <w:rFonts w:ascii="宋体" w:hAnsi="宋体" w:cs="宋体" w:eastAsia="宋体" w:hint="default"/>
          <w:w w:val="99"/>
          <w:sz w:val="21"/>
          <w:szCs w:val="21"/>
        </w:rPr>
        <w:t>利</w:t>
      </w:r>
      <w:r>
        <w:rPr>
          <w:rFonts w:ascii="宋体" w:hAnsi="宋体" w:cs="宋体" w:eastAsia="宋体" w:hint="default"/>
          <w:spacing w:val="-50"/>
          <w:sz w:val="21"/>
          <w:szCs w:val="21"/>
        </w:rPr>
        <w:t> </w:t>
      </w:r>
      <w:r>
        <w:rPr>
          <w:rFonts w:ascii="宋体" w:hAnsi="宋体" w:cs="宋体" w:eastAsia="宋体" w:hint="default"/>
          <w:spacing w:val="1"/>
          <w:w w:val="99"/>
          <w:sz w:val="21"/>
          <w:szCs w:val="21"/>
        </w:rPr>
        <w:t>66,</w:t>
      </w:r>
      <w:r>
        <w:rPr>
          <w:rFonts w:ascii="宋体" w:hAnsi="宋体" w:cs="宋体" w:eastAsia="宋体" w:hint="default"/>
          <w:spacing w:val="-2"/>
          <w:w w:val="99"/>
          <w:sz w:val="21"/>
          <w:szCs w:val="21"/>
        </w:rPr>
        <w:t>9</w:t>
      </w:r>
      <w:r>
        <w:rPr>
          <w:rFonts w:ascii="宋体" w:hAnsi="宋体" w:cs="宋体" w:eastAsia="宋体" w:hint="default"/>
          <w:spacing w:val="1"/>
          <w:w w:val="99"/>
          <w:sz w:val="21"/>
          <w:szCs w:val="21"/>
        </w:rPr>
        <w:t>27,</w:t>
      </w:r>
      <w:r>
        <w:rPr>
          <w:rFonts w:ascii="宋体" w:hAnsi="宋体" w:cs="宋体" w:eastAsia="宋体" w:hint="default"/>
          <w:spacing w:val="-2"/>
          <w:w w:val="99"/>
          <w:sz w:val="21"/>
          <w:szCs w:val="21"/>
        </w:rPr>
        <w:t>9</w:t>
      </w:r>
      <w:r>
        <w:rPr>
          <w:rFonts w:ascii="宋体" w:hAnsi="宋体" w:cs="宋体" w:eastAsia="宋体" w:hint="default"/>
          <w:spacing w:val="1"/>
          <w:w w:val="99"/>
          <w:sz w:val="21"/>
          <w:szCs w:val="21"/>
        </w:rPr>
        <w:t>25.</w:t>
      </w:r>
      <w:r>
        <w:rPr>
          <w:rFonts w:ascii="宋体" w:hAnsi="宋体" w:cs="宋体" w:eastAsia="宋体" w:hint="default"/>
          <w:w w:val="99"/>
          <w:sz w:val="21"/>
          <w:szCs w:val="21"/>
        </w:rPr>
        <w:t>5</w:t>
      </w:r>
      <w:r>
        <w:rPr>
          <w:rFonts w:ascii="宋体" w:hAnsi="宋体" w:cs="宋体" w:eastAsia="宋体" w:hint="default"/>
          <w:spacing w:val="-54"/>
          <w:sz w:val="21"/>
          <w:szCs w:val="21"/>
        </w:rPr>
        <w:t> </w:t>
      </w:r>
      <w:r>
        <w:rPr>
          <w:rFonts w:ascii="宋体" w:hAnsi="宋体" w:cs="宋体" w:eastAsia="宋体" w:hint="default"/>
          <w:spacing w:val="-3"/>
          <w:w w:val="99"/>
          <w:sz w:val="21"/>
          <w:szCs w:val="21"/>
        </w:rPr>
        <w:t>元</w:t>
      </w:r>
      <w:r>
        <w:rPr>
          <w:rFonts w:ascii="宋体" w:hAnsi="宋体" w:cs="宋体" w:eastAsia="宋体" w:hint="default"/>
          <w:spacing w:val="-1"/>
          <w:w w:val="99"/>
          <w:sz w:val="21"/>
          <w:szCs w:val="21"/>
        </w:rPr>
        <w:t>（含</w:t>
      </w:r>
      <w:r>
        <w:rPr>
          <w:rFonts w:ascii="宋体" w:hAnsi="宋体" w:cs="宋体" w:eastAsia="宋体" w:hint="default"/>
          <w:spacing w:val="2"/>
          <w:w w:val="99"/>
          <w:sz w:val="21"/>
          <w:szCs w:val="21"/>
        </w:rPr>
        <w:t>税</w:t>
      </w:r>
      <w:r>
        <w:rPr>
          <w:rFonts w:ascii="宋体" w:hAnsi="宋体" w:cs="宋体" w:eastAsia="宋体" w:hint="default"/>
          <w:spacing w:val="-106"/>
          <w:w w:val="99"/>
          <w:sz w:val="21"/>
          <w:szCs w:val="21"/>
        </w:rPr>
        <w:t>）</w:t>
      </w:r>
      <w:r>
        <w:rPr>
          <w:rFonts w:ascii="宋体" w:hAnsi="宋体" w:cs="宋体" w:eastAsia="宋体" w:hint="default"/>
          <w:spacing w:val="-3"/>
          <w:w w:val="99"/>
          <w:sz w:val="21"/>
          <w:szCs w:val="21"/>
        </w:rPr>
        <w:t>，</w:t>
      </w:r>
      <w:r>
        <w:rPr>
          <w:rFonts w:ascii="宋体" w:hAnsi="宋体" w:cs="宋体" w:eastAsia="宋体" w:hint="default"/>
          <w:spacing w:val="-1"/>
          <w:w w:val="99"/>
          <w:sz w:val="21"/>
          <w:szCs w:val="21"/>
        </w:rPr>
        <w:t>本</w:t>
      </w:r>
      <w:r>
        <w:rPr>
          <w:rFonts w:ascii="宋体" w:hAnsi="宋体" w:cs="宋体" w:eastAsia="宋体" w:hint="default"/>
          <w:spacing w:val="2"/>
          <w:w w:val="99"/>
          <w:sz w:val="21"/>
          <w:szCs w:val="21"/>
        </w:rPr>
        <w:t>年</w:t>
      </w:r>
      <w:r>
        <w:rPr>
          <w:rFonts w:ascii="宋体" w:hAnsi="宋体" w:cs="宋体" w:eastAsia="宋体" w:hint="default"/>
          <w:spacing w:val="-1"/>
          <w:w w:val="99"/>
          <w:sz w:val="21"/>
          <w:szCs w:val="21"/>
        </w:rPr>
        <w:t>度</w:t>
      </w:r>
      <w:r>
        <w:rPr>
          <w:rFonts w:ascii="宋体" w:hAnsi="宋体" w:cs="宋体" w:eastAsia="宋体" w:hint="default"/>
          <w:spacing w:val="2"/>
          <w:w w:val="99"/>
          <w:sz w:val="21"/>
          <w:szCs w:val="21"/>
        </w:rPr>
        <w:t>不</w:t>
      </w:r>
      <w:r>
        <w:rPr>
          <w:rFonts w:ascii="宋体" w:hAnsi="宋体" w:cs="宋体" w:eastAsia="宋体" w:hint="default"/>
          <w:w w:val="99"/>
          <w:sz w:val="21"/>
          <w:szCs w:val="21"/>
        </w:rPr>
        <w:t>进</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before="0"/>
        <w:ind w:left="112" w:right="0" w:firstLine="0"/>
        <w:jc w:val="left"/>
        <w:rPr>
          <w:rFonts w:ascii="宋体" w:hAnsi="宋体" w:cs="宋体" w:eastAsia="宋体" w:hint="default"/>
          <w:sz w:val="21"/>
          <w:szCs w:val="21"/>
        </w:rPr>
      </w:pPr>
      <w:r>
        <w:rPr>
          <w:rFonts w:ascii="宋体" w:hAnsi="宋体" w:cs="宋体" w:eastAsia="宋体" w:hint="default"/>
          <w:sz w:val="21"/>
          <w:szCs w:val="21"/>
        </w:rPr>
        <w:t>行送红股，亦不进行转增股本，剩余未分配利润结转以后年度。经</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8"/>
          <w:sz w:val="21"/>
          <w:szCs w:val="21"/>
        </w:rPr>
        <w:t> </w:t>
      </w:r>
      <w:r>
        <w:rPr>
          <w:rFonts w:ascii="宋体" w:hAnsi="宋体" w:cs="宋体" w:eastAsia="宋体" w:hint="default"/>
          <w:sz w:val="21"/>
          <w:szCs w:val="21"/>
        </w:rPr>
        <w:t>日第四届董事会</w:t>
      </w:r>
      <w:r>
        <w:rPr>
          <w:rFonts w:ascii="宋体" w:hAnsi="宋体" w:cs="宋体" w:eastAsia="宋体" w:hint="default"/>
          <w:spacing w:val="-54"/>
          <w:sz w:val="21"/>
          <w:szCs w:val="21"/>
        </w:rPr>
        <w:t> </w:t>
      </w:r>
      <w:r>
        <w:rPr>
          <w:rFonts w:ascii="宋体" w:hAnsi="宋体" w:cs="宋体" w:eastAsia="宋体" w:hint="default"/>
          <w:sz w:val="21"/>
          <w:szCs w:val="21"/>
        </w:rPr>
        <w:t>2018</w:t>
      </w:r>
    </w:p>
    <w:p>
      <w:pPr>
        <w:spacing w:line="240" w:lineRule="auto" w:before="10"/>
        <w:rPr>
          <w:rFonts w:ascii="宋体" w:hAnsi="宋体" w:cs="宋体" w:eastAsia="宋体" w:hint="default"/>
          <w:sz w:val="14"/>
          <w:szCs w:val="14"/>
        </w:rPr>
      </w:pPr>
    </w:p>
    <w:p>
      <w:pPr>
        <w:spacing w:line="408" w:lineRule="auto" w:before="0"/>
        <w:ind w:left="532" w:right="4011" w:hanging="420"/>
        <w:jc w:val="left"/>
        <w:rPr>
          <w:rFonts w:ascii="宋体" w:hAnsi="宋体" w:cs="宋体" w:eastAsia="宋体" w:hint="default"/>
          <w:sz w:val="21"/>
          <w:szCs w:val="21"/>
        </w:rPr>
      </w:pPr>
      <w:r>
        <w:rPr>
          <w:rFonts w:ascii="宋体" w:hAnsi="宋体" w:cs="宋体" w:eastAsia="宋体" w:hint="default"/>
          <w:sz w:val="21"/>
          <w:szCs w:val="21"/>
        </w:rPr>
        <w:t>年第一次会议审议通过，尚需</w:t>
      </w:r>
      <w:r>
        <w:rPr>
          <w:rFonts w:ascii="宋体" w:hAnsi="宋体" w:cs="宋体" w:eastAsia="宋体" w:hint="default"/>
          <w:spacing w:val="-58"/>
          <w:sz w:val="21"/>
          <w:szCs w:val="21"/>
        </w:rPr>
        <w:t> </w:t>
      </w:r>
      <w:r>
        <w:rPr>
          <w:rFonts w:ascii="宋体" w:hAnsi="宋体" w:cs="宋体" w:eastAsia="宋体" w:hint="default"/>
          <w:sz w:val="21"/>
          <w:szCs w:val="21"/>
        </w:rPr>
        <w:t>2017</w:t>
      </w:r>
      <w:r>
        <w:rPr>
          <w:rFonts w:ascii="宋体" w:hAnsi="宋体" w:cs="宋体" w:eastAsia="宋体" w:hint="default"/>
          <w:spacing w:val="-59"/>
          <w:sz w:val="21"/>
          <w:szCs w:val="21"/>
        </w:rPr>
        <w:t> </w:t>
      </w:r>
      <w:r>
        <w:rPr>
          <w:rFonts w:ascii="宋体" w:hAnsi="宋体" w:cs="宋体" w:eastAsia="宋体" w:hint="default"/>
          <w:sz w:val="21"/>
          <w:szCs w:val="21"/>
        </w:rPr>
        <w:t>年年度股东大会审议通过。</w:t>
      </w:r>
      <w:r>
        <w:rPr>
          <w:rFonts w:ascii="宋体" w:hAnsi="宋体" w:cs="宋体" w:eastAsia="宋体" w:hint="default"/>
          <w:w w:val="99"/>
          <w:sz w:val="21"/>
          <w:szCs w:val="21"/>
        </w:rPr>
        <w:t> </w:t>
      </w:r>
      <w:r>
        <w:rPr>
          <w:rFonts w:ascii="宋体" w:hAnsi="宋体" w:cs="宋体" w:eastAsia="宋体" w:hint="default"/>
          <w:sz w:val="21"/>
          <w:szCs w:val="21"/>
        </w:rPr>
        <w:t>公司近三年（包括本报告期）普通股现金分红情况表：</w:t>
      </w:r>
    </w:p>
    <w:p>
      <w:pPr>
        <w:pStyle w:val="BodyText"/>
        <w:spacing w:line="240" w:lineRule="auto" w:before="33"/>
        <w:ind w:left="0" w:right="15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358"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分红年度合并报</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占合并报表中归</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62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613" w:right="100" w:hanging="512"/>
              <w:jc w:val="left"/>
              <w:rPr>
                <w:rFonts w:ascii="宋体" w:hAnsi="宋体" w:cs="宋体" w:eastAsia="宋体" w:hint="default"/>
                <w:sz w:val="18"/>
                <w:szCs w:val="18"/>
              </w:rPr>
            </w:pPr>
            <w:r>
              <w:rPr>
                <w:rFonts w:ascii="宋体" w:hAnsi="宋体" w:cs="宋体" w:eastAsia="宋体" w:hint="default"/>
                <w:spacing w:val="-8"/>
                <w:sz w:val="18"/>
                <w:szCs w:val="18"/>
              </w:rPr>
              <w:t>现金分红金额（含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1" w:right="160"/>
              <w:jc w:val="left"/>
              <w:rPr>
                <w:rFonts w:ascii="宋体" w:hAnsi="宋体" w:cs="宋体" w:eastAsia="宋体" w:hint="default"/>
                <w:sz w:val="18"/>
                <w:szCs w:val="18"/>
              </w:rPr>
            </w:pPr>
            <w:r>
              <w:rPr>
                <w:rFonts w:ascii="宋体" w:hAnsi="宋体" w:cs="宋体" w:eastAsia="宋体" w:hint="default"/>
                <w:sz w:val="18"/>
                <w:szCs w:val="18"/>
              </w:rPr>
              <w:t>表中归属于上市 公司普通股股东</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61" w:right="161"/>
              <w:jc w:val="left"/>
              <w:rPr>
                <w:rFonts w:ascii="宋体" w:hAnsi="宋体" w:cs="宋体" w:eastAsia="宋体" w:hint="default"/>
                <w:sz w:val="18"/>
                <w:szCs w:val="18"/>
              </w:rPr>
            </w:pPr>
            <w:r>
              <w:rPr>
                <w:rFonts w:ascii="宋体" w:hAnsi="宋体" w:cs="宋体" w:eastAsia="宋体" w:hint="default"/>
                <w:sz w:val="18"/>
                <w:szCs w:val="18"/>
              </w:rPr>
              <w:t>属于上市公司普 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3"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分红的金额</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342" w:right="159" w:hanging="180"/>
              <w:jc w:val="left"/>
              <w:rPr>
                <w:rFonts w:ascii="宋体" w:hAnsi="宋体" w:cs="宋体" w:eastAsia="宋体" w:hint="default"/>
                <w:sz w:val="18"/>
                <w:szCs w:val="18"/>
              </w:rPr>
            </w:pPr>
            <w:r>
              <w:rPr>
                <w:rFonts w:ascii="宋体" w:hAnsi="宋体" w:cs="宋体" w:eastAsia="宋体" w:hint="default"/>
                <w:sz w:val="18"/>
                <w:szCs w:val="18"/>
              </w:rPr>
              <w:t>以其他方式现金 分红的比例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的净利润</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432" w:right="0"/>
              <w:jc w:val="left"/>
              <w:rPr>
                <w:rFonts w:ascii="宋体" w:hAnsi="宋体" w:cs="宋体" w:eastAsia="宋体" w:hint="default"/>
                <w:sz w:val="18"/>
                <w:szCs w:val="18"/>
              </w:rPr>
            </w:pPr>
            <w:r>
              <w:rPr>
                <w:rFonts w:ascii="宋体" w:hAnsi="宋体" w:cs="宋体" w:eastAsia="宋体" w:hint="default"/>
                <w:sz w:val="18"/>
                <w:szCs w:val="18"/>
              </w:rPr>
              <w:t>润的比率</w:t>
            </w: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66,927,925.50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101,644,074.39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65.85%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66,039,925.50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29,911,896.05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21,459,945.30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23,393,455.21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t>□ 适用 √ 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二、承诺事项履行情况</w:t>
      </w:r>
      <w:r>
        <w:rPr>
          <w:b w:val="0"/>
          <w:bCs w:val="0"/>
        </w:rPr>
      </w:r>
    </w:p>
    <w:p>
      <w:pPr>
        <w:spacing w:line="240" w:lineRule="auto" w:before="7"/>
        <w:rPr>
          <w:rFonts w:ascii="宋体" w:hAnsi="宋体" w:cs="宋体" w:eastAsia="宋体" w:hint="default"/>
          <w:b/>
          <w:bCs/>
          <w:sz w:val="24"/>
          <w:szCs w:val="24"/>
        </w:rPr>
      </w:pPr>
    </w:p>
    <w:p>
      <w:pPr>
        <w:pStyle w:val="Heading4"/>
        <w:spacing w:line="259" w:lineRule="auto"/>
        <w:ind w:right="0"/>
        <w:jc w:val="left"/>
        <w:rPr>
          <w:b w:val="0"/>
          <w:bCs w:val="0"/>
        </w:rPr>
      </w:pPr>
      <w:r>
        <w:rPr>
          <w:rFonts w:ascii="Times New Roman" w:hAnsi="Times New Roman" w:cs="Times New Roman" w:eastAsia="Times New Roman" w:hint="default"/>
          <w:spacing w:val="3"/>
          <w:w w:val="95"/>
        </w:rPr>
        <w:t>1</w:t>
      </w:r>
      <w:r>
        <w:rPr>
          <w:spacing w:val="3"/>
          <w:w w:val="95"/>
        </w:rPr>
        <w:t>、公司实际控制人、股东、关联方、收购人以及公司等承诺相关方在报告期内履行完毕及截至报告期末</w:t>
      </w:r>
      <w:r>
        <w:rPr>
          <w:spacing w:val="95"/>
          <w:w w:val="95"/>
        </w:rPr>
        <w:t> </w:t>
      </w:r>
      <w:r>
        <w:rPr>
          <w:spacing w:val="95"/>
          <w:w w:val="95"/>
        </w:rPr>
      </w:r>
      <w:r>
        <w:rPr/>
        <w:t>尚未履行完毕的承诺事项</w:t>
      </w:r>
      <w:r>
        <w:rPr>
          <w:b w:val="0"/>
          <w:bCs w:val="0"/>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714"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3" w:right="129" w:hanging="180"/>
              <w:jc w:val="left"/>
              <w:rPr>
                <w:rFonts w:ascii="宋体" w:hAnsi="宋体" w:cs="宋体" w:eastAsia="宋体" w:hint="default"/>
                <w:sz w:val="18"/>
                <w:szCs w:val="18"/>
              </w:rPr>
            </w:pPr>
            <w:r>
              <w:rPr>
                <w:rFonts w:ascii="宋体" w:hAnsi="宋体" w:cs="宋体" w:eastAsia="宋体" w:hint="default"/>
                <w:sz w:val="18"/>
                <w:szCs w:val="18"/>
              </w:rPr>
              <w:t>承诺来 源</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6" w:right="107"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5" w:right="143" w:hanging="180"/>
              <w:jc w:val="left"/>
              <w:rPr>
                <w:rFonts w:ascii="宋体" w:hAnsi="宋体" w:cs="宋体" w:eastAsia="宋体" w:hint="default"/>
                <w:sz w:val="18"/>
                <w:szCs w:val="18"/>
              </w:rPr>
            </w:pPr>
            <w:r>
              <w:rPr>
                <w:rFonts w:ascii="宋体" w:hAnsi="宋体" w:cs="宋体" w:eastAsia="宋体" w:hint="default"/>
                <w:sz w:val="18"/>
                <w:szCs w:val="18"/>
              </w:rPr>
              <w:t>承诺时 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984"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0"/>
              <w:jc w:val="both"/>
              <w:rPr>
                <w:rFonts w:ascii="宋体" w:hAnsi="宋体" w:cs="宋体" w:eastAsia="宋体" w:hint="default"/>
                <w:sz w:val="18"/>
                <w:szCs w:val="18"/>
              </w:rPr>
            </w:pPr>
            <w:r>
              <w:rPr>
                <w:rFonts w:ascii="宋体" w:hAnsi="宋体" w:cs="宋体" w:eastAsia="宋体" w:hint="default"/>
                <w:sz w:val="18"/>
                <w:szCs w:val="18"/>
              </w:rPr>
              <w:t>收购报 告书或 权益变</w:t>
            </w:r>
          </w:p>
        </w:tc>
        <w:tc>
          <w:tcPr>
            <w:tcW w:w="15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33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9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986"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01" w:right="160"/>
              <w:jc w:val="both"/>
              <w:rPr>
                <w:rFonts w:ascii="宋体" w:hAnsi="宋体" w:cs="宋体" w:eastAsia="宋体" w:hint="default"/>
                <w:sz w:val="18"/>
                <w:szCs w:val="18"/>
              </w:rPr>
            </w:pPr>
            <w:r>
              <w:rPr>
                <w:rFonts w:ascii="宋体" w:hAnsi="宋体" w:cs="宋体" w:eastAsia="宋体" w:hint="default"/>
                <w:sz w:val="18"/>
                <w:szCs w:val="18"/>
              </w:rPr>
              <w:t>动报告 书中所 作承诺</w:t>
            </w:r>
          </w:p>
        </w:tc>
        <w:tc>
          <w:tcPr>
            <w:tcW w:w="15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336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7"/>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09" w:lineRule="auto"/>
              <w:ind w:left="102"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、田斌、季宗生、冯钊、卢存方、康剑 承诺：自本次新增股份上市之日起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 月，不转让其持有的本次以资产认购所 取得的上市公司股份；在最后一次盈利 承诺补偿和减值补偿完成前，不转让所 持有的本次以资产认购所取得的上市公 司股份。</w:t>
            </w:r>
            <w:r>
              <w:rPr>
                <w:rFonts w:ascii="Times New Roman" w:hAnsi="Times New Roman" w:cs="Times New Roman" w:eastAsia="Times New Roman" w:hint="default"/>
                <w:sz w:val="18"/>
                <w:szCs w:val="18"/>
              </w:rPr>
              <w:t>2</w:t>
            </w:r>
            <w:r>
              <w:rPr>
                <w:rFonts w:ascii="宋体" w:hAnsi="宋体" w:cs="宋体" w:eastAsia="宋体" w:hint="default"/>
                <w:sz w:val="18"/>
                <w:szCs w:val="18"/>
              </w:rPr>
              <w:t>、孙慧、康瑞鑫承诺：则所取 得股份自上市之日起锁定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个月，上述 期间内不转让其持有的本次以资产认购 所取得的上市公司股份。</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2" w:right="102"/>
              <w:jc w:val="left"/>
              <w:rPr>
                <w:rFonts w:ascii="宋体" w:hAnsi="宋体" w:cs="宋体" w:eastAsia="宋体" w:hint="default"/>
                <w:sz w:val="18"/>
                <w:szCs w:val="18"/>
              </w:rPr>
            </w:pPr>
            <w:r>
              <w:rPr>
                <w:rFonts w:ascii="宋体" w:hAnsi="宋体" w:cs="宋体" w:eastAsia="宋体" w:hint="default"/>
                <w:sz w:val="18"/>
                <w:szCs w:val="18"/>
              </w:rPr>
              <w:t>田斌、季宗 生、冯钊、 卢存方、康 剑承诺自本 次新增股份 上市之日起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11"/>
                <w:sz w:val="18"/>
                <w:szCs w:val="18"/>
              </w:rPr>
              <w:t>个月，孙</w:t>
            </w:r>
            <w:r>
              <w:rPr>
                <w:rFonts w:ascii="宋体" w:hAnsi="宋体" w:cs="宋体" w:eastAsia="宋体" w:hint="default"/>
                <w:sz w:val="18"/>
                <w:szCs w:val="18"/>
              </w:rPr>
              <w:t> 慧、康瑞鑫 自上市之日 起锁定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1338"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09"/>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当富华宇祺在</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pacing w:val="-14"/>
                <w:sz w:val="18"/>
                <w:szCs w:val="18"/>
              </w:rPr>
              <w:t>年度、</w:t>
            </w:r>
            <w:r>
              <w:rPr>
                <w:rFonts w:ascii="Times New Roman" w:hAnsi="Times New Roman" w:cs="Times New Roman" w:eastAsia="Times New Roman" w:hint="default"/>
                <w:spacing w:val="-14"/>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pacing w:val="-14"/>
                <w:sz w:val="18"/>
                <w:szCs w:val="18"/>
              </w:rPr>
              <w:t>年度、</w:t>
            </w:r>
            <w:r>
              <w:rPr>
                <w:rFonts w:ascii="Times New Roman" w:hAnsi="Times New Roman" w:cs="Times New Roman" w:eastAsia="Times New Roman" w:hint="default"/>
                <w:spacing w:val="-14"/>
                <w:sz w:val="18"/>
                <w:szCs w:val="18"/>
              </w:rPr>
              <w:t>2015</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年度未实现交易对方承诺的 净利润时，按照《利润补偿协议》及补 充协议进行补偿</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5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在本次非公开发行股份购买资产完成</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19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1" w:right="160"/>
              <w:jc w:val="both"/>
              <w:rPr>
                <w:rFonts w:ascii="宋体" w:hAnsi="宋体" w:cs="宋体" w:eastAsia="宋体" w:hint="default"/>
                <w:sz w:val="18"/>
                <w:szCs w:val="18"/>
              </w:rPr>
            </w:pPr>
            <w:r>
              <w:rPr>
                <w:rFonts w:ascii="宋体" w:hAnsi="宋体" w:cs="宋体" w:eastAsia="宋体" w:hint="default"/>
                <w:sz w:val="18"/>
                <w:szCs w:val="18"/>
              </w:rPr>
              <w:t>资产重 组时所 作承诺</w:t>
            </w: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9"/>
              <w:jc w:val="both"/>
              <w:rPr>
                <w:rFonts w:ascii="宋体" w:hAnsi="宋体" w:cs="宋体" w:eastAsia="宋体" w:hint="default"/>
                <w:sz w:val="18"/>
                <w:szCs w:val="18"/>
              </w:rPr>
            </w:pPr>
            <w:r>
              <w:rPr>
                <w:rFonts w:ascii="宋体" w:hAnsi="宋体" w:cs="宋体" w:eastAsia="宋体" w:hint="default"/>
                <w:sz w:val="18"/>
                <w:szCs w:val="18"/>
              </w:rPr>
              <w:t>同业竞 争的承 诺</w:t>
            </w: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316" w:lineRule="auto" w:before="10"/>
              <w:ind w:left="102" w:right="186"/>
              <w:jc w:val="both"/>
              <w:rPr>
                <w:rFonts w:ascii="宋体" w:hAnsi="宋体" w:cs="宋体" w:eastAsia="宋体" w:hint="default"/>
                <w:sz w:val="18"/>
                <w:szCs w:val="18"/>
              </w:rPr>
            </w:pPr>
            <w:r>
              <w:rPr>
                <w:rFonts w:ascii="宋体" w:hAnsi="宋体" w:cs="宋体" w:eastAsia="宋体" w:hint="default"/>
                <w:sz w:val="18"/>
                <w:szCs w:val="18"/>
              </w:rPr>
              <w:t>后，本人、本人控股和实际控制的企业 在任何时间不会直接或间接地以任何方 式（包括但不限于自营、合资或联营） 参与或进行任何与尤洛卡及其控股子公 司实际从事的业务存在竞争的任何业务 活动。</w:t>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58"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、本次重组完成后，将严格按照《公司</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法》等有关法律、法规以及尤洛卡《公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司章程》的规定行使股东权利或者董事</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权利，在股东大会以及董事会对有关涉</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及承诺人的关联交易事项进行表决时，</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履行回避表决的义务。</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556"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03" w:right="109"/>
              <w:jc w:val="both"/>
              <w:rPr>
                <w:rFonts w:ascii="宋体" w:hAnsi="宋体" w:cs="宋体" w:eastAsia="宋体" w:hint="default"/>
                <w:sz w:val="18"/>
                <w:szCs w:val="18"/>
              </w:rPr>
            </w:pPr>
            <w:r>
              <w:rPr>
                <w:rFonts w:ascii="宋体" w:hAnsi="宋体" w:cs="宋体" w:eastAsia="宋体" w:hint="default"/>
                <w:sz w:val="18"/>
                <w:szCs w:val="18"/>
              </w:rPr>
              <w:t>关联交 易、资 金占用 的承诺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2" w:right="11"/>
              <w:jc w:val="left"/>
              <w:rPr>
                <w:rFonts w:ascii="宋体" w:hAnsi="宋体" w:cs="宋体" w:eastAsia="宋体" w:hint="default"/>
                <w:sz w:val="18"/>
                <w:szCs w:val="18"/>
              </w:rPr>
            </w:pPr>
            <w:r>
              <w:rPr>
                <w:rFonts w:ascii="宋体" w:hAnsi="宋体" w:cs="宋体" w:eastAsia="宋体" w:hint="default"/>
                <w:sz w:val="18"/>
                <w:szCs w:val="18"/>
              </w:rPr>
              <w:t>后，本人与尤洛卡之间将尽量减少和避 免关联交易。在进行确有必要且无法规 避的关联交易时，保证按市场化原则和 公允价格进行公平操作，并按相关法律、 法规以及规范性文件的规定履行交易程</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序及信息披露义务。保证不通过关联交</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易损害尤洛卡及其他股东的合法权益。</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本人和尤洛卡就相互间关联事务及交易</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所做出的任何约定及安排，均不妨碍对</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方为其自身利益、在市场同等竞争条件</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下与任何第三方进行业务往来或交易。</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400"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4" w:right="0"/>
              <w:jc w:val="left"/>
              <w:rPr>
                <w:rFonts w:ascii="宋体" w:hAnsi="宋体" w:cs="宋体" w:eastAsia="宋体" w:hint="default"/>
                <w:sz w:val="18"/>
                <w:szCs w:val="18"/>
              </w:rPr>
            </w:pPr>
            <w:r>
              <w:rPr>
                <w:rFonts w:ascii="宋体" w:hAnsi="宋体" w:cs="宋体" w:eastAsia="宋体" w:hint="default"/>
                <w:sz w:val="18"/>
                <w:szCs w:val="18"/>
              </w:rPr>
              <w:t>田斌、季宗生、</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其他承</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、保证为本次重组所提供的有关信息均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22"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冯钊、卢存方、</w:t>
            </w:r>
          </w:p>
        </w:tc>
        <w:tc>
          <w:tcPr>
            <w:tcW w:w="7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为真实、准确和完整的，不存在虚假记</w:t>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康剑、孙慧、康</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载、误导性陈述或者重大遗漏；</w:t>
            </w:r>
            <w:r>
              <w:rPr>
                <w:rFonts w:ascii="Times New Roman" w:hAnsi="Times New Roman" w:cs="Times New Roman" w:eastAsia="Times New Roman" w:hint="default"/>
                <w:sz w:val="18"/>
                <w:szCs w:val="18"/>
              </w:rPr>
              <w:t>2</w:t>
            </w:r>
            <w:r>
              <w:rPr>
                <w:rFonts w:ascii="宋体" w:hAnsi="宋体" w:cs="宋体" w:eastAsia="宋体" w:hint="default"/>
                <w:sz w:val="18"/>
                <w:szCs w:val="18"/>
              </w:rPr>
              <w:t>、保证</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瑞鑫</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向参与本次重组的各中介机构所提供的</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资料均为真实、准确、完整的原始书面</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资料或副本资料，资料副本或复印件与</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其原始资料或原件一致；所有文件的签</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名、印章均是真实的，不存在任何虚假</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3</w:t>
            </w:r>
            <w:r>
              <w:rPr>
                <w:rFonts w:ascii="宋体" w:hAnsi="宋体" w:cs="宋体" w:eastAsia="宋体" w:hint="default"/>
                <w:sz w:val="18"/>
                <w:szCs w:val="18"/>
              </w:rPr>
              <w:t>、保</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证为本次重组所出具的说明及确认均为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真实、准确和完整的，不存在任何虚假</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记载、误导性陈述或者重大遗漏；</w:t>
            </w:r>
            <w:r>
              <w:rPr>
                <w:rFonts w:ascii="Times New Roman" w:hAnsi="Times New Roman" w:cs="Times New Roman" w:eastAsia="Times New Roman" w:hint="default"/>
                <w:sz w:val="18"/>
                <w:szCs w:val="18"/>
              </w:rPr>
              <w:t>4</w:t>
            </w:r>
            <w:r>
              <w:rPr>
                <w:rFonts w:ascii="宋体" w:hAnsi="宋体" w:cs="宋体" w:eastAsia="宋体" w:hint="default"/>
                <w:sz w:val="18"/>
                <w:szCs w:val="18"/>
              </w:rPr>
              <w:t>、承</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诺，如违反上述保证，将承担个别和连</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带的法律责任。</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、已知悉并同意尤洛卡矿业安全工程股</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份有限公司以非公开发行股份及支付现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金方式购买田斌、季宗生、冯钊、卢存</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方、康剑、孙慧和康瑞鑫等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名自然人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股东合法持有的富华宇祺合计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53.21%</w:t>
            </w:r>
            <w:r>
              <w:rPr>
                <w:rFonts w:ascii="宋体" w:hAnsi="宋体" w:cs="宋体" w:eastAsia="宋体" w:hint="default"/>
                <w:sz w:val="18"/>
                <w:szCs w:val="18"/>
              </w:rPr>
              <w:t>股</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2" w:right="11"/>
              <w:jc w:val="left"/>
              <w:rPr>
                <w:rFonts w:ascii="宋体" w:hAnsi="宋体" w:cs="宋体" w:eastAsia="宋体" w:hint="default"/>
                <w:sz w:val="18"/>
                <w:szCs w:val="18"/>
              </w:rPr>
            </w:pPr>
            <w:r>
              <w:rPr>
                <w:rFonts w:ascii="宋体" w:hAnsi="宋体" w:cs="宋体" w:eastAsia="宋体" w:hint="default"/>
                <w:sz w:val="18"/>
                <w:szCs w:val="18"/>
              </w:rPr>
              <w:t>权，其中：田斌转让持有的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17.7%</w:t>
            </w:r>
            <w:r>
              <w:rPr>
                <w:rFonts w:ascii="宋体" w:hAnsi="宋体" w:cs="宋体" w:eastAsia="宋体" w:hint="default"/>
                <w:sz w:val="18"/>
                <w:szCs w:val="18"/>
              </w:rPr>
              <w:t>股权、 季宗生转让持有的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11.68%</w:t>
            </w:r>
            <w:r>
              <w:rPr>
                <w:rFonts w:ascii="宋体" w:hAnsi="宋体" w:cs="宋体" w:eastAsia="宋体" w:hint="default"/>
                <w:sz w:val="18"/>
                <w:szCs w:val="18"/>
              </w:rPr>
              <w:t>股权、冯钊转 让持有的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9.64%</w:t>
            </w:r>
            <w:r>
              <w:rPr>
                <w:rFonts w:ascii="宋体" w:hAnsi="宋体" w:cs="宋体" w:eastAsia="宋体" w:hint="default"/>
                <w:spacing w:val="-5"/>
                <w:sz w:val="18"/>
                <w:szCs w:val="18"/>
              </w:rPr>
              <w:t>股权、卢存方转让持有的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6"/>
                <w:sz w:val="18"/>
                <w:szCs w:val="18"/>
              </w:rPr>
              <w:t>7.14%</w:t>
            </w:r>
            <w:r>
              <w:rPr>
                <w:rFonts w:ascii="宋体" w:hAnsi="宋体" w:cs="宋体" w:eastAsia="宋体" w:hint="default"/>
                <w:spacing w:val="-6"/>
                <w:sz w:val="18"/>
                <w:szCs w:val="18"/>
              </w:rPr>
              <w:t>股权、康剑转让持有的</w:t>
            </w:r>
            <w:r>
              <w:rPr>
                <w:rFonts w:ascii="宋体" w:hAnsi="宋体" w:cs="宋体" w:eastAsia="宋体" w:hint="default"/>
                <w:spacing w:val="-33"/>
                <w:sz w:val="18"/>
                <w:szCs w:val="18"/>
              </w:rPr>
              <w:t> </w:t>
            </w:r>
            <w:r>
              <w:rPr>
                <w:rFonts w:ascii="Times New Roman" w:hAnsi="Times New Roman" w:cs="Times New Roman" w:eastAsia="Times New Roman" w:hint="default"/>
                <w:spacing w:val="-1"/>
                <w:sz w:val="18"/>
                <w:szCs w:val="18"/>
              </w:rPr>
              <w:t>2.55%</w:t>
            </w:r>
            <w:r>
              <w:rPr>
                <w:rFonts w:ascii="宋体" w:hAnsi="宋体" w:cs="宋体" w:eastAsia="宋体" w:hint="default"/>
                <w:spacing w:val="-1"/>
                <w:sz w:val="18"/>
                <w:szCs w:val="18"/>
              </w:rPr>
              <w:t>股权、</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孙慧转让持有的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w:t>
            </w:r>
            <w:r>
              <w:rPr>
                <w:rFonts w:ascii="宋体" w:hAnsi="宋体" w:cs="宋体" w:eastAsia="宋体" w:hint="default"/>
                <w:sz w:val="18"/>
                <w:szCs w:val="18"/>
              </w:rPr>
              <w:t>股权、康瑞鑫抓让</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持有的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股权。</w:t>
            </w:r>
            <w:r>
              <w:rPr>
                <w:rFonts w:ascii="Times New Roman" w:hAnsi="Times New Roman" w:cs="Times New Roman" w:eastAsia="Times New Roman" w:hint="default"/>
                <w:sz w:val="18"/>
                <w:szCs w:val="18"/>
              </w:rPr>
              <w:t>2</w:t>
            </w:r>
            <w:r>
              <w:rPr>
                <w:rFonts w:ascii="宋体" w:hAnsi="宋体" w:cs="宋体" w:eastAsia="宋体" w:hint="default"/>
                <w:sz w:val="18"/>
                <w:szCs w:val="18"/>
              </w:rPr>
              <w:t>、自愿放弃依据《中</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华人民共和国公司法》及《北京富华宇</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祺信息技术有限公司公司章程》对上述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转让之股权所享有的优先购买权。</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、已经依法对富华宇祺履行出资义务，</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不存在任何虚假出资、延期出资、抽逃</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出资等违反其作为股东所应当承担的义</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4" w:right="184"/>
              <w:jc w:val="both"/>
              <w:rPr>
                <w:rFonts w:ascii="宋体" w:hAnsi="宋体" w:cs="宋体" w:eastAsia="宋体" w:hint="default"/>
                <w:sz w:val="18"/>
                <w:szCs w:val="18"/>
              </w:rPr>
            </w:pPr>
            <w:r>
              <w:rPr>
                <w:rFonts w:ascii="宋体" w:hAnsi="宋体" w:cs="宋体" w:eastAsia="宋体" w:hint="default"/>
                <w:sz w:val="18"/>
                <w:szCs w:val="18"/>
              </w:rPr>
              <w:t>田斌、季宗生、 冯钊、卢存方、 康剑、孙慧、康 瑞鑫</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102" w:right="102"/>
              <w:jc w:val="left"/>
              <w:rPr>
                <w:rFonts w:ascii="宋体" w:hAnsi="宋体" w:cs="宋体" w:eastAsia="宋体" w:hint="default"/>
                <w:sz w:val="18"/>
                <w:szCs w:val="18"/>
              </w:rPr>
            </w:pPr>
            <w:r>
              <w:rPr>
                <w:rFonts w:ascii="宋体" w:hAnsi="宋体" w:cs="宋体" w:eastAsia="宋体" w:hint="default"/>
                <w:sz w:val="18"/>
                <w:szCs w:val="18"/>
              </w:rPr>
              <w:t>务及责任的行为。</w:t>
            </w:r>
            <w:r>
              <w:rPr>
                <w:rFonts w:ascii="Times New Roman" w:hAnsi="Times New Roman" w:cs="Times New Roman" w:eastAsia="Times New Roman" w:hint="default"/>
                <w:sz w:val="18"/>
                <w:szCs w:val="18"/>
              </w:rPr>
              <w:t>2</w:t>
            </w:r>
            <w:r>
              <w:rPr>
                <w:rFonts w:ascii="宋体" w:hAnsi="宋体" w:cs="宋体" w:eastAsia="宋体" w:hint="default"/>
                <w:sz w:val="18"/>
                <w:szCs w:val="18"/>
              </w:rPr>
              <w:t>、持有的富华宇祺股 权不存在信托安排、不存在股份代持， 不代表其他方的利益，且该股权未设定 任何抵押、质押等他项权利，亦未被执 法部门实施扣押、查封、司法冻结等使</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其权利受到限制的任何约束；同时，本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人保证此种状况持续至该股权登记至尤</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洛卡矿业安全工程股份有限公司名下。</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1608"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36"/>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0"/>
              <w:ind w:left="102" w:right="102"/>
              <w:jc w:val="left"/>
              <w:rPr>
                <w:rFonts w:ascii="宋体" w:hAnsi="宋体" w:cs="宋体" w:eastAsia="宋体" w:hint="default"/>
                <w:sz w:val="18"/>
                <w:szCs w:val="18"/>
              </w:rPr>
            </w:pPr>
            <w:r>
              <w:rPr>
                <w:rFonts w:ascii="宋体" w:hAnsi="宋体" w:cs="宋体" w:eastAsia="宋体" w:hint="default"/>
                <w:sz w:val="18"/>
                <w:szCs w:val="18"/>
              </w:rPr>
              <w:t>本次交易完成后，李巍屹、李继昌、李 巍岩、王敬芝、李巍峰认购的尤洛卡股 份自新增股份登记之日起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个月内不得 上市交易或转让。基于本次交易所取得 尤洛卡定向发行的股份因尤洛卡分配股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102" w:right="107"/>
              <w:jc w:val="left"/>
              <w:rPr>
                <w:rFonts w:ascii="宋体" w:hAnsi="宋体" w:cs="宋体" w:eastAsia="宋体" w:hint="default"/>
                <w:sz w:val="18"/>
                <w:szCs w:val="18"/>
              </w:rPr>
            </w:pPr>
            <w:r>
              <w:rPr>
                <w:rFonts w:ascii="宋体" w:hAnsi="宋体" w:cs="宋体" w:eastAsia="宋体" w:hint="default"/>
                <w:sz w:val="18"/>
                <w:szCs w:val="18"/>
              </w:rPr>
              <w:t>承诺自本次 新增股份上 市之日起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18"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765" w:type="dxa"/>
            <w:vMerge w:val="restart"/>
            <w:tcBorders>
              <w:top w:val="single" w:sz="4" w:space="0" w:color="000000"/>
              <w:left w:val="single" w:sz="4" w:space="0" w:color="000000"/>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票股利、资本公积转增等情形所衍生取</w:t>
            </w:r>
          </w:p>
        </w:tc>
        <w:tc>
          <w:tcPr>
            <w:tcW w:w="84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得的股份亦应遵守上述股份锁定安排，</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在锁定期届满后减持还需遵守《公司</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《证券法</w:t>
            </w:r>
            <w:r>
              <w:rPr>
                <w:rFonts w:ascii="宋体" w:hAnsi="宋体" w:cs="宋体" w:eastAsia="宋体" w:hint="default"/>
                <w:spacing w:val="-89"/>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《股票上市规则》等法</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律、法规、规章规范性文件、交易所相</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关规则以及尤洛卡《公司章程》的相关</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765" w:type="dxa"/>
            <w:vMerge/>
            <w:tcBorders>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w:t>
            </w:r>
          </w:p>
        </w:tc>
        <w:tc>
          <w:tcPr>
            <w:tcW w:w="84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李巍屹、李继昌、李巍岩、王敬芝、李</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巍峰关于业绩承诺及补偿安排：师凯科</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技拟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年度实现的扣除非经常性损益后</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0"/>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3" w:right="109"/>
              <w:jc w:val="both"/>
              <w:rPr>
                <w:rFonts w:ascii="宋体" w:hAnsi="宋体" w:cs="宋体" w:eastAsia="宋体" w:hint="default"/>
                <w:sz w:val="18"/>
                <w:szCs w:val="18"/>
              </w:rPr>
            </w:pPr>
            <w:r>
              <w:rPr>
                <w:rFonts w:ascii="宋体" w:hAnsi="宋体" w:cs="宋体" w:eastAsia="宋体" w:hint="default"/>
                <w:sz w:val="18"/>
                <w:szCs w:val="18"/>
              </w:rPr>
              <w:t>业绩承 诺及补 偿安排</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102" w:right="101"/>
              <w:jc w:val="both"/>
              <w:rPr>
                <w:rFonts w:ascii="宋体" w:hAnsi="宋体" w:cs="宋体" w:eastAsia="宋体" w:hint="default"/>
                <w:sz w:val="18"/>
                <w:szCs w:val="18"/>
              </w:rPr>
            </w:pPr>
            <w:r>
              <w:rPr>
                <w:rFonts w:ascii="宋体" w:hAnsi="宋体" w:cs="宋体" w:eastAsia="宋体" w:hint="default"/>
                <w:sz w:val="18"/>
                <w:szCs w:val="18"/>
              </w:rPr>
              <w:t>归属于母公司的净利润分别不低于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w:t>
            </w:r>
            <w:r>
              <w:rPr>
                <w:rFonts w:ascii="Times New Roman" w:hAnsi="Times New Roman" w:cs="Times New Roman" w:eastAsia="Times New Roman" w:hint="default"/>
                <w:spacing w:val="-4"/>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元，交易对方承诺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w:t>
            </w:r>
          </w:p>
          <w:p>
            <w:pPr>
              <w:pStyle w:val="TableParagraph"/>
              <w:spacing w:line="300" w:lineRule="auto" w:before="13"/>
              <w:ind w:left="102" w:right="140"/>
              <w:jc w:val="both"/>
              <w:rPr>
                <w:rFonts w:ascii="宋体" w:hAnsi="宋体" w:cs="宋体" w:eastAsia="宋体" w:hint="default"/>
                <w:sz w:val="18"/>
                <w:szCs w:val="18"/>
              </w:rPr>
            </w:pPr>
            <w:r>
              <w:rPr>
                <w:rFonts w:ascii="宋体" w:hAnsi="宋体" w:cs="宋体" w:eastAsia="宋体" w:hint="default"/>
                <w:sz w:val="18"/>
                <w:szCs w:val="18"/>
              </w:rPr>
              <w:t>现的净利润合计不低于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26,900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万元，根 据《公开发行证券的公司信息披露解释</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p>
            <w:pPr>
              <w:pStyle w:val="TableParagraph"/>
              <w:spacing w:line="240" w:lineRule="auto" w:before="63"/>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性公告第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号——非经常性损益》定义</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界定的非经常性损益项，师凯科技与收</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入相关的增值税免税额属于经常性损</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本人在持有尤洛卡股票期间，本人及本</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人控制的企业不会直接或间接经营任何</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与尤洛卡及其下属公司经营的业务构成</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竞争或可能构成竞争的业务，亦不会投</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资任何与尤洛卡及其下属公司经营的业</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49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00" w:lineRule="auto"/>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同业竞 争、关 联交 易、资 金占用 方面的 承诺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86"/>
              <w:jc w:val="left"/>
              <w:rPr>
                <w:rFonts w:ascii="宋体" w:hAnsi="宋体" w:cs="宋体" w:eastAsia="宋体" w:hint="default"/>
                <w:sz w:val="18"/>
                <w:szCs w:val="18"/>
              </w:rPr>
            </w:pPr>
            <w:r>
              <w:rPr>
                <w:rFonts w:ascii="宋体" w:hAnsi="宋体" w:cs="宋体" w:eastAsia="宋体" w:hint="default"/>
                <w:sz w:val="18"/>
                <w:szCs w:val="18"/>
              </w:rPr>
              <w:t>务构成竞争或可能构成竞争的其他企 业。如本人及本人控制的企业的现有业 务或该等企业为进一步拓展业务范围， 与尤洛卡及其下属公司经营的业务产生 竞争，则本人及本人控制的企业将采取 停止经营产生竞争业务的方式，或者采 取将产生竞争业务纳入尤洛卡的方式， 或者采取将产生竞争的业务转让给无关</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联关系第三方等合法方式，使本人及本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人控制的企业不再从事与尤洛卡主营业</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务相同或类似的业务。本人若违反上述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承诺，将承担因此而给尤洛卡及其下属</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公司造成的一切损失。</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47"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李巍屹、李继昌、李巍岩、王敬芝、李</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94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86"/>
              <w:jc w:val="both"/>
              <w:rPr>
                <w:rFonts w:ascii="宋体" w:hAnsi="宋体" w:cs="宋体" w:eastAsia="宋体" w:hint="default"/>
                <w:sz w:val="18"/>
                <w:szCs w:val="18"/>
              </w:rPr>
            </w:pPr>
            <w:r>
              <w:rPr>
                <w:rFonts w:ascii="宋体" w:hAnsi="宋体" w:cs="宋体" w:eastAsia="宋体" w:hint="default"/>
                <w:sz w:val="18"/>
                <w:szCs w:val="18"/>
              </w:rPr>
              <w:t>巍峰关于不存在内幕交易的承诺：本人 不存在泄露本次发行股份及支付现金购 买资产事宜的相关内幕信息及利用该内</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5"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幕信息进行内幕交易的情形，不存在因</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18"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765" w:type="dxa"/>
            <w:vMerge w:val="restart"/>
            <w:tcBorders>
              <w:top w:val="single" w:sz="4" w:space="0" w:color="000000"/>
              <w:left w:val="single" w:sz="4" w:space="0" w:color="000000"/>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涉嫌本次发行股份及支付现金购买资产</w:t>
            </w:r>
          </w:p>
        </w:tc>
        <w:tc>
          <w:tcPr>
            <w:tcW w:w="84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事宜的内幕交易被立案调查或者立案侦</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查的情形，不存在因涉嫌本次发行股份</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及支付现金购买资产事宜的内幕交易被</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中国证监会作出行政处罚或者被司法机</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pacing w:val="-6"/>
                <w:sz w:val="18"/>
                <w:szCs w:val="18"/>
              </w:rPr>
              <w:t>关依法追究刑事责任的情形，不存在《关</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于加强与上市公司重大资产重组相关股</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票异常交易监管的暂行规定》第十三条</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规定的不得参与上市公司重大资产重组</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765" w:type="dxa"/>
            <w:vMerge/>
            <w:tcBorders>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的情形。</w:t>
            </w:r>
          </w:p>
        </w:tc>
        <w:tc>
          <w:tcPr>
            <w:tcW w:w="84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李巍屹、李继昌、李巍岩、王敬芝、李</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巍峰提供信息真实、准确、完整的承诺：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保证所提供的信息的真实性、准确性和</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完整性，不存在虚假记载、误导性陈述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或重大遗漏；其对所提供信息的真实性、</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00" w:lineRule="auto"/>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86"/>
              <w:jc w:val="both"/>
              <w:rPr>
                <w:rFonts w:ascii="宋体" w:hAnsi="宋体" w:cs="宋体" w:eastAsia="宋体" w:hint="default"/>
                <w:sz w:val="18"/>
                <w:szCs w:val="18"/>
              </w:rPr>
            </w:pPr>
            <w:r>
              <w:rPr>
                <w:rFonts w:ascii="宋体" w:hAnsi="宋体" w:cs="宋体" w:eastAsia="宋体" w:hint="default"/>
                <w:sz w:val="18"/>
                <w:szCs w:val="18"/>
              </w:rPr>
              <w:t>准确性和完整性承担个别和连带的法律 责任。如因提供的信息存在虚假记载、 误导性陈述或者重大遗漏，其将依法承 担赔偿责任。如本次重组因涉嫌所提供</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或者披露的信息存在虚假记载、误导性</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陈述或者重大遗漏，被司法机关立案侦</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查或者被中国证监会立案调查的，在案</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件调查结论明确之前，将暂停转让在上</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市公司拥有权益的股份。</w:t>
            </w:r>
            <w:r>
              <w:rPr>
                <w:rFonts w:ascii="Times New Roman" w:hAnsi="Times New Roman" w:cs="Times New Roman" w:eastAsia="Times New Roman" w:hint="default"/>
                <w:sz w:val="18"/>
                <w:szCs w:val="18"/>
              </w:rPr>
              <w:t>"</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李巍屹、李继昌、李巍岩、王敬芝、李</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巍峰主体资格和权属承诺：本人合法持</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有师凯科技股权，对该股权拥有合法、</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完整的处置权利，不存在代他人持有师</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凯科技股权的情形，也不存在委托他人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代为持有师凯科技股权的情形；本人持</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有的师凯科技股权不存在质押、担保或</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其他第三方权利等限制性情形，亦不存</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003"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45"/>
              <w:ind w:left="104" w:right="266"/>
              <w:jc w:val="both"/>
              <w:rPr>
                <w:rFonts w:ascii="宋体" w:hAnsi="宋体" w:cs="宋体" w:eastAsia="宋体" w:hint="default"/>
                <w:sz w:val="18"/>
                <w:szCs w:val="18"/>
              </w:rPr>
            </w:pPr>
            <w:r>
              <w:rPr>
                <w:rFonts w:ascii="宋体" w:hAnsi="宋体" w:cs="宋体" w:eastAsia="宋体" w:hint="default"/>
                <w:sz w:val="18"/>
                <w:szCs w:val="18"/>
              </w:rPr>
              <w:t>李继昌</w:t>
            </w:r>
            <w:r>
              <w:rPr>
                <w:rFonts w:ascii="Times New Roman" w:hAnsi="Times New Roman" w:cs="Times New Roman" w:eastAsia="Times New Roman" w:hint="default"/>
                <w:sz w:val="18"/>
                <w:szCs w:val="18"/>
              </w:rPr>
              <w:t>;</w:t>
            </w:r>
            <w:r>
              <w:rPr>
                <w:rFonts w:ascii="宋体" w:hAnsi="宋体" w:cs="宋体" w:eastAsia="宋体" w:hint="default"/>
                <w:sz w:val="18"/>
                <w:szCs w:val="18"/>
              </w:rPr>
              <w:t>李巍峰</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李巍岩</w:t>
            </w:r>
            <w:r>
              <w:rPr>
                <w:rFonts w:ascii="Times New Roman" w:hAnsi="Times New Roman" w:cs="Times New Roman" w:eastAsia="Times New Roman" w:hint="default"/>
                <w:sz w:val="18"/>
                <w:szCs w:val="18"/>
              </w:rPr>
              <w:t>;</w:t>
            </w:r>
            <w:r>
              <w:rPr>
                <w:rFonts w:ascii="宋体" w:hAnsi="宋体" w:cs="宋体" w:eastAsia="宋体" w:hint="default"/>
                <w:sz w:val="18"/>
                <w:szCs w:val="18"/>
              </w:rPr>
              <w:t>李巍屹</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王敬芝</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1"/>
              <w:jc w:val="left"/>
              <w:rPr>
                <w:rFonts w:ascii="宋体" w:hAnsi="宋体" w:cs="宋体" w:eastAsia="宋体" w:hint="default"/>
                <w:sz w:val="18"/>
                <w:szCs w:val="18"/>
              </w:rPr>
            </w:pPr>
            <w:r>
              <w:rPr>
                <w:rFonts w:ascii="宋体" w:hAnsi="宋体" w:cs="宋体" w:eastAsia="宋体" w:hint="default"/>
                <w:sz w:val="18"/>
                <w:szCs w:val="18"/>
              </w:rPr>
              <w:t>在被查封、冻结、托管等限制转让情形； 本人持有的师凯科技股权权属清晰，不 存在任何权属纠纷，过户或转移不存在</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249"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102" w:right="0"/>
              <w:jc w:val="left"/>
              <w:rPr>
                <w:rFonts w:ascii="宋体" w:hAnsi="宋体" w:cs="宋体" w:eastAsia="宋体" w:hint="default"/>
                <w:sz w:val="18"/>
                <w:szCs w:val="18"/>
              </w:rPr>
            </w:pPr>
            <w:r>
              <w:rPr>
                <w:rFonts w:ascii="宋体" w:hAnsi="宋体" w:cs="宋体" w:eastAsia="宋体" w:hint="default"/>
                <w:sz w:val="18"/>
                <w:szCs w:val="18"/>
              </w:rPr>
              <w:t>任何法律障碍。</w:t>
            </w:r>
            <w:r>
              <w:rPr>
                <w:rFonts w:ascii="Times New Roman" w:hAnsi="Times New Roman" w:cs="Times New Roman" w:eastAsia="Times New Roman" w:hint="default"/>
                <w:sz w:val="18"/>
                <w:szCs w:val="18"/>
              </w:rPr>
              <w:t>1</w:t>
            </w:r>
            <w:r>
              <w:rPr>
                <w:rFonts w:ascii="宋体" w:hAnsi="宋体" w:cs="宋体" w:eastAsia="宋体" w:hint="default"/>
                <w:sz w:val="18"/>
                <w:szCs w:val="18"/>
              </w:rPr>
              <w:t>、本人为具有完全民事</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行为能力的中华人民共和国公民；</w:t>
            </w:r>
            <w:r>
              <w:rPr>
                <w:rFonts w:ascii="Times New Roman" w:hAnsi="Times New Roman" w:cs="Times New Roman" w:eastAsia="Times New Roman" w:hint="default"/>
                <w:sz w:val="18"/>
                <w:szCs w:val="18"/>
              </w:rPr>
              <w:t>2</w:t>
            </w:r>
            <w:r>
              <w:rPr>
                <w:rFonts w:ascii="宋体" w:hAnsi="宋体" w:cs="宋体" w:eastAsia="宋体" w:hint="default"/>
                <w:sz w:val="18"/>
                <w:szCs w:val="18"/>
              </w:rPr>
              <w:t>、本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人不存在负有数额较大债务、到期未清</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偿且处于持续状态的情形；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、本人最近</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五年内未受过行政处罚（与证券市场明</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显无关的除外）或刑事处罚，也不存在</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尚未了结的可能严重影响本人偿债能力</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的涉及与经济纠纷有关的诉讼或者仲</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裁；</w:t>
            </w:r>
            <w:r>
              <w:rPr>
                <w:rFonts w:ascii="Times New Roman" w:hAnsi="Times New Roman" w:cs="Times New Roman" w:eastAsia="Times New Roman" w:hint="default"/>
                <w:sz w:val="18"/>
                <w:szCs w:val="18"/>
              </w:rPr>
              <w:t>4</w:t>
            </w:r>
            <w:r>
              <w:rPr>
                <w:rFonts w:ascii="宋体" w:hAnsi="宋体" w:cs="宋体" w:eastAsia="宋体" w:hint="default"/>
                <w:sz w:val="18"/>
                <w:szCs w:val="18"/>
              </w:rPr>
              <w:t>、本人目前不存在因涉嫌犯罪正被</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18"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765" w:type="dxa"/>
            <w:vMerge w:val="restart"/>
            <w:tcBorders>
              <w:top w:val="single" w:sz="4" w:space="0" w:color="000000"/>
              <w:left w:val="single" w:sz="4" w:space="0" w:color="000000"/>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司法机关立案侦查或涉嫌违法违规正被</w:t>
            </w:r>
          </w:p>
        </w:tc>
        <w:tc>
          <w:tcPr>
            <w:tcW w:w="84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中国证监会立案调查的情形；</w:t>
            </w:r>
            <w:r>
              <w:rPr>
                <w:rFonts w:ascii="Times New Roman" w:hAnsi="Times New Roman" w:cs="Times New Roman" w:eastAsia="Times New Roman" w:hint="default"/>
                <w:sz w:val="18"/>
                <w:szCs w:val="18"/>
              </w:rPr>
              <w:t>5</w:t>
            </w:r>
            <w:r>
              <w:rPr>
                <w:rFonts w:ascii="宋体" w:hAnsi="宋体" w:cs="宋体" w:eastAsia="宋体" w:hint="default"/>
                <w:sz w:val="18"/>
                <w:szCs w:val="18"/>
              </w:rPr>
              <w:t>、本人最</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近五年内没有证券市场失信行为；</w:t>
            </w:r>
            <w:r>
              <w:rPr>
                <w:rFonts w:ascii="Times New Roman" w:hAnsi="Times New Roman" w:cs="Times New Roman" w:eastAsia="Times New Roman" w:hint="default"/>
                <w:sz w:val="18"/>
                <w:szCs w:val="18"/>
              </w:rPr>
              <w:t>6</w:t>
            </w:r>
            <w:r>
              <w:rPr>
                <w:rFonts w:ascii="宋体" w:hAnsi="宋体" w:cs="宋体" w:eastAsia="宋体" w:hint="default"/>
                <w:sz w:val="18"/>
                <w:szCs w:val="18"/>
              </w:rPr>
              <w:t>、本</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2" w:right="0"/>
              <w:jc w:val="left"/>
              <w:rPr>
                <w:rFonts w:ascii="宋体" w:hAnsi="宋体" w:cs="宋体" w:eastAsia="宋体" w:hint="default"/>
                <w:sz w:val="18"/>
                <w:szCs w:val="18"/>
              </w:rPr>
            </w:pPr>
            <w:r>
              <w:rPr>
                <w:rFonts w:ascii="宋体" w:hAnsi="宋体" w:cs="宋体" w:eastAsia="宋体" w:hint="default"/>
                <w:sz w:val="18"/>
                <w:szCs w:val="18"/>
              </w:rPr>
              <w:t>人不存在《上市公司收购管理办法》第</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765" w:type="dxa"/>
            <w:vMerge/>
            <w:tcBorders>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六条所规定的</w:t>
            </w:r>
            <w:r>
              <w:rPr>
                <w:rFonts w:ascii="Times New Roman" w:hAnsi="Times New Roman" w:cs="Times New Roman" w:eastAsia="Times New Roman" w:hint="default"/>
                <w:sz w:val="18"/>
                <w:szCs w:val="18"/>
              </w:rPr>
              <w:t>"</w:t>
            </w:r>
          </w:p>
        </w:tc>
        <w:tc>
          <w:tcPr>
            <w:tcW w:w="84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62" w:hRule="exact"/>
        </w:trPr>
        <w:tc>
          <w:tcPr>
            <w:tcW w:w="814" w:type="dxa"/>
            <w:vMerge/>
            <w:tcBorders>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上市公司及全体董事、监事和高级管理</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人员提供信息真实、准确、完整的承诺：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本报告书的内容真实、准确和完整，不</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存在虚假记载、误导性陈述或重大遗漏，</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并对本报告书中的虚假记载、误导性陈</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述或者重大遗漏承担个别及连带的法律</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责任。如本次交易因涉嫌所提供或者披</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露的信息存在虚假记载、误导性陈述或</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者重大遗漏，被司法机关立案侦查或者</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被中国证监会立案调查的，在案件调查</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结论明确之前，将暂停转让其在上市公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司拥有权益的股份，并于收到立案稽查</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通知的两个交易日内将暂停转让的书面</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申请和股票账户提交上市公司董事会，</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由董事会代其向证券交易所和登记结算</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62"/>
              <w:jc w:val="center"/>
              <w:rPr>
                <w:rFonts w:ascii="Times New Roman" w:hAnsi="Times New Roman" w:cs="Times New Roman" w:eastAsia="Times New Roman" w:hint="default"/>
                <w:sz w:val="18"/>
                <w:szCs w:val="18"/>
              </w:rPr>
            </w:pPr>
            <w:r>
              <w:rPr>
                <w:rFonts w:ascii="宋体" w:hAnsi="宋体" w:cs="宋体" w:eastAsia="宋体" w:hint="default"/>
                <w:sz w:val="18"/>
                <w:szCs w:val="18"/>
              </w:rPr>
              <w:t>曹洪伟</w:t>
            </w:r>
            <w:r>
              <w:rPr>
                <w:rFonts w:ascii="Times New Roman" w:hAnsi="Times New Roman" w:cs="Times New Roman" w:eastAsia="Times New Roman" w:hint="default"/>
                <w:sz w:val="18"/>
                <w:szCs w:val="18"/>
              </w:rPr>
              <w:t>;</w:t>
            </w:r>
            <w:r>
              <w:rPr>
                <w:rFonts w:ascii="宋体" w:hAnsi="宋体" w:cs="宋体" w:eastAsia="宋体" w:hint="default"/>
                <w:sz w:val="18"/>
                <w:szCs w:val="18"/>
              </w:rPr>
              <w:t>崔保航</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公司申请锁定；未在两个交易日内提交</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62"/>
              <w:jc w:val="center"/>
              <w:rPr>
                <w:rFonts w:ascii="Times New Roman" w:hAnsi="Times New Roman" w:cs="Times New Roman" w:eastAsia="Times New Roman" w:hint="default"/>
                <w:sz w:val="18"/>
                <w:szCs w:val="18"/>
              </w:rPr>
            </w:pPr>
            <w:r>
              <w:rPr>
                <w:rFonts w:ascii="宋体" w:hAnsi="宋体" w:cs="宋体" w:eastAsia="宋体" w:hint="default"/>
                <w:sz w:val="18"/>
                <w:szCs w:val="18"/>
              </w:rPr>
              <w:t>黄屹峰</w:t>
            </w:r>
            <w:r>
              <w:rPr>
                <w:rFonts w:ascii="Times New Roman" w:hAnsi="Times New Roman" w:cs="Times New Roman" w:eastAsia="Times New Roman" w:hint="default"/>
                <w:sz w:val="18"/>
                <w:szCs w:val="18"/>
              </w:rPr>
              <w:t>;</w:t>
            </w:r>
            <w:r>
              <w:rPr>
                <w:rFonts w:ascii="宋体" w:hAnsi="宋体" w:cs="宋体" w:eastAsia="宋体" w:hint="default"/>
                <w:sz w:val="18"/>
                <w:szCs w:val="18"/>
              </w:rPr>
              <w:t>黄自伟</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锁定申请的，授权董事会核实后直接向</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12"/>
              <w:jc w:val="center"/>
              <w:rPr>
                <w:rFonts w:ascii="Times New Roman" w:hAnsi="Times New Roman" w:cs="Times New Roman" w:eastAsia="Times New Roman" w:hint="default"/>
                <w:sz w:val="18"/>
                <w:szCs w:val="18"/>
              </w:rPr>
            </w:pPr>
            <w:r>
              <w:rPr>
                <w:rFonts w:ascii="宋体" w:hAnsi="宋体" w:cs="宋体" w:eastAsia="宋体" w:hint="default"/>
                <w:sz w:val="18"/>
                <w:szCs w:val="18"/>
              </w:rPr>
              <w:t>江霞</w:t>
            </w:r>
            <w:r>
              <w:rPr>
                <w:rFonts w:ascii="Times New Roman" w:hAnsi="Times New Roman" w:cs="Times New Roman" w:eastAsia="Times New Roman" w:hint="default"/>
                <w:sz w:val="18"/>
                <w:szCs w:val="18"/>
              </w:rPr>
              <w:t>;</w:t>
            </w:r>
            <w:r>
              <w:rPr>
                <w:rFonts w:ascii="宋体" w:hAnsi="宋体" w:cs="宋体" w:eastAsia="宋体" w:hint="default"/>
                <w:sz w:val="18"/>
                <w:szCs w:val="18"/>
              </w:rPr>
              <w:t>李彬</w:t>
            </w:r>
            <w:r>
              <w:rPr>
                <w:rFonts w:ascii="Times New Roman" w:hAnsi="Times New Roman" w:cs="Times New Roman" w:eastAsia="Times New Roman" w:hint="default"/>
                <w:sz w:val="18"/>
                <w:szCs w:val="18"/>
              </w:rPr>
              <w:t>;</w:t>
            </w:r>
            <w:r>
              <w:rPr>
                <w:rFonts w:ascii="宋体" w:hAnsi="宋体" w:cs="宋体" w:eastAsia="宋体" w:hint="default"/>
                <w:sz w:val="18"/>
                <w:szCs w:val="18"/>
              </w:rPr>
              <w:t>李波</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证券交易所和登记结算公司报送本人或</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104" w:right="266"/>
              <w:jc w:val="both"/>
              <w:rPr>
                <w:rFonts w:ascii="Times New Roman" w:hAnsi="Times New Roman" w:cs="Times New Roman" w:eastAsia="Times New Roman" w:hint="default"/>
                <w:sz w:val="18"/>
                <w:szCs w:val="18"/>
              </w:rPr>
            </w:pPr>
            <w:r>
              <w:rPr>
                <w:rFonts w:ascii="宋体" w:hAnsi="宋体" w:cs="宋体" w:eastAsia="宋体" w:hint="default"/>
                <w:sz w:val="18"/>
                <w:szCs w:val="18"/>
              </w:rPr>
              <w:t>李新安</w:t>
            </w:r>
            <w:r>
              <w:rPr>
                <w:rFonts w:ascii="Times New Roman" w:hAnsi="Times New Roman" w:cs="Times New Roman" w:eastAsia="Times New Roman" w:hint="default"/>
                <w:sz w:val="18"/>
                <w:szCs w:val="18"/>
              </w:rPr>
              <w:t>;</w:t>
            </w:r>
            <w:r>
              <w:rPr>
                <w:rFonts w:ascii="宋体" w:hAnsi="宋体" w:cs="宋体" w:eastAsia="宋体" w:hint="default"/>
                <w:sz w:val="18"/>
                <w:szCs w:val="18"/>
              </w:rPr>
              <w:t>马训波</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孙兆华</w:t>
            </w:r>
            <w:r>
              <w:rPr>
                <w:rFonts w:ascii="Times New Roman" w:hAnsi="Times New Roman" w:cs="Times New Roman" w:eastAsia="Times New Roman" w:hint="default"/>
                <w:sz w:val="18"/>
                <w:szCs w:val="18"/>
              </w:rPr>
              <w:t>;</w:t>
            </w:r>
            <w:r>
              <w:rPr>
                <w:rFonts w:ascii="宋体" w:hAnsi="宋体" w:cs="宋体" w:eastAsia="宋体" w:hint="default"/>
                <w:sz w:val="18"/>
                <w:szCs w:val="18"/>
              </w:rPr>
              <w:t>王道银</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王晶华</w:t>
            </w:r>
            <w:r>
              <w:rPr>
                <w:rFonts w:ascii="Times New Roman" w:hAnsi="Times New Roman" w:cs="Times New Roman" w:eastAsia="Times New Roman" w:hint="default"/>
                <w:sz w:val="18"/>
                <w:szCs w:val="18"/>
              </w:rPr>
              <w:t>;</w:t>
            </w:r>
            <w:r>
              <w:rPr>
                <w:rFonts w:ascii="宋体" w:hAnsi="宋体" w:cs="宋体" w:eastAsia="宋体" w:hint="default"/>
                <w:sz w:val="18"/>
                <w:szCs w:val="18"/>
              </w:rPr>
              <w:t>杨明明</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102" w:right="186"/>
              <w:jc w:val="both"/>
              <w:rPr>
                <w:rFonts w:ascii="宋体" w:hAnsi="宋体" w:cs="宋体" w:eastAsia="宋体" w:hint="default"/>
                <w:sz w:val="18"/>
                <w:szCs w:val="18"/>
              </w:rPr>
            </w:pPr>
            <w:r>
              <w:rPr>
                <w:rFonts w:ascii="宋体" w:hAnsi="宋体" w:cs="宋体" w:eastAsia="宋体" w:hint="default"/>
                <w:sz w:val="18"/>
                <w:szCs w:val="18"/>
              </w:rPr>
              <w:t>本单位的身份信息和账户信息并申请锁 定；董事会未向证券交易所和登记结算 公司报送本人或本单位的身份信息和账</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32"/>
              <w:jc w:val="center"/>
              <w:rPr>
                <w:rFonts w:ascii="宋体" w:hAnsi="宋体" w:cs="宋体" w:eastAsia="宋体" w:hint="default"/>
                <w:sz w:val="18"/>
                <w:szCs w:val="18"/>
              </w:rPr>
            </w:pPr>
            <w:r>
              <w:rPr>
                <w:rFonts w:ascii="宋体" w:hAnsi="宋体" w:cs="宋体" w:eastAsia="宋体" w:hint="default"/>
                <w:sz w:val="18"/>
                <w:szCs w:val="18"/>
              </w:rPr>
              <w:t>姚明远</w:t>
            </w:r>
            <w:r>
              <w:rPr>
                <w:rFonts w:ascii="Times New Roman" w:hAnsi="Times New Roman" w:cs="Times New Roman" w:eastAsia="Times New Roman" w:hint="default"/>
                <w:sz w:val="18"/>
                <w:szCs w:val="18"/>
              </w:rPr>
              <w:t>;</w:t>
            </w:r>
            <w:r>
              <w:rPr>
                <w:rFonts w:ascii="宋体" w:hAnsi="宋体" w:cs="宋体" w:eastAsia="宋体" w:hint="default"/>
                <w:sz w:val="18"/>
                <w:szCs w:val="18"/>
              </w:rPr>
              <w:t>尤洛卡矿</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户信息的，授权证券交易所和登记结算</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80"/>
              <w:jc w:val="center"/>
              <w:rPr>
                <w:rFonts w:ascii="宋体" w:hAnsi="宋体" w:cs="宋体" w:eastAsia="宋体" w:hint="default"/>
                <w:sz w:val="18"/>
                <w:szCs w:val="18"/>
              </w:rPr>
            </w:pPr>
            <w:r>
              <w:rPr>
                <w:rFonts w:ascii="宋体" w:hAnsi="宋体" w:cs="宋体" w:eastAsia="宋体" w:hint="default"/>
                <w:sz w:val="18"/>
                <w:szCs w:val="18"/>
              </w:rPr>
              <w:t>业安全工程股份</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公司直接锁定相关股份。如调查结论发</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32"/>
              <w:jc w:val="center"/>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赵志刚</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102" w:right="0"/>
              <w:jc w:val="left"/>
              <w:rPr>
                <w:rFonts w:ascii="宋体" w:hAnsi="宋体" w:cs="宋体" w:eastAsia="宋体" w:hint="default"/>
                <w:sz w:val="18"/>
                <w:szCs w:val="18"/>
              </w:rPr>
            </w:pPr>
            <w:r>
              <w:rPr>
                <w:rFonts w:ascii="宋体" w:hAnsi="宋体" w:cs="宋体" w:eastAsia="宋体" w:hint="default"/>
                <w:sz w:val="18"/>
                <w:szCs w:val="18"/>
              </w:rPr>
              <w:t>现存在违法违规情节，本人或本单位承</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诺锁定股份自愿用于相关投资者赔偿安</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排。上市公司及全体董事、监事和高级</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管理人员关于不存在内幕交易的承诺：</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本人不存在泄露本次发行股份及支付现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金购买资产事宜的相关内幕信息及利用</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该内幕信息进行内幕交易的情形，不存</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在因涉嫌本次发行股份及支付现金购买</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资产事宜的内幕交易被立案调查或者立</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案侦查的情形，不存在因涉嫌本次发行</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股份及支付现金购买资产事宜的内幕交</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易被中国证监会作出行政处罚或者被司</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法机关依法追究刑事责任的情形，不存</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在《关于加强与上市公司重大资产重组</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相关股票异常交易监管的暂行规定》第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5"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十三条规定的不得参与上市公司重大资</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footerReference w:type="default" r:id="rId19"/>
          <w:pgSz w:w="11910" w:h="16840"/>
          <w:pgMar w:footer="1013" w:header="907" w:top="1100" w:bottom="1200" w:left="1020" w:right="1080"/>
          <w:pgNumType w:start="4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62"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产重组的情形。</w:t>
            </w:r>
            <w:r>
              <w:rPr>
                <w:rFonts w:ascii="Times New Roman" w:hAnsi="Times New Roman" w:cs="Times New Roman" w:eastAsia="Times New Roman" w:hint="default"/>
                <w:sz w:val="18"/>
                <w:szCs w:val="18"/>
              </w:rPr>
              <w:t>"</w:t>
            </w:r>
          </w:p>
        </w:tc>
        <w:tc>
          <w:tcPr>
            <w:tcW w:w="840"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财通基金－工商</w:t>
            </w: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银行－财智定增</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号资产管理计</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财通基金－工</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商银行－定增驱</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工商银行－富春</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金－工商银行－</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富春定增</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通基金－工商银</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行－富春定增</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1175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号资产管理</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工商银行－富春</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2194"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1" w:right="160"/>
              <w:jc w:val="both"/>
              <w:rPr>
                <w:rFonts w:ascii="宋体" w:hAnsi="宋体" w:cs="宋体" w:eastAsia="宋体" w:hint="default"/>
                <w:sz w:val="18"/>
                <w:szCs w:val="18"/>
              </w:rPr>
            </w:pPr>
            <w:r>
              <w:rPr>
                <w:rFonts w:ascii="宋体" w:hAnsi="宋体" w:cs="宋体" w:eastAsia="宋体" w:hint="default"/>
                <w:sz w:val="18"/>
                <w:szCs w:val="18"/>
              </w:rPr>
              <w:t>首次公 开发行 或再融 资时所 作承诺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104" w:right="136"/>
              <w:jc w:val="both"/>
              <w:rPr>
                <w:rFonts w:ascii="宋体" w:hAnsi="宋体" w:cs="宋体" w:eastAsia="宋体" w:hint="default"/>
                <w:sz w:val="18"/>
                <w:szCs w:val="18"/>
              </w:rPr>
            </w:pPr>
            <w:r>
              <w:rPr>
                <w:rFonts w:ascii="宋体" w:hAnsi="宋体" w:cs="宋体" w:eastAsia="宋体" w:hint="default"/>
                <w:sz w:val="18"/>
                <w:szCs w:val="18"/>
              </w:rPr>
              <w:t>定增禧享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 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 基金－工商银行</w:t>
            </w:r>
          </w:p>
          <w:p>
            <w:pPr>
              <w:pStyle w:val="TableParagraph"/>
              <w:spacing w:line="307" w:lineRule="auto" w:before="31"/>
              <w:ind w:left="104" w:right="136"/>
              <w:jc w:val="both"/>
              <w:rPr>
                <w:rFonts w:ascii="宋体" w:hAnsi="宋体" w:cs="宋体" w:eastAsia="宋体" w:hint="default"/>
                <w:sz w:val="18"/>
                <w:szCs w:val="18"/>
              </w:rPr>
            </w:pPr>
            <w:r>
              <w:rPr>
                <w:rFonts w:ascii="宋体" w:hAnsi="宋体" w:cs="宋体" w:eastAsia="宋体" w:hint="default"/>
                <w:sz w:val="18"/>
                <w:szCs w:val="18"/>
              </w:rPr>
              <w:t>－富春定增禧享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 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财通基金－工 商银行－恒增鑫</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103" w:right="10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07" w:lineRule="auto" w:before="1"/>
              <w:ind w:left="102" w:right="11"/>
              <w:jc w:val="left"/>
              <w:rPr>
                <w:rFonts w:ascii="宋体" w:hAnsi="宋体" w:cs="宋体" w:eastAsia="宋体" w:hint="default"/>
                <w:sz w:val="18"/>
                <w:szCs w:val="18"/>
              </w:rPr>
            </w:pPr>
            <w:r>
              <w:rPr>
                <w:rFonts w:ascii="宋体" w:hAnsi="宋体" w:cs="宋体" w:eastAsia="宋体" w:hint="default"/>
                <w:sz w:val="18"/>
                <w:szCs w:val="18"/>
              </w:rPr>
              <w:t>本次非公开发行股份募集配套资金的股 份发行价格为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股，不低于发行期 </w:t>
            </w:r>
            <w:r>
              <w:rPr>
                <w:rFonts w:ascii="宋体" w:hAnsi="宋体" w:cs="宋体" w:eastAsia="宋体" w:hint="default"/>
                <w:spacing w:val="-2"/>
                <w:sz w:val="18"/>
                <w:szCs w:val="18"/>
              </w:rPr>
              <w:t>首日的均价（</w:t>
            </w:r>
            <w:r>
              <w:rPr>
                <w:rFonts w:ascii="宋体" w:hAnsi="宋体" w:cs="宋体" w:eastAsia="宋体" w:hint="default"/>
                <w:sz w:val="18"/>
                <w:szCs w:val="18"/>
              </w:rPr>
              <w:t> 即发行底价 </w:t>
            </w:r>
            <w:r>
              <w:rPr>
                <w:rFonts w:ascii="Times New Roman" w:hAnsi="Times New Roman" w:cs="Times New Roman" w:eastAsia="Times New Roman" w:hint="default"/>
                <w:spacing w:val="-1"/>
                <w:sz w:val="18"/>
                <w:szCs w:val="18"/>
              </w:rPr>
              <w:t>7.85</w:t>
            </w:r>
            <w:r>
              <w:rPr>
                <w:rFonts w:ascii="Times New Roman" w:hAnsi="Times New Roman" w:cs="Times New Roman" w:eastAsia="Times New Roman" w:hint="default"/>
                <w:spacing w:val="2"/>
                <w:sz w:val="18"/>
                <w:szCs w:val="18"/>
              </w:rPr>
              <w:t> </w:t>
            </w:r>
            <w:r>
              <w:rPr>
                <w:rFonts w:ascii="宋体" w:hAnsi="宋体" w:cs="宋体" w:eastAsia="宋体" w:hint="default"/>
                <w:spacing w:val="-18"/>
                <w:w w:val="99"/>
                <w:sz w:val="18"/>
                <w:szCs w:val="18"/>
              </w:rPr>
              <w:t>元</w:t>
            </w:r>
            <w:r>
              <w:rPr>
                <w:rFonts w:ascii="Times New Roman" w:hAnsi="Times New Roman" w:cs="Times New Roman" w:eastAsia="Times New Roman" w:hint="default"/>
                <w:spacing w:val="-18"/>
                <w:w w:val="99"/>
                <w:sz w:val="18"/>
                <w:szCs w:val="18"/>
              </w:rPr>
              <w:t>/</w:t>
            </w:r>
            <w:r>
              <w:rPr>
                <w:rFonts w:ascii="宋体" w:hAnsi="宋体" w:cs="宋体" w:eastAsia="宋体" w:hint="default"/>
                <w:spacing w:val="-18"/>
                <w:w w:val="99"/>
                <w:sz w:val="18"/>
                <w:szCs w:val="18"/>
              </w:rPr>
              <w:t>股），</w:t>
            </w:r>
            <w:r>
              <w:rPr>
                <w:rFonts w:ascii="宋体" w:hAnsi="宋体" w:cs="宋体" w:eastAsia="宋体" w:hint="default"/>
                <w:sz w:val="18"/>
                <w:szCs w:val="18"/>
              </w:rPr>
              <w:t> 但低于发行期首日前二十个交易日均价</w:t>
            </w:r>
          </w:p>
          <w:p>
            <w:pPr>
              <w:pStyle w:val="TableParagraph"/>
              <w:spacing w:line="309" w:lineRule="auto" w:before="26"/>
              <w:ind w:left="102" w:right="102"/>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9.52</w:t>
            </w:r>
            <w:r>
              <w:rPr>
                <w:rFonts w:ascii="Times New Roman" w:hAnsi="Times New Roman" w:cs="Times New Roman" w:eastAsia="Times New Roman" w:hint="default"/>
                <w:spacing w:val="11"/>
                <w:sz w:val="18"/>
                <w:szCs w:val="18"/>
              </w:rPr>
              <w:t> </w:t>
            </w:r>
            <w:r>
              <w:rPr>
                <w:rFonts w:ascii="宋体" w:hAnsi="宋体" w:cs="宋体" w:eastAsia="宋体" w:hint="default"/>
                <w:spacing w:val="-10"/>
                <w:w w:val="99"/>
                <w:sz w:val="18"/>
                <w:szCs w:val="18"/>
              </w:rPr>
              <w:t>元</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股），参与本次认购的投资者自</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本次非公开发行股票上市之日起十二个 月内不得上市交易。</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102" w:right="107"/>
              <w:jc w:val="both"/>
              <w:rPr>
                <w:rFonts w:ascii="宋体" w:hAnsi="宋体" w:cs="宋体" w:eastAsia="宋体" w:hint="default"/>
                <w:sz w:val="18"/>
                <w:szCs w:val="18"/>
              </w:rPr>
            </w:pPr>
            <w:r>
              <w:rPr>
                <w:rFonts w:ascii="宋体" w:hAnsi="宋体" w:cs="宋体" w:eastAsia="宋体" w:hint="default"/>
                <w:sz w:val="18"/>
                <w:szCs w:val="18"/>
              </w:rPr>
              <w:t>自本次非公 开发行股票 上市之日起 十二个月内 不得上市交 易。</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号资产管理</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工商银行－恒增</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鑫享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号资产管</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－工商银行－恒</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增鑫享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金－工商银行－</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恒增鑫享</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财通</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基金－工商银行</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－天汇达定增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号资产管理计划</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4" w:right="0"/>
              <w:jc w:val="left"/>
              <w:rPr>
                <w:rFonts w:ascii="宋体" w:hAnsi="宋体" w:cs="宋体" w:eastAsia="宋体" w:hint="default"/>
                <w:sz w:val="18"/>
                <w:szCs w:val="18"/>
              </w:rPr>
            </w:pPr>
            <w:r>
              <w:rPr>
                <w:rFonts w:ascii="宋体" w:hAnsi="宋体" w:cs="宋体" w:eastAsia="宋体" w:hint="default"/>
                <w:sz w:val="18"/>
                <w:szCs w:val="18"/>
              </w:rPr>
              <w:t>财通基金－工商</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银行－优选财富</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VIP </w:t>
            </w:r>
            <w:r>
              <w:rPr>
                <w:rFonts w:ascii="宋体" w:hAnsi="宋体" w:cs="宋体" w:eastAsia="宋体" w:hint="default"/>
                <w:sz w:val="18"/>
                <w:szCs w:val="18"/>
              </w:rPr>
              <w:t>尊享定增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号资产管理计划</w:t>
            </w:r>
            <w:r>
              <w:rPr>
                <w:rFonts w:ascii="Times New Roman" w:hAnsi="Times New Roman" w:cs="Times New Roman" w:eastAsia="Times New Roman" w:hint="default"/>
                <w:sz w:val="18"/>
                <w:szCs w:val="18"/>
              </w:rPr>
              <w:t>;</w:t>
            </w: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18"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4" w:right="0"/>
              <w:jc w:val="left"/>
              <w:rPr>
                <w:rFonts w:ascii="宋体" w:hAnsi="宋体" w:cs="宋体" w:eastAsia="宋体" w:hint="default"/>
                <w:sz w:val="18"/>
                <w:szCs w:val="18"/>
              </w:rPr>
            </w:pPr>
            <w:r>
              <w:rPr>
                <w:rFonts w:ascii="宋体" w:hAnsi="宋体" w:cs="宋体" w:eastAsia="宋体" w:hint="default"/>
                <w:sz w:val="18"/>
                <w:szCs w:val="18"/>
              </w:rPr>
              <w:t>财通基金－工商</w:t>
            </w:r>
          </w:p>
        </w:tc>
        <w:tc>
          <w:tcPr>
            <w:tcW w:w="765" w:type="dxa"/>
            <w:vMerge w:val="restart"/>
            <w:tcBorders>
              <w:top w:val="single" w:sz="4" w:space="0" w:color="000000"/>
              <w:left w:val="single" w:sz="4" w:space="0" w:color="000000"/>
              <w:right w:val="single" w:sz="4" w:space="0" w:color="000000"/>
            </w:tcBorders>
          </w:tcPr>
          <w:p>
            <w:pPr/>
          </w:p>
        </w:tc>
        <w:tc>
          <w:tcPr>
            <w:tcW w:w="3360" w:type="dxa"/>
            <w:vMerge w:val="restart"/>
            <w:tcBorders>
              <w:top w:val="single" w:sz="4" w:space="0" w:color="000000"/>
              <w:left w:val="single" w:sz="4" w:space="0" w:color="000000"/>
              <w:right w:val="single" w:sz="4" w:space="0" w:color="000000"/>
            </w:tcBorders>
          </w:tcPr>
          <w:p>
            <w:pPr/>
          </w:p>
        </w:tc>
        <w:tc>
          <w:tcPr>
            <w:tcW w:w="84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银行－优选财富</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VIP </w:t>
            </w:r>
            <w:r>
              <w:rPr>
                <w:rFonts w:ascii="宋体" w:hAnsi="宋体" w:cs="宋体" w:eastAsia="宋体" w:hint="default"/>
                <w:sz w:val="18"/>
                <w:szCs w:val="18"/>
              </w:rPr>
              <w:t>尊享定增</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号资产管理计划</w:t>
            </w:r>
            <w:r>
              <w:rPr>
                <w:rFonts w:ascii="Times New Roman" w:hAnsi="Times New Roman" w:cs="Times New Roman" w:eastAsia="Times New Roman" w:hint="default"/>
                <w:sz w:val="18"/>
                <w:szCs w:val="18"/>
              </w:rPr>
              <w:t>;</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财通基金－工商</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银行－增益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资产管理计划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财</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通基金－广发银</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行－中欧盛世资</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产管理（上海）</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金－平安银行－</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天润资本管理</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（北京）有限公</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财通基金－兴</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业银行－北京基</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业华商投资管理</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w:t>
            </w:r>
            <w:r>
              <w:rPr>
                <w:rFonts w:ascii="宋体" w:hAnsi="宋体" w:cs="宋体" w:eastAsia="宋体" w:hint="default"/>
                <w:spacing w:val="-58"/>
                <w:sz w:val="18"/>
                <w:szCs w:val="18"/>
              </w:rPr>
              <w:t>心</w:t>
            </w:r>
            <w:r>
              <w:rPr>
                <w:rFonts w:ascii="宋体" w:hAnsi="宋体" w:cs="宋体" w:eastAsia="宋体" w:hint="default"/>
                <w:sz w:val="18"/>
                <w:szCs w:val="18"/>
              </w:rPr>
              <w:t>（有限合伙</w:t>
            </w:r>
            <w:r>
              <w:rPr>
                <w:rFonts w:ascii="宋体" w:hAnsi="宋体" w:cs="宋体" w:eastAsia="宋体" w:hint="default"/>
                <w:spacing w:val="-92"/>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z w:val="18"/>
                <w:szCs w:val="18"/>
              </w:rPr>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财通基金－兴业</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银行－江海证券</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6"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长江证</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券股份有限公司</w:t>
            </w:r>
            <w:r>
              <w:rPr>
                <w:rFonts w:ascii="Times New Roman" w:hAnsi="Times New Roman" w:cs="Times New Roman" w:eastAsia="Times New Roman" w:hint="default"/>
                <w:sz w:val="18"/>
                <w:szCs w:val="18"/>
              </w:rPr>
              <w:t>;</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高伟</w:t>
            </w:r>
            <w:r>
              <w:rPr>
                <w:rFonts w:ascii="Times New Roman" w:hAnsi="Times New Roman" w:cs="Times New Roman" w:eastAsia="Times New Roman" w:hint="default"/>
                <w:sz w:val="18"/>
                <w:szCs w:val="18"/>
              </w:rPr>
              <w:t>;</w:t>
            </w:r>
            <w:r>
              <w:rPr>
                <w:rFonts w:ascii="宋体" w:hAnsi="宋体" w:cs="宋体" w:eastAsia="宋体" w:hint="default"/>
                <w:sz w:val="18"/>
                <w:szCs w:val="18"/>
              </w:rPr>
              <w:t>深圳第一创</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08"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4" w:right="0"/>
              <w:jc w:val="left"/>
              <w:rPr>
                <w:rFonts w:ascii="宋体" w:hAnsi="宋体" w:cs="宋体" w:eastAsia="宋体" w:hint="default"/>
                <w:sz w:val="18"/>
                <w:szCs w:val="18"/>
              </w:rPr>
            </w:pPr>
            <w:r>
              <w:rPr>
                <w:rFonts w:ascii="宋体" w:hAnsi="宋体" w:cs="宋体" w:eastAsia="宋体" w:hint="default"/>
                <w:sz w:val="18"/>
                <w:szCs w:val="18"/>
              </w:rPr>
              <w:t>业创新资本管理</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有限公司－一创</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资本可交债卧龙</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一号私募投资基</w:t>
            </w:r>
          </w:p>
        </w:tc>
        <w:tc>
          <w:tcPr>
            <w:tcW w:w="765" w:type="dxa"/>
            <w:vMerge/>
            <w:tcBorders>
              <w:left w:val="single" w:sz="4" w:space="0" w:color="000000"/>
              <w:right w:val="single" w:sz="4" w:space="0" w:color="000000"/>
            </w:tcBorders>
          </w:tcPr>
          <w:p>
            <w:pPr/>
          </w:p>
        </w:tc>
        <w:tc>
          <w:tcPr>
            <w:tcW w:w="3360" w:type="dxa"/>
            <w:vMerge/>
            <w:tcBorders>
              <w:left w:val="single" w:sz="4" w:space="0" w:color="000000"/>
              <w:right w:val="single" w:sz="4" w:space="0" w:color="000000"/>
            </w:tcBorders>
          </w:tcPr>
          <w:p>
            <w:pP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765" w:type="dxa"/>
            <w:vMerge/>
            <w:tcBorders>
              <w:left w:val="single" w:sz="4" w:space="0" w:color="000000"/>
              <w:bottom w:val="single" w:sz="4" w:space="0" w:color="000000"/>
              <w:right w:val="single" w:sz="4" w:space="0" w:color="000000"/>
            </w:tcBorders>
          </w:tcPr>
          <w:p>
            <w:pPr/>
          </w:p>
        </w:tc>
        <w:tc>
          <w:tcPr>
            <w:tcW w:w="336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根据《尤洛卡精准信息工程股份有限公</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司限制性股票激励计</w:t>
            </w:r>
            <w:r>
              <w:rPr>
                <w:rFonts w:ascii="宋体" w:hAnsi="宋体" w:cs="宋体" w:eastAsia="宋体" w:hint="default"/>
                <w:spacing w:val="-77"/>
                <w:sz w:val="18"/>
                <w:szCs w:val="18"/>
              </w:rPr>
              <w:t>划</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4"/>
                <w:sz w:val="18"/>
                <w:szCs w:val="18"/>
              </w:rPr>
              <w:t>9</w:t>
            </w:r>
            <w:r>
              <w:rPr>
                <w:rFonts w:ascii="宋体" w:hAnsi="宋体" w:cs="宋体" w:eastAsia="宋体" w:hint="default"/>
                <w:spacing w:val="-89"/>
                <w:sz w:val="18"/>
                <w:szCs w:val="18"/>
              </w:rPr>
              <w:t>）</w:t>
            </w:r>
            <w:r>
              <w:rPr>
                <w:rFonts w:ascii="宋体" w:hAnsi="宋体" w:cs="宋体" w:eastAsia="宋体" w:hint="default"/>
                <w:spacing w:val="-168"/>
                <w:sz w:val="18"/>
                <w:szCs w:val="18"/>
              </w:rPr>
              <w:t>》</w:t>
            </w:r>
            <w:r>
              <w:rPr>
                <w:rFonts w:ascii="宋体" w:hAnsi="宋体" w:cs="宋体" w:eastAsia="宋体" w:hint="default"/>
                <w:sz w:val="18"/>
                <w:szCs w:val="18"/>
              </w:rPr>
              <w:t>（以</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下简</w:t>
            </w:r>
            <w:r>
              <w:rPr>
                <w:rFonts w:ascii="宋体" w:hAnsi="宋体" w:cs="宋体" w:eastAsia="宋体" w:hint="default"/>
                <w:spacing w:val="-24"/>
                <w:sz w:val="18"/>
                <w:szCs w:val="18"/>
              </w:rPr>
              <w:t>称</w:t>
            </w:r>
            <w:r>
              <w:rPr>
                <w:rFonts w:ascii="宋体" w:hAnsi="宋体" w:cs="宋体" w:eastAsia="宋体" w:hint="default"/>
                <w:sz w:val="18"/>
                <w:szCs w:val="18"/>
              </w:rPr>
              <w:t>“激励计划</w:t>
            </w:r>
            <w:r>
              <w:rPr>
                <w:rFonts w:ascii="宋体" w:hAnsi="宋体" w:cs="宋体" w:eastAsia="宋体" w:hint="default"/>
                <w:spacing w:val="-92"/>
                <w:sz w:val="18"/>
                <w:szCs w:val="18"/>
              </w:rPr>
              <w:t>”</w:t>
            </w:r>
            <w:r>
              <w:rPr>
                <w:rFonts w:ascii="宋体" w:hAnsi="宋体" w:cs="宋体" w:eastAsia="宋体" w:hint="default"/>
                <w:spacing w:val="-24"/>
                <w:sz w:val="18"/>
                <w:szCs w:val="18"/>
              </w:rPr>
              <w:t>）</w:t>
            </w:r>
            <w:r>
              <w:rPr>
                <w:rFonts w:ascii="宋体" w:hAnsi="宋体" w:cs="宋体" w:eastAsia="宋体" w:hint="default"/>
                <w:sz w:val="18"/>
                <w:szCs w:val="18"/>
              </w:rPr>
              <w:t>的规定及公司</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年第二次临时股东大会的授权，公司于</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日分别召开第四届董事</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年第七次会议和第四届监事会</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1" w:right="160"/>
              <w:jc w:val="left"/>
              <w:rPr>
                <w:rFonts w:ascii="宋体" w:hAnsi="宋体" w:cs="宋体" w:eastAsia="宋体" w:hint="default"/>
                <w:sz w:val="18"/>
                <w:szCs w:val="18"/>
              </w:rPr>
            </w:pPr>
            <w:r>
              <w:rPr>
                <w:rFonts w:ascii="宋体" w:hAnsi="宋体" w:cs="宋体" w:eastAsia="宋体" w:hint="default"/>
                <w:sz w:val="18"/>
                <w:szCs w:val="18"/>
              </w:rPr>
              <w:t>股权激 励承诺</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00" w:lineRule="auto"/>
              <w:ind w:left="104" w:right="184"/>
              <w:jc w:val="left"/>
              <w:rPr>
                <w:rFonts w:ascii="宋体" w:hAnsi="宋体" w:cs="宋体" w:eastAsia="宋体" w:hint="default"/>
                <w:sz w:val="18"/>
                <w:szCs w:val="18"/>
              </w:rPr>
            </w:pPr>
            <w:r>
              <w:rPr>
                <w:rFonts w:ascii="宋体" w:hAnsi="宋体" w:cs="宋体" w:eastAsia="宋体" w:hint="default"/>
                <w:sz w:val="18"/>
                <w:szCs w:val="18"/>
              </w:rPr>
              <w:t>赵志刚等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174 </w:t>
            </w:r>
            <w:r>
              <w:rPr>
                <w:rFonts w:ascii="宋体" w:hAnsi="宋体" w:cs="宋体" w:eastAsia="宋体" w:hint="default"/>
                <w:sz w:val="18"/>
                <w:szCs w:val="18"/>
              </w:rPr>
              <w:t>名 激励对象</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102" w:right="10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年第七次会议，审议通过了《关于 调整限制性股票激励计划（</w:t>
            </w:r>
            <w:r>
              <w:rPr>
                <w:rFonts w:ascii="Times New Roman" w:hAnsi="Times New Roman" w:cs="Times New Roman" w:eastAsia="Times New Roman" w:hint="default"/>
                <w:sz w:val="18"/>
                <w:szCs w:val="18"/>
              </w:rPr>
              <w:t>2017-2019</w:t>
            </w:r>
            <w:r>
              <w:rPr>
                <w:rFonts w:ascii="宋体" w:hAnsi="宋体" w:cs="宋体" w:eastAsia="宋体" w:hint="default"/>
                <w:sz w:val="18"/>
                <w:szCs w:val="18"/>
              </w:rPr>
              <w:t>） </w:t>
            </w:r>
            <w:r>
              <w:rPr>
                <w:rFonts w:ascii="宋体" w:hAnsi="宋体" w:cs="宋体" w:eastAsia="宋体" w:hint="default"/>
                <w:spacing w:val="-11"/>
                <w:sz w:val="18"/>
                <w:szCs w:val="18"/>
              </w:rPr>
              <w:t>授予数量的议案》、《关于向激励对象首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9"/>
                <w:sz w:val="18"/>
                <w:szCs w:val="18"/>
              </w:rPr>
              <w:t>次授予限制性股票的议案》，确定了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2018-12-19</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2" w:right="273"/>
              <w:jc w:val="left"/>
              <w:rPr>
                <w:rFonts w:ascii="宋体" w:hAnsi="宋体" w:cs="宋体" w:eastAsia="宋体" w:hint="default"/>
                <w:sz w:val="18"/>
                <w:szCs w:val="18"/>
              </w:rPr>
            </w:pPr>
            <w:r>
              <w:rPr>
                <w:rFonts w:ascii="宋体" w:hAnsi="宋体" w:cs="宋体" w:eastAsia="宋体" w:hint="default"/>
                <w:sz w:val="18"/>
                <w:szCs w:val="18"/>
              </w:rPr>
              <w:t>正在履行 中。</w:t>
            </w: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日为授予日，向符合条件的</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 </w:t>
            </w:r>
            <w:r>
              <w:rPr>
                <w:rFonts w:ascii="宋体" w:hAnsi="宋体" w:cs="宋体" w:eastAsia="宋体" w:hint="default"/>
                <w:sz w:val="18"/>
                <w:szCs w:val="18"/>
              </w:rPr>
              <w:t>名激励对象授予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万股限制性股</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票。本次授予的限制性股票限售期为自</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首次授予完成之日起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个月，授予股份</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的上市日期为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日。激励</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对象根据本激励计划获授的限制性股票</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814"/>
        <w:gridCol w:w="1560"/>
        <w:gridCol w:w="765"/>
        <w:gridCol w:w="3360"/>
        <w:gridCol w:w="840"/>
        <w:gridCol w:w="1121"/>
        <w:gridCol w:w="1107"/>
      </w:tblGrid>
      <w:tr>
        <w:trPr>
          <w:trHeight w:val="318" w:hRule="exact"/>
        </w:trPr>
        <w:tc>
          <w:tcPr>
            <w:tcW w:w="814" w:type="dxa"/>
            <w:vMerge w:val="restart"/>
            <w:tcBorders>
              <w:top w:val="single" w:sz="4" w:space="0" w:color="000000"/>
              <w:left w:val="single" w:sz="4" w:space="0" w:color="000000"/>
              <w:right w:val="single" w:sz="4" w:space="0" w:color="000000"/>
            </w:tcBorders>
            <w:shd w:val="clear" w:color="auto" w:fill="D2D2D2"/>
          </w:tcPr>
          <w:p>
            <w:pPr/>
          </w:p>
        </w:tc>
        <w:tc>
          <w:tcPr>
            <w:tcW w:w="1560" w:type="dxa"/>
            <w:vMerge w:val="restart"/>
            <w:tcBorders>
              <w:top w:val="single" w:sz="4" w:space="0" w:color="000000"/>
              <w:left w:val="single" w:sz="4" w:space="0" w:color="000000"/>
              <w:right w:val="single" w:sz="4" w:space="0" w:color="000000"/>
            </w:tcBorders>
          </w:tcPr>
          <w:p>
            <w:pPr/>
          </w:p>
        </w:tc>
        <w:tc>
          <w:tcPr>
            <w:tcW w:w="765" w:type="dxa"/>
            <w:vMerge w:val="restart"/>
            <w:tcBorders>
              <w:top w:val="single" w:sz="4" w:space="0" w:color="000000"/>
              <w:left w:val="single" w:sz="4" w:space="0" w:color="000000"/>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在限售期内不得转让、用于担保或偿还</w:t>
            </w:r>
          </w:p>
        </w:tc>
        <w:tc>
          <w:tcPr>
            <w:tcW w:w="840"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7" w:type="dxa"/>
            <w:vMerge w:val="restart"/>
            <w:tcBorders>
              <w:top w:val="single" w:sz="4" w:space="0" w:color="000000"/>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债务。激励对象获授的限制性股票由于</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资本公积金转增股本、股票红利、股票</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拆细而取得的股份同时限售，不得在二</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级市场出售或以其他方式转让，该等股</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12" w:hRule="exact"/>
        </w:trPr>
        <w:tc>
          <w:tcPr>
            <w:tcW w:w="814" w:type="dxa"/>
            <w:vMerge/>
            <w:tcBorders>
              <w:left w:val="single" w:sz="4" w:space="0" w:color="000000"/>
              <w:right w:val="single" w:sz="4" w:space="0" w:color="000000"/>
            </w:tcBorders>
            <w:shd w:val="clear" w:color="auto" w:fill="D2D2D2"/>
          </w:tcPr>
          <w:p>
            <w:pPr/>
          </w:p>
        </w:tc>
        <w:tc>
          <w:tcPr>
            <w:tcW w:w="1560" w:type="dxa"/>
            <w:vMerge/>
            <w:tcBorders>
              <w:left w:val="single" w:sz="4" w:space="0" w:color="000000"/>
              <w:right w:val="single" w:sz="4" w:space="0" w:color="000000"/>
            </w:tcBorders>
          </w:tcPr>
          <w:p>
            <w:pPr/>
          </w:p>
        </w:tc>
        <w:tc>
          <w:tcPr>
            <w:tcW w:w="765" w:type="dxa"/>
            <w:vMerge/>
            <w:tcBorders>
              <w:left w:val="single" w:sz="4" w:space="0" w:color="000000"/>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份的解除限售期与限制性股票解除限售</w:t>
            </w:r>
          </w:p>
        </w:tc>
        <w:tc>
          <w:tcPr>
            <w:tcW w:w="840"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7" w:type="dxa"/>
            <w:vMerge/>
            <w:tcBorders>
              <w:left w:val="single" w:sz="4" w:space="0" w:color="000000"/>
              <w:right w:val="single" w:sz="4" w:space="0" w:color="000000"/>
            </w:tcBorders>
          </w:tcPr>
          <w:p>
            <w:pPr/>
          </w:p>
        </w:tc>
      </w:tr>
      <w:tr>
        <w:trPr>
          <w:trHeight w:val="356" w:hRule="exact"/>
        </w:trPr>
        <w:tc>
          <w:tcPr>
            <w:tcW w:w="814" w:type="dxa"/>
            <w:vMerge/>
            <w:tcBorders>
              <w:left w:val="single" w:sz="4" w:space="0" w:color="000000"/>
              <w:bottom w:val="single" w:sz="4" w:space="0" w:color="000000"/>
              <w:right w:val="single" w:sz="4" w:space="0" w:color="000000"/>
            </w:tcBorders>
            <w:shd w:val="clear" w:color="auto" w:fill="D2D2D2"/>
          </w:tcPr>
          <w:p>
            <w:pPr/>
          </w:p>
        </w:tc>
        <w:tc>
          <w:tcPr>
            <w:tcW w:w="1560" w:type="dxa"/>
            <w:vMerge/>
            <w:tcBorders>
              <w:left w:val="single" w:sz="4" w:space="0" w:color="000000"/>
              <w:bottom w:val="single" w:sz="4" w:space="0" w:color="000000"/>
              <w:right w:val="single" w:sz="4" w:space="0" w:color="000000"/>
            </w:tcBorders>
          </w:tcPr>
          <w:p>
            <w:pPr/>
          </w:p>
        </w:tc>
        <w:tc>
          <w:tcPr>
            <w:tcW w:w="765" w:type="dxa"/>
            <w:vMerge/>
            <w:tcBorders>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期相同。</w:t>
            </w:r>
          </w:p>
        </w:tc>
        <w:tc>
          <w:tcPr>
            <w:tcW w:w="840"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7" w:type="dxa"/>
            <w:vMerge/>
            <w:tcBorders>
              <w:left w:val="single" w:sz="4" w:space="0" w:color="000000"/>
              <w:bottom w:val="single" w:sz="4" w:space="0" w:color="000000"/>
              <w:right w:val="single" w:sz="4" w:space="0" w:color="000000"/>
            </w:tcBorders>
          </w:tcPr>
          <w:p>
            <w:pPr/>
          </w:p>
        </w:tc>
      </w:tr>
      <w:tr>
        <w:trPr>
          <w:trHeight w:val="357"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tcBorders>
              <w:top w:val="single" w:sz="4" w:space="0" w:color="000000"/>
              <w:left w:val="single" w:sz="4" w:space="0" w:color="000000"/>
              <w:bottom w:val="nil" w:sz="6" w:space="0" w:color="auto"/>
              <w:right w:val="single" w:sz="4" w:space="0" w:color="000000"/>
            </w:tcBorders>
          </w:tcPr>
          <w:p>
            <w:pPr/>
          </w:p>
        </w:tc>
        <w:tc>
          <w:tcPr>
            <w:tcW w:w="33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同业竞争：本人现时及将来均不会以任</w:t>
            </w:r>
          </w:p>
        </w:tc>
        <w:tc>
          <w:tcPr>
            <w:tcW w:w="840"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7"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何方式（包括但不限于直接或间接地进</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其他对</w:t>
            </w: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行独资经营、合资经营和拥有在其他公</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10"/>
              <w:ind w:left="101" w:right="160"/>
              <w:jc w:val="both"/>
              <w:rPr>
                <w:rFonts w:ascii="宋体" w:hAnsi="宋体" w:cs="宋体" w:eastAsia="宋体" w:hint="default"/>
                <w:sz w:val="18"/>
                <w:szCs w:val="18"/>
              </w:rPr>
            </w:pPr>
            <w:r>
              <w:rPr>
                <w:rFonts w:ascii="宋体" w:hAnsi="宋体" w:cs="宋体" w:eastAsia="宋体" w:hint="default"/>
                <w:sz w:val="18"/>
                <w:szCs w:val="18"/>
              </w:rPr>
              <w:t>公司中 小股东 所作承</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4" w:right="0"/>
              <w:jc w:val="left"/>
              <w:rPr>
                <w:rFonts w:ascii="宋体" w:hAnsi="宋体" w:cs="宋体" w:eastAsia="宋体" w:hint="default"/>
                <w:sz w:val="18"/>
                <w:szCs w:val="18"/>
              </w:rPr>
            </w:pPr>
            <w:r>
              <w:rPr>
                <w:rFonts w:ascii="宋体" w:hAnsi="宋体" w:cs="宋体" w:eastAsia="宋体" w:hint="default"/>
                <w:sz w:val="18"/>
                <w:szCs w:val="18"/>
              </w:rPr>
              <w:t>黄自伟</w:t>
            </w:r>
            <w:r>
              <w:rPr>
                <w:rFonts w:ascii="Times New Roman" w:hAnsi="Times New Roman" w:cs="Times New Roman" w:eastAsia="Times New Roman" w:hint="default"/>
                <w:sz w:val="18"/>
                <w:szCs w:val="18"/>
              </w:rPr>
              <w:t>;</w:t>
            </w:r>
            <w:r>
              <w:rPr>
                <w:rFonts w:ascii="宋体" w:hAnsi="宋体" w:cs="宋体" w:eastAsia="宋体" w:hint="default"/>
                <w:sz w:val="18"/>
                <w:szCs w:val="18"/>
              </w:rPr>
              <w:t>王晶华</w:t>
            </w:r>
          </w:p>
        </w:tc>
        <w:tc>
          <w:tcPr>
            <w:tcW w:w="76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03" w:right="109"/>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86"/>
              <w:jc w:val="both"/>
              <w:rPr>
                <w:rFonts w:ascii="宋体" w:hAnsi="宋体" w:cs="宋体" w:eastAsia="宋体" w:hint="default"/>
                <w:sz w:val="18"/>
                <w:szCs w:val="18"/>
              </w:rPr>
            </w:pPr>
            <w:r>
              <w:rPr>
                <w:rFonts w:ascii="宋体" w:hAnsi="宋体" w:cs="宋体" w:eastAsia="宋体" w:hint="default"/>
                <w:sz w:val="18"/>
                <w:szCs w:val="18"/>
              </w:rPr>
              <w:t>司或企业的股票或权益）从事与尤洛卡 矿业安全工程股份有限公司的业务有竞 争或可能构成竞争的业务或活动，若因</w:t>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0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诺</w:t>
            </w: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本人违背了上述承诺致使尤洛卡矿业安</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
        </w:tc>
        <w:tc>
          <w:tcPr>
            <w:tcW w:w="1560" w:type="dxa"/>
            <w:tcBorders>
              <w:top w:val="nil" w:sz="6" w:space="0" w:color="auto"/>
              <w:left w:val="single" w:sz="4" w:space="0" w:color="000000"/>
              <w:bottom w:val="nil" w:sz="6" w:space="0" w:color="auto"/>
              <w:right w:val="single" w:sz="4" w:space="0" w:color="000000"/>
            </w:tcBorders>
          </w:tcPr>
          <w:p>
            <w:pPr/>
          </w:p>
        </w:tc>
        <w:tc>
          <w:tcPr>
            <w:tcW w:w="765" w:type="dxa"/>
            <w:tcBorders>
              <w:top w:val="nil" w:sz="6" w:space="0" w:color="auto"/>
              <w:left w:val="single" w:sz="4" w:space="0" w:color="000000"/>
              <w:bottom w:val="nil" w:sz="6" w:space="0" w:color="auto"/>
              <w:right w:val="single" w:sz="4" w:space="0" w:color="000000"/>
            </w:tcBorders>
          </w:tcPr>
          <w:p>
            <w:pPr/>
          </w:p>
        </w:tc>
        <w:tc>
          <w:tcPr>
            <w:tcW w:w="33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全工程股份有限公司产生的一切经济损</w:t>
            </w:r>
          </w:p>
        </w:tc>
        <w:tc>
          <w:tcPr>
            <w:tcW w:w="840"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tcBorders>
              <w:top w:val="nil" w:sz="6" w:space="0" w:color="auto"/>
              <w:left w:val="single" w:sz="4" w:space="0" w:color="000000"/>
              <w:bottom w:val="single" w:sz="4" w:space="0" w:color="000000"/>
              <w:right w:val="single" w:sz="4" w:space="0" w:color="000000"/>
            </w:tcBorders>
          </w:tcPr>
          <w:p>
            <w:pPr/>
          </w:p>
        </w:tc>
        <w:tc>
          <w:tcPr>
            <w:tcW w:w="336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失，均由本人承担。</w:t>
            </w:r>
          </w:p>
        </w:tc>
        <w:tc>
          <w:tcPr>
            <w:tcW w:w="840"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7"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承诺是</w:t>
            </w:r>
          </w:p>
        </w:tc>
        <w:tc>
          <w:tcPr>
            <w:tcW w:w="1560" w:type="dxa"/>
            <w:tcBorders>
              <w:top w:val="single" w:sz="4" w:space="0" w:color="000000"/>
              <w:left w:val="single" w:sz="4" w:space="0" w:color="000000"/>
              <w:bottom w:val="nil" w:sz="6" w:space="0" w:color="auto"/>
              <w:right w:val="single" w:sz="4" w:space="0" w:color="000000"/>
            </w:tcBorders>
          </w:tcPr>
          <w:p>
            <w:pPr/>
          </w:p>
        </w:tc>
        <w:tc>
          <w:tcPr>
            <w:tcW w:w="765" w:type="dxa"/>
            <w:vMerge w:val="restart"/>
            <w:tcBorders>
              <w:top w:val="single" w:sz="4" w:space="0" w:color="000000"/>
              <w:left w:val="single" w:sz="4" w:space="0" w:color="000000"/>
              <w:right w:val="single" w:sz="4" w:space="0" w:color="000000"/>
            </w:tcBorders>
            <w:shd w:val="clear" w:color="auto" w:fill="D2D2D2"/>
          </w:tcPr>
          <w:p>
            <w:pPr/>
          </w:p>
        </w:tc>
        <w:tc>
          <w:tcPr>
            <w:tcW w:w="3360" w:type="dxa"/>
            <w:vMerge w:val="restart"/>
            <w:tcBorders>
              <w:top w:val="single" w:sz="4" w:space="0" w:color="000000"/>
              <w:left w:val="single" w:sz="4" w:space="0" w:color="000000"/>
              <w:right w:val="single" w:sz="4" w:space="0" w:color="000000"/>
            </w:tcBorders>
            <w:shd w:val="clear" w:color="auto" w:fill="D2D2D2"/>
          </w:tcPr>
          <w:p>
            <w:pPr/>
          </w:p>
        </w:tc>
        <w:tc>
          <w:tcPr>
            <w:tcW w:w="840" w:type="dxa"/>
            <w:vMerge w:val="restart"/>
            <w:tcBorders>
              <w:top w:val="single" w:sz="4" w:space="0" w:color="000000"/>
              <w:left w:val="single" w:sz="4" w:space="0" w:color="000000"/>
              <w:right w:val="single" w:sz="4" w:space="0" w:color="000000"/>
            </w:tcBorders>
            <w:shd w:val="clear" w:color="auto" w:fill="D2D2D2"/>
          </w:tcPr>
          <w:p>
            <w:pPr/>
          </w:p>
        </w:tc>
        <w:tc>
          <w:tcPr>
            <w:tcW w:w="1121" w:type="dxa"/>
            <w:vMerge w:val="restart"/>
            <w:tcBorders>
              <w:top w:val="single" w:sz="4" w:space="0" w:color="000000"/>
              <w:left w:val="single" w:sz="4" w:space="0" w:color="000000"/>
              <w:right w:val="single" w:sz="4" w:space="0" w:color="000000"/>
            </w:tcBorders>
            <w:shd w:val="clear" w:color="auto" w:fill="D2D2D2"/>
          </w:tcPr>
          <w:p>
            <w:pPr/>
          </w:p>
        </w:tc>
        <w:tc>
          <w:tcPr>
            <w:tcW w:w="1107" w:type="dxa"/>
            <w:vMerge w:val="restart"/>
            <w:tcBorders>
              <w:top w:val="single" w:sz="4" w:space="0" w:color="000000"/>
              <w:left w:val="single" w:sz="4" w:space="0" w:color="000000"/>
              <w:right w:val="single" w:sz="4" w:space="0" w:color="000000"/>
            </w:tcBorders>
            <w:shd w:val="clear" w:color="auto" w:fill="D2D2D2"/>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否按时</w:t>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65" w:type="dxa"/>
            <w:vMerge/>
            <w:tcBorders>
              <w:left w:val="single" w:sz="4" w:space="0" w:color="000000"/>
              <w:right w:val="single" w:sz="4" w:space="0" w:color="000000"/>
            </w:tcBorders>
            <w:shd w:val="clear" w:color="auto" w:fill="D2D2D2"/>
          </w:tcPr>
          <w:p>
            <w:pPr/>
          </w:p>
        </w:tc>
        <w:tc>
          <w:tcPr>
            <w:tcW w:w="3360" w:type="dxa"/>
            <w:vMerge/>
            <w:tcBorders>
              <w:left w:val="single" w:sz="4" w:space="0" w:color="000000"/>
              <w:right w:val="single" w:sz="4" w:space="0" w:color="000000"/>
            </w:tcBorders>
            <w:shd w:val="clear" w:color="auto" w:fill="D2D2D2"/>
          </w:tcPr>
          <w:p>
            <w:pPr/>
          </w:p>
        </w:tc>
        <w:tc>
          <w:tcPr>
            <w:tcW w:w="840" w:type="dxa"/>
            <w:vMerge/>
            <w:tcBorders>
              <w:left w:val="single" w:sz="4" w:space="0" w:color="000000"/>
              <w:right w:val="single" w:sz="4" w:space="0" w:color="000000"/>
            </w:tcBorders>
            <w:shd w:val="clear" w:color="auto" w:fill="D2D2D2"/>
          </w:tcPr>
          <w:p>
            <w:pPr/>
          </w:p>
        </w:tc>
        <w:tc>
          <w:tcPr>
            <w:tcW w:w="1121" w:type="dxa"/>
            <w:vMerge/>
            <w:tcBorders>
              <w:left w:val="single" w:sz="4" w:space="0" w:color="000000"/>
              <w:right w:val="single" w:sz="4" w:space="0" w:color="000000"/>
            </w:tcBorders>
            <w:shd w:val="clear" w:color="auto" w:fill="D2D2D2"/>
          </w:tcPr>
          <w:p>
            <w:pPr/>
          </w:p>
        </w:tc>
        <w:tc>
          <w:tcPr>
            <w:tcW w:w="1107" w:type="dxa"/>
            <w:vMerge/>
            <w:tcBorders>
              <w:left w:val="single" w:sz="4" w:space="0" w:color="000000"/>
              <w:right w:val="single" w:sz="4" w:space="0" w:color="000000"/>
            </w:tcBorders>
            <w:shd w:val="clear" w:color="auto" w:fill="D2D2D2"/>
          </w:tcPr>
          <w:p>
            <w:pPr/>
          </w:p>
        </w:tc>
      </w:tr>
      <w:tr>
        <w:trPr>
          <w:trHeight w:val="356"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履行</w:t>
            </w:r>
          </w:p>
        </w:tc>
        <w:tc>
          <w:tcPr>
            <w:tcW w:w="1560" w:type="dxa"/>
            <w:tcBorders>
              <w:top w:val="nil" w:sz="6" w:space="0" w:color="auto"/>
              <w:left w:val="single" w:sz="4" w:space="0" w:color="000000"/>
              <w:bottom w:val="single" w:sz="4" w:space="0" w:color="000000"/>
              <w:right w:val="single" w:sz="4" w:space="0" w:color="000000"/>
            </w:tcBorders>
          </w:tcPr>
          <w:p>
            <w:pPr/>
          </w:p>
        </w:tc>
        <w:tc>
          <w:tcPr>
            <w:tcW w:w="765" w:type="dxa"/>
            <w:vMerge/>
            <w:tcBorders>
              <w:left w:val="single" w:sz="4" w:space="0" w:color="000000"/>
              <w:bottom w:val="single" w:sz="4" w:space="0" w:color="000000"/>
              <w:right w:val="single" w:sz="4" w:space="0" w:color="000000"/>
            </w:tcBorders>
            <w:shd w:val="clear" w:color="auto" w:fill="D2D2D2"/>
          </w:tcPr>
          <w:p>
            <w:pPr/>
          </w:p>
        </w:tc>
        <w:tc>
          <w:tcPr>
            <w:tcW w:w="3360"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121"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r>
      <w:tr>
        <w:trPr>
          <w:trHeight w:val="357" w:hRule="exact"/>
        </w:trPr>
        <w:tc>
          <w:tcPr>
            <w:tcW w:w="814"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如承诺</w:t>
            </w:r>
          </w:p>
        </w:tc>
        <w:tc>
          <w:tcPr>
            <w:tcW w:w="8753" w:type="dxa"/>
            <w:gridSpan w:val="6"/>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超期未</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履行完</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毕的，</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应当详</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细说明</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未完成</w:t>
            </w:r>
          </w:p>
        </w:tc>
        <w:tc>
          <w:tcPr>
            <w:tcW w:w="8753"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履行的</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具体原</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因及下</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一步的</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12" w:hRule="exact"/>
        </w:trPr>
        <w:tc>
          <w:tcPr>
            <w:tcW w:w="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工作计</w:t>
            </w:r>
          </w:p>
        </w:tc>
        <w:tc>
          <w:tcPr>
            <w:tcW w:w="8753"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814"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划</w:t>
            </w:r>
          </w:p>
        </w:tc>
        <w:tc>
          <w:tcPr>
            <w:tcW w:w="8753" w:type="dxa"/>
            <w:gridSpan w:val="6"/>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53"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1"/>
        <w:rPr>
          <w:rFonts w:ascii="Times New Roman" w:hAnsi="Times New Roman" w:cs="Times New Roman" w:eastAsia="Times New Roman" w:hint="default"/>
          <w:sz w:val="21"/>
          <w:szCs w:val="21"/>
        </w:rPr>
      </w:pPr>
    </w:p>
    <w:p>
      <w:pPr>
        <w:spacing w:line="259" w:lineRule="auto" w:before="34"/>
        <w:ind w:left="112" w:right="0" w:firstLine="0"/>
        <w:jc w:val="left"/>
        <w:rPr>
          <w:rFonts w:ascii="宋体" w:hAnsi="宋体" w:cs="宋体" w:eastAsia="宋体" w:hint="default"/>
          <w:sz w:val="21"/>
          <w:szCs w:val="21"/>
        </w:rPr>
      </w:pPr>
      <w:r>
        <w:rPr>
          <w:rFonts w:ascii="Times New Roman" w:hAnsi="Times New Roman" w:cs="Times New Roman" w:eastAsia="Times New Roman" w:hint="default"/>
          <w:b/>
          <w:bCs/>
          <w:spacing w:val="3"/>
          <w:w w:val="95"/>
          <w:sz w:val="21"/>
          <w:szCs w:val="21"/>
        </w:rPr>
        <w:t>2</w:t>
      </w:r>
      <w:r>
        <w:rPr>
          <w:rFonts w:ascii="宋体" w:hAnsi="宋体" w:cs="宋体" w:eastAsia="宋体" w:hint="default"/>
          <w:b/>
          <w:bCs/>
          <w:spacing w:val="3"/>
          <w:w w:val="95"/>
          <w:sz w:val="21"/>
          <w:szCs w:val="21"/>
        </w:rPr>
        <w:t>、公司资产或项目存在盈利预测，且报告期仍处在盈利预测期间，公司就资产或项目达到原盈利预测及</w:t>
      </w:r>
      <w:r>
        <w:rPr>
          <w:rFonts w:ascii="宋体" w:hAnsi="宋体" w:cs="宋体" w:eastAsia="宋体" w:hint="default"/>
          <w:b/>
          <w:bCs/>
          <w:spacing w:val="95"/>
          <w:w w:val="95"/>
          <w:sz w:val="21"/>
          <w:szCs w:val="21"/>
        </w:rPr>
        <w:t> </w:t>
      </w:r>
      <w:r>
        <w:rPr>
          <w:rFonts w:ascii="宋体" w:hAnsi="宋体" w:cs="宋体" w:eastAsia="宋体" w:hint="default"/>
          <w:b/>
          <w:bCs/>
          <w:spacing w:val="95"/>
          <w:w w:val="95"/>
          <w:sz w:val="21"/>
          <w:szCs w:val="21"/>
        </w:rPr>
      </w:r>
      <w:r>
        <w:rPr>
          <w:rFonts w:ascii="宋体" w:hAnsi="宋体" w:cs="宋体" w:eastAsia="宋体" w:hint="default"/>
          <w:b/>
          <w:bCs/>
          <w:sz w:val="21"/>
          <w:szCs w:val="21"/>
        </w:rPr>
        <w:t>其原因做出说明</w:t>
      </w:r>
      <w:r>
        <w:rPr>
          <w:rFonts w:ascii="宋体" w:hAnsi="宋体" w:cs="宋体" w:eastAsia="宋体" w:hint="default"/>
          <w:sz w:val="21"/>
          <w:szCs w:val="21"/>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1026"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2" w:right="139"/>
              <w:jc w:val="center"/>
              <w:rPr>
                <w:rFonts w:ascii="宋体" w:hAnsi="宋体" w:cs="宋体" w:eastAsia="宋体" w:hint="default"/>
                <w:sz w:val="18"/>
                <w:szCs w:val="18"/>
              </w:rPr>
            </w:pPr>
            <w:r>
              <w:rPr>
                <w:rFonts w:ascii="宋体" w:hAnsi="宋体" w:cs="宋体" w:eastAsia="宋体" w:hint="default"/>
                <w:sz w:val="18"/>
                <w:szCs w:val="18"/>
              </w:rPr>
              <w:t>盈利预测资 产或项目名 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4" w:right="140" w:hanging="360"/>
              <w:jc w:val="left"/>
              <w:rPr>
                <w:rFonts w:ascii="宋体" w:hAnsi="宋体" w:cs="宋体" w:eastAsia="宋体" w:hint="default"/>
                <w:sz w:val="18"/>
                <w:szCs w:val="18"/>
              </w:rPr>
            </w:pPr>
            <w:r>
              <w:rPr>
                <w:rFonts w:ascii="宋体" w:hAnsi="宋体" w:cs="宋体" w:eastAsia="宋体" w:hint="default"/>
                <w:sz w:val="18"/>
                <w:szCs w:val="18"/>
              </w:rPr>
              <w:t>预测起始时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1" w:hanging="360"/>
              <w:jc w:val="left"/>
              <w:rPr>
                <w:rFonts w:ascii="宋体" w:hAnsi="宋体" w:cs="宋体" w:eastAsia="宋体" w:hint="default"/>
                <w:sz w:val="18"/>
                <w:szCs w:val="18"/>
              </w:rPr>
            </w:pPr>
            <w:r>
              <w:rPr>
                <w:rFonts w:ascii="宋体" w:hAnsi="宋体" w:cs="宋体" w:eastAsia="宋体" w:hint="default"/>
                <w:sz w:val="18"/>
                <w:szCs w:val="18"/>
              </w:rPr>
              <w:t>预测终止时 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2" w:right="142"/>
              <w:jc w:val="left"/>
              <w:rPr>
                <w:rFonts w:ascii="宋体" w:hAnsi="宋体" w:cs="宋体" w:eastAsia="宋体" w:hint="default"/>
                <w:sz w:val="18"/>
                <w:szCs w:val="18"/>
              </w:rPr>
            </w:pPr>
            <w:r>
              <w:rPr>
                <w:rFonts w:ascii="宋体" w:hAnsi="宋体" w:cs="宋体" w:eastAsia="宋体" w:hint="default"/>
                <w:sz w:val="18"/>
                <w:szCs w:val="18"/>
              </w:rPr>
              <w:t>当期预测业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43" w:right="140"/>
              <w:jc w:val="left"/>
              <w:rPr>
                <w:rFonts w:ascii="宋体" w:hAnsi="宋体" w:cs="宋体" w:eastAsia="宋体" w:hint="default"/>
                <w:sz w:val="18"/>
                <w:szCs w:val="18"/>
              </w:rPr>
            </w:pPr>
            <w:r>
              <w:rPr>
                <w:rFonts w:ascii="宋体" w:hAnsi="宋体" w:cs="宋体" w:eastAsia="宋体" w:hint="default"/>
                <w:sz w:val="18"/>
                <w:szCs w:val="18"/>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43" w:right="141"/>
              <w:jc w:val="center"/>
              <w:rPr>
                <w:rFonts w:ascii="宋体" w:hAnsi="宋体" w:cs="宋体" w:eastAsia="宋体" w:hint="default"/>
                <w:sz w:val="18"/>
                <w:szCs w:val="18"/>
              </w:rPr>
            </w:pPr>
            <w:r>
              <w:rPr>
                <w:rFonts w:ascii="宋体" w:hAnsi="宋体" w:cs="宋体" w:eastAsia="宋体" w:hint="default"/>
                <w:sz w:val="18"/>
                <w:szCs w:val="18"/>
              </w:rPr>
              <w:t>未达预测的 原因（如适 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3" w:right="141" w:hanging="269"/>
              <w:jc w:val="left"/>
              <w:rPr>
                <w:rFonts w:ascii="宋体" w:hAnsi="宋体" w:cs="宋体" w:eastAsia="宋体" w:hint="default"/>
                <w:sz w:val="18"/>
                <w:szCs w:val="18"/>
              </w:rPr>
            </w:pPr>
            <w:r>
              <w:rPr>
                <w:rFonts w:ascii="宋体" w:hAnsi="宋体" w:cs="宋体" w:eastAsia="宋体" w:hint="default"/>
                <w:sz w:val="18"/>
                <w:szCs w:val="18"/>
              </w:rPr>
              <w:t>原预测披露 日期</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413" w:right="142" w:hanging="272"/>
              <w:jc w:val="left"/>
              <w:rPr>
                <w:rFonts w:ascii="宋体" w:hAnsi="宋体" w:cs="宋体" w:eastAsia="宋体" w:hint="default"/>
                <w:sz w:val="18"/>
                <w:szCs w:val="18"/>
              </w:rPr>
            </w:pPr>
            <w:r>
              <w:rPr>
                <w:rFonts w:ascii="宋体" w:hAnsi="宋体" w:cs="宋体" w:eastAsia="宋体" w:hint="default"/>
                <w:sz w:val="18"/>
                <w:szCs w:val="18"/>
              </w:rPr>
              <w:t>原预测披露 索引</w:t>
            </w:r>
          </w:p>
        </w:tc>
      </w:tr>
      <w:tr>
        <w:trPr>
          <w:trHeight w:val="410"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发行股份及</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7,300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3" w:right="0"/>
              <w:jc w:val="left"/>
              <w:rPr>
                <w:rFonts w:ascii="Times New Roman" w:hAnsi="Times New Roman" w:cs="Times New Roman" w:eastAsia="Times New Roman" w:hint="default"/>
                <w:sz w:val="18"/>
                <w:szCs w:val="18"/>
              </w:rPr>
            </w:pPr>
            <w:r>
              <w:rPr>
                <w:rFonts w:ascii="Times New Roman"/>
                <w:sz w:val="18"/>
              </w:rPr>
              <w:t>6,777.35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巨潮资讯</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98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196"/>
        <w:gridCol w:w="1196"/>
        <w:gridCol w:w="1196"/>
        <w:gridCol w:w="1196"/>
        <w:gridCol w:w="1196"/>
        <w:gridCol w:w="1198"/>
        <w:gridCol w:w="1196"/>
      </w:tblGrid>
      <w:tr>
        <w:trPr>
          <w:trHeight w:val="322" w:hRule="exact"/>
        </w:trPr>
        <w:tc>
          <w:tcPr>
            <w:tcW w:w="11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支付现金购</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网</w:t>
            </w:r>
            <w:r>
              <w:rPr>
                <w:rFonts w:ascii="宋体" w:hAnsi="宋体" w:cs="宋体" w:eastAsia="宋体" w:hint="default"/>
                <w:spacing w:val="-101"/>
                <w:sz w:val="18"/>
                <w:szCs w:val="18"/>
              </w:rPr>
              <w:t>，</w:t>
            </w:r>
            <w:r>
              <w:rPr>
                <w:rFonts w:ascii="宋体" w:hAnsi="宋体" w:cs="宋体" w:eastAsia="宋体" w:hint="default"/>
                <w:sz w:val="18"/>
                <w:szCs w:val="18"/>
              </w:rPr>
              <w:t>《发行股</w:t>
            </w:r>
          </w:p>
        </w:tc>
      </w:tr>
      <w:tr>
        <w:trPr>
          <w:trHeight w:val="308"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买长春师凯</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份及支付现</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科技产业有</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金购买资产</w:t>
            </w:r>
          </w:p>
        </w:tc>
      </w:tr>
      <w:tr>
        <w:trPr>
          <w:trHeight w:val="312"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限责任公司</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报告书》中</w:t>
            </w:r>
          </w:p>
        </w:tc>
      </w:tr>
      <w:tr>
        <w:trPr>
          <w:trHeight w:val="316" w:hRule="exact"/>
        </w:trPr>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股权项</w:t>
            </w: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8"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的业绩承</w:t>
            </w:r>
          </w:p>
        </w:tc>
      </w:tr>
      <w:tr>
        <w:trPr>
          <w:trHeight w:val="352" w:hRule="exact"/>
        </w:trPr>
        <w:tc>
          <w:tcPr>
            <w:tcW w:w="11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诺。</w:t>
            </w:r>
          </w:p>
        </w:tc>
      </w:tr>
    </w:tbl>
    <w:p>
      <w:pPr>
        <w:spacing w:line="408" w:lineRule="auto" w:before="63"/>
        <w:ind w:left="532" w:right="0" w:firstLine="0"/>
        <w:jc w:val="left"/>
        <w:rPr>
          <w:rFonts w:ascii="宋体" w:hAnsi="宋体" w:cs="宋体" w:eastAsia="宋体" w:hint="default"/>
          <w:sz w:val="21"/>
          <w:szCs w:val="21"/>
        </w:rPr>
      </w:pPr>
      <w:r>
        <w:rPr>
          <w:rFonts w:ascii="宋体" w:hAnsi="宋体" w:cs="宋体" w:eastAsia="宋体" w:hint="default"/>
          <w:sz w:val="21"/>
          <w:szCs w:val="21"/>
        </w:rPr>
        <w:t>公司股东、交易对手方对公司或相关资产年度经营业绩作出的承诺情况：</w:t>
      </w:r>
      <w:r>
        <w:rPr>
          <w:rFonts w:ascii="宋体" w:hAnsi="宋体" w:cs="宋体" w:eastAsia="宋体" w:hint="default"/>
          <w:w w:val="99"/>
          <w:sz w:val="21"/>
          <w:szCs w:val="21"/>
        </w:rPr>
        <w:t> </w:t>
      </w:r>
      <w:r>
        <w:rPr>
          <w:rFonts w:ascii="宋体" w:hAnsi="宋体" w:cs="宋体" w:eastAsia="宋体" w:hint="default"/>
          <w:w w:val="95"/>
          <w:sz w:val="21"/>
          <w:szCs w:val="21"/>
        </w:rPr>
        <w:t>1、根据交易双方与本公司签署的《利润补偿协议》及补充协议，交易对方李巍屹等人承诺：师凯科</w:t>
      </w:r>
      <w:r>
        <w:rPr>
          <w:rFonts w:ascii="宋体" w:hAnsi="宋体" w:cs="宋体" w:eastAsia="宋体" w:hint="default"/>
          <w:sz w:val="21"/>
          <w:szCs w:val="21"/>
        </w:rPr>
      </w:r>
    </w:p>
    <w:p>
      <w:pPr>
        <w:spacing w:line="408" w:lineRule="auto" w:before="46"/>
        <w:ind w:left="112" w:right="150" w:firstLine="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年实现的净利润合计不低于</w:t>
      </w:r>
      <w:r>
        <w:rPr>
          <w:rFonts w:ascii="宋体" w:hAnsi="宋体" w:cs="宋体" w:eastAsia="宋体" w:hint="default"/>
          <w:spacing w:val="-52"/>
          <w:sz w:val="21"/>
          <w:szCs w:val="21"/>
        </w:rPr>
        <w:t> </w:t>
      </w:r>
      <w:r>
        <w:rPr>
          <w:rFonts w:ascii="宋体" w:hAnsi="宋体" w:cs="宋体" w:eastAsia="宋体" w:hint="default"/>
          <w:sz w:val="21"/>
          <w:szCs w:val="21"/>
        </w:rPr>
        <w:t>26,900</w:t>
      </w:r>
      <w:r>
        <w:rPr>
          <w:rFonts w:ascii="宋体" w:hAnsi="宋体" w:cs="宋体" w:eastAsia="宋体" w:hint="default"/>
          <w:spacing w:val="-54"/>
          <w:sz w:val="21"/>
          <w:szCs w:val="21"/>
        </w:rPr>
        <w:t> </w:t>
      </w:r>
      <w:r>
        <w:rPr>
          <w:rFonts w:ascii="宋体" w:hAnsi="宋体" w:cs="宋体" w:eastAsia="宋体" w:hint="default"/>
          <w:spacing w:val="-13"/>
          <w:sz w:val="21"/>
          <w:szCs w:val="21"/>
        </w:rPr>
        <w:t>万元，其中</w:t>
      </w:r>
      <w:r>
        <w:rPr>
          <w:rFonts w:ascii="宋体" w:hAnsi="宋体" w:cs="宋体" w:eastAsia="宋体" w:hint="default"/>
          <w:spacing w:val="-52"/>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pacing w:val="-9"/>
          <w:sz w:val="21"/>
          <w:szCs w:val="21"/>
        </w:rPr>
        <w:t>年度、2016</w:t>
      </w:r>
      <w:r>
        <w:rPr>
          <w:rFonts w:ascii="宋体" w:hAnsi="宋体" w:cs="宋体" w:eastAsia="宋体" w:hint="default"/>
          <w:spacing w:val="-56"/>
          <w:sz w:val="21"/>
          <w:szCs w:val="21"/>
        </w:rPr>
        <w:t> </w:t>
      </w:r>
      <w:r>
        <w:rPr>
          <w:rFonts w:ascii="宋体" w:hAnsi="宋体" w:cs="宋体" w:eastAsia="宋体" w:hint="default"/>
          <w:spacing w:val="-8"/>
          <w:sz w:val="21"/>
          <w:szCs w:val="21"/>
        </w:rPr>
        <w:t>年度、2017</w:t>
      </w:r>
      <w:r>
        <w:rPr>
          <w:rFonts w:ascii="宋体" w:hAnsi="宋体" w:cs="宋体" w:eastAsia="宋体" w:hint="default"/>
          <w:spacing w:val="-56"/>
          <w:sz w:val="21"/>
          <w:szCs w:val="21"/>
        </w:rPr>
        <w:t> </w:t>
      </w:r>
      <w:r>
        <w:rPr>
          <w:rFonts w:ascii="宋体" w:hAnsi="宋体" w:cs="宋体" w:eastAsia="宋体" w:hint="default"/>
          <w:sz w:val="21"/>
          <w:szCs w:val="21"/>
        </w:rPr>
        <w:t>年度和</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w w:val="99"/>
          <w:sz w:val="21"/>
          <w:szCs w:val="21"/>
        </w:rPr>
        <w:t> </w:t>
      </w:r>
      <w:r>
        <w:rPr>
          <w:rFonts w:ascii="宋体" w:hAnsi="宋体" w:cs="宋体" w:eastAsia="宋体" w:hint="default"/>
          <w:sz w:val="21"/>
          <w:szCs w:val="21"/>
        </w:rPr>
        <w:t>年度分别计划实现</w:t>
      </w:r>
      <w:r>
        <w:rPr>
          <w:rFonts w:ascii="宋体" w:hAnsi="宋体" w:cs="宋体" w:eastAsia="宋体" w:hint="default"/>
          <w:spacing w:val="-54"/>
          <w:sz w:val="21"/>
          <w:szCs w:val="21"/>
        </w:rPr>
        <w:t> </w:t>
      </w:r>
      <w:r>
        <w:rPr>
          <w:rFonts w:ascii="宋体" w:hAnsi="宋体" w:cs="宋体" w:eastAsia="宋体" w:hint="default"/>
          <w:sz w:val="21"/>
          <w:szCs w:val="21"/>
        </w:rPr>
        <w:t>5,000</w:t>
      </w:r>
      <w:r>
        <w:rPr>
          <w:rFonts w:ascii="宋体" w:hAnsi="宋体" w:cs="宋体" w:eastAsia="宋体" w:hint="default"/>
          <w:spacing w:val="-56"/>
          <w:sz w:val="21"/>
          <w:szCs w:val="21"/>
        </w:rPr>
        <w:t> </w:t>
      </w:r>
      <w:r>
        <w:rPr>
          <w:rFonts w:ascii="宋体" w:hAnsi="宋体" w:cs="宋体" w:eastAsia="宋体" w:hint="default"/>
          <w:sz w:val="21"/>
          <w:szCs w:val="21"/>
        </w:rPr>
        <w:t>万元、6,000</w:t>
      </w:r>
      <w:r>
        <w:rPr>
          <w:rFonts w:ascii="宋体" w:hAnsi="宋体" w:cs="宋体" w:eastAsia="宋体" w:hint="default"/>
          <w:spacing w:val="-56"/>
          <w:sz w:val="21"/>
          <w:szCs w:val="21"/>
        </w:rPr>
        <w:t> </w:t>
      </w:r>
      <w:r>
        <w:rPr>
          <w:rFonts w:ascii="宋体" w:hAnsi="宋体" w:cs="宋体" w:eastAsia="宋体" w:hint="default"/>
          <w:sz w:val="21"/>
          <w:szCs w:val="21"/>
        </w:rPr>
        <w:t>万元、7,300</w:t>
      </w:r>
      <w:r>
        <w:rPr>
          <w:rFonts w:ascii="宋体" w:hAnsi="宋体" w:cs="宋体" w:eastAsia="宋体" w:hint="default"/>
          <w:spacing w:val="-56"/>
          <w:sz w:val="21"/>
          <w:szCs w:val="21"/>
        </w:rPr>
        <w:t> </w:t>
      </w:r>
      <w:r>
        <w:rPr>
          <w:rFonts w:ascii="宋体" w:hAnsi="宋体" w:cs="宋体" w:eastAsia="宋体" w:hint="default"/>
          <w:sz w:val="21"/>
          <w:szCs w:val="21"/>
        </w:rPr>
        <w:t>万元和</w:t>
      </w:r>
      <w:r>
        <w:rPr>
          <w:rFonts w:ascii="宋体" w:hAnsi="宋体" w:cs="宋体" w:eastAsia="宋体" w:hint="default"/>
          <w:spacing w:val="-57"/>
          <w:sz w:val="21"/>
          <w:szCs w:val="21"/>
        </w:rPr>
        <w:t> </w:t>
      </w:r>
      <w:r>
        <w:rPr>
          <w:rFonts w:ascii="宋体" w:hAnsi="宋体" w:cs="宋体" w:eastAsia="宋体" w:hint="default"/>
          <w:sz w:val="21"/>
          <w:szCs w:val="21"/>
        </w:rPr>
        <w:t>8,600</w:t>
      </w:r>
      <w:r>
        <w:rPr>
          <w:rFonts w:ascii="宋体" w:hAnsi="宋体" w:cs="宋体" w:eastAsia="宋体" w:hint="default"/>
          <w:spacing w:val="-56"/>
          <w:sz w:val="21"/>
          <w:szCs w:val="21"/>
        </w:rPr>
        <w:t> </w:t>
      </w:r>
      <w:r>
        <w:rPr>
          <w:rFonts w:ascii="宋体" w:hAnsi="宋体" w:cs="宋体" w:eastAsia="宋体" w:hint="default"/>
          <w:sz w:val="21"/>
          <w:szCs w:val="21"/>
        </w:rPr>
        <w:t>万元以上，交易对方承诺根据《公开发</w:t>
      </w:r>
      <w:r>
        <w:rPr>
          <w:rFonts w:ascii="宋体" w:hAnsi="宋体" w:cs="宋体" w:eastAsia="宋体" w:hint="default"/>
          <w:w w:val="99"/>
          <w:sz w:val="21"/>
          <w:szCs w:val="21"/>
        </w:rPr>
        <w:t> </w:t>
      </w:r>
      <w:r>
        <w:rPr>
          <w:rFonts w:ascii="宋体" w:hAnsi="宋体" w:cs="宋体" w:eastAsia="宋体" w:hint="default"/>
          <w:sz w:val="21"/>
          <w:szCs w:val="21"/>
        </w:rPr>
        <w:t>行证券的公司信息披露解释性公告第</w:t>
      </w:r>
      <w:r>
        <w:rPr>
          <w:rFonts w:ascii="宋体" w:hAnsi="宋体" w:cs="宋体" w:eastAsia="宋体" w:hint="default"/>
          <w:spacing w:val="-70"/>
          <w:sz w:val="21"/>
          <w:szCs w:val="21"/>
        </w:rPr>
        <w:t> </w:t>
      </w:r>
      <w:r>
        <w:rPr>
          <w:rFonts w:ascii="宋体" w:hAnsi="宋体" w:cs="宋体" w:eastAsia="宋体" w:hint="default"/>
          <w:sz w:val="21"/>
          <w:szCs w:val="21"/>
        </w:rPr>
        <w:t>1</w:t>
      </w:r>
      <w:r>
        <w:rPr>
          <w:rFonts w:ascii="宋体" w:hAnsi="宋体" w:cs="宋体" w:eastAsia="宋体" w:hint="default"/>
          <w:spacing w:val="-71"/>
          <w:sz w:val="21"/>
          <w:szCs w:val="21"/>
        </w:rPr>
        <w:t> </w:t>
      </w:r>
      <w:r>
        <w:rPr>
          <w:rFonts w:ascii="宋体" w:hAnsi="宋体" w:cs="宋体" w:eastAsia="宋体" w:hint="default"/>
          <w:sz w:val="21"/>
          <w:szCs w:val="21"/>
        </w:rPr>
        <w:t>号——非经常性损益》定义界定的非经常性损益项，师凯科技与收</w:t>
      </w:r>
      <w:r>
        <w:rPr>
          <w:rFonts w:ascii="宋体" w:hAnsi="宋体" w:cs="宋体" w:eastAsia="宋体" w:hint="default"/>
          <w:w w:val="99"/>
          <w:sz w:val="21"/>
          <w:szCs w:val="21"/>
        </w:rPr>
        <w:t> </w:t>
      </w:r>
      <w:r>
        <w:rPr>
          <w:rFonts w:ascii="宋体" w:hAnsi="宋体" w:cs="宋体" w:eastAsia="宋体" w:hint="default"/>
          <w:sz w:val="21"/>
          <w:szCs w:val="21"/>
        </w:rPr>
        <w:t>入相关的增值税免税额属于经常性损益。</w:t>
      </w:r>
    </w:p>
    <w:p>
      <w:pPr>
        <w:spacing w:line="408" w:lineRule="auto" w:before="46"/>
        <w:ind w:left="112" w:right="132" w:firstLine="420"/>
        <w:jc w:val="both"/>
        <w:rPr>
          <w:rFonts w:ascii="宋体" w:hAnsi="宋体" w:cs="宋体" w:eastAsia="宋体" w:hint="default"/>
          <w:sz w:val="21"/>
          <w:szCs w:val="21"/>
        </w:rPr>
      </w:pPr>
      <w:r>
        <w:rPr>
          <w:rFonts w:ascii="宋体" w:hAnsi="宋体" w:cs="宋体" w:eastAsia="宋体" w:hint="default"/>
          <w:spacing w:val="-2"/>
          <w:w w:val="99"/>
          <w:sz w:val="21"/>
          <w:szCs w:val="21"/>
        </w:rPr>
        <w:t>根据瑞华会计师事务所（特殊普通合伙）出具的《长春师凯科技产业有限责任公司审计报告》，2017</w:t>
      </w:r>
      <w:r>
        <w:rPr>
          <w:rFonts w:ascii="宋体" w:hAnsi="宋体" w:cs="宋体" w:eastAsia="宋体" w:hint="default"/>
          <w:w w:val="99"/>
          <w:sz w:val="21"/>
          <w:szCs w:val="21"/>
        </w:rPr>
        <w:t> </w:t>
      </w:r>
      <w:r>
        <w:rPr>
          <w:rFonts w:ascii="宋体" w:hAnsi="宋体" w:cs="宋体" w:eastAsia="宋体" w:hint="default"/>
          <w:sz w:val="21"/>
          <w:szCs w:val="21"/>
        </w:rPr>
        <w:t>年度，师凯科技经审计后实现的扣除非经常性损益后的净利润为</w:t>
      </w:r>
      <w:r>
        <w:rPr>
          <w:rFonts w:ascii="宋体" w:hAnsi="宋体" w:cs="宋体" w:eastAsia="宋体" w:hint="default"/>
          <w:spacing w:val="-56"/>
          <w:sz w:val="21"/>
          <w:szCs w:val="21"/>
        </w:rPr>
        <w:t> </w:t>
      </w:r>
      <w:r>
        <w:rPr>
          <w:rFonts w:ascii="宋体" w:hAnsi="宋体" w:cs="宋体" w:eastAsia="宋体" w:hint="default"/>
          <w:sz w:val="21"/>
          <w:szCs w:val="21"/>
        </w:rPr>
        <w:t>6,777.35</w:t>
      </w:r>
      <w:r>
        <w:rPr>
          <w:rFonts w:ascii="宋体" w:hAnsi="宋体" w:cs="宋体" w:eastAsia="宋体" w:hint="default"/>
          <w:spacing w:val="-59"/>
          <w:sz w:val="21"/>
          <w:szCs w:val="21"/>
        </w:rPr>
        <w:t> </w:t>
      </w:r>
      <w:r>
        <w:rPr>
          <w:rFonts w:ascii="宋体" w:hAnsi="宋体" w:cs="宋体" w:eastAsia="宋体" w:hint="default"/>
          <w:sz w:val="21"/>
          <w:szCs w:val="21"/>
        </w:rPr>
        <w:t>万元，占李巍屹等人承诺标的</w:t>
      </w:r>
      <w:r>
        <w:rPr>
          <w:rFonts w:ascii="宋体" w:hAnsi="宋体" w:cs="宋体" w:eastAsia="宋体" w:hint="default"/>
          <w:w w:val="99"/>
          <w:sz w:val="21"/>
          <w:szCs w:val="21"/>
        </w:rPr>
        <w:t> </w:t>
      </w:r>
      <w:r>
        <w:rPr>
          <w:rFonts w:ascii="宋体" w:hAnsi="宋体" w:cs="宋体" w:eastAsia="宋体" w:hint="default"/>
          <w:sz w:val="21"/>
          <w:szCs w:val="21"/>
        </w:rPr>
        <w:t>资产</w:t>
      </w:r>
      <w:r>
        <w:rPr>
          <w:rFonts w:ascii="宋体" w:hAnsi="宋体" w:cs="宋体" w:eastAsia="宋体" w:hint="default"/>
          <w:spacing w:val="-53"/>
          <w:sz w:val="21"/>
          <w:szCs w:val="21"/>
        </w:rPr>
        <w:t> </w:t>
      </w:r>
      <w:r>
        <w:rPr>
          <w:rFonts w:ascii="宋体" w:hAnsi="宋体" w:cs="宋体" w:eastAsia="宋体" w:hint="default"/>
          <w:sz w:val="21"/>
          <w:szCs w:val="21"/>
        </w:rPr>
        <w:t>2015</w:t>
      </w:r>
      <w:r>
        <w:rPr>
          <w:rFonts w:ascii="宋体" w:hAnsi="宋体" w:cs="宋体" w:eastAsia="宋体" w:hint="default"/>
          <w:spacing w:val="-57"/>
          <w:sz w:val="21"/>
          <w:szCs w:val="21"/>
        </w:rPr>
        <w:t> </w:t>
      </w:r>
      <w:r>
        <w:rPr>
          <w:rFonts w:ascii="宋体" w:hAnsi="宋体" w:cs="宋体" w:eastAsia="宋体" w:hint="default"/>
          <w:sz w:val="21"/>
          <w:szCs w:val="21"/>
        </w:rPr>
        <w:t>年、2016</w:t>
      </w:r>
      <w:r>
        <w:rPr>
          <w:rFonts w:ascii="宋体" w:hAnsi="宋体" w:cs="宋体" w:eastAsia="宋体" w:hint="default"/>
          <w:spacing w:val="-57"/>
          <w:sz w:val="21"/>
          <w:szCs w:val="21"/>
        </w:rPr>
        <w:t> </w:t>
      </w:r>
      <w:r>
        <w:rPr>
          <w:rFonts w:ascii="宋体" w:hAnsi="宋体" w:cs="宋体" w:eastAsia="宋体" w:hint="default"/>
          <w:sz w:val="21"/>
          <w:szCs w:val="21"/>
        </w:rPr>
        <w:t>年和</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年、2018</w:t>
      </w:r>
      <w:r>
        <w:rPr>
          <w:rFonts w:ascii="宋体" w:hAnsi="宋体" w:cs="宋体" w:eastAsia="宋体" w:hint="default"/>
          <w:spacing w:val="-55"/>
          <w:sz w:val="21"/>
          <w:szCs w:val="21"/>
        </w:rPr>
        <w:t> </w:t>
      </w:r>
      <w:r>
        <w:rPr>
          <w:rFonts w:ascii="宋体" w:hAnsi="宋体" w:cs="宋体" w:eastAsia="宋体" w:hint="default"/>
          <w:sz w:val="21"/>
          <w:szCs w:val="21"/>
        </w:rPr>
        <w:t>年实现的扣除非经常性损益后归属于母公司的净利润累计不低于</w:t>
      </w:r>
      <w:r>
        <w:rPr>
          <w:rFonts w:ascii="宋体" w:hAnsi="宋体" w:cs="宋体" w:eastAsia="宋体" w:hint="default"/>
          <w:w w:val="99"/>
          <w:sz w:val="21"/>
          <w:szCs w:val="21"/>
        </w:rPr>
        <w:t> </w:t>
      </w:r>
      <w:r>
        <w:rPr>
          <w:rFonts w:ascii="宋体" w:hAnsi="宋体" w:cs="宋体" w:eastAsia="宋体" w:hint="default"/>
          <w:spacing w:val="-1"/>
          <w:w w:val="99"/>
          <w:sz w:val="21"/>
          <w:szCs w:val="21"/>
        </w:rPr>
        <w:t>人民</w:t>
      </w:r>
      <w:r>
        <w:rPr>
          <w:rFonts w:ascii="宋体" w:hAnsi="宋体" w:cs="宋体" w:eastAsia="宋体" w:hint="default"/>
          <w:spacing w:val="-48"/>
          <w:w w:val="99"/>
          <w:sz w:val="21"/>
          <w:szCs w:val="21"/>
        </w:rPr>
        <w:t> </w:t>
      </w:r>
      <w:r>
        <w:rPr>
          <w:rFonts w:ascii="宋体" w:hAnsi="宋体" w:cs="宋体" w:eastAsia="宋体" w:hint="default"/>
          <w:w w:val="99"/>
          <w:sz w:val="21"/>
          <w:szCs w:val="21"/>
        </w:rPr>
        <w:t>26,900</w:t>
      </w:r>
      <w:r>
        <w:rPr>
          <w:rFonts w:ascii="宋体" w:hAnsi="宋体" w:cs="宋体" w:eastAsia="宋体" w:hint="default"/>
          <w:spacing w:val="-50"/>
          <w:w w:val="99"/>
          <w:sz w:val="21"/>
          <w:szCs w:val="21"/>
        </w:rPr>
        <w:t> </w:t>
      </w:r>
      <w:r>
        <w:rPr>
          <w:rFonts w:ascii="宋体" w:hAnsi="宋体" w:cs="宋体" w:eastAsia="宋体" w:hint="default"/>
          <w:spacing w:val="-6"/>
          <w:w w:val="99"/>
          <w:sz w:val="21"/>
          <w:szCs w:val="21"/>
        </w:rPr>
        <w:t>万元（以下简称“净利润承诺数”）的</w:t>
      </w:r>
      <w:r>
        <w:rPr>
          <w:rFonts w:ascii="宋体" w:hAnsi="宋体" w:cs="宋体" w:eastAsia="宋体" w:hint="default"/>
          <w:spacing w:val="-48"/>
          <w:w w:val="99"/>
          <w:sz w:val="21"/>
          <w:szCs w:val="21"/>
        </w:rPr>
        <w:t> </w:t>
      </w:r>
      <w:r>
        <w:rPr>
          <w:rFonts w:ascii="宋体" w:hAnsi="宋体" w:cs="宋体" w:eastAsia="宋体" w:hint="default"/>
          <w:w w:val="99"/>
          <w:sz w:val="21"/>
          <w:szCs w:val="21"/>
        </w:rPr>
        <w:t>25.19%,完成</w:t>
      </w:r>
      <w:r>
        <w:rPr>
          <w:rFonts w:ascii="宋体" w:hAnsi="宋体" w:cs="宋体" w:eastAsia="宋体" w:hint="default"/>
          <w:spacing w:val="-48"/>
          <w:w w:val="99"/>
          <w:sz w:val="21"/>
          <w:szCs w:val="21"/>
        </w:rPr>
        <w:t> </w:t>
      </w:r>
      <w:r>
        <w:rPr>
          <w:rFonts w:ascii="宋体" w:hAnsi="宋体" w:cs="宋体" w:eastAsia="宋体" w:hint="default"/>
          <w:w w:val="99"/>
          <w:sz w:val="21"/>
          <w:szCs w:val="21"/>
        </w:rPr>
        <w:t>2017</w:t>
      </w:r>
      <w:r>
        <w:rPr>
          <w:rFonts w:ascii="宋体" w:hAnsi="宋体" w:cs="宋体" w:eastAsia="宋体" w:hint="default"/>
          <w:spacing w:val="-52"/>
          <w:w w:val="99"/>
          <w:sz w:val="21"/>
          <w:szCs w:val="21"/>
        </w:rPr>
        <w:t> </w:t>
      </w:r>
      <w:r>
        <w:rPr>
          <w:rFonts w:ascii="宋体" w:hAnsi="宋体" w:cs="宋体" w:eastAsia="宋体" w:hint="default"/>
          <w:w w:val="99"/>
          <w:sz w:val="21"/>
          <w:szCs w:val="21"/>
        </w:rPr>
        <w:t>年利润计划数</w:t>
      </w:r>
      <w:r>
        <w:rPr>
          <w:rFonts w:ascii="宋体" w:hAnsi="宋体" w:cs="宋体" w:eastAsia="宋体" w:hint="default"/>
          <w:spacing w:val="-48"/>
          <w:w w:val="99"/>
          <w:sz w:val="21"/>
          <w:szCs w:val="21"/>
        </w:rPr>
        <w:t> </w:t>
      </w:r>
      <w:r>
        <w:rPr>
          <w:rFonts w:ascii="宋体" w:hAnsi="宋体" w:cs="宋体" w:eastAsia="宋体" w:hint="default"/>
          <w:w w:val="99"/>
          <w:sz w:val="21"/>
          <w:szCs w:val="21"/>
        </w:rPr>
        <w:t>7300</w:t>
      </w:r>
      <w:r>
        <w:rPr>
          <w:rFonts w:ascii="宋体" w:hAnsi="宋体" w:cs="宋体" w:eastAsia="宋体" w:hint="default"/>
          <w:spacing w:val="-52"/>
          <w:w w:val="99"/>
          <w:sz w:val="21"/>
          <w:szCs w:val="21"/>
        </w:rPr>
        <w:t> </w:t>
      </w:r>
      <w:r>
        <w:rPr>
          <w:rFonts w:ascii="宋体" w:hAnsi="宋体" w:cs="宋体" w:eastAsia="宋体" w:hint="default"/>
          <w:w w:val="99"/>
          <w:sz w:val="21"/>
          <w:szCs w:val="21"/>
        </w:rPr>
        <w:t>万元的</w:t>
      </w:r>
      <w:r>
        <w:rPr>
          <w:rFonts w:ascii="宋体" w:hAnsi="宋体" w:cs="宋体" w:eastAsia="宋体" w:hint="default"/>
          <w:spacing w:val="-51"/>
          <w:w w:val="99"/>
          <w:sz w:val="21"/>
          <w:szCs w:val="21"/>
        </w:rPr>
        <w:t> </w:t>
      </w:r>
      <w:r>
        <w:rPr>
          <w:rFonts w:ascii="宋体" w:hAnsi="宋体" w:cs="宋体" w:eastAsia="宋体" w:hint="default"/>
          <w:w w:val="99"/>
          <w:sz w:val="21"/>
          <w:szCs w:val="21"/>
        </w:rPr>
        <w:t>92.84%。</w:t>
      </w:r>
      <w:r>
        <w:rPr>
          <w:rFonts w:ascii="宋体" w:hAnsi="宋体" w:cs="宋体" w:eastAsia="宋体" w:hint="default"/>
          <w:sz w:val="21"/>
          <w:szCs w:val="21"/>
        </w:rPr>
      </w:r>
    </w:p>
    <w:p>
      <w:pPr>
        <w:spacing w:line="240" w:lineRule="auto" w:before="11"/>
        <w:rPr>
          <w:rFonts w:ascii="宋体" w:hAnsi="宋体" w:cs="宋体" w:eastAsia="宋体" w:hint="default"/>
          <w:sz w:val="18"/>
          <w:szCs w:val="18"/>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三、控股股东及其关联方对上市公司的非经营性占用资金情况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公司报告期不存在控股股东及其关联方对上市公司的非经营性占用资金。</w:t>
      </w:r>
    </w:p>
    <w:p>
      <w:pPr>
        <w:spacing w:line="240" w:lineRule="auto" w:before="11"/>
        <w:rPr>
          <w:rFonts w:ascii="宋体" w:hAnsi="宋体" w:cs="宋体" w:eastAsia="宋体" w:hint="default"/>
          <w:sz w:val="29"/>
          <w:szCs w:val="29"/>
        </w:rPr>
      </w:pPr>
    </w:p>
    <w:p>
      <w:pPr>
        <w:spacing w:before="0"/>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四、董事会对最近一期“非标准审计报告”相关情况的说明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line="312" w:lineRule="exact" w:before="162"/>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五、董事会、监事会、独立董事（如有）对会计师事务所本报告期“非标准审计报告”的说</w:t>
      </w:r>
      <w:r>
        <w:rPr>
          <w:rFonts w:ascii="宋体" w:hAnsi="宋体" w:cs="宋体" w:eastAsia="宋体" w:hint="default"/>
          <w:b/>
          <w:bCs/>
          <w:spacing w:val="-97"/>
          <w:sz w:val="24"/>
          <w:szCs w:val="24"/>
        </w:rPr>
        <w:t> </w:t>
      </w:r>
      <w:r>
        <w:rPr>
          <w:rFonts w:ascii="宋体" w:hAnsi="宋体" w:cs="宋体" w:eastAsia="宋体" w:hint="default"/>
          <w:b/>
          <w:bCs/>
          <w:spacing w:val="-97"/>
          <w:sz w:val="24"/>
          <w:szCs w:val="24"/>
        </w:rPr>
      </w:r>
      <w:r>
        <w:rPr>
          <w:rFonts w:ascii="宋体" w:hAnsi="宋体" w:cs="宋体" w:eastAsia="宋体" w:hint="default"/>
          <w:b/>
          <w:bCs/>
          <w:sz w:val="24"/>
          <w:szCs w:val="24"/>
        </w:rPr>
        <w:t>明</w:t>
      </w:r>
      <w:r>
        <w:rPr>
          <w:rFonts w:ascii="宋体" w:hAnsi="宋体" w:cs="宋体" w:eastAsia="宋体" w:hint="default"/>
          <w:sz w:val="24"/>
          <w:szCs w:val="24"/>
        </w:rPr>
      </w:r>
    </w:p>
    <w:p>
      <w:pPr>
        <w:spacing w:line="240" w:lineRule="auto" w:before="5"/>
        <w:rPr>
          <w:rFonts w:ascii="宋体" w:hAnsi="宋体" w:cs="宋体" w:eastAsia="宋体" w:hint="default"/>
          <w:b/>
          <w:bCs/>
          <w:sz w:val="28"/>
          <w:szCs w:val="28"/>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0" w:firstLine="0"/>
        <w:jc w:val="left"/>
        <w:rPr>
          <w:rFonts w:ascii="宋体" w:hAnsi="宋体" w:cs="宋体" w:eastAsia="宋体" w:hint="default"/>
          <w:sz w:val="24"/>
          <w:szCs w:val="24"/>
        </w:rPr>
      </w:pPr>
      <w:r>
        <w:rPr>
          <w:rFonts w:ascii="宋体" w:hAnsi="宋体" w:cs="宋体" w:eastAsia="宋体" w:hint="default"/>
          <w:b/>
          <w:bCs/>
          <w:sz w:val="24"/>
          <w:szCs w:val="24"/>
        </w:rPr>
        <w:t>六、董事会关于报告期会计政策、会计估计变更或重大会计差错更正的说明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0" w:firstLine="0"/>
        <w:jc w:val="left"/>
        <w:rPr>
          <w:rFonts w:ascii="宋体" w:hAnsi="宋体" w:cs="宋体" w:eastAsia="宋体" w:hint="default"/>
          <w:sz w:val="21"/>
          <w:szCs w:val="21"/>
        </w:rPr>
      </w:pPr>
      <w:r>
        <w:rPr>
          <w:rFonts w:ascii="宋体" w:hAnsi="宋体" w:cs="宋体" w:eastAsia="宋体" w:hint="default"/>
          <w:sz w:val="21"/>
          <w:szCs w:val="21"/>
        </w:rPr>
        <w:t>1、2017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7"/>
          <w:sz w:val="21"/>
          <w:szCs w:val="21"/>
        </w:rPr>
        <w:t> </w:t>
      </w:r>
      <w:r>
        <w:rPr>
          <w:rFonts w:ascii="宋体" w:hAnsi="宋体" w:cs="宋体" w:eastAsia="宋体" w:hint="default"/>
          <w:sz w:val="21"/>
          <w:szCs w:val="21"/>
        </w:rPr>
        <w:t>日，财政部发布了《企业会计准则第</w:t>
      </w:r>
      <w:r>
        <w:rPr>
          <w:rFonts w:ascii="宋体" w:hAnsi="宋体" w:cs="宋体" w:eastAsia="宋体" w:hint="default"/>
          <w:spacing w:val="-54"/>
          <w:sz w:val="21"/>
          <w:szCs w:val="21"/>
        </w:rPr>
        <w:t> </w:t>
      </w:r>
      <w:r>
        <w:rPr>
          <w:rFonts w:ascii="宋体" w:hAnsi="宋体" w:cs="宋体" w:eastAsia="宋体" w:hint="default"/>
          <w:sz w:val="21"/>
          <w:szCs w:val="21"/>
        </w:rPr>
        <w:t>42</w:t>
      </w:r>
      <w:r>
        <w:rPr>
          <w:rFonts w:ascii="宋体" w:hAnsi="宋体" w:cs="宋体" w:eastAsia="宋体" w:hint="default"/>
          <w:spacing w:val="-57"/>
          <w:sz w:val="21"/>
          <w:szCs w:val="21"/>
        </w:rPr>
        <w:t> </w:t>
      </w:r>
      <w:r>
        <w:rPr>
          <w:rFonts w:ascii="宋体" w:hAnsi="宋体" w:cs="宋体" w:eastAsia="宋体" w:hint="default"/>
          <w:sz w:val="21"/>
          <w:szCs w:val="21"/>
        </w:rPr>
        <w:t>号——持有待售的非流动资产、处置组和</w:t>
      </w:r>
    </w:p>
    <w:p>
      <w:pPr>
        <w:spacing w:line="240" w:lineRule="auto" w:before="10"/>
        <w:rPr>
          <w:rFonts w:ascii="宋体" w:hAnsi="宋体" w:cs="宋体" w:eastAsia="宋体" w:hint="default"/>
          <w:sz w:val="14"/>
          <w:szCs w:val="14"/>
        </w:rPr>
      </w:pPr>
    </w:p>
    <w:p>
      <w:pPr>
        <w:spacing w:line="408" w:lineRule="auto" w:before="0"/>
        <w:ind w:left="112" w:right="0" w:firstLine="0"/>
        <w:jc w:val="left"/>
        <w:rPr>
          <w:rFonts w:ascii="宋体" w:hAnsi="宋体" w:cs="宋体" w:eastAsia="宋体" w:hint="default"/>
          <w:sz w:val="21"/>
          <w:szCs w:val="21"/>
        </w:rPr>
      </w:pPr>
      <w:r>
        <w:rPr>
          <w:rFonts w:ascii="宋体" w:hAnsi="宋体" w:cs="宋体" w:eastAsia="宋体" w:hint="default"/>
          <w:spacing w:val="-22"/>
          <w:w w:val="99"/>
          <w:sz w:val="21"/>
          <w:szCs w:val="21"/>
        </w:rPr>
        <w:t>终止经营）》，要求自</w:t>
      </w:r>
      <w:r>
        <w:rPr>
          <w:rFonts w:ascii="宋体" w:hAnsi="宋体" w:cs="宋体" w:eastAsia="宋体" w:hint="default"/>
          <w:spacing w:val="-51"/>
          <w:w w:val="99"/>
          <w:sz w:val="21"/>
          <w:szCs w:val="21"/>
        </w:rPr>
        <w:t> </w:t>
      </w:r>
      <w:r>
        <w:rPr>
          <w:rFonts w:ascii="宋体" w:hAnsi="宋体" w:cs="宋体" w:eastAsia="宋体" w:hint="default"/>
          <w:w w:val="99"/>
          <w:sz w:val="21"/>
          <w:szCs w:val="21"/>
        </w:rPr>
        <w:t>2017</w:t>
      </w:r>
      <w:r>
        <w:rPr>
          <w:rFonts w:ascii="宋体" w:hAnsi="宋体" w:cs="宋体" w:eastAsia="宋体" w:hint="default"/>
          <w:spacing w:val="-52"/>
          <w:w w:val="99"/>
          <w:sz w:val="21"/>
          <w:szCs w:val="21"/>
        </w:rPr>
        <w:t> </w:t>
      </w:r>
      <w:r>
        <w:rPr>
          <w:rFonts w:ascii="宋体" w:hAnsi="宋体" w:cs="宋体" w:eastAsia="宋体" w:hint="default"/>
          <w:w w:val="99"/>
          <w:sz w:val="21"/>
          <w:szCs w:val="21"/>
        </w:rPr>
        <w:t>年</w:t>
      </w:r>
      <w:r>
        <w:rPr>
          <w:rFonts w:ascii="宋体" w:hAnsi="宋体" w:cs="宋体" w:eastAsia="宋体" w:hint="default"/>
          <w:spacing w:val="-51"/>
          <w:w w:val="99"/>
          <w:sz w:val="21"/>
          <w:szCs w:val="21"/>
        </w:rPr>
        <w:t> </w:t>
      </w:r>
      <w:r>
        <w:rPr>
          <w:rFonts w:ascii="宋体" w:hAnsi="宋体" w:cs="宋体" w:eastAsia="宋体" w:hint="default"/>
          <w:w w:val="99"/>
          <w:sz w:val="21"/>
          <w:szCs w:val="21"/>
        </w:rPr>
        <w:t>5</w:t>
      </w:r>
      <w:r>
        <w:rPr>
          <w:rFonts w:ascii="宋体" w:hAnsi="宋体" w:cs="宋体" w:eastAsia="宋体" w:hint="default"/>
          <w:spacing w:val="-50"/>
          <w:w w:val="99"/>
          <w:sz w:val="21"/>
          <w:szCs w:val="21"/>
        </w:rPr>
        <w:t> </w:t>
      </w:r>
      <w:r>
        <w:rPr>
          <w:rFonts w:ascii="宋体" w:hAnsi="宋体" w:cs="宋体" w:eastAsia="宋体" w:hint="default"/>
          <w:w w:val="99"/>
          <w:sz w:val="21"/>
          <w:szCs w:val="21"/>
        </w:rPr>
        <w:t>月</w:t>
      </w:r>
      <w:r>
        <w:rPr>
          <w:rFonts w:ascii="宋体" w:hAnsi="宋体" w:cs="宋体" w:eastAsia="宋体" w:hint="default"/>
          <w:spacing w:val="-51"/>
          <w:w w:val="99"/>
          <w:sz w:val="21"/>
          <w:szCs w:val="21"/>
        </w:rPr>
        <w:t> </w:t>
      </w:r>
      <w:r>
        <w:rPr>
          <w:rFonts w:ascii="宋体" w:hAnsi="宋体" w:cs="宋体" w:eastAsia="宋体" w:hint="default"/>
          <w:w w:val="99"/>
          <w:sz w:val="21"/>
          <w:szCs w:val="21"/>
        </w:rPr>
        <w:t>28</w:t>
      </w:r>
      <w:r>
        <w:rPr>
          <w:rFonts w:ascii="宋体" w:hAnsi="宋体" w:cs="宋体" w:eastAsia="宋体" w:hint="default"/>
          <w:spacing w:val="-50"/>
          <w:w w:val="99"/>
          <w:sz w:val="21"/>
          <w:szCs w:val="21"/>
        </w:rPr>
        <w:t> </w:t>
      </w:r>
      <w:r>
        <w:rPr>
          <w:rFonts w:ascii="宋体" w:hAnsi="宋体" w:cs="宋体" w:eastAsia="宋体" w:hint="default"/>
          <w:w w:val="99"/>
          <w:sz w:val="21"/>
          <w:szCs w:val="21"/>
        </w:rPr>
        <w:t>日起在所有执行企业会计准则的企业范围内施行。对于准则施行日存</w:t>
      </w:r>
      <w:r>
        <w:rPr>
          <w:rFonts w:ascii="宋体" w:hAnsi="宋体" w:cs="宋体" w:eastAsia="宋体" w:hint="default"/>
          <w:w w:val="99"/>
          <w:sz w:val="21"/>
          <w:szCs w:val="21"/>
        </w:rPr>
        <w:t> </w:t>
      </w:r>
      <w:r>
        <w:rPr>
          <w:rFonts w:ascii="宋体" w:hAnsi="宋体" w:cs="宋体" w:eastAsia="宋体" w:hint="default"/>
          <w:sz w:val="21"/>
          <w:szCs w:val="21"/>
        </w:rPr>
        <w:t>在的持有待售的非流动资产、处置组和终止经营，采用未来适用法处理。</w:t>
      </w:r>
    </w:p>
    <w:p>
      <w:pPr>
        <w:spacing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2、2017</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5</w:t>
      </w:r>
      <w:r>
        <w:rPr>
          <w:rFonts w:ascii="宋体" w:hAnsi="宋体" w:cs="宋体" w:eastAsia="宋体" w:hint="default"/>
          <w:spacing w:val="-6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日，财政部对《企业会计准则第</w:t>
      </w:r>
      <w:r>
        <w:rPr>
          <w:rFonts w:ascii="宋体" w:hAnsi="宋体" w:cs="宋体" w:eastAsia="宋体" w:hint="default"/>
          <w:spacing w:val="-64"/>
          <w:sz w:val="21"/>
          <w:szCs w:val="21"/>
        </w:rPr>
        <w:t> </w:t>
      </w:r>
      <w:r>
        <w:rPr>
          <w:rFonts w:ascii="宋体" w:hAnsi="宋体" w:cs="宋体" w:eastAsia="宋体" w:hint="default"/>
          <w:sz w:val="21"/>
          <w:szCs w:val="21"/>
        </w:rPr>
        <w:t>16</w:t>
      </w:r>
      <w:r>
        <w:rPr>
          <w:rFonts w:ascii="宋体" w:hAnsi="宋体" w:cs="宋体" w:eastAsia="宋体" w:hint="default"/>
          <w:spacing w:val="-63"/>
          <w:sz w:val="21"/>
          <w:szCs w:val="21"/>
        </w:rPr>
        <w:t> </w:t>
      </w:r>
      <w:r>
        <w:rPr>
          <w:rFonts w:ascii="宋体" w:hAnsi="宋体" w:cs="宋体" w:eastAsia="宋体" w:hint="default"/>
          <w:sz w:val="21"/>
          <w:szCs w:val="21"/>
        </w:rPr>
        <w:t>号——政府补助》进行了修订，要求自</w:t>
      </w:r>
      <w:r>
        <w:rPr>
          <w:rFonts w:ascii="宋体" w:hAnsi="宋体" w:cs="宋体" w:eastAsia="宋体" w:hint="default"/>
          <w:spacing w:val="-64"/>
          <w:sz w:val="21"/>
          <w:szCs w:val="21"/>
        </w:rPr>
        <w:t> </w:t>
      </w:r>
      <w:r>
        <w:rPr>
          <w:rFonts w:ascii="宋体" w:hAnsi="宋体" w:cs="宋体" w:eastAsia="宋体" w:hint="default"/>
          <w:sz w:val="21"/>
          <w:szCs w:val="21"/>
        </w:rPr>
        <w:t>2017</w:t>
      </w:r>
      <w:r>
        <w:rPr>
          <w:rFonts w:ascii="宋体" w:hAnsi="宋体" w:cs="宋体" w:eastAsia="宋体" w:hint="default"/>
          <w:spacing w:val="-63"/>
          <w:sz w:val="21"/>
          <w:szCs w:val="21"/>
        </w:rPr>
        <w:t> </w:t>
      </w:r>
      <w:r>
        <w:rPr>
          <w:rFonts w:ascii="宋体" w:hAnsi="宋体" w:cs="宋体" w:eastAsia="宋体" w:hint="default"/>
          <w:sz w:val="21"/>
          <w:szCs w:val="21"/>
        </w:rPr>
        <w:t>年</w:t>
      </w:r>
    </w:p>
    <w:p>
      <w:pPr>
        <w:spacing w:after="0"/>
        <w:jc w:val="left"/>
        <w:rPr>
          <w:rFonts w:ascii="宋体" w:hAnsi="宋体" w:cs="宋体" w:eastAsia="宋体" w:hint="default"/>
          <w:sz w:val="21"/>
          <w:szCs w:val="21"/>
        </w:rPr>
        <w:sectPr>
          <w:pgSz w:w="11910" w:h="16840"/>
          <w:pgMar w:header="907" w:footer="1013" w:top="1100" w:bottom="1200" w:left="1020" w:right="980"/>
        </w:sectPr>
      </w:pPr>
    </w:p>
    <w:p>
      <w:pPr>
        <w:spacing w:line="240" w:lineRule="auto" w:before="9"/>
        <w:rPr>
          <w:rFonts w:ascii="宋体" w:hAnsi="宋体" w:cs="宋体" w:eastAsia="宋体" w:hint="default"/>
          <w:sz w:val="27"/>
          <w:szCs w:val="27"/>
        </w:rPr>
      </w:pPr>
    </w:p>
    <w:p>
      <w:pPr>
        <w:spacing w:before="34"/>
        <w:ind w:left="112" w:right="105" w:firstLine="0"/>
        <w:jc w:val="left"/>
        <w:rPr>
          <w:rFonts w:ascii="宋体" w:hAnsi="宋体" w:cs="宋体" w:eastAsia="宋体" w:hint="default"/>
          <w:sz w:val="21"/>
          <w:szCs w:val="21"/>
        </w:rPr>
      </w:pP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日起在所有执行企业会计准则的企业范围内施行，并要求对</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日存在的政府补助采用</w:t>
      </w:r>
    </w:p>
    <w:p>
      <w:pPr>
        <w:spacing w:line="240" w:lineRule="auto" w:before="10"/>
        <w:rPr>
          <w:rFonts w:ascii="宋体" w:hAnsi="宋体" w:cs="宋体" w:eastAsia="宋体" w:hint="default"/>
          <w:sz w:val="14"/>
          <w:szCs w:val="14"/>
        </w:rPr>
      </w:pPr>
    </w:p>
    <w:p>
      <w:pPr>
        <w:spacing w:before="0"/>
        <w:ind w:left="112" w:right="105" w:firstLine="0"/>
        <w:jc w:val="left"/>
        <w:rPr>
          <w:rFonts w:ascii="宋体" w:hAnsi="宋体" w:cs="宋体" w:eastAsia="宋体" w:hint="default"/>
          <w:sz w:val="21"/>
          <w:szCs w:val="21"/>
        </w:rPr>
      </w:pPr>
      <w:r>
        <w:rPr>
          <w:rFonts w:ascii="宋体" w:hAnsi="宋体" w:cs="宋体" w:eastAsia="宋体" w:hint="default"/>
          <w:sz w:val="21"/>
          <w:szCs w:val="21"/>
        </w:rPr>
        <w:t>未来适用法处理，对</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日至准则施行日之间新增的政府补助根据修订后准则进行调整。</w:t>
      </w:r>
    </w:p>
    <w:p>
      <w:pPr>
        <w:spacing w:line="240" w:lineRule="auto" w:before="10"/>
        <w:rPr>
          <w:rFonts w:ascii="宋体" w:hAnsi="宋体" w:cs="宋体" w:eastAsia="宋体" w:hint="default"/>
          <w:sz w:val="14"/>
          <w:szCs w:val="14"/>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12"/>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日财政部发布财会〔</w:t>
      </w:r>
      <w:r>
        <w:rPr>
          <w:rFonts w:ascii="宋体" w:hAnsi="宋体" w:cs="宋体" w:eastAsia="宋体" w:hint="default"/>
          <w:spacing w:val="-7"/>
          <w:sz w:val="21"/>
          <w:szCs w:val="21"/>
        </w:rPr>
        <w:t> </w:t>
      </w:r>
      <w:r>
        <w:rPr>
          <w:rFonts w:ascii="宋体" w:hAnsi="宋体" w:cs="宋体" w:eastAsia="宋体" w:hint="default"/>
          <w:sz w:val="21"/>
          <w:szCs w:val="21"/>
        </w:rPr>
        <w:t>2017〕30</w:t>
      </w:r>
      <w:r>
        <w:rPr>
          <w:rFonts w:ascii="宋体" w:hAnsi="宋体" w:cs="宋体" w:eastAsia="宋体" w:hint="default"/>
          <w:spacing w:val="-58"/>
          <w:sz w:val="21"/>
          <w:szCs w:val="21"/>
        </w:rPr>
        <w:t> </w:t>
      </w:r>
      <w:r>
        <w:rPr>
          <w:rFonts w:ascii="宋体" w:hAnsi="宋体" w:cs="宋体" w:eastAsia="宋体" w:hint="default"/>
          <w:sz w:val="21"/>
          <w:szCs w:val="21"/>
        </w:rPr>
        <w:t>号《财政部关于修订印发一般企业财务报表格式</w:t>
      </w:r>
    </w:p>
    <w:p>
      <w:pPr>
        <w:spacing w:line="240" w:lineRule="auto" w:before="10"/>
        <w:rPr>
          <w:rFonts w:ascii="宋体" w:hAnsi="宋体" w:cs="宋体" w:eastAsia="宋体" w:hint="default"/>
          <w:sz w:val="14"/>
          <w:szCs w:val="14"/>
        </w:rPr>
      </w:pPr>
    </w:p>
    <w:p>
      <w:pPr>
        <w:spacing w:before="0"/>
        <w:ind w:left="112" w:right="105" w:firstLine="0"/>
        <w:jc w:val="left"/>
        <w:rPr>
          <w:rFonts w:ascii="宋体" w:hAnsi="宋体" w:cs="宋体" w:eastAsia="宋体" w:hint="default"/>
          <w:sz w:val="21"/>
          <w:szCs w:val="21"/>
        </w:rPr>
      </w:pP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通知</w:t>
      </w:r>
      <w:r>
        <w:rPr>
          <w:rFonts w:ascii="宋体" w:hAnsi="宋体" w:cs="宋体" w:eastAsia="宋体" w:hint="default"/>
          <w:spacing w:val="-104"/>
          <w:w w:val="99"/>
          <w:sz w:val="21"/>
          <w:szCs w:val="21"/>
        </w:rPr>
        <w:t>》</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针</w:t>
      </w:r>
      <w:r>
        <w:rPr>
          <w:rFonts w:ascii="宋体" w:hAnsi="宋体" w:cs="宋体" w:eastAsia="宋体" w:hint="default"/>
          <w:w w:val="99"/>
          <w:sz w:val="21"/>
          <w:szCs w:val="21"/>
        </w:rPr>
        <w:t>对</w:t>
      </w:r>
      <w:r>
        <w:rPr>
          <w:rFonts w:ascii="宋体" w:hAnsi="宋体" w:cs="宋体" w:eastAsia="宋体" w:hint="default"/>
          <w:spacing w:val="-53"/>
          <w:sz w:val="21"/>
          <w:szCs w:val="21"/>
        </w:rPr>
        <w:t> </w:t>
      </w:r>
      <w:r>
        <w:rPr>
          <w:rFonts w:ascii="宋体" w:hAnsi="宋体" w:cs="宋体" w:eastAsia="宋体" w:hint="default"/>
          <w:spacing w:val="1"/>
          <w:w w:val="99"/>
          <w:sz w:val="21"/>
          <w:szCs w:val="21"/>
        </w:rPr>
        <w:t>201</w:t>
      </w:r>
      <w:r>
        <w:rPr>
          <w:rFonts w:ascii="宋体" w:hAnsi="宋体" w:cs="宋体" w:eastAsia="宋体" w:hint="default"/>
          <w:w w:val="99"/>
          <w:sz w:val="21"/>
          <w:szCs w:val="21"/>
        </w:rPr>
        <w:t>7</w:t>
      </w:r>
      <w:r>
        <w:rPr>
          <w:rFonts w:ascii="宋体" w:hAnsi="宋体" w:cs="宋体" w:eastAsia="宋体" w:hint="default"/>
          <w:spacing w:val="-54"/>
          <w:sz w:val="21"/>
          <w:szCs w:val="21"/>
        </w:rPr>
        <w:t> </w:t>
      </w:r>
      <w:r>
        <w:rPr>
          <w:rFonts w:ascii="宋体" w:hAnsi="宋体" w:cs="宋体" w:eastAsia="宋体" w:hint="default"/>
          <w:spacing w:val="-1"/>
          <w:w w:val="99"/>
          <w:sz w:val="21"/>
          <w:szCs w:val="21"/>
        </w:rPr>
        <w:t>年</w:t>
      </w:r>
      <w:r>
        <w:rPr>
          <w:rFonts w:ascii="宋体" w:hAnsi="宋体" w:cs="宋体" w:eastAsia="宋体" w:hint="default"/>
          <w:spacing w:val="2"/>
          <w:w w:val="99"/>
          <w:sz w:val="21"/>
          <w:szCs w:val="21"/>
        </w:rPr>
        <w:t>施</w:t>
      </w:r>
      <w:r>
        <w:rPr>
          <w:rFonts w:ascii="宋体" w:hAnsi="宋体" w:cs="宋体" w:eastAsia="宋体" w:hint="default"/>
          <w:spacing w:val="-1"/>
          <w:w w:val="99"/>
          <w:sz w:val="21"/>
          <w:szCs w:val="21"/>
        </w:rPr>
        <w:t>行</w:t>
      </w:r>
      <w:r>
        <w:rPr>
          <w:rFonts w:ascii="宋体" w:hAnsi="宋体" w:cs="宋体" w:eastAsia="宋体" w:hint="default"/>
          <w:spacing w:val="2"/>
          <w:w w:val="99"/>
          <w:sz w:val="21"/>
          <w:szCs w:val="21"/>
        </w:rPr>
        <w:t>的</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企</w:t>
      </w:r>
      <w:r>
        <w:rPr>
          <w:rFonts w:ascii="宋体" w:hAnsi="宋体" w:cs="宋体" w:eastAsia="宋体" w:hint="default"/>
          <w:spacing w:val="-1"/>
          <w:w w:val="99"/>
          <w:sz w:val="21"/>
          <w:szCs w:val="21"/>
        </w:rPr>
        <w:t>业</w:t>
      </w:r>
      <w:r>
        <w:rPr>
          <w:rFonts w:ascii="宋体" w:hAnsi="宋体" w:cs="宋体" w:eastAsia="宋体" w:hint="default"/>
          <w:spacing w:val="2"/>
          <w:w w:val="99"/>
          <w:sz w:val="21"/>
          <w:szCs w:val="21"/>
        </w:rPr>
        <w:t>会</w:t>
      </w:r>
      <w:r>
        <w:rPr>
          <w:rFonts w:ascii="宋体" w:hAnsi="宋体" w:cs="宋体" w:eastAsia="宋体" w:hint="default"/>
          <w:spacing w:val="-1"/>
          <w:w w:val="99"/>
          <w:sz w:val="21"/>
          <w:szCs w:val="21"/>
        </w:rPr>
        <w:t>计</w:t>
      </w:r>
      <w:r>
        <w:rPr>
          <w:rFonts w:ascii="宋体" w:hAnsi="宋体" w:cs="宋体" w:eastAsia="宋体" w:hint="default"/>
          <w:spacing w:val="2"/>
          <w:w w:val="99"/>
          <w:sz w:val="21"/>
          <w:szCs w:val="21"/>
        </w:rPr>
        <w:t>准</w:t>
      </w:r>
      <w:r>
        <w:rPr>
          <w:rFonts w:ascii="宋体" w:hAnsi="宋体" w:cs="宋体" w:eastAsia="宋体" w:hint="default"/>
          <w:spacing w:val="-1"/>
          <w:w w:val="99"/>
          <w:sz w:val="21"/>
          <w:szCs w:val="21"/>
        </w:rPr>
        <w:t>则</w:t>
      </w:r>
      <w:r>
        <w:rPr>
          <w:rFonts w:ascii="宋体" w:hAnsi="宋体" w:cs="宋体" w:eastAsia="宋体" w:hint="default"/>
          <w:w w:val="99"/>
          <w:sz w:val="21"/>
          <w:szCs w:val="21"/>
        </w:rPr>
        <w:t>第</w:t>
      </w:r>
      <w:r>
        <w:rPr>
          <w:rFonts w:ascii="宋体" w:hAnsi="宋体" w:cs="宋体" w:eastAsia="宋体" w:hint="default"/>
          <w:spacing w:val="-50"/>
          <w:sz w:val="21"/>
          <w:szCs w:val="21"/>
        </w:rPr>
        <w:t> </w:t>
      </w:r>
      <w:r>
        <w:rPr>
          <w:rFonts w:ascii="宋体" w:hAnsi="宋体" w:cs="宋体" w:eastAsia="宋体" w:hint="default"/>
          <w:spacing w:val="1"/>
          <w:w w:val="99"/>
          <w:sz w:val="21"/>
          <w:szCs w:val="21"/>
        </w:rPr>
        <w:t>4</w:t>
      </w:r>
      <w:r>
        <w:rPr>
          <w:rFonts w:ascii="宋体" w:hAnsi="宋体" w:cs="宋体" w:eastAsia="宋体" w:hint="default"/>
          <w:w w:val="99"/>
          <w:sz w:val="21"/>
          <w:szCs w:val="21"/>
        </w:rPr>
        <w:t>2</w:t>
      </w:r>
      <w:r>
        <w:rPr>
          <w:rFonts w:ascii="宋体" w:hAnsi="宋体" w:cs="宋体" w:eastAsia="宋体" w:hint="default"/>
          <w:spacing w:val="-54"/>
          <w:sz w:val="21"/>
          <w:szCs w:val="21"/>
        </w:rPr>
        <w:t> </w:t>
      </w:r>
      <w:r>
        <w:rPr>
          <w:rFonts w:ascii="宋体" w:hAnsi="宋体" w:cs="宋体" w:eastAsia="宋体" w:hint="default"/>
          <w:spacing w:val="2"/>
          <w:w w:val="99"/>
          <w:sz w:val="21"/>
          <w:szCs w:val="21"/>
        </w:rPr>
        <w:t>号</w:t>
      </w:r>
      <w:r>
        <w:rPr>
          <w:rFonts w:ascii="宋体" w:hAnsi="宋体" w:cs="宋体" w:eastAsia="宋体" w:hint="default"/>
          <w:spacing w:val="-1"/>
          <w:w w:val="99"/>
          <w:sz w:val="21"/>
          <w:szCs w:val="21"/>
        </w:rPr>
        <w:t>—持</w:t>
      </w:r>
      <w:r>
        <w:rPr>
          <w:rFonts w:ascii="宋体" w:hAnsi="宋体" w:cs="宋体" w:eastAsia="宋体" w:hint="default"/>
          <w:spacing w:val="2"/>
          <w:w w:val="99"/>
          <w:sz w:val="21"/>
          <w:szCs w:val="21"/>
        </w:rPr>
        <w:t>有</w:t>
      </w:r>
      <w:r>
        <w:rPr>
          <w:rFonts w:ascii="宋体" w:hAnsi="宋体" w:cs="宋体" w:eastAsia="宋体" w:hint="default"/>
          <w:spacing w:val="-1"/>
          <w:w w:val="99"/>
          <w:sz w:val="21"/>
          <w:szCs w:val="21"/>
        </w:rPr>
        <w:t>待</w:t>
      </w:r>
      <w:r>
        <w:rPr>
          <w:rFonts w:ascii="宋体" w:hAnsi="宋体" w:cs="宋体" w:eastAsia="宋体" w:hint="default"/>
          <w:spacing w:val="2"/>
          <w:w w:val="99"/>
          <w:sz w:val="21"/>
          <w:szCs w:val="21"/>
        </w:rPr>
        <w:t>售</w:t>
      </w:r>
      <w:r>
        <w:rPr>
          <w:rFonts w:ascii="宋体" w:hAnsi="宋体" w:cs="宋体" w:eastAsia="宋体" w:hint="default"/>
          <w:spacing w:val="-1"/>
          <w:w w:val="99"/>
          <w:sz w:val="21"/>
          <w:szCs w:val="21"/>
        </w:rPr>
        <w:t>的</w:t>
      </w:r>
      <w:r>
        <w:rPr>
          <w:rFonts w:ascii="宋体" w:hAnsi="宋体" w:cs="宋体" w:eastAsia="宋体" w:hint="default"/>
          <w:spacing w:val="2"/>
          <w:w w:val="99"/>
          <w:sz w:val="21"/>
          <w:szCs w:val="21"/>
        </w:rPr>
        <w:t>非</w:t>
      </w:r>
      <w:r>
        <w:rPr>
          <w:rFonts w:ascii="宋体" w:hAnsi="宋体" w:cs="宋体" w:eastAsia="宋体" w:hint="default"/>
          <w:spacing w:val="-1"/>
          <w:w w:val="99"/>
          <w:sz w:val="21"/>
          <w:szCs w:val="21"/>
        </w:rPr>
        <w:t>流</w:t>
      </w:r>
      <w:r>
        <w:rPr>
          <w:rFonts w:ascii="宋体" w:hAnsi="宋体" w:cs="宋体" w:eastAsia="宋体" w:hint="default"/>
          <w:spacing w:val="2"/>
          <w:w w:val="99"/>
          <w:sz w:val="21"/>
          <w:szCs w:val="21"/>
        </w:rPr>
        <w:t>动</w:t>
      </w:r>
      <w:r>
        <w:rPr>
          <w:rFonts w:ascii="宋体" w:hAnsi="宋体" w:cs="宋体" w:eastAsia="宋体" w:hint="default"/>
          <w:spacing w:val="-1"/>
          <w:w w:val="99"/>
          <w:sz w:val="21"/>
          <w:szCs w:val="21"/>
        </w:rPr>
        <w:t>资</w:t>
      </w:r>
      <w:r>
        <w:rPr>
          <w:rFonts w:ascii="宋体" w:hAnsi="宋体" w:cs="宋体" w:eastAsia="宋体" w:hint="default"/>
          <w:spacing w:val="2"/>
          <w:w w:val="99"/>
          <w:sz w:val="21"/>
          <w:szCs w:val="21"/>
        </w:rPr>
        <w:t>产</w:t>
      </w:r>
      <w:r>
        <w:rPr>
          <w:rFonts w:ascii="宋体" w:hAnsi="宋体" w:cs="宋体" w:eastAsia="宋体" w:hint="default"/>
          <w:spacing w:val="-1"/>
          <w:w w:val="99"/>
          <w:sz w:val="21"/>
          <w:szCs w:val="21"/>
        </w:rPr>
        <w:t>、</w:t>
      </w:r>
      <w:r>
        <w:rPr>
          <w:rFonts w:ascii="宋体" w:hAnsi="宋体" w:cs="宋体" w:eastAsia="宋体" w:hint="default"/>
          <w:spacing w:val="2"/>
          <w:w w:val="99"/>
          <w:sz w:val="21"/>
          <w:szCs w:val="21"/>
        </w:rPr>
        <w:t>处</w:t>
      </w:r>
      <w:r>
        <w:rPr>
          <w:rFonts w:ascii="宋体" w:hAnsi="宋体" w:cs="宋体" w:eastAsia="宋体" w:hint="default"/>
          <w:spacing w:val="-1"/>
          <w:w w:val="99"/>
          <w:sz w:val="21"/>
          <w:szCs w:val="21"/>
        </w:rPr>
        <w:t>置</w:t>
      </w:r>
      <w:r>
        <w:rPr>
          <w:rFonts w:ascii="宋体" w:hAnsi="宋体" w:cs="宋体" w:eastAsia="宋体" w:hint="default"/>
          <w:spacing w:val="2"/>
          <w:w w:val="99"/>
          <w:sz w:val="21"/>
          <w:szCs w:val="21"/>
        </w:rPr>
        <w:t>组</w:t>
      </w:r>
      <w:r>
        <w:rPr>
          <w:rFonts w:ascii="宋体" w:hAnsi="宋体" w:cs="宋体" w:eastAsia="宋体" w:hint="default"/>
          <w:spacing w:val="-1"/>
          <w:w w:val="99"/>
          <w:sz w:val="21"/>
          <w:szCs w:val="21"/>
        </w:rPr>
        <w:t>和</w:t>
      </w:r>
      <w:r>
        <w:rPr>
          <w:rFonts w:ascii="宋体" w:hAnsi="宋体" w:cs="宋体" w:eastAsia="宋体" w:hint="default"/>
          <w:spacing w:val="2"/>
          <w:w w:val="99"/>
          <w:sz w:val="21"/>
          <w:szCs w:val="21"/>
        </w:rPr>
        <w:t>终</w:t>
      </w:r>
      <w:r>
        <w:rPr>
          <w:rFonts w:ascii="宋体" w:hAnsi="宋体" w:cs="宋体" w:eastAsia="宋体" w:hint="default"/>
          <w:spacing w:val="-1"/>
          <w:w w:val="99"/>
          <w:sz w:val="21"/>
          <w:szCs w:val="21"/>
        </w:rPr>
        <w:t>止</w:t>
      </w:r>
      <w:r>
        <w:rPr>
          <w:rFonts w:ascii="宋体" w:hAnsi="宋体" w:cs="宋体" w:eastAsia="宋体" w:hint="default"/>
          <w:spacing w:val="2"/>
          <w:w w:val="99"/>
          <w:sz w:val="21"/>
          <w:szCs w:val="21"/>
        </w:rPr>
        <w:t>经</w:t>
      </w:r>
      <w:r>
        <w:rPr>
          <w:rFonts w:ascii="宋体" w:hAnsi="宋体" w:cs="宋体" w:eastAsia="宋体" w:hint="default"/>
          <w:spacing w:val="-1"/>
          <w:w w:val="99"/>
          <w:sz w:val="21"/>
          <w:szCs w:val="21"/>
        </w:rPr>
        <w:t>营</w:t>
      </w:r>
      <w:r>
        <w:rPr>
          <w:rFonts w:ascii="宋体" w:hAnsi="宋体" w:cs="宋体" w:eastAsia="宋体" w:hint="default"/>
          <w:spacing w:val="2"/>
          <w:w w:val="99"/>
          <w:sz w:val="21"/>
          <w:szCs w:val="21"/>
        </w:rPr>
        <w:t>》</w:t>
      </w:r>
      <w:r>
        <w:rPr>
          <w:rFonts w:ascii="宋体" w:hAnsi="宋体" w:cs="宋体" w:eastAsia="宋体" w:hint="default"/>
          <w:w w:val="99"/>
          <w:sz w:val="21"/>
          <w:szCs w:val="21"/>
        </w:rPr>
        <w:t>和</w:t>
      </w:r>
      <w:r>
        <w:rPr>
          <w:rFonts w:ascii="宋体" w:hAnsi="宋体" w:cs="宋体" w:eastAsia="宋体" w:hint="default"/>
          <w:sz w:val="21"/>
          <w:szCs w:val="21"/>
        </w:rPr>
      </w:r>
    </w:p>
    <w:p>
      <w:pPr>
        <w:spacing w:line="240" w:lineRule="auto" w:before="10"/>
        <w:rPr>
          <w:rFonts w:ascii="宋体" w:hAnsi="宋体" w:cs="宋体" w:eastAsia="宋体" w:hint="default"/>
          <w:sz w:val="14"/>
          <w:szCs w:val="14"/>
        </w:rPr>
      </w:pPr>
    </w:p>
    <w:p>
      <w:pPr>
        <w:spacing w:line="408" w:lineRule="auto" w:before="0"/>
        <w:ind w:left="112" w:right="105" w:firstLine="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7"/>
          <w:sz w:val="21"/>
          <w:szCs w:val="21"/>
        </w:rPr>
        <w:t> </w:t>
      </w:r>
      <w:r>
        <w:rPr>
          <w:rFonts w:ascii="宋体" w:hAnsi="宋体" w:cs="宋体" w:eastAsia="宋体" w:hint="default"/>
          <w:sz w:val="21"/>
          <w:szCs w:val="21"/>
        </w:rPr>
        <w:t>16</w:t>
      </w:r>
      <w:r>
        <w:rPr>
          <w:rFonts w:ascii="宋体" w:hAnsi="宋体" w:cs="宋体" w:eastAsia="宋体" w:hint="default"/>
          <w:spacing w:val="-58"/>
          <w:sz w:val="21"/>
          <w:szCs w:val="21"/>
        </w:rPr>
        <w:t> </w:t>
      </w:r>
      <w:r>
        <w:rPr>
          <w:rFonts w:ascii="宋体" w:hAnsi="宋体" w:cs="宋体" w:eastAsia="宋体" w:hint="default"/>
          <w:sz w:val="21"/>
          <w:szCs w:val="21"/>
        </w:rPr>
        <w:t>号—政府补助》的相关规定，对一般企业财务报表格式进行了修订，新增了“其他</w:t>
      </w:r>
      <w:r>
        <w:rPr>
          <w:rFonts w:ascii="宋体" w:hAnsi="宋体" w:cs="宋体" w:eastAsia="宋体" w:hint="default"/>
          <w:w w:val="99"/>
          <w:sz w:val="21"/>
          <w:szCs w:val="21"/>
        </w:rPr>
        <w:t> </w:t>
      </w:r>
      <w:r>
        <w:rPr>
          <w:rFonts w:ascii="宋体" w:hAnsi="宋体" w:cs="宋体" w:eastAsia="宋体" w:hint="default"/>
          <w:spacing w:val="-13"/>
          <w:w w:val="99"/>
          <w:sz w:val="21"/>
          <w:szCs w:val="21"/>
        </w:rPr>
        <w:t>收益”、“资产处置收益”、“（一）持续经营净利润”和“（二）终止经营净利润”等报表项目，并对营业外</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收支的核算范围进行了调整。</w:t>
      </w:r>
    </w:p>
    <w:p>
      <w:pPr>
        <w:spacing w:before="46"/>
        <w:ind w:left="532" w:right="105" w:firstLine="0"/>
        <w:jc w:val="left"/>
        <w:rPr>
          <w:rFonts w:ascii="宋体" w:hAnsi="宋体" w:cs="宋体" w:eastAsia="宋体" w:hint="default"/>
          <w:sz w:val="21"/>
          <w:szCs w:val="21"/>
        </w:rPr>
      </w:pPr>
      <w:r>
        <w:rPr>
          <w:rFonts w:ascii="宋体" w:hAnsi="宋体" w:cs="宋体" w:eastAsia="宋体" w:hint="default"/>
          <w:spacing w:val="-4"/>
          <w:sz w:val="21"/>
          <w:szCs w:val="21"/>
        </w:rPr>
        <w:t>4、本次会计政策变更对公司的财务状况、经营成果和现金流量无重大影响。经公司第四届董事会</w:t>
      </w:r>
      <w:r>
        <w:rPr>
          <w:rFonts w:ascii="宋体" w:hAnsi="宋体" w:cs="宋体" w:eastAsia="宋体" w:hint="default"/>
          <w:spacing w:val="-80"/>
          <w:sz w:val="21"/>
          <w:szCs w:val="21"/>
        </w:rPr>
        <w:t> </w:t>
      </w:r>
      <w:r>
        <w:rPr>
          <w:rFonts w:ascii="宋体" w:hAnsi="宋体" w:cs="宋体" w:eastAsia="宋体" w:hint="default"/>
          <w:sz w:val="21"/>
          <w:szCs w:val="21"/>
        </w:rPr>
        <w:t>2017</w:t>
      </w:r>
    </w:p>
    <w:p>
      <w:pPr>
        <w:spacing w:line="240" w:lineRule="auto" w:before="10"/>
        <w:rPr>
          <w:rFonts w:ascii="宋体" w:hAnsi="宋体" w:cs="宋体" w:eastAsia="宋体" w:hint="default"/>
          <w:sz w:val="14"/>
          <w:szCs w:val="14"/>
        </w:rPr>
      </w:pPr>
    </w:p>
    <w:p>
      <w:pPr>
        <w:spacing w:line="408" w:lineRule="auto" w:before="0"/>
        <w:ind w:left="112" w:right="105" w:firstLine="0"/>
        <w:jc w:val="left"/>
        <w:rPr>
          <w:rFonts w:ascii="宋体" w:hAnsi="宋体" w:cs="宋体" w:eastAsia="宋体" w:hint="default"/>
          <w:sz w:val="21"/>
          <w:szCs w:val="21"/>
        </w:rPr>
      </w:pPr>
      <w:r>
        <w:rPr>
          <w:rFonts w:ascii="宋体" w:hAnsi="宋体" w:cs="宋体" w:eastAsia="宋体" w:hint="default"/>
          <w:sz w:val="21"/>
          <w:szCs w:val="21"/>
        </w:rPr>
        <w:t>年第四次会议和第四届董事会</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年第一次会议分别于</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6"/>
          <w:sz w:val="21"/>
          <w:szCs w:val="21"/>
        </w:rPr>
        <w:t> </w:t>
      </w:r>
      <w:r>
        <w:rPr>
          <w:rFonts w:ascii="宋体" w:hAnsi="宋体" w:cs="宋体" w:eastAsia="宋体" w:hint="default"/>
          <w:sz w:val="21"/>
          <w:szCs w:val="21"/>
        </w:rPr>
        <w:t>日和</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4</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22</w:t>
      </w:r>
      <w:r>
        <w:rPr>
          <w:rFonts w:ascii="宋体" w:hAnsi="宋体" w:cs="宋体" w:eastAsia="宋体" w:hint="default"/>
          <w:spacing w:val="-56"/>
          <w:sz w:val="21"/>
          <w:szCs w:val="21"/>
        </w:rPr>
        <w:t> </w:t>
      </w:r>
      <w:r>
        <w:rPr>
          <w:rFonts w:ascii="宋体" w:hAnsi="宋体" w:cs="宋体" w:eastAsia="宋体" w:hint="default"/>
          <w:sz w:val="21"/>
          <w:szCs w:val="21"/>
        </w:rPr>
        <w:t>日决议通过，</w:t>
      </w:r>
      <w:r>
        <w:rPr>
          <w:rFonts w:ascii="宋体" w:hAnsi="宋体" w:cs="宋体" w:eastAsia="宋体" w:hint="default"/>
          <w:w w:val="99"/>
          <w:sz w:val="21"/>
          <w:szCs w:val="21"/>
        </w:rPr>
        <w:t> </w:t>
      </w:r>
      <w:r>
        <w:rPr>
          <w:rFonts w:ascii="宋体" w:hAnsi="宋体" w:cs="宋体" w:eastAsia="宋体" w:hint="default"/>
          <w:sz w:val="21"/>
          <w:szCs w:val="21"/>
        </w:rPr>
        <w:t>按照准则生效日期开始执行前述新发布或修订的企业会计准则，并根据各准则衔接要求进行了调整。</w:t>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七、与上年度财务报告相比，合并报表范围发生变化的情况说明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32" w:right="39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公司报告期无合并报表范围发生变化的情况。</w:t>
      </w:r>
      <w:r>
        <w:rPr>
          <w:rFonts w:ascii="宋体" w:hAnsi="宋体" w:cs="宋体" w:eastAsia="宋体" w:hint="default"/>
          <w:sz w:val="21"/>
          <w:szCs w:val="21"/>
        </w:rPr>
      </w:r>
    </w:p>
    <w:p>
      <w:pPr>
        <w:spacing w:line="240" w:lineRule="auto" w:before="8"/>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八、聘任、解聘会计师事务所情况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05"/>
        <w:jc w:val="left"/>
      </w:pPr>
      <w:r>
        <w:rPr/>
        <w:t>现聘任的会计事务所</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王传顺、郭冬梅</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王传顺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年、郭冬梅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89"/>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3"/>
        <w:ind w:left="532" w:right="105" w:firstLine="0"/>
        <w:jc w:val="left"/>
        <w:rPr>
          <w:rFonts w:ascii="宋体" w:hAnsi="宋体" w:cs="宋体" w:eastAsia="宋体" w:hint="default"/>
          <w:sz w:val="21"/>
          <w:szCs w:val="21"/>
        </w:rPr>
      </w:pPr>
      <w:r>
        <w:rPr>
          <w:rFonts w:ascii="宋体" w:hAnsi="宋体" w:cs="宋体" w:eastAsia="宋体" w:hint="default"/>
          <w:sz w:val="21"/>
          <w:szCs w:val="21"/>
        </w:rPr>
        <w:t>是否改聘会计师事务所</w:t>
      </w:r>
    </w:p>
    <w:p>
      <w:pPr>
        <w:spacing w:line="240" w:lineRule="auto" w:before="10"/>
        <w:rPr>
          <w:rFonts w:ascii="宋体" w:hAnsi="宋体" w:cs="宋体" w:eastAsia="宋体" w:hint="default"/>
          <w:sz w:val="14"/>
          <w:szCs w:val="14"/>
        </w:rPr>
      </w:pPr>
    </w:p>
    <w:p>
      <w:pPr>
        <w:spacing w:line="408" w:lineRule="auto" w:before="0"/>
        <w:ind w:left="532" w:right="3954"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w w:val="95"/>
          <w:sz w:val="21"/>
          <w:szCs w:val="21"/>
        </w:rPr>
        <w:t>聘请内部控制审计会计师事务所、财务顾问或保荐人情况</w:t>
      </w:r>
      <w:r>
        <w:rPr>
          <w:rFonts w:ascii="宋体" w:hAnsi="宋体" w:cs="宋体" w:eastAsia="宋体" w:hint="default"/>
          <w:sz w:val="21"/>
          <w:szCs w:val="21"/>
        </w:rPr>
      </w:r>
    </w:p>
    <w:p>
      <w:pPr>
        <w:spacing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0"/>
          <w:szCs w:val="20"/>
        </w:rPr>
      </w:pPr>
    </w:p>
    <w:p>
      <w:pPr>
        <w:pStyle w:val="Heading2"/>
        <w:spacing w:line="240" w:lineRule="auto" w:before="26"/>
        <w:ind w:right="105"/>
        <w:jc w:val="left"/>
        <w:rPr>
          <w:b w:val="0"/>
          <w:bCs w:val="0"/>
        </w:rPr>
      </w:pPr>
      <w:r>
        <w:rPr/>
        <w:t>九、年度报告披露后面临暂停上市和终止上市情况</w:t>
      </w:r>
      <w:r>
        <w:rPr>
          <w:b w:val="0"/>
          <w:bCs w:val="0"/>
        </w:rPr>
      </w:r>
    </w:p>
    <w:p>
      <w:pPr>
        <w:spacing w:line="240" w:lineRule="auto" w:before="8"/>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9"/>
          <w:szCs w:val="29"/>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十、破产重整相关事项</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32" w:right="58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公司报告期未发生破产重整相关事项。</w:t>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十一、重大诉讼、仲裁事项</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32" w:right="58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本年度公司无重大诉讼、仲裁事项。</w:t>
      </w:r>
      <w:r>
        <w:rPr>
          <w:rFonts w:ascii="宋体" w:hAnsi="宋体" w:cs="宋体" w:eastAsia="宋体" w:hint="default"/>
          <w:sz w:val="21"/>
          <w:szCs w:val="21"/>
        </w:rPr>
      </w:r>
    </w:p>
    <w:p>
      <w:pPr>
        <w:spacing w:line="240" w:lineRule="auto" w:before="8"/>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十二、处罚及整改情况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32" w:right="58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公司报告期不存在处罚及整改情况。</w:t>
      </w:r>
      <w:r>
        <w:rPr>
          <w:rFonts w:ascii="宋体" w:hAnsi="宋体" w:cs="宋体" w:eastAsia="宋体" w:hint="default"/>
          <w:sz w:val="21"/>
          <w:szCs w:val="21"/>
        </w:rPr>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十三、公司及其控股股东、实际控制人的诚信状况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1"/>
        <w:rPr>
          <w:rFonts w:ascii="宋体" w:hAnsi="宋体" w:cs="宋体" w:eastAsia="宋体" w:hint="default"/>
          <w:sz w:val="29"/>
          <w:szCs w:val="29"/>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十四、公司股权激励计划、员工持股计划或其他员工激励措施的实施情况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1、限制性股票激励计划概述</w:t>
      </w:r>
    </w:p>
    <w:p>
      <w:pPr>
        <w:spacing w:line="240" w:lineRule="auto" w:before="10"/>
        <w:rPr>
          <w:rFonts w:ascii="宋体" w:hAnsi="宋体" w:cs="宋体" w:eastAsia="宋体" w:hint="default"/>
          <w:sz w:val="14"/>
          <w:szCs w:val="14"/>
        </w:rPr>
      </w:pPr>
    </w:p>
    <w:p>
      <w:pPr>
        <w:spacing w:line="408" w:lineRule="auto" w:before="0"/>
        <w:ind w:left="112" w:right="108" w:firstLine="420"/>
        <w:jc w:val="left"/>
        <w:rPr>
          <w:rFonts w:ascii="宋体" w:hAnsi="宋体" w:cs="宋体" w:eastAsia="宋体" w:hint="default"/>
          <w:sz w:val="21"/>
          <w:szCs w:val="21"/>
        </w:rPr>
      </w:pPr>
      <w:r>
        <w:rPr>
          <w:rFonts w:ascii="宋体" w:hAnsi="宋体" w:cs="宋体" w:eastAsia="宋体" w:hint="default"/>
          <w:spacing w:val="-9"/>
          <w:w w:val="99"/>
          <w:sz w:val="21"/>
          <w:szCs w:val="21"/>
        </w:rPr>
        <w:t>根据《尤洛卡精准信息工程股份有限公司限制性股票激励计划（2017-2019）》（以下简称“激励计划”）</w:t>
      </w:r>
      <w:r>
        <w:rPr>
          <w:rFonts w:ascii="宋体" w:hAnsi="宋体" w:cs="宋体" w:eastAsia="宋体" w:hint="default"/>
          <w:w w:val="99"/>
          <w:sz w:val="21"/>
          <w:szCs w:val="21"/>
        </w:rPr>
        <w:t> </w:t>
      </w:r>
      <w:r>
        <w:rPr>
          <w:rFonts w:ascii="宋体" w:hAnsi="宋体" w:cs="宋体" w:eastAsia="宋体" w:hint="default"/>
          <w:sz w:val="21"/>
          <w:szCs w:val="21"/>
        </w:rPr>
        <w:t>的规定及公司2017年第二次临时股东大会的授权，公司于2017年11月29日分别召开第四届董事会2017年第</w:t>
      </w:r>
      <w:r>
        <w:rPr>
          <w:rFonts w:ascii="宋体" w:hAnsi="宋体" w:cs="宋体" w:eastAsia="宋体" w:hint="default"/>
          <w:w w:val="99"/>
          <w:sz w:val="21"/>
          <w:szCs w:val="21"/>
        </w:rPr>
        <w:t> </w:t>
      </w:r>
      <w:r>
        <w:rPr>
          <w:rFonts w:ascii="宋体" w:hAnsi="宋体" w:cs="宋体" w:eastAsia="宋体" w:hint="default"/>
          <w:sz w:val="21"/>
          <w:szCs w:val="21"/>
        </w:rPr>
        <w:t>七次会议和第四届监事会2017年第七次会议，审议通过了《关于调整限制性股票激励计划（2017-2019）</w:t>
      </w:r>
      <w:r>
        <w:rPr>
          <w:rFonts w:ascii="宋体" w:hAnsi="宋体" w:cs="宋体" w:eastAsia="宋体" w:hint="default"/>
          <w:w w:val="99"/>
          <w:sz w:val="21"/>
          <w:szCs w:val="21"/>
        </w:rPr>
        <w:t> </w:t>
      </w:r>
      <w:r>
        <w:rPr>
          <w:rFonts w:ascii="宋体" w:hAnsi="宋体" w:cs="宋体" w:eastAsia="宋体" w:hint="default"/>
          <w:spacing w:val="-6"/>
          <w:w w:val="99"/>
          <w:sz w:val="21"/>
          <w:szCs w:val="21"/>
        </w:rPr>
        <w:t>授予数量的议案》、《关于向激励对象首次授予限制性股票的议案》，确定了2017年11月29日为授予日，向</w:t>
      </w:r>
      <w:r>
        <w:rPr>
          <w:rFonts w:ascii="宋体" w:hAnsi="宋体" w:cs="宋体" w:eastAsia="宋体" w:hint="default"/>
          <w:spacing w:val="-90"/>
          <w:w w:val="99"/>
          <w:sz w:val="21"/>
          <w:szCs w:val="21"/>
        </w:rPr>
        <w:t> </w:t>
      </w:r>
      <w:r>
        <w:rPr>
          <w:rFonts w:ascii="宋体" w:hAnsi="宋体" w:cs="宋体" w:eastAsia="宋体" w:hint="default"/>
          <w:spacing w:val="-90"/>
          <w:w w:val="99"/>
          <w:sz w:val="21"/>
          <w:szCs w:val="21"/>
        </w:rPr>
      </w:r>
      <w:r>
        <w:rPr>
          <w:rFonts w:ascii="宋体" w:hAnsi="宋体" w:cs="宋体" w:eastAsia="宋体" w:hint="default"/>
          <w:sz w:val="21"/>
          <w:szCs w:val="21"/>
        </w:rPr>
        <w:t>符合条件的174名激励对象授予888万股限制性股票。其主要内容如下：</w:t>
      </w:r>
    </w:p>
    <w:p>
      <w:pPr>
        <w:spacing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（1）授予日：本次限制性股票的授予日为2017年11月29日。</w:t>
      </w:r>
    </w:p>
    <w:p>
      <w:pPr>
        <w:spacing w:line="240" w:lineRule="auto" w:before="10"/>
        <w:rPr>
          <w:rFonts w:ascii="宋体" w:hAnsi="宋体" w:cs="宋体" w:eastAsia="宋体" w:hint="default"/>
          <w:sz w:val="14"/>
          <w:szCs w:val="14"/>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（2）授予数量：本次限制性股票的授予数量为888万股。</w:t>
      </w:r>
    </w:p>
    <w:p>
      <w:pPr>
        <w:spacing w:line="240" w:lineRule="auto" w:before="10"/>
        <w:rPr>
          <w:rFonts w:ascii="宋体" w:hAnsi="宋体" w:cs="宋体" w:eastAsia="宋体" w:hint="default"/>
          <w:sz w:val="14"/>
          <w:szCs w:val="14"/>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（3）授予人数：本次限制性股票的授予人数为174人。</w:t>
      </w:r>
    </w:p>
    <w:p>
      <w:pPr>
        <w:spacing w:line="240" w:lineRule="auto" w:before="10"/>
        <w:rPr>
          <w:rFonts w:ascii="宋体" w:hAnsi="宋体" w:cs="宋体" w:eastAsia="宋体" w:hint="default"/>
          <w:sz w:val="14"/>
          <w:szCs w:val="14"/>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（4）授予价格：本次限制性股票的授予价格为4.03元/股。</w:t>
      </w:r>
    </w:p>
    <w:p>
      <w:pPr>
        <w:spacing w:after="0"/>
        <w:jc w:val="left"/>
        <w:rPr>
          <w:rFonts w:ascii="宋体" w:hAnsi="宋体" w:cs="宋体" w:eastAsia="宋体" w:hint="default"/>
          <w:sz w:val="21"/>
          <w:szCs w:val="21"/>
        </w:rPr>
        <w:sectPr>
          <w:headerReference w:type="default" r:id="rId20"/>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532" w:right="3954" w:firstLine="0"/>
        <w:jc w:val="left"/>
        <w:rPr>
          <w:rFonts w:ascii="宋体" w:hAnsi="宋体" w:cs="宋体" w:eastAsia="宋体" w:hint="default"/>
          <w:sz w:val="21"/>
          <w:szCs w:val="21"/>
        </w:rPr>
      </w:pPr>
      <w:r>
        <w:rPr>
          <w:rFonts w:ascii="宋体" w:hAnsi="宋体" w:cs="宋体" w:eastAsia="宋体" w:hint="default"/>
          <w:sz w:val="21"/>
          <w:szCs w:val="21"/>
        </w:rPr>
        <w:t>（5）股票来源：公司向激励对象定向发行公司A股普通股。</w:t>
      </w:r>
      <w:r>
        <w:rPr>
          <w:rFonts w:ascii="宋体" w:hAnsi="宋体" w:cs="宋体" w:eastAsia="宋体" w:hint="default"/>
          <w:w w:val="99"/>
          <w:sz w:val="21"/>
          <w:szCs w:val="21"/>
        </w:rPr>
        <w:t> </w:t>
      </w:r>
      <w:r>
        <w:rPr>
          <w:rFonts w:ascii="宋体" w:hAnsi="宋体" w:cs="宋体" w:eastAsia="宋体" w:hint="default"/>
          <w:sz w:val="21"/>
          <w:szCs w:val="21"/>
        </w:rPr>
        <w:t>2、激励计划的有效期、解锁期和解锁安排情况</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（1）本激励计划有效期自限制性股票首次授予完成之日起至激励对象获授的限制性股票全部解除限</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z w:val="21"/>
          <w:szCs w:val="21"/>
        </w:rPr>
        <w:t>售或回购注销之日止，最长不超过48个月。</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（2）本次授予的限制性股票限售期为自首次授予完成之日起12个月。激励对象根据本激励计划获授</w:t>
      </w:r>
      <w:r>
        <w:rPr>
          <w:rFonts w:ascii="宋体" w:hAnsi="宋体" w:cs="宋体" w:eastAsia="宋体" w:hint="default"/>
          <w:w w:val="99"/>
          <w:sz w:val="21"/>
          <w:szCs w:val="21"/>
        </w:rPr>
        <w:t> </w:t>
      </w:r>
      <w:r>
        <w:rPr>
          <w:rFonts w:ascii="宋体" w:hAnsi="宋体" w:cs="宋体" w:eastAsia="宋体" w:hint="default"/>
          <w:w w:val="95"/>
          <w:sz w:val="21"/>
          <w:szCs w:val="21"/>
        </w:rPr>
        <w:t>的限制性股票在限售期内不得转让、用于担保或偿还债务。激励对象获授的限制性股票由于资本公积金转</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增股本、股票红利、股票拆细而取得的股份同时限售，不得在二级市场出售或以其他方式转让，该等股份</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的解除限售期与限制性股票解除限售期相同。限售期满后，公司为满足解除限售条件的激励对象办理解除</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限售事宜，未满足解除限售条件的激励对象持有的限制性股票由公司回购注销。</w:t>
      </w:r>
    </w:p>
    <w:p>
      <w:pPr>
        <w:spacing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3、已履行的相关审批程序</w:t>
      </w:r>
    </w:p>
    <w:p>
      <w:pPr>
        <w:spacing w:line="240" w:lineRule="auto" w:before="10"/>
        <w:rPr>
          <w:rFonts w:ascii="宋体" w:hAnsi="宋体" w:cs="宋体" w:eastAsia="宋体" w:hint="default"/>
          <w:sz w:val="14"/>
          <w:szCs w:val="14"/>
        </w:rPr>
      </w:pPr>
    </w:p>
    <w:p>
      <w:pPr>
        <w:spacing w:line="408" w:lineRule="auto" w:before="0"/>
        <w:ind w:left="112" w:right="212" w:firstLine="420"/>
        <w:jc w:val="left"/>
        <w:rPr>
          <w:rFonts w:ascii="宋体" w:hAnsi="宋体" w:cs="宋体" w:eastAsia="宋体" w:hint="default"/>
          <w:sz w:val="21"/>
          <w:szCs w:val="21"/>
        </w:rPr>
      </w:pPr>
      <w:r>
        <w:rPr>
          <w:rFonts w:ascii="宋体" w:hAnsi="宋体" w:cs="宋体" w:eastAsia="宋体" w:hint="default"/>
          <w:w w:val="95"/>
          <w:sz w:val="21"/>
          <w:szCs w:val="21"/>
        </w:rPr>
        <w:t>（1）2017年11月8日，公司分别召开了第四届董事会第六次会议和第四届监事会第六次会议，审议通</w:t>
      </w:r>
      <w:r>
        <w:rPr>
          <w:rFonts w:ascii="宋体" w:hAnsi="宋体" w:cs="宋体" w:eastAsia="宋体" w:hint="default"/>
          <w:w w:val="99"/>
          <w:sz w:val="21"/>
          <w:szCs w:val="21"/>
        </w:rPr>
        <w:t> </w:t>
      </w:r>
      <w:r>
        <w:rPr>
          <w:rFonts w:ascii="宋体" w:hAnsi="宋体" w:cs="宋体" w:eastAsia="宋体" w:hint="default"/>
          <w:spacing w:val="-6"/>
          <w:w w:val="99"/>
          <w:sz w:val="21"/>
          <w:szCs w:val="21"/>
        </w:rPr>
        <w:t>过了《关于公司&lt;限制性股票激励计划（2017-2019）（草案）&gt;及其摘要的议案》、《关于公司&lt;限制性股票</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5"/>
          <w:w w:val="99"/>
          <w:sz w:val="21"/>
          <w:szCs w:val="21"/>
        </w:rPr>
        <w:t>激励计划（2017-2019）实施考核管理办法&gt;的议案》、《关于提请股东大会授权董事会办理公司限制性股票</w:t>
      </w:r>
      <w:r>
        <w:rPr>
          <w:rFonts w:ascii="宋体" w:hAnsi="宋体" w:cs="宋体" w:eastAsia="宋体" w:hint="default"/>
          <w:spacing w:val="-56"/>
          <w:w w:val="99"/>
          <w:sz w:val="21"/>
          <w:szCs w:val="21"/>
        </w:rPr>
        <w:t> </w:t>
      </w:r>
      <w:r>
        <w:rPr>
          <w:rFonts w:ascii="宋体" w:hAnsi="宋体" w:cs="宋体" w:eastAsia="宋体" w:hint="default"/>
          <w:spacing w:val="-56"/>
          <w:w w:val="99"/>
          <w:sz w:val="21"/>
          <w:szCs w:val="21"/>
        </w:rPr>
      </w:r>
      <w:r>
        <w:rPr>
          <w:rFonts w:ascii="宋体" w:hAnsi="宋体" w:cs="宋体" w:eastAsia="宋体" w:hint="default"/>
          <w:spacing w:val="-3"/>
          <w:w w:val="99"/>
          <w:sz w:val="21"/>
          <w:szCs w:val="21"/>
        </w:rPr>
        <w:t>激励计划（2017-2019）有关事项的议案》，公司独立董事对此发表了独立意见。</w:t>
      </w:r>
      <w:r>
        <w:rPr>
          <w:rFonts w:ascii="宋体" w:hAnsi="宋体" w:cs="宋体" w:eastAsia="宋体" w:hint="default"/>
          <w:spacing w:val="-3"/>
          <w:sz w:val="21"/>
          <w:szCs w:val="21"/>
        </w:rPr>
      </w:r>
    </w:p>
    <w:p>
      <w:pPr>
        <w:spacing w:line="408" w:lineRule="auto" w:before="46"/>
        <w:ind w:left="112" w:right="211" w:firstLine="420"/>
        <w:jc w:val="left"/>
        <w:rPr>
          <w:rFonts w:ascii="宋体" w:hAnsi="宋体" w:cs="宋体" w:eastAsia="宋体" w:hint="default"/>
          <w:sz w:val="21"/>
          <w:szCs w:val="21"/>
        </w:rPr>
      </w:pPr>
      <w:r>
        <w:rPr>
          <w:rFonts w:ascii="宋体" w:hAnsi="宋体" w:cs="宋体" w:eastAsia="宋体" w:hint="default"/>
          <w:w w:val="95"/>
          <w:sz w:val="21"/>
          <w:szCs w:val="21"/>
        </w:rPr>
        <w:t>（2）2017年11月9日至2017年11月18日，公司对授予激励对象名单的姓名和职务通过公司内部网站和</w:t>
      </w:r>
      <w:r>
        <w:rPr>
          <w:rFonts w:ascii="宋体" w:hAnsi="宋体" w:cs="宋体" w:eastAsia="宋体" w:hint="default"/>
          <w:w w:val="99"/>
          <w:sz w:val="21"/>
          <w:szCs w:val="21"/>
        </w:rPr>
        <w:t> </w:t>
      </w:r>
      <w:r>
        <w:rPr>
          <w:rFonts w:ascii="宋体" w:hAnsi="宋体" w:cs="宋体" w:eastAsia="宋体" w:hint="default"/>
          <w:spacing w:val="-5"/>
          <w:sz w:val="21"/>
          <w:szCs w:val="21"/>
        </w:rPr>
        <w:t>内部张贴的方式进行了公示，在公示期内，公司监事会未接到与激励计划拟激励对象有关的任何异议。2017</w:t>
      </w:r>
      <w:r>
        <w:rPr>
          <w:rFonts w:ascii="宋体" w:hAnsi="宋体" w:cs="宋体" w:eastAsia="宋体" w:hint="default"/>
          <w:w w:val="99"/>
          <w:sz w:val="21"/>
          <w:szCs w:val="21"/>
        </w:rPr>
        <w:t> </w:t>
      </w:r>
      <w:r>
        <w:rPr>
          <w:rFonts w:ascii="宋体" w:hAnsi="宋体" w:cs="宋体" w:eastAsia="宋体" w:hint="default"/>
          <w:sz w:val="21"/>
          <w:szCs w:val="21"/>
        </w:rPr>
        <w:t>年11月21日，公司监事会发表了《关于限制性股票激励计划（2017-2019）激励对象名单的审核意见及公</w:t>
      </w:r>
      <w:r>
        <w:rPr>
          <w:rFonts w:ascii="宋体" w:hAnsi="宋体" w:cs="宋体" w:eastAsia="宋体" w:hint="default"/>
          <w:w w:val="99"/>
          <w:sz w:val="21"/>
          <w:szCs w:val="21"/>
        </w:rPr>
        <w:t> </w:t>
      </w:r>
      <w:r>
        <w:rPr>
          <w:rFonts w:ascii="宋体" w:hAnsi="宋体" w:cs="宋体" w:eastAsia="宋体" w:hint="default"/>
          <w:spacing w:val="-15"/>
          <w:w w:val="99"/>
          <w:sz w:val="21"/>
          <w:szCs w:val="21"/>
        </w:rPr>
        <w:t>示情况说明》。</w:t>
      </w:r>
      <w:r>
        <w:rPr>
          <w:rFonts w:ascii="宋体" w:hAnsi="宋体" w:cs="宋体" w:eastAsia="宋体" w:hint="default"/>
          <w:spacing w:val="-15"/>
          <w:sz w:val="21"/>
          <w:szCs w:val="21"/>
        </w:rPr>
      </w:r>
    </w:p>
    <w:p>
      <w:pPr>
        <w:spacing w:line="408" w:lineRule="auto" w:before="46"/>
        <w:ind w:left="112" w:right="108" w:firstLine="420"/>
        <w:jc w:val="left"/>
        <w:rPr>
          <w:rFonts w:ascii="宋体" w:hAnsi="宋体" w:cs="宋体" w:eastAsia="宋体" w:hint="default"/>
          <w:sz w:val="21"/>
          <w:szCs w:val="21"/>
        </w:rPr>
      </w:pPr>
      <w:r>
        <w:rPr>
          <w:rFonts w:ascii="宋体" w:hAnsi="宋体" w:cs="宋体" w:eastAsia="宋体" w:hint="default"/>
          <w:sz w:val="21"/>
          <w:szCs w:val="21"/>
        </w:rPr>
        <w:t>（3）2017年11月27日，公司召开了2017年第二次临时股东大会，审议通过了《关于公司&lt;限制性股票</w:t>
      </w:r>
      <w:r>
        <w:rPr>
          <w:rFonts w:ascii="宋体" w:hAnsi="宋体" w:cs="宋体" w:eastAsia="宋体" w:hint="default"/>
          <w:w w:val="99"/>
          <w:sz w:val="21"/>
          <w:szCs w:val="21"/>
        </w:rPr>
        <w:t> </w:t>
      </w:r>
      <w:r>
        <w:rPr>
          <w:rFonts w:ascii="宋体" w:hAnsi="宋体" w:cs="宋体" w:eastAsia="宋体" w:hint="default"/>
          <w:spacing w:val="-6"/>
          <w:w w:val="99"/>
          <w:sz w:val="21"/>
          <w:szCs w:val="21"/>
        </w:rPr>
        <w:t>激励计划（2017-2019）（草案）&gt;及其摘要的议案》、《关于公司&lt;限制性股票激励计划（2017-2019）实施</w:t>
      </w:r>
      <w:r>
        <w:rPr>
          <w:rFonts w:ascii="宋体" w:hAnsi="宋体" w:cs="宋体" w:eastAsia="宋体" w:hint="default"/>
          <w:spacing w:val="-53"/>
          <w:w w:val="99"/>
          <w:sz w:val="21"/>
          <w:szCs w:val="21"/>
        </w:rPr>
        <w:t> </w:t>
      </w:r>
      <w:r>
        <w:rPr>
          <w:rFonts w:ascii="宋体" w:hAnsi="宋体" w:cs="宋体" w:eastAsia="宋体" w:hint="default"/>
          <w:spacing w:val="-53"/>
          <w:w w:val="99"/>
          <w:sz w:val="21"/>
          <w:szCs w:val="21"/>
        </w:rPr>
      </w:r>
      <w:r>
        <w:rPr>
          <w:rFonts w:ascii="宋体" w:hAnsi="宋体" w:cs="宋体" w:eastAsia="宋体" w:hint="default"/>
          <w:spacing w:val="-2"/>
          <w:w w:val="99"/>
          <w:sz w:val="21"/>
          <w:szCs w:val="21"/>
        </w:rPr>
        <w:t>考核管理办法&gt;的议案》、以及《关于提请股东大会授权董事会办理公司限制性股票激励计划（2017-2019）</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spacing w:val="-2"/>
          <w:w w:val="99"/>
          <w:sz w:val="21"/>
          <w:szCs w:val="21"/>
        </w:rPr>
        <w:t>有关事项的议案》。董事会被授权确定限制性股票授予日及在公司与激励对象符合条件时办理限制性股票</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解除限售所必须的全部事宜。并披露了《关于限制性股票激励计划（2017-2019）内幕信息知情人及首次</w:t>
      </w:r>
      <w:r>
        <w:rPr>
          <w:rFonts w:ascii="宋体" w:hAnsi="宋体" w:cs="宋体" w:eastAsia="宋体" w:hint="default"/>
          <w:w w:val="99"/>
          <w:sz w:val="21"/>
          <w:szCs w:val="21"/>
        </w:rPr>
        <w:t> </w:t>
      </w:r>
      <w:r>
        <w:rPr>
          <w:rFonts w:ascii="宋体" w:hAnsi="宋体" w:cs="宋体" w:eastAsia="宋体" w:hint="default"/>
          <w:spacing w:val="-5"/>
          <w:w w:val="99"/>
          <w:sz w:val="21"/>
          <w:szCs w:val="21"/>
        </w:rPr>
        <w:t>授予激励对象买卖公司股票情况的自查报告》。</w:t>
      </w:r>
      <w:r>
        <w:rPr>
          <w:rFonts w:ascii="宋体" w:hAnsi="宋体" w:cs="宋体" w:eastAsia="宋体" w:hint="default"/>
          <w:spacing w:val="-5"/>
          <w:sz w:val="21"/>
          <w:szCs w:val="21"/>
        </w:rPr>
      </w:r>
    </w:p>
    <w:p>
      <w:pPr>
        <w:spacing w:line="408" w:lineRule="auto" w:before="46"/>
        <w:ind w:left="112" w:right="296" w:firstLine="420"/>
        <w:jc w:val="both"/>
        <w:rPr>
          <w:rFonts w:ascii="宋体" w:hAnsi="宋体" w:cs="宋体" w:eastAsia="宋体" w:hint="default"/>
          <w:sz w:val="21"/>
          <w:szCs w:val="21"/>
        </w:rPr>
      </w:pPr>
      <w:r>
        <w:rPr>
          <w:rFonts w:ascii="宋体" w:hAnsi="宋体" w:cs="宋体" w:eastAsia="宋体" w:hint="default"/>
          <w:w w:val="95"/>
          <w:sz w:val="21"/>
          <w:szCs w:val="21"/>
        </w:rPr>
        <w:t>（4）2017年11月29日，公司分别召开了第四届董事会2017年第七次会议和第四届监事会2017年第七</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spacing w:val="-4"/>
          <w:w w:val="99"/>
          <w:sz w:val="21"/>
          <w:szCs w:val="21"/>
        </w:rPr>
        <w:t>次会议，审议通过了《关于调整限制性股票激励计划（2017-2019）首次授予部分授予数量的议案》、《关</w:t>
      </w:r>
      <w:r>
        <w:rPr>
          <w:rFonts w:ascii="宋体" w:hAnsi="宋体" w:cs="宋体" w:eastAsia="宋体" w:hint="default"/>
          <w:spacing w:val="-88"/>
          <w:w w:val="99"/>
          <w:sz w:val="21"/>
          <w:szCs w:val="21"/>
        </w:rPr>
        <w:t> </w:t>
      </w:r>
      <w:r>
        <w:rPr>
          <w:rFonts w:ascii="宋体" w:hAnsi="宋体" w:cs="宋体" w:eastAsia="宋体" w:hint="default"/>
          <w:spacing w:val="-88"/>
          <w:w w:val="99"/>
          <w:sz w:val="21"/>
          <w:szCs w:val="21"/>
        </w:rPr>
      </w:r>
      <w:r>
        <w:rPr>
          <w:rFonts w:ascii="宋体" w:hAnsi="宋体" w:cs="宋体" w:eastAsia="宋体" w:hint="default"/>
          <w:spacing w:val="-2"/>
          <w:w w:val="99"/>
          <w:sz w:val="21"/>
          <w:szCs w:val="21"/>
        </w:rPr>
        <w:t>于向激励对象首次授予限制性股票的议案》。独立董事对相关事项发表了独立意见，监事会对本次授予限</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制性股票的激励对象名单进行了核实。</w:t>
      </w:r>
    </w:p>
    <w:p>
      <w:pPr>
        <w:spacing w:line="408" w:lineRule="auto" w:before="46"/>
        <w:ind w:left="112" w:right="212" w:firstLine="420"/>
        <w:jc w:val="left"/>
        <w:rPr>
          <w:rFonts w:ascii="宋体" w:hAnsi="宋体" w:cs="宋体" w:eastAsia="宋体" w:hint="default"/>
          <w:sz w:val="21"/>
          <w:szCs w:val="21"/>
        </w:rPr>
      </w:pPr>
      <w:r>
        <w:rPr>
          <w:rFonts w:ascii="宋体" w:hAnsi="宋体" w:cs="宋体" w:eastAsia="宋体" w:hint="default"/>
          <w:w w:val="95"/>
          <w:sz w:val="21"/>
          <w:szCs w:val="21"/>
        </w:rPr>
        <w:t>（5）2017年12月18日，限制性股票激励计划（2017-2019）首次授予完成，并在中国证监会指定创业</w:t>
      </w:r>
      <w:r>
        <w:rPr>
          <w:rFonts w:ascii="宋体" w:hAnsi="宋体" w:cs="宋体" w:eastAsia="宋体" w:hint="default"/>
          <w:w w:val="99"/>
          <w:sz w:val="21"/>
          <w:szCs w:val="21"/>
        </w:rPr>
        <w:t> </w:t>
      </w:r>
      <w:r>
        <w:rPr>
          <w:rFonts w:ascii="宋体" w:hAnsi="宋体" w:cs="宋体" w:eastAsia="宋体" w:hint="default"/>
          <w:spacing w:val="-2"/>
          <w:w w:val="99"/>
          <w:sz w:val="21"/>
          <w:szCs w:val="21"/>
        </w:rPr>
        <w:t>板信息披露网站公告了《关于限制性股票激励计划（2017-2019）首次授予完成的公告》，并于2017年12月</w:t>
      </w:r>
      <w:r>
        <w:rPr>
          <w:rFonts w:ascii="宋体" w:hAnsi="宋体" w:cs="宋体" w:eastAsia="宋体" w:hint="default"/>
          <w:spacing w:val="-2"/>
          <w:sz w:val="21"/>
          <w:szCs w:val="21"/>
        </w:rPr>
      </w:r>
    </w:p>
    <w:p>
      <w:pPr>
        <w:spacing w:after="0" w:line="408" w:lineRule="auto"/>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before="34"/>
        <w:ind w:left="112" w:right="4244" w:firstLine="0"/>
        <w:jc w:val="left"/>
        <w:rPr>
          <w:rFonts w:ascii="宋体" w:hAnsi="宋体" w:cs="宋体" w:eastAsia="宋体" w:hint="default"/>
          <w:sz w:val="21"/>
          <w:szCs w:val="21"/>
        </w:rPr>
      </w:pPr>
      <w:r>
        <w:rPr>
          <w:rFonts w:ascii="宋体" w:hAnsi="宋体" w:cs="宋体" w:eastAsia="宋体" w:hint="default"/>
          <w:sz w:val="21"/>
          <w:szCs w:val="21"/>
        </w:rPr>
        <w:t>20日上市。</w:t>
      </w:r>
    </w:p>
    <w:p>
      <w:pPr>
        <w:spacing w:line="240" w:lineRule="auto" w:before="0"/>
        <w:rPr>
          <w:rFonts w:ascii="宋体" w:hAnsi="宋体" w:cs="宋体" w:eastAsia="宋体" w:hint="default"/>
          <w:sz w:val="20"/>
          <w:szCs w:val="20"/>
        </w:rPr>
      </w:pPr>
    </w:p>
    <w:p>
      <w:pPr>
        <w:spacing w:before="131"/>
        <w:ind w:left="112" w:right="4244" w:firstLine="0"/>
        <w:jc w:val="left"/>
        <w:rPr>
          <w:rFonts w:ascii="宋体" w:hAnsi="宋体" w:cs="宋体" w:eastAsia="宋体" w:hint="default"/>
          <w:sz w:val="24"/>
          <w:szCs w:val="24"/>
        </w:rPr>
      </w:pPr>
      <w:r>
        <w:rPr>
          <w:rFonts w:ascii="宋体" w:hAnsi="宋体" w:cs="宋体" w:eastAsia="宋体" w:hint="default"/>
          <w:b/>
          <w:bCs/>
          <w:sz w:val="24"/>
          <w:szCs w:val="24"/>
        </w:rPr>
        <w:t>十五、重大关联交易</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公司报告期未发生与日常经营相关的关联交易。</w:t>
      </w:r>
    </w:p>
    <w:p>
      <w:pPr>
        <w:spacing w:line="240" w:lineRule="auto" w:before="8"/>
        <w:rPr>
          <w:rFonts w:ascii="宋体" w:hAnsi="宋体" w:cs="宋体" w:eastAsia="宋体" w:hint="default"/>
          <w:sz w:val="20"/>
          <w:szCs w:val="20"/>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、资产或股权收购、出售发生的关联交易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2118"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公司报告期未发生资产或股权收购、出售的关联交易。</w:t>
      </w:r>
      <w:r>
        <w:rPr>
          <w:rFonts w:ascii="宋体" w:hAnsi="宋体" w:cs="宋体" w:eastAsia="宋体" w:hint="default"/>
          <w:sz w:val="21"/>
          <w:szCs w:val="21"/>
        </w:rPr>
      </w:r>
    </w:p>
    <w:p>
      <w:pPr>
        <w:spacing w:line="240" w:lineRule="auto" w:before="5"/>
        <w:rPr>
          <w:rFonts w:ascii="宋体" w:hAnsi="宋体" w:cs="宋体" w:eastAsia="宋体" w:hint="default"/>
          <w:sz w:val="20"/>
          <w:szCs w:val="20"/>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公司报告期未发生共同对外投资的关联交易。</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50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公司报告期不存在关联债权债务往来。</w:t>
      </w:r>
    </w:p>
    <w:p>
      <w:pPr>
        <w:spacing w:line="240" w:lineRule="auto" w:before="8"/>
        <w:rPr>
          <w:rFonts w:ascii="宋体" w:hAnsi="宋体" w:cs="宋体" w:eastAsia="宋体" w:hint="default"/>
          <w:sz w:val="20"/>
          <w:szCs w:val="20"/>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、其他重大关联交易</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55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公司报告期无其他重大关联交易。</w:t>
      </w:r>
    </w:p>
    <w:p>
      <w:pPr>
        <w:spacing w:line="240" w:lineRule="auto" w:before="11"/>
        <w:rPr>
          <w:rFonts w:ascii="宋体" w:hAnsi="宋体" w:cs="宋体" w:eastAsia="宋体" w:hint="default"/>
          <w:sz w:val="18"/>
          <w:szCs w:val="18"/>
        </w:rPr>
      </w:pPr>
    </w:p>
    <w:p>
      <w:pPr>
        <w:spacing w:before="0"/>
        <w:ind w:left="112" w:right="4244" w:firstLine="0"/>
        <w:jc w:val="left"/>
        <w:rPr>
          <w:rFonts w:ascii="宋体" w:hAnsi="宋体" w:cs="宋体" w:eastAsia="宋体" w:hint="default"/>
          <w:sz w:val="24"/>
          <w:szCs w:val="24"/>
        </w:rPr>
      </w:pPr>
      <w:r>
        <w:rPr>
          <w:rFonts w:ascii="宋体" w:hAnsi="宋体" w:cs="宋体" w:eastAsia="宋体" w:hint="default"/>
          <w:b/>
          <w:bCs/>
          <w:sz w:val="24"/>
          <w:szCs w:val="24"/>
        </w:rPr>
        <w:t>十六、重大合同及其履行情况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、托管、承包、租赁事项情况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42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）托管情况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592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公司报告期不存在托管情况。</w:t>
      </w:r>
    </w:p>
    <w:p>
      <w:pPr>
        <w:spacing w:after="0" w:line="408" w:lineRule="auto"/>
        <w:jc w:val="left"/>
        <w:rPr>
          <w:rFonts w:ascii="宋体" w:hAnsi="宋体" w:cs="宋体" w:eastAsia="宋体" w:hint="default"/>
          <w:sz w:val="21"/>
          <w:szCs w:val="21"/>
        </w:rPr>
        <w:sectPr>
          <w:pgSz w:w="11910" w:h="16840"/>
          <w:pgMar w:header="907" w:footer="1013" w:top="1100" w:bottom="1200" w:left="1020" w:right="1680"/>
        </w:sectPr>
      </w:pPr>
    </w:p>
    <w:p>
      <w:pPr>
        <w:spacing w:line="240" w:lineRule="auto" w:before="10"/>
        <w:rPr>
          <w:rFonts w:ascii="宋体" w:hAnsi="宋体" w:cs="宋体" w:eastAsia="宋体" w:hint="default"/>
          <w:sz w:val="21"/>
          <w:szCs w:val="21"/>
        </w:rPr>
      </w:pPr>
    </w:p>
    <w:p>
      <w:pPr>
        <w:spacing w:before="34"/>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65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公司报告期不存在承包情况。</w:t>
      </w:r>
    </w:p>
    <w:p>
      <w:pPr>
        <w:spacing w:line="240" w:lineRule="auto" w:before="8"/>
        <w:rPr>
          <w:rFonts w:ascii="宋体" w:hAnsi="宋体" w:cs="宋体" w:eastAsia="宋体" w:hint="default"/>
          <w:sz w:val="20"/>
          <w:szCs w:val="20"/>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）租赁情况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65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公司报告期不存在租赁情况。</w:t>
      </w:r>
    </w:p>
    <w:p>
      <w:pPr>
        <w:spacing w:line="240" w:lineRule="auto" w:before="8"/>
        <w:rPr>
          <w:rFonts w:ascii="宋体" w:hAnsi="宋体" w:cs="宋体" w:eastAsia="宋体" w:hint="default"/>
          <w:sz w:val="20"/>
          <w:szCs w:val="20"/>
        </w:rPr>
      </w:pPr>
    </w:p>
    <w:p>
      <w:pPr>
        <w:spacing w:before="0"/>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、重大担保</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）担保情况</w:t>
      </w:r>
      <w:r>
        <w:rPr>
          <w:rFonts w:ascii="宋体" w:hAnsi="宋体" w:cs="宋体" w:eastAsia="宋体" w:hint="default"/>
          <w:sz w:val="21"/>
          <w:szCs w:val="21"/>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单位：万元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09"/>
        <w:gridCol w:w="927"/>
        <w:gridCol w:w="921"/>
        <w:gridCol w:w="1293"/>
        <w:gridCol w:w="1063"/>
        <w:gridCol w:w="1035"/>
        <w:gridCol w:w="1048"/>
        <w:gridCol w:w="793"/>
        <w:gridCol w:w="779"/>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8"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0" w:right="184"/>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8" w:right="181"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4" w:right="102" w:firstLine="2"/>
              <w:jc w:val="center"/>
              <w:rPr>
                <w:rFonts w:ascii="宋体" w:hAnsi="宋体" w:cs="宋体" w:eastAsia="宋体" w:hint="default"/>
                <w:sz w:val="18"/>
                <w:szCs w:val="18"/>
              </w:rPr>
            </w:pPr>
            <w:r>
              <w:rPr>
                <w:rFonts w:ascii="宋体" w:hAnsi="宋体" w:cs="宋体" w:eastAsia="宋体" w:hint="default"/>
                <w:sz w:val="18"/>
                <w:szCs w:val="18"/>
              </w:rPr>
              <w:t>实际发生日 </w:t>
            </w:r>
            <w:r>
              <w:rPr>
                <w:rFonts w:ascii="宋体" w:hAnsi="宋体" w:cs="宋体" w:eastAsia="宋体" w:hint="default"/>
                <w:spacing w:val="-1"/>
                <w:sz w:val="18"/>
                <w:szCs w:val="18"/>
              </w:rPr>
              <w:t>期（协议签署</w:t>
            </w:r>
            <w:r>
              <w:rPr>
                <w:rFonts w:ascii="宋体" w:hAnsi="宋体" w:cs="宋体" w:eastAsia="宋体" w:hint="default"/>
                <w:sz w:val="18"/>
                <w:szCs w:val="18"/>
              </w:rPr>
              <w:t>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21" w:right="119"/>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5" w:right="189"/>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63" w:right="186"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59" w:right="190" w:hanging="269"/>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47" w:right="16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9" w:right="121"/>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3" w:right="113"/>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357"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27" w:type="dxa"/>
            <w:tcBorders>
              <w:top w:val="single" w:sz="4" w:space="0" w:color="000000"/>
              <w:left w:val="single" w:sz="4" w:space="0" w:color="000000"/>
              <w:bottom w:val="nil" w:sz="6" w:space="0" w:color="auto"/>
              <w:right w:val="single" w:sz="4" w:space="0" w:color="000000"/>
            </w:tcBorders>
          </w:tcPr>
          <w:p>
            <w:pPr/>
          </w:p>
        </w:tc>
        <w:tc>
          <w:tcPr>
            <w:tcW w:w="921" w:type="dxa"/>
            <w:tcBorders>
              <w:top w:val="single" w:sz="4" w:space="0" w:color="000000"/>
              <w:left w:val="single" w:sz="4" w:space="0" w:color="000000"/>
              <w:bottom w:val="nil" w:sz="6" w:space="0" w:color="auto"/>
              <w:right w:val="single" w:sz="4" w:space="0" w:color="000000"/>
            </w:tcBorders>
          </w:tcPr>
          <w:p>
            <w:pPr/>
          </w:p>
        </w:tc>
        <w:tc>
          <w:tcPr>
            <w:tcW w:w="129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5" w:type="dxa"/>
            <w:tcBorders>
              <w:top w:val="single" w:sz="4" w:space="0" w:color="000000"/>
              <w:left w:val="single" w:sz="4" w:space="0" w:color="000000"/>
              <w:bottom w:val="nil" w:sz="6" w:space="0" w:color="auto"/>
              <w:right w:val="single" w:sz="4" w:space="0" w:color="000000"/>
            </w:tcBorders>
          </w:tcPr>
          <w:p>
            <w:pPr/>
          </w:p>
        </w:tc>
        <w:tc>
          <w:tcPr>
            <w:tcW w:w="1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14"/>
                <w:sz w:val="18"/>
                <w:szCs w:val="18"/>
              </w:rPr>
              <w:t>自《技术开</w:t>
            </w:r>
          </w:p>
        </w:tc>
        <w:tc>
          <w:tcPr>
            <w:tcW w:w="793"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w:t>
            </w:r>
            <w:r>
              <w:rPr>
                <w:rFonts w:ascii="Times New Roman" w:hAnsi="Times New Roman" w:cs="Times New Roman" w:eastAsia="Times New Roman" w:hint="default"/>
                <w:sz w:val="18"/>
                <w:szCs w:val="18"/>
              </w:rPr>
              <w:t>(</w:t>
            </w: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14"/>
                <w:sz w:val="18"/>
                <w:szCs w:val="18"/>
              </w:rPr>
              <w:t>合同》签署</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生效日起</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155"/>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9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10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76" w:right="0"/>
              <w:jc w:val="left"/>
              <w:rPr>
                <w:rFonts w:ascii="Times New Roman" w:hAnsi="Times New Roman" w:cs="Times New Roman" w:eastAsia="Times New Roman" w:hint="default"/>
                <w:sz w:val="18"/>
                <w:szCs w:val="18"/>
              </w:rPr>
            </w:pPr>
            <w:r>
              <w:rPr>
                <w:rFonts w:ascii="Times New Roman"/>
                <w:sz w:val="18"/>
              </w:rPr>
              <w:t>2,101.93</w:t>
            </w:r>
          </w:p>
        </w:tc>
        <w:tc>
          <w:tcPr>
            <w:tcW w:w="129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0" w:right="0"/>
              <w:jc w:val="left"/>
              <w:rPr>
                <w:rFonts w:ascii="Times New Roman" w:hAnsi="Times New Roman" w:cs="Times New Roman" w:eastAsia="Times New Roman" w:hint="default"/>
                <w:sz w:val="18"/>
                <w:szCs w:val="18"/>
              </w:rPr>
            </w:pPr>
            <w:r>
              <w:rPr>
                <w:rFonts w:ascii="Times New Roman"/>
                <w:sz w:val="18"/>
              </w:rPr>
              <w:t>2,101.93</w:t>
            </w:r>
          </w:p>
        </w:tc>
        <w:tc>
          <w:tcPr>
            <w:tcW w:w="10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00"/>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04"/>
              <w:jc w:val="left"/>
              <w:rPr>
                <w:rFonts w:ascii="宋体" w:hAnsi="宋体" w:cs="宋体" w:eastAsia="宋体" w:hint="default"/>
                <w:sz w:val="18"/>
                <w:szCs w:val="18"/>
              </w:rPr>
            </w:pPr>
            <w:r>
              <w:rPr>
                <w:rFonts w:ascii="宋体" w:hAnsi="宋体" w:cs="宋体" w:eastAsia="宋体" w:hint="default"/>
                <w:sz w:val="18"/>
                <w:szCs w:val="18"/>
              </w:rPr>
              <w:t>至富华宇 </w:t>
            </w:r>
            <w:r>
              <w:rPr>
                <w:rFonts w:ascii="宋体" w:hAnsi="宋体" w:cs="宋体" w:eastAsia="宋体" w:hint="default"/>
                <w:spacing w:val="-14"/>
                <w:sz w:val="18"/>
                <w:szCs w:val="18"/>
              </w:rPr>
              <w:t>祺在《技术</w:t>
            </w:r>
            <w:r>
              <w:rPr>
                <w:rFonts w:ascii="宋体" w:hAnsi="宋体" w:cs="宋体" w:eastAsia="宋体" w:hint="default"/>
                <w:sz w:val="18"/>
                <w:szCs w:val="18"/>
              </w:rPr>
              <w:t> 开发</w:t>
            </w:r>
            <w:r>
              <w:rPr>
                <w:rFonts w:ascii="Times New Roman" w:hAnsi="Times New Roman" w:cs="Times New Roman" w:eastAsia="Times New Roman" w:hint="default"/>
                <w:sz w:val="18"/>
                <w:szCs w:val="18"/>
              </w:rPr>
              <w:t>(</w:t>
            </w:r>
            <w:r>
              <w:rPr>
                <w:rFonts w:ascii="宋体" w:hAnsi="宋体" w:cs="宋体" w:eastAsia="宋体" w:hint="default"/>
                <w:sz w:val="18"/>
                <w:szCs w:val="18"/>
              </w:rPr>
              <w:t>委</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9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托</w:t>
            </w:r>
            <w:r>
              <w:rPr>
                <w:rFonts w:ascii="Times New Roman" w:hAnsi="Times New Roman" w:cs="Times New Roman" w:eastAsia="Times New Roman" w:hint="default"/>
                <w:sz w:val="18"/>
                <w:szCs w:val="18"/>
              </w:rPr>
              <w:t>)</w:t>
            </w:r>
            <w:r>
              <w:rPr>
                <w:rFonts w:ascii="宋体" w:hAnsi="宋体" w:cs="宋体" w:eastAsia="宋体" w:hint="default"/>
                <w:sz w:val="18"/>
                <w:szCs w:val="18"/>
              </w:rPr>
              <w:t>合同》</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项下的义</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7" w:type="dxa"/>
            <w:tcBorders>
              <w:top w:val="nil" w:sz="6" w:space="0" w:color="auto"/>
              <w:left w:val="single" w:sz="4" w:space="0" w:color="000000"/>
              <w:bottom w:val="nil" w:sz="6" w:space="0" w:color="auto"/>
              <w:right w:val="single" w:sz="4" w:space="0" w:color="000000"/>
            </w:tcBorders>
          </w:tcPr>
          <w:p>
            <w:pPr/>
          </w:p>
        </w:tc>
        <w:tc>
          <w:tcPr>
            <w:tcW w:w="921" w:type="dxa"/>
            <w:tcBorders>
              <w:top w:val="nil" w:sz="6" w:space="0" w:color="auto"/>
              <w:left w:val="single" w:sz="4" w:space="0" w:color="000000"/>
              <w:bottom w:val="nil" w:sz="6" w:space="0" w:color="auto"/>
              <w:right w:val="single" w:sz="4" w:space="0" w:color="000000"/>
            </w:tcBorders>
          </w:tcPr>
          <w:p>
            <w:pPr/>
          </w:p>
        </w:tc>
        <w:tc>
          <w:tcPr>
            <w:tcW w:w="129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5" w:type="dxa"/>
            <w:tcBorders>
              <w:top w:val="nil" w:sz="6" w:space="0" w:color="auto"/>
              <w:left w:val="single" w:sz="4" w:space="0" w:color="000000"/>
              <w:bottom w:val="nil" w:sz="6" w:space="0" w:color="auto"/>
              <w:right w:val="single" w:sz="4" w:space="0" w:color="000000"/>
            </w:tcBorders>
          </w:tcPr>
          <w:p>
            <w:pPr/>
          </w:p>
        </w:tc>
        <w:tc>
          <w:tcPr>
            <w:tcW w:w="1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务履行完</w:t>
            </w:r>
          </w:p>
        </w:tc>
        <w:tc>
          <w:tcPr>
            <w:tcW w:w="793"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709" w:type="dxa"/>
            <w:tcBorders>
              <w:top w:val="nil" w:sz="6" w:space="0" w:color="auto"/>
              <w:left w:val="single" w:sz="4" w:space="0" w:color="000000"/>
              <w:bottom w:val="single" w:sz="4" w:space="0" w:color="000000"/>
              <w:right w:val="single" w:sz="4" w:space="0" w:color="000000"/>
            </w:tcBorders>
          </w:tcPr>
          <w:p>
            <w:pPr/>
          </w:p>
        </w:tc>
        <w:tc>
          <w:tcPr>
            <w:tcW w:w="927" w:type="dxa"/>
            <w:tcBorders>
              <w:top w:val="nil" w:sz="6" w:space="0" w:color="auto"/>
              <w:left w:val="single" w:sz="4" w:space="0" w:color="000000"/>
              <w:bottom w:val="single" w:sz="4" w:space="0" w:color="000000"/>
              <w:right w:val="single" w:sz="4" w:space="0" w:color="000000"/>
            </w:tcBorders>
          </w:tcPr>
          <w:p>
            <w:pPr/>
          </w:p>
        </w:tc>
        <w:tc>
          <w:tcPr>
            <w:tcW w:w="921" w:type="dxa"/>
            <w:tcBorders>
              <w:top w:val="nil" w:sz="6" w:space="0" w:color="auto"/>
              <w:left w:val="single" w:sz="4" w:space="0" w:color="000000"/>
              <w:bottom w:val="single" w:sz="4" w:space="0" w:color="000000"/>
              <w:right w:val="single" w:sz="4" w:space="0" w:color="000000"/>
            </w:tcBorders>
          </w:tcPr>
          <w:p>
            <w:pPr/>
          </w:p>
        </w:tc>
        <w:tc>
          <w:tcPr>
            <w:tcW w:w="129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5" w:type="dxa"/>
            <w:tcBorders>
              <w:top w:val="nil" w:sz="6" w:space="0" w:color="auto"/>
              <w:left w:val="single" w:sz="4" w:space="0" w:color="000000"/>
              <w:bottom w:val="single" w:sz="4" w:space="0" w:color="000000"/>
              <w:right w:val="single" w:sz="4" w:space="0" w:color="000000"/>
            </w:tcBorders>
          </w:tcPr>
          <w:p>
            <w:pPr/>
          </w:p>
        </w:tc>
        <w:tc>
          <w:tcPr>
            <w:tcW w:w="10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毕之日止。</w:t>
            </w:r>
          </w:p>
        </w:tc>
        <w:tc>
          <w:tcPr>
            <w:tcW w:w="793"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81"/>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52"/>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2"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81"/>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704"/>
        <w:gridCol w:w="922"/>
        <w:gridCol w:w="911"/>
        <w:gridCol w:w="1313"/>
        <w:gridCol w:w="1044"/>
        <w:gridCol w:w="1054"/>
        <w:gridCol w:w="1045"/>
        <w:gridCol w:w="786"/>
        <w:gridCol w:w="789"/>
      </w:tblGrid>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338" w:hRule="exact"/>
        </w:trPr>
        <w:tc>
          <w:tcPr>
            <w:tcW w:w="1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0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186"/>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55" w:right="183"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72" w:right="200"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37" w:right="15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17" w:right="116"/>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8" w:right="118"/>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84"/>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2"/>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2" w:right="184"/>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2,101.93</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偿责任的情况说明（如有）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60" w:lineRule="auto" w:before="51"/>
        <w:ind w:right="7034"/>
        <w:jc w:val="left"/>
      </w:pPr>
      <w:r>
        <w:rPr/>
        <w:t>采用复合方式担保的具体情况说明 无</w:t>
      </w:r>
    </w:p>
    <w:p>
      <w:pPr>
        <w:spacing w:line="240" w:lineRule="auto" w:before="12"/>
        <w:rPr>
          <w:rFonts w:ascii="宋体" w:hAnsi="宋体" w:cs="宋体" w:eastAsia="宋体" w:hint="default"/>
          <w:sz w:val="19"/>
          <w:szCs w:val="19"/>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）违规对外担保情况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616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公司报告期无违规对外担保情况。</w:t>
      </w:r>
    </w:p>
    <w:p>
      <w:pPr>
        <w:spacing w:line="240" w:lineRule="auto" w:before="8"/>
        <w:rPr>
          <w:rFonts w:ascii="宋体" w:hAnsi="宋体" w:cs="宋体" w:eastAsia="宋体" w:hint="default"/>
          <w:sz w:val="20"/>
          <w:szCs w:val="20"/>
        </w:rPr>
      </w:pPr>
    </w:p>
    <w:p>
      <w:pPr>
        <w:spacing w:before="0"/>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、委托他人进行现金资产管理情况</w:t>
      </w:r>
      <w:r>
        <w:rPr>
          <w:rFonts w:ascii="宋体" w:hAnsi="宋体" w:cs="宋体" w:eastAsia="宋体" w:hint="default"/>
          <w:sz w:val="21"/>
          <w:szCs w:val="21"/>
        </w:rPr>
      </w:r>
    </w:p>
    <w:p>
      <w:pPr>
        <w:spacing w:line="692" w:lineRule="exact" w:before="13"/>
        <w:ind w:left="532" w:right="7214"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报告期内委托理财概况</w:t>
      </w:r>
    </w:p>
    <w:p>
      <w:pPr>
        <w:pStyle w:val="BodyText"/>
        <w:spacing w:line="240" w:lineRule="auto" w:before="71"/>
        <w:ind w:left="0" w:right="112"/>
        <w:jc w:val="right"/>
      </w:pPr>
      <w:r>
        <w:rPr/>
        <w:t>单位：万元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868"/>
        <w:gridCol w:w="1962"/>
        <w:gridCol w:w="1981"/>
        <w:gridCol w:w="1909"/>
        <w:gridCol w:w="1847"/>
      </w:tblGrid>
      <w:tr>
        <w:trPr>
          <w:trHeight w:val="402"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4"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98"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48,320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10,550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48,320</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10,550</w:t>
            </w:r>
          </w:p>
        </w:tc>
        <w:tc>
          <w:tcPr>
            <w:tcW w:w="1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z w:val="18"/>
              </w:rPr>
              <w:t>0</w:t>
            </w:r>
          </w:p>
        </w:tc>
      </w:tr>
    </w:tbl>
    <w:p>
      <w:pPr>
        <w:spacing w:before="64"/>
        <w:ind w:left="532" w:right="157" w:firstLine="0"/>
        <w:jc w:val="left"/>
        <w:rPr>
          <w:rFonts w:ascii="宋体" w:hAnsi="宋体" w:cs="宋体" w:eastAsia="宋体" w:hint="default"/>
          <w:sz w:val="21"/>
          <w:szCs w:val="21"/>
        </w:rPr>
      </w:pPr>
      <w:r>
        <w:rPr>
          <w:rFonts w:ascii="宋体" w:hAnsi="宋体" w:cs="宋体" w:eastAsia="宋体" w:hint="default"/>
          <w:sz w:val="21"/>
          <w:szCs w:val="21"/>
        </w:rPr>
        <w:t>单项金额重大或安全性较低、流动性较差、不保本的高风险委托理财具体情况</w:t>
      </w:r>
    </w:p>
    <w:p>
      <w:pPr>
        <w:spacing w:after="0"/>
        <w:jc w:val="left"/>
        <w:rPr>
          <w:rFonts w:ascii="宋体" w:hAnsi="宋体" w:cs="宋体" w:eastAsia="宋体" w:hint="default"/>
          <w:sz w:val="21"/>
          <w:szCs w:val="21"/>
        </w:rPr>
        <w:sectPr>
          <w:footerReference w:type="default" r:id="rId21"/>
          <w:pgSz w:w="11910" w:h="16840"/>
          <w:pgMar w:footer="1013" w:header="907" w:top="1100" w:bottom="1200" w:left="1020" w:right="1020"/>
          <w:pgNumType w:start="50"/>
        </w:sectPr>
      </w:pPr>
    </w:p>
    <w:p>
      <w:pPr>
        <w:spacing w:line="240" w:lineRule="auto" w:before="9"/>
        <w:rPr>
          <w:rFonts w:ascii="宋体" w:hAnsi="宋体" w:cs="宋体" w:eastAsia="宋体" w:hint="default"/>
          <w:sz w:val="27"/>
          <w:szCs w:val="27"/>
        </w:rPr>
      </w:pPr>
    </w:p>
    <w:p>
      <w:pPr>
        <w:spacing w:before="34"/>
        <w:ind w:left="532" w:right="1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71"/>
        <w:gridCol w:w="590"/>
        <w:gridCol w:w="607"/>
        <w:gridCol w:w="574"/>
        <w:gridCol w:w="561"/>
        <w:gridCol w:w="561"/>
        <w:gridCol w:w="561"/>
        <w:gridCol w:w="561"/>
        <w:gridCol w:w="561"/>
        <w:gridCol w:w="561"/>
        <w:gridCol w:w="561"/>
        <w:gridCol w:w="561"/>
        <w:gridCol w:w="561"/>
        <w:gridCol w:w="549"/>
        <w:gridCol w:w="547"/>
        <w:gridCol w:w="547"/>
        <w:gridCol w:w="538"/>
      </w:tblGrid>
      <w:tr>
        <w:trPr>
          <w:trHeight w:val="4458" w:hRule="exact"/>
        </w:trPr>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90" w:right="188"/>
              <w:jc w:val="both"/>
              <w:rPr>
                <w:rFonts w:ascii="宋体" w:hAnsi="宋体" w:cs="宋体" w:eastAsia="宋体" w:hint="default"/>
                <w:sz w:val="18"/>
                <w:szCs w:val="18"/>
              </w:rPr>
            </w:pPr>
            <w:r>
              <w:rPr>
                <w:rFonts w:ascii="宋体" w:hAnsi="宋体" w:cs="宋体" w:eastAsia="宋体" w:hint="default"/>
                <w:sz w:val="18"/>
                <w:szCs w:val="18"/>
              </w:rPr>
              <w:t>受 托 机 构 名 称</w:t>
            </w:r>
          </w:p>
          <w:p>
            <w:pPr>
              <w:pStyle w:val="TableParagraph"/>
              <w:spacing w:line="316" w:lineRule="auto" w:before="19"/>
              <w:ind w:left="190" w:right="145" w:firstLine="43"/>
              <w:jc w:val="both"/>
              <w:rPr>
                <w:rFonts w:ascii="宋体" w:hAnsi="宋体" w:cs="宋体" w:eastAsia="宋体" w:hint="default"/>
                <w:sz w:val="18"/>
                <w:szCs w:val="18"/>
              </w:rPr>
            </w:pPr>
            <w:r>
              <w:rPr>
                <w:rFonts w:ascii="宋体" w:hAnsi="宋体" w:cs="宋体" w:eastAsia="宋体" w:hint="default"/>
                <w:sz w:val="18"/>
                <w:szCs w:val="18"/>
              </w:rPr>
              <w:t>（ 或 受 托 人 姓</w:t>
            </w:r>
          </w:p>
          <w:p>
            <w:pPr>
              <w:pStyle w:val="TableParagraph"/>
              <w:spacing w:line="240" w:lineRule="auto" w:before="19"/>
              <w:ind w:left="101" w:right="0"/>
              <w:jc w:val="both"/>
              <w:rPr>
                <w:rFonts w:ascii="宋体" w:hAnsi="宋体" w:cs="宋体" w:eastAsia="宋体" w:hint="default"/>
                <w:sz w:val="18"/>
                <w:szCs w:val="18"/>
              </w:rPr>
            </w:pPr>
            <w:r>
              <w:rPr>
                <w:rFonts w:ascii="宋体" w:hAnsi="宋体" w:cs="宋体" w:eastAsia="宋体" w:hint="default"/>
                <w:sz w:val="18"/>
                <w:szCs w:val="18"/>
              </w:rPr>
              <w:t>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9" w:right="109"/>
              <w:jc w:val="both"/>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6" w:lineRule="auto" w:before="19"/>
              <w:ind w:left="109" w:right="109"/>
              <w:jc w:val="both"/>
              <w:rPr>
                <w:rFonts w:ascii="宋体" w:hAnsi="宋体" w:cs="宋体" w:eastAsia="宋体" w:hint="default"/>
                <w:sz w:val="18"/>
                <w:szCs w:val="18"/>
              </w:rPr>
            </w:pPr>
            <w:r>
              <w:rPr>
                <w:rFonts w:ascii="宋体" w:hAnsi="宋体" w:cs="宋体" w:eastAsia="宋体" w:hint="default"/>
                <w:sz w:val="18"/>
                <w:szCs w:val="18"/>
              </w:rPr>
              <w:t>（或 受托 人） 类型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17" w:right="118"/>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191" w:right="190"/>
              <w:jc w:val="center"/>
              <w:rPr>
                <w:rFonts w:ascii="宋体" w:hAnsi="宋体" w:cs="宋体" w:eastAsia="宋体" w:hint="default"/>
                <w:sz w:val="18"/>
                <w:szCs w:val="18"/>
              </w:rPr>
            </w:pPr>
            <w:r>
              <w:rPr>
                <w:rFonts w:ascii="宋体" w:hAnsi="宋体" w:cs="宋体" w:eastAsia="宋体" w:hint="default"/>
                <w:sz w:val="18"/>
                <w:szCs w:val="18"/>
              </w:rPr>
              <w:t>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3" w:right="185"/>
              <w:jc w:val="both"/>
              <w:rPr>
                <w:rFonts w:ascii="宋体" w:hAnsi="宋体" w:cs="宋体" w:eastAsia="宋体" w:hint="default"/>
                <w:sz w:val="18"/>
                <w:szCs w:val="18"/>
              </w:rPr>
            </w:pPr>
            <w:r>
              <w:rPr>
                <w:rFonts w:ascii="宋体" w:hAnsi="宋体" w:cs="宋体" w:eastAsia="宋体" w:hint="default"/>
                <w:sz w:val="18"/>
                <w:szCs w:val="18"/>
              </w:rPr>
              <w:t>资 金 来 源</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4" w:right="184"/>
              <w:jc w:val="both"/>
              <w:rPr>
                <w:rFonts w:ascii="宋体" w:hAnsi="宋体" w:cs="宋体" w:eastAsia="宋体" w:hint="default"/>
                <w:sz w:val="18"/>
                <w:szCs w:val="18"/>
              </w:rPr>
            </w:pPr>
            <w:r>
              <w:rPr>
                <w:rFonts w:ascii="宋体" w:hAnsi="宋体" w:cs="宋体" w:eastAsia="宋体" w:hint="default"/>
                <w:sz w:val="18"/>
                <w:szCs w:val="18"/>
              </w:rPr>
              <w:t>起 始 日 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5" w:right="184"/>
              <w:jc w:val="both"/>
              <w:rPr>
                <w:rFonts w:ascii="宋体" w:hAnsi="宋体" w:cs="宋体" w:eastAsia="宋体" w:hint="default"/>
                <w:sz w:val="18"/>
                <w:szCs w:val="18"/>
              </w:rPr>
            </w:pPr>
            <w:r>
              <w:rPr>
                <w:rFonts w:ascii="宋体" w:hAnsi="宋体" w:cs="宋体" w:eastAsia="宋体" w:hint="default"/>
                <w:sz w:val="18"/>
                <w:szCs w:val="18"/>
              </w:rPr>
              <w:t>终 止 日 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5" w:right="183"/>
              <w:jc w:val="both"/>
              <w:rPr>
                <w:rFonts w:ascii="宋体" w:hAnsi="宋体" w:cs="宋体" w:eastAsia="宋体" w:hint="default"/>
                <w:sz w:val="18"/>
                <w:szCs w:val="18"/>
              </w:rPr>
            </w:pPr>
            <w:r>
              <w:rPr>
                <w:rFonts w:ascii="宋体" w:hAnsi="宋体" w:cs="宋体" w:eastAsia="宋体" w:hint="default"/>
                <w:sz w:val="18"/>
                <w:szCs w:val="18"/>
              </w:rPr>
              <w:t>资 金 投 向</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83" w:right="185"/>
              <w:jc w:val="both"/>
              <w:rPr>
                <w:rFonts w:ascii="宋体" w:hAnsi="宋体" w:cs="宋体" w:eastAsia="宋体" w:hint="default"/>
                <w:sz w:val="18"/>
                <w:szCs w:val="18"/>
              </w:rPr>
            </w:pPr>
            <w:r>
              <w:rPr>
                <w:rFonts w:ascii="宋体" w:hAnsi="宋体" w:cs="宋体" w:eastAsia="宋体" w:hint="default"/>
                <w:sz w:val="18"/>
                <w:szCs w:val="18"/>
              </w:rPr>
              <w:t>报 酬 确 定 方 式</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84" w:right="184"/>
              <w:jc w:val="both"/>
              <w:rPr>
                <w:rFonts w:ascii="宋体" w:hAnsi="宋体" w:cs="宋体" w:eastAsia="宋体" w:hint="default"/>
                <w:sz w:val="18"/>
                <w:szCs w:val="18"/>
              </w:rPr>
            </w:pPr>
            <w:r>
              <w:rPr>
                <w:rFonts w:ascii="宋体" w:hAnsi="宋体" w:cs="宋体" w:eastAsia="宋体" w:hint="default"/>
                <w:sz w:val="18"/>
                <w:szCs w:val="18"/>
              </w:rPr>
              <w:t>参 考 年 化 收 益 率</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85" w:right="184"/>
              <w:jc w:val="both"/>
              <w:rPr>
                <w:rFonts w:ascii="宋体" w:hAnsi="宋体" w:cs="宋体" w:eastAsia="宋体" w:hint="default"/>
                <w:sz w:val="18"/>
                <w:szCs w:val="18"/>
              </w:rPr>
            </w:pPr>
            <w:r>
              <w:rPr>
                <w:rFonts w:ascii="宋体" w:hAnsi="宋体" w:cs="宋体" w:eastAsia="宋体" w:hint="default"/>
                <w:sz w:val="18"/>
                <w:szCs w:val="18"/>
              </w:rPr>
              <w:t>预 期 收 益</w:t>
            </w:r>
          </w:p>
          <w:p>
            <w:pPr>
              <w:pStyle w:val="TableParagraph"/>
              <w:spacing w:line="316" w:lineRule="auto" w:before="19"/>
              <w:ind w:left="185" w:right="138" w:firstLine="45"/>
              <w:jc w:val="both"/>
              <w:rPr>
                <w:rFonts w:ascii="宋体" w:hAnsi="宋体" w:cs="宋体" w:eastAsia="宋体" w:hint="default"/>
                <w:sz w:val="18"/>
                <w:szCs w:val="18"/>
              </w:rPr>
            </w:pPr>
            <w:r>
              <w:rPr>
                <w:rFonts w:ascii="宋体" w:hAnsi="宋体" w:cs="宋体" w:eastAsia="宋体" w:hint="default"/>
                <w:sz w:val="18"/>
                <w:szCs w:val="18"/>
              </w:rPr>
              <w:t>（ 如 有</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5" w:right="183"/>
              <w:jc w:val="both"/>
              <w:rPr>
                <w:rFonts w:ascii="宋体" w:hAnsi="宋体" w:cs="宋体" w:eastAsia="宋体" w:hint="default"/>
                <w:sz w:val="18"/>
                <w:szCs w:val="18"/>
              </w:rPr>
            </w:pPr>
            <w:r>
              <w:rPr>
                <w:rFonts w:ascii="宋体" w:hAnsi="宋体" w:cs="宋体" w:eastAsia="宋体" w:hint="default"/>
                <w:sz w:val="18"/>
                <w:szCs w:val="18"/>
              </w:rPr>
              <w:t>报 告 期 实 际 损 益 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83" w:right="185"/>
              <w:jc w:val="both"/>
              <w:rPr>
                <w:rFonts w:ascii="宋体" w:hAnsi="宋体" w:cs="宋体" w:eastAsia="宋体" w:hint="default"/>
                <w:sz w:val="18"/>
                <w:szCs w:val="18"/>
              </w:rPr>
            </w:pPr>
            <w:r>
              <w:rPr>
                <w:rFonts w:ascii="宋体" w:hAnsi="宋体" w:cs="宋体" w:eastAsia="宋体" w:hint="default"/>
                <w:sz w:val="18"/>
                <w:szCs w:val="18"/>
              </w:rPr>
              <w:t>报 告 期 损 益 实 际 收 回 情 况</w:t>
            </w:r>
          </w:p>
        </w:tc>
        <w:tc>
          <w:tcPr>
            <w:tcW w:w="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79" w:right="177"/>
              <w:jc w:val="both"/>
              <w:rPr>
                <w:rFonts w:ascii="宋体" w:hAnsi="宋体" w:cs="宋体" w:eastAsia="宋体" w:hint="default"/>
                <w:sz w:val="18"/>
                <w:szCs w:val="18"/>
              </w:rPr>
            </w:pPr>
            <w:r>
              <w:rPr>
                <w:rFonts w:ascii="宋体" w:hAnsi="宋体" w:cs="宋体" w:eastAsia="宋体" w:hint="default"/>
                <w:sz w:val="18"/>
                <w:szCs w:val="18"/>
              </w:rPr>
              <w:t>计 提 减 值 准 备 金 额</w:t>
            </w:r>
          </w:p>
          <w:p>
            <w:pPr>
              <w:pStyle w:val="TableParagraph"/>
              <w:spacing w:line="316" w:lineRule="auto" w:before="19"/>
              <w:ind w:left="102" w:right="74" w:firstLine="120"/>
              <w:jc w:val="both"/>
              <w:rPr>
                <w:rFonts w:ascii="宋体" w:hAnsi="宋体" w:cs="宋体" w:eastAsia="宋体" w:hint="default"/>
                <w:sz w:val="18"/>
                <w:szCs w:val="18"/>
              </w:rPr>
            </w:pPr>
            <w:r>
              <w:rPr>
                <w:rFonts w:ascii="宋体" w:hAnsi="宋体" w:cs="宋体" w:eastAsia="宋体" w:hint="default"/>
                <w:sz w:val="18"/>
                <w:szCs w:val="18"/>
              </w:rPr>
              <w:t>（ 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77" w:right="177"/>
              <w:jc w:val="both"/>
              <w:rPr>
                <w:rFonts w:ascii="宋体" w:hAnsi="宋体" w:cs="宋体" w:eastAsia="宋体" w:hint="default"/>
                <w:sz w:val="18"/>
                <w:szCs w:val="18"/>
              </w:rPr>
            </w:pPr>
            <w:r>
              <w:rPr>
                <w:rFonts w:ascii="宋体" w:hAnsi="宋体" w:cs="宋体" w:eastAsia="宋体" w:hint="default"/>
                <w:sz w:val="18"/>
                <w:szCs w:val="18"/>
              </w:rPr>
              <w:t>是 否 经 过 法 定 程 序</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78" w:right="177"/>
              <w:jc w:val="both"/>
              <w:rPr>
                <w:rFonts w:ascii="宋体" w:hAnsi="宋体" w:cs="宋体" w:eastAsia="宋体" w:hint="default"/>
                <w:sz w:val="18"/>
                <w:szCs w:val="18"/>
              </w:rPr>
            </w:pPr>
            <w:r>
              <w:rPr>
                <w:rFonts w:ascii="宋体" w:hAnsi="宋体" w:cs="宋体" w:eastAsia="宋体" w:hint="default"/>
                <w:sz w:val="18"/>
                <w:szCs w:val="18"/>
              </w:rPr>
              <w:t>未 来 是 否 还 有 委 托 理 财 计 划</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73" w:right="172"/>
              <w:jc w:val="both"/>
              <w:rPr>
                <w:rFonts w:ascii="宋体" w:hAnsi="宋体" w:cs="宋体" w:eastAsia="宋体" w:hint="default"/>
                <w:sz w:val="18"/>
                <w:szCs w:val="18"/>
              </w:rPr>
            </w:pPr>
            <w:r>
              <w:rPr>
                <w:rFonts w:ascii="宋体" w:hAnsi="宋体" w:cs="宋体" w:eastAsia="宋体" w:hint="default"/>
                <w:sz w:val="18"/>
                <w:szCs w:val="18"/>
              </w:rPr>
              <w:t>事 项 概 述 及 相 关 查 询 索 引</w:t>
            </w:r>
          </w:p>
          <w:p>
            <w:pPr>
              <w:pStyle w:val="TableParagraph"/>
              <w:spacing w:line="316" w:lineRule="auto" w:before="19"/>
              <w:ind w:left="104" w:right="62" w:firstLine="115"/>
              <w:jc w:val="both"/>
              <w:rPr>
                <w:rFonts w:ascii="宋体" w:hAnsi="宋体" w:cs="宋体" w:eastAsia="宋体" w:hint="default"/>
                <w:sz w:val="18"/>
                <w:szCs w:val="18"/>
              </w:rPr>
            </w:pPr>
            <w:r>
              <w:rPr>
                <w:rFonts w:ascii="宋体" w:hAnsi="宋体" w:cs="宋体" w:eastAsia="宋体" w:hint="default"/>
                <w:sz w:val="18"/>
                <w:szCs w:val="18"/>
              </w:rPr>
              <w:t>（ 如 有）</w:t>
            </w:r>
          </w:p>
        </w:tc>
      </w:tr>
      <w:tr>
        <w:trPr>
          <w:trHeight w:val="674" w:hRule="exact"/>
        </w:trPr>
        <w:tc>
          <w:tcPr>
            <w:tcW w:w="571" w:type="dxa"/>
            <w:vMerge w:val="restart"/>
            <w:tcBorders>
              <w:top w:val="single" w:sz="4" w:space="0" w:color="000000"/>
              <w:left w:val="single" w:sz="4" w:space="0" w:color="000000"/>
              <w:right w:val="single" w:sz="4" w:space="0" w:color="000000"/>
            </w:tcBorders>
          </w:tcPr>
          <w:p>
            <w:pPr>
              <w:pStyle w:val="TableParagraph"/>
              <w:spacing w:line="316" w:lineRule="auto" w:before="50"/>
              <w:ind w:left="101" w:right="277"/>
              <w:jc w:val="both"/>
              <w:rPr>
                <w:rFonts w:ascii="宋体" w:hAnsi="宋体" w:cs="宋体" w:eastAsia="宋体" w:hint="default"/>
                <w:sz w:val="18"/>
                <w:szCs w:val="18"/>
              </w:rPr>
            </w:pPr>
            <w:r>
              <w:rPr>
                <w:rFonts w:ascii="宋体" w:hAnsi="宋体" w:cs="宋体" w:eastAsia="宋体" w:hint="default"/>
                <w:sz w:val="18"/>
                <w:szCs w:val="18"/>
              </w:rPr>
              <w:t>兴 业 银 行 泰 安 分 行</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201</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4"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4" w:right="242"/>
              <w:jc w:val="both"/>
              <w:rPr>
                <w:rFonts w:ascii="宋体" w:hAnsi="宋体" w:cs="宋体" w:eastAsia="宋体" w:hint="default"/>
                <w:sz w:val="18"/>
                <w:szCs w:val="18"/>
              </w:rPr>
            </w:pPr>
            <w:r>
              <w:rPr>
                <w:rFonts w:ascii="宋体" w:hAnsi="宋体" w:cs="宋体" w:eastAsia="宋体" w:hint="default"/>
                <w:sz w:val="18"/>
                <w:szCs w:val="18"/>
              </w:rPr>
              <w:t>不 适 用</w:t>
            </w:r>
          </w:p>
        </w:tc>
      </w:tr>
      <w:tr>
        <w:trPr>
          <w:trHeight w:val="1248" w:hRule="exact"/>
        </w:trPr>
        <w:tc>
          <w:tcPr>
            <w:tcW w:w="571"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2" w:right="132"/>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5" w:right="0"/>
              <w:jc w:val="left"/>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23</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24</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2" w:right="0"/>
              <w:jc w:val="center"/>
              <w:rPr>
                <w:rFonts w:ascii="Times New Roman" w:hAnsi="Times New Roman" w:cs="Times New Roman" w:eastAsia="Times New Roman" w:hint="default"/>
                <w:sz w:val="18"/>
                <w:szCs w:val="18"/>
              </w:rPr>
            </w:pPr>
            <w:r>
              <w:rPr>
                <w:rFonts w:ascii="Times New Roman"/>
                <w:sz w:val="18"/>
              </w:rPr>
              <w:t>4.30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33" w:right="0"/>
              <w:jc w:val="left"/>
              <w:rPr>
                <w:rFonts w:ascii="Times New Roman" w:hAnsi="Times New Roman" w:cs="Times New Roman" w:eastAsia="Times New Roman" w:hint="default"/>
                <w:sz w:val="18"/>
                <w:szCs w:val="18"/>
              </w:rPr>
            </w:pPr>
            <w:r>
              <w:rPr>
                <w:rFonts w:ascii="Times New Roman"/>
                <w:sz w:val="18"/>
              </w:rPr>
              <w:t>63.6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29"/>
              <w:jc w:val="center"/>
              <w:rPr>
                <w:rFonts w:ascii="Times New Roman" w:hAnsi="Times New Roman" w:cs="Times New Roman" w:eastAsia="Times New Roman" w:hint="default"/>
                <w:sz w:val="18"/>
                <w:szCs w:val="18"/>
              </w:rPr>
            </w:pPr>
            <w:r>
              <w:rPr>
                <w:rFonts w:ascii="Times New Roman"/>
                <w:sz w:val="18"/>
              </w:rPr>
              <w:t>63.6</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664" w:hRule="exact"/>
        </w:trPr>
        <w:tc>
          <w:tcPr>
            <w:tcW w:w="571" w:type="dxa"/>
            <w:vMerge/>
            <w:tcBorders>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right="163"/>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674" w:hRule="exact"/>
        </w:trPr>
        <w:tc>
          <w:tcPr>
            <w:tcW w:w="571" w:type="dxa"/>
            <w:vMerge w:val="restart"/>
            <w:tcBorders>
              <w:top w:val="single" w:sz="4" w:space="0" w:color="000000"/>
              <w:left w:val="single" w:sz="4" w:space="0" w:color="000000"/>
              <w:right w:val="single" w:sz="4" w:space="0" w:color="000000"/>
            </w:tcBorders>
          </w:tcPr>
          <w:p>
            <w:pPr>
              <w:pStyle w:val="TableParagraph"/>
              <w:spacing w:line="316" w:lineRule="auto" w:before="51"/>
              <w:ind w:left="101" w:right="277"/>
              <w:jc w:val="both"/>
              <w:rPr>
                <w:rFonts w:ascii="宋体" w:hAnsi="宋体" w:cs="宋体" w:eastAsia="宋体" w:hint="default"/>
                <w:sz w:val="18"/>
                <w:szCs w:val="18"/>
              </w:rPr>
            </w:pPr>
            <w:r>
              <w:rPr>
                <w:rFonts w:ascii="宋体" w:hAnsi="宋体" w:cs="宋体" w:eastAsia="宋体" w:hint="default"/>
                <w:sz w:val="18"/>
                <w:szCs w:val="18"/>
              </w:rPr>
              <w:t>兴 业 银 行 泰 安 分 行</w:t>
            </w:r>
          </w:p>
        </w:tc>
        <w:tc>
          <w:tcPr>
            <w:tcW w:w="590" w:type="dxa"/>
            <w:tcBorders>
              <w:top w:val="single" w:sz="4" w:space="0" w:color="000000"/>
              <w:left w:val="single" w:sz="4" w:space="0" w:color="000000"/>
              <w:bottom w:val="nil" w:sz="6" w:space="0" w:color="auto"/>
              <w:right w:val="single" w:sz="4" w:space="0" w:color="000000"/>
            </w:tcBorders>
          </w:tcPr>
          <w:p>
            <w:pPr/>
          </w:p>
        </w:tc>
        <w:tc>
          <w:tcPr>
            <w:tcW w:w="607" w:type="dxa"/>
            <w:tcBorders>
              <w:top w:val="single" w:sz="4" w:space="0" w:color="000000"/>
              <w:left w:val="single" w:sz="4" w:space="0" w:color="000000"/>
              <w:bottom w:val="nil" w:sz="6" w:space="0" w:color="auto"/>
              <w:right w:val="single" w:sz="4" w:space="0" w:color="000000"/>
            </w:tcBorders>
          </w:tcPr>
          <w:p>
            <w:pPr/>
          </w:p>
        </w:tc>
        <w:tc>
          <w:tcPr>
            <w:tcW w:w="574"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自 有 资 金</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73"/>
              <w:jc w:val="center"/>
              <w:rPr>
                <w:rFonts w:ascii="Times New Roman" w:hAnsi="Times New Roman" w:cs="Times New Roman" w:eastAsia="Times New Roman" w:hint="default"/>
                <w:sz w:val="18"/>
                <w:szCs w:val="18"/>
              </w:rPr>
            </w:pPr>
            <w:r>
              <w:rPr>
                <w:rFonts w:ascii="Times New Roman"/>
                <w:sz w:val="18"/>
              </w:rPr>
              <w:t>201</w:t>
            </w:r>
          </w:p>
        </w:tc>
        <w:tc>
          <w:tcPr>
            <w:tcW w:w="56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4" w:right="265"/>
              <w:jc w:val="both"/>
              <w:rPr>
                <w:rFonts w:ascii="宋体" w:hAnsi="宋体" w:cs="宋体" w:eastAsia="宋体" w:hint="default"/>
                <w:sz w:val="18"/>
                <w:szCs w:val="18"/>
              </w:rPr>
            </w:pPr>
            <w:r>
              <w:rPr>
                <w:rFonts w:ascii="宋体" w:hAnsi="宋体" w:cs="宋体" w:eastAsia="宋体" w:hint="default"/>
                <w:sz w:val="18"/>
                <w:szCs w:val="18"/>
              </w:rPr>
              <w:t>银 行 理 财 产 品</w:t>
            </w:r>
          </w:p>
        </w:tc>
        <w:tc>
          <w:tcPr>
            <w:tcW w:w="5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102" w:right="267"/>
              <w:jc w:val="both"/>
              <w:rPr>
                <w:rFonts w:ascii="宋体" w:hAnsi="宋体" w:cs="宋体" w:eastAsia="宋体" w:hint="default"/>
                <w:sz w:val="18"/>
                <w:szCs w:val="18"/>
              </w:rPr>
            </w:pPr>
            <w:r>
              <w:rPr>
                <w:rFonts w:ascii="宋体" w:hAnsi="宋体" w:cs="宋体" w:eastAsia="宋体" w:hint="default"/>
                <w:sz w:val="18"/>
                <w:szCs w:val="18"/>
              </w:rPr>
              <w:t>协 议 约 定</w:t>
            </w: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vMerge w:val="restart"/>
            <w:tcBorders>
              <w:top w:val="single" w:sz="4" w:space="0" w:color="000000"/>
              <w:left w:val="single" w:sz="4" w:space="0" w:color="000000"/>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61" w:type="dxa"/>
            <w:tcBorders>
              <w:top w:val="single" w:sz="4" w:space="0" w:color="000000"/>
              <w:left w:val="single" w:sz="4" w:space="0" w:color="000000"/>
              <w:bottom w:val="nil" w:sz="6" w:space="0" w:color="auto"/>
              <w:right w:val="single" w:sz="4" w:space="0" w:color="000000"/>
            </w:tcBorders>
          </w:tcPr>
          <w:p>
            <w:pPr/>
          </w:p>
        </w:tc>
        <w:tc>
          <w:tcPr>
            <w:tcW w:w="549"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4" w:right="242"/>
              <w:jc w:val="both"/>
              <w:rPr>
                <w:rFonts w:ascii="宋体" w:hAnsi="宋体" w:cs="宋体" w:eastAsia="宋体" w:hint="default"/>
                <w:sz w:val="18"/>
                <w:szCs w:val="18"/>
              </w:rPr>
            </w:pPr>
            <w:r>
              <w:rPr>
                <w:rFonts w:ascii="宋体" w:hAnsi="宋体" w:cs="宋体" w:eastAsia="宋体" w:hint="default"/>
                <w:sz w:val="18"/>
                <w:szCs w:val="18"/>
              </w:rPr>
              <w:t>不 适 用</w:t>
            </w:r>
          </w:p>
        </w:tc>
      </w:tr>
      <w:tr>
        <w:trPr>
          <w:trHeight w:val="1248" w:hRule="exact"/>
        </w:trPr>
        <w:tc>
          <w:tcPr>
            <w:tcW w:w="571" w:type="dxa"/>
            <w:vMerge/>
            <w:tcBorders>
              <w:left w:val="single" w:sz="4" w:space="0" w:color="000000"/>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银行</w:t>
            </w:r>
          </w:p>
        </w:tc>
        <w:tc>
          <w:tcPr>
            <w:tcW w:w="60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6" w:lineRule="auto"/>
              <w:ind w:left="102" w:right="132"/>
              <w:jc w:val="both"/>
              <w:rPr>
                <w:rFonts w:ascii="宋体" w:hAnsi="宋体" w:cs="宋体" w:eastAsia="宋体" w:hint="default"/>
                <w:sz w:val="18"/>
                <w:szCs w:val="18"/>
              </w:rPr>
            </w:pPr>
            <w:r>
              <w:rPr>
                <w:rFonts w:ascii="宋体" w:hAnsi="宋体" w:cs="宋体" w:eastAsia="宋体" w:hint="default"/>
                <w:sz w:val="18"/>
                <w:szCs w:val="18"/>
              </w:rPr>
              <w:t>银行 理财 产品</w:t>
            </w:r>
          </w:p>
        </w:tc>
        <w:tc>
          <w:tcPr>
            <w:tcW w:w="5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45" w:right="0"/>
              <w:jc w:val="left"/>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w:t>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06</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06</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09</w:t>
            </w:r>
          </w:p>
          <w:p>
            <w:pPr>
              <w:pStyle w:val="TableParagraph"/>
              <w:spacing w:line="240" w:lineRule="auto" w:before="65"/>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6"/>
              <w:ind w:left="103" w:right="0"/>
              <w:jc w:val="left"/>
              <w:rPr>
                <w:rFonts w:ascii="Times New Roman" w:hAnsi="Times New Roman" w:cs="Times New Roman" w:eastAsia="Times New Roman" w:hint="default"/>
                <w:sz w:val="18"/>
                <w:szCs w:val="18"/>
              </w:rPr>
            </w:pPr>
            <w:r>
              <w:rPr>
                <w:rFonts w:ascii="Times New Roman"/>
                <w:sz w:val="18"/>
              </w:rPr>
              <w:t>06</w:t>
            </w:r>
          </w:p>
        </w:tc>
        <w:tc>
          <w:tcPr>
            <w:tcW w:w="561" w:type="dxa"/>
            <w:vMerge/>
            <w:tcBorders>
              <w:left w:val="single" w:sz="4" w:space="0" w:color="000000"/>
              <w:right w:val="single" w:sz="4" w:space="0" w:color="000000"/>
            </w:tcBorders>
          </w:tcPr>
          <w:p>
            <w:pP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2" w:right="0"/>
              <w:jc w:val="center"/>
              <w:rPr>
                <w:rFonts w:ascii="Times New Roman" w:hAnsi="Times New Roman" w:cs="Times New Roman" w:eastAsia="Times New Roman" w:hint="default"/>
                <w:sz w:val="18"/>
                <w:szCs w:val="18"/>
              </w:rPr>
            </w:pPr>
            <w:r>
              <w:rPr>
                <w:rFonts w:ascii="Times New Roman"/>
                <w:sz w:val="18"/>
              </w:rPr>
              <w:t>4.50</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561" w:type="dxa"/>
            <w:vMerge/>
            <w:tcBorders>
              <w:left w:val="single" w:sz="4" w:space="0" w:color="000000"/>
              <w:right w:val="single" w:sz="4" w:space="0" w:color="000000"/>
            </w:tcBorders>
          </w:tcPr>
          <w:p>
            <w:pP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0" w:right="0"/>
              <w:jc w:val="center"/>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08</w:t>
            </w:r>
          </w:p>
        </w:tc>
        <w:tc>
          <w:tcPr>
            <w:tcW w:w="5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2" w:right="0"/>
              <w:jc w:val="left"/>
              <w:rPr>
                <w:rFonts w:ascii="Times New Roman" w:hAnsi="Times New Roman" w:cs="Times New Roman" w:eastAsia="Times New Roman" w:hint="default"/>
                <w:sz w:val="18"/>
                <w:szCs w:val="18"/>
              </w:rPr>
            </w:pPr>
            <w:r>
              <w:rPr>
                <w:rFonts w:ascii="Times New Roman"/>
                <w:sz w:val="18"/>
              </w:rPr>
              <w:t>102.</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08</w:t>
            </w:r>
          </w:p>
        </w:tc>
        <w:tc>
          <w:tcPr>
            <w:tcW w:w="54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是</w:t>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是</w:t>
            </w:r>
          </w:p>
        </w:tc>
        <w:tc>
          <w:tcPr>
            <w:tcW w:w="538" w:type="dxa"/>
            <w:vMerge/>
            <w:tcBorders>
              <w:left w:val="single" w:sz="4" w:space="0" w:color="000000"/>
              <w:right w:val="single" w:sz="4" w:space="0" w:color="000000"/>
            </w:tcBorders>
          </w:tcPr>
          <w:p>
            <w:pPr/>
          </w:p>
        </w:tc>
      </w:tr>
      <w:tr>
        <w:trPr>
          <w:trHeight w:val="664" w:hRule="exact"/>
        </w:trPr>
        <w:tc>
          <w:tcPr>
            <w:tcW w:w="571" w:type="dxa"/>
            <w:vMerge/>
            <w:tcBorders>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7" w:type="dxa"/>
            <w:tcBorders>
              <w:top w:val="nil" w:sz="6" w:space="0" w:color="auto"/>
              <w:left w:val="single" w:sz="4" w:space="0" w:color="000000"/>
              <w:bottom w:val="single" w:sz="4" w:space="0" w:color="000000"/>
              <w:right w:val="single" w:sz="4" w:space="0" w:color="000000"/>
            </w:tcBorders>
          </w:tcPr>
          <w:p>
            <w:pPr/>
          </w:p>
        </w:tc>
        <w:tc>
          <w:tcPr>
            <w:tcW w:w="574"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right="163"/>
              <w:jc w:val="center"/>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vMerge/>
            <w:tcBorders>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vMerge/>
            <w:tcBorders>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61" w:type="dxa"/>
            <w:tcBorders>
              <w:top w:val="nil" w:sz="6" w:space="0" w:color="auto"/>
              <w:left w:val="single" w:sz="4" w:space="0" w:color="000000"/>
              <w:bottom w:val="single" w:sz="4" w:space="0" w:color="000000"/>
              <w:right w:val="single" w:sz="4" w:space="0" w:color="000000"/>
            </w:tcBorders>
          </w:tcPr>
          <w:p>
            <w:pPr/>
          </w:p>
        </w:tc>
        <w:tc>
          <w:tcPr>
            <w:tcW w:w="549"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vMerge/>
            <w:tcBorders>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center"/>
              <w:rPr>
                <w:rFonts w:ascii="Times New Roman" w:hAnsi="Times New Roman" w:cs="Times New Roman" w:eastAsia="Times New Roman" w:hint="default"/>
                <w:sz w:val="18"/>
                <w:szCs w:val="18"/>
              </w:rPr>
            </w:pPr>
            <w:r>
              <w:rPr>
                <w:rFonts w:ascii="Times New Roman"/>
                <w:sz w:val="18"/>
              </w:rPr>
              <w:t>15,0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0</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Times New Roman" w:hAnsi="Times New Roman" w:cs="Times New Roman" w:eastAsia="Times New Roman" w:hint="default"/>
                <w:sz w:val="18"/>
                <w:szCs w:val="18"/>
              </w:rPr>
            </w:pPr>
            <w:r>
              <w:rPr>
                <w:rFonts w:ascii="Times New Roman"/>
                <w:sz w:val="18"/>
              </w:rPr>
              <w:t>165.</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68</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49"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z w:val="18"/>
              </w:rPr>
              <w:t>--</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6"/>
              <w:jc w:val="right"/>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64"/>
        <w:ind w:left="532" w:right="157" w:firstLine="0"/>
        <w:jc w:val="left"/>
        <w:rPr>
          <w:rFonts w:ascii="宋体" w:hAnsi="宋体" w:cs="宋体" w:eastAsia="宋体" w:hint="default"/>
          <w:sz w:val="21"/>
          <w:szCs w:val="21"/>
        </w:rPr>
      </w:pPr>
      <w:r>
        <w:rPr>
          <w:rFonts w:ascii="宋体" w:hAnsi="宋体" w:cs="宋体" w:eastAsia="宋体" w:hint="default"/>
          <w:sz w:val="21"/>
          <w:szCs w:val="21"/>
        </w:rPr>
        <w:t>委托理财出现预期无法收回本金或存在其他可能导致减值的情形</w:t>
      </w:r>
    </w:p>
    <w:p>
      <w:pPr>
        <w:spacing w:line="240" w:lineRule="auto" w:before="10"/>
        <w:rPr>
          <w:rFonts w:ascii="宋体" w:hAnsi="宋体" w:cs="宋体" w:eastAsia="宋体" w:hint="default"/>
          <w:sz w:val="14"/>
          <w:szCs w:val="14"/>
        </w:rPr>
      </w:pPr>
    </w:p>
    <w:p>
      <w:pPr>
        <w:spacing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）委托贷款情况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658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公司报告期不存在委托贷款。</w:t>
      </w:r>
    </w:p>
    <w:p>
      <w:pPr>
        <w:spacing w:after="0" w:line="408" w:lineRule="auto"/>
        <w:jc w:val="left"/>
        <w:rPr>
          <w:rFonts w:ascii="宋体" w:hAnsi="宋体" w:cs="宋体" w:eastAsia="宋体" w:hint="default"/>
          <w:sz w:val="21"/>
          <w:szCs w:val="21"/>
        </w:rPr>
        <w:sectPr>
          <w:footerReference w:type="default" r:id="rId22"/>
          <w:pgSz w:w="11910" w:h="16840"/>
          <w:pgMar w:footer="1013" w:header="907" w:top="1100" w:bottom="1200" w:left="1020" w:right="1020"/>
          <w:pgNumType w:start="51"/>
        </w:sectPr>
      </w:pPr>
    </w:p>
    <w:p>
      <w:pPr>
        <w:spacing w:line="240" w:lineRule="auto" w:before="10"/>
        <w:rPr>
          <w:rFonts w:ascii="宋体" w:hAnsi="宋体" w:cs="宋体" w:eastAsia="宋体" w:hint="default"/>
          <w:sz w:val="21"/>
          <w:szCs w:val="21"/>
        </w:rPr>
      </w:pPr>
    </w:p>
    <w:p>
      <w:pPr>
        <w:spacing w:before="34"/>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、其他重大合同</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626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公司报告期不存在其他重大合同。</w:t>
      </w:r>
    </w:p>
    <w:p>
      <w:pPr>
        <w:spacing w:line="240" w:lineRule="auto" w:before="8"/>
        <w:rPr>
          <w:rFonts w:ascii="宋体" w:hAnsi="宋体" w:cs="宋体" w:eastAsia="宋体" w:hint="default"/>
          <w:sz w:val="18"/>
          <w:szCs w:val="18"/>
        </w:rPr>
      </w:pPr>
    </w:p>
    <w:p>
      <w:pPr>
        <w:spacing w:before="0"/>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十七、社会责任情况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（一）概述</w:t>
      </w:r>
      <w:r>
        <w:rPr>
          <w:rFonts w:ascii="宋体" w:hAnsi="宋体" w:cs="宋体" w:eastAsia="宋体" w:hint="default"/>
          <w:w w:val="99"/>
          <w:sz w:val="21"/>
          <w:szCs w:val="21"/>
        </w:rPr>
        <w:t> </w:t>
      </w:r>
      <w:r>
        <w:rPr>
          <w:rFonts w:ascii="宋体" w:hAnsi="宋体" w:cs="宋体" w:eastAsia="宋体" w:hint="default"/>
          <w:w w:val="95"/>
          <w:sz w:val="21"/>
          <w:szCs w:val="21"/>
        </w:rPr>
        <w:t>公司始终以建立现代企业制度，打造公开、透明、规范的上市公司为目标，积极探索，不断完善公司</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治理，致力于与投资者建立长期信任与共赢关系，注重保护投资者、尤其是中小投资者的合法权益。公司</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在追求财富创造的同时，积极回馈社会，支持社会公益事业。</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（二）股东权益保护</w:t>
      </w:r>
      <w:r>
        <w:rPr>
          <w:rFonts w:ascii="宋体" w:hAnsi="宋体" w:cs="宋体" w:eastAsia="宋体" w:hint="default"/>
          <w:w w:val="99"/>
          <w:sz w:val="21"/>
          <w:szCs w:val="21"/>
        </w:rPr>
        <w:t> </w:t>
      </w:r>
      <w:r>
        <w:rPr>
          <w:rFonts w:ascii="宋体" w:hAnsi="宋体" w:cs="宋体" w:eastAsia="宋体" w:hint="default"/>
          <w:w w:val="95"/>
          <w:sz w:val="21"/>
          <w:szCs w:val="21"/>
        </w:rPr>
        <w:t>股东是企业财务资源的提供者，维护股东的合法权益是公司的责任和义务，也是公司能够持续经营和</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pacing w:val="-3"/>
          <w:sz w:val="21"/>
          <w:szCs w:val="21"/>
        </w:rPr>
        <w:t>发展的基础。报告期内，公司进一步完善治理结构，充分尊重和维护所有股东特别是中小股东的合法权益，</w:t>
      </w:r>
      <w:r>
        <w:rPr>
          <w:rFonts w:ascii="宋体" w:hAnsi="宋体" w:cs="宋体" w:eastAsia="宋体" w:hint="default"/>
          <w:w w:val="99"/>
          <w:sz w:val="21"/>
          <w:szCs w:val="21"/>
        </w:rPr>
        <w:t> </w:t>
      </w:r>
      <w:r>
        <w:rPr>
          <w:rFonts w:ascii="宋体" w:hAnsi="宋体" w:cs="宋体" w:eastAsia="宋体" w:hint="default"/>
          <w:sz w:val="21"/>
          <w:szCs w:val="21"/>
        </w:rPr>
        <w:t>确保股东充分享有法律、法规、规章所规定的各项合法权益。</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1、公司的治理与监督</w:t>
      </w:r>
      <w:r>
        <w:rPr>
          <w:rFonts w:ascii="宋体" w:hAnsi="宋体" w:cs="宋体" w:eastAsia="宋体" w:hint="default"/>
          <w:w w:val="99"/>
          <w:sz w:val="21"/>
          <w:szCs w:val="21"/>
        </w:rPr>
        <w:t> </w:t>
      </w:r>
      <w:r>
        <w:rPr>
          <w:rFonts w:ascii="宋体" w:hAnsi="宋体" w:cs="宋体" w:eastAsia="宋体" w:hint="default"/>
          <w:spacing w:val="-5"/>
          <w:w w:val="99"/>
          <w:sz w:val="21"/>
          <w:szCs w:val="21"/>
        </w:rPr>
        <w:t>公司严格按照《公司法》、《证券法》和中国证监会有关法律法规及《公司章程》的规定建立科学合理</w:t>
      </w:r>
      <w:r>
        <w:rPr>
          <w:rFonts w:ascii="宋体" w:hAnsi="宋体" w:cs="宋体" w:eastAsia="宋体" w:hint="default"/>
          <w:spacing w:val="-5"/>
          <w:sz w:val="21"/>
          <w:szCs w:val="21"/>
        </w:rPr>
      </w:r>
    </w:p>
    <w:p>
      <w:pPr>
        <w:spacing w:line="408" w:lineRule="auto" w:before="46"/>
        <w:ind w:left="112" w:right="212" w:firstLine="0"/>
        <w:jc w:val="both"/>
        <w:rPr>
          <w:rFonts w:ascii="宋体" w:hAnsi="宋体" w:cs="宋体" w:eastAsia="宋体" w:hint="default"/>
          <w:sz w:val="21"/>
          <w:szCs w:val="21"/>
        </w:rPr>
      </w:pPr>
      <w:r>
        <w:rPr>
          <w:rFonts w:ascii="宋体" w:hAnsi="宋体" w:cs="宋体" w:eastAsia="宋体" w:hint="default"/>
          <w:spacing w:val="-9"/>
          <w:w w:val="99"/>
          <w:sz w:val="21"/>
          <w:szCs w:val="21"/>
        </w:rPr>
        <w:t>的组织架构，制定了《股东大会议事规则》、《信息披露管理办法》、《投资者管理管理制度》等一系列规章</w:t>
      </w:r>
      <w:r>
        <w:rPr>
          <w:rFonts w:ascii="宋体" w:hAnsi="宋体" w:cs="宋体" w:eastAsia="宋体" w:hint="default"/>
          <w:spacing w:val="-91"/>
          <w:w w:val="99"/>
          <w:sz w:val="21"/>
          <w:szCs w:val="21"/>
        </w:rPr>
        <w:t> </w:t>
      </w:r>
      <w:r>
        <w:rPr>
          <w:rFonts w:ascii="宋体" w:hAnsi="宋体" w:cs="宋体" w:eastAsia="宋体" w:hint="default"/>
          <w:spacing w:val="-91"/>
          <w:w w:val="99"/>
          <w:sz w:val="21"/>
          <w:szCs w:val="21"/>
        </w:rPr>
      </w:r>
      <w:r>
        <w:rPr>
          <w:rFonts w:ascii="宋体" w:hAnsi="宋体" w:cs="宋体" w:eastAsia="宋体" w:hint="default"/>
          <w:w w:val="95"/>
          <w:sz w:val="21"/>
          <w:szCs w:val="21"/>
        </w:rPr>
        <w:t>制度，确保公司各项经营活动有章可循。公司股东大会、董事会、监事会和管理层之间权责分明、相互制</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pacing w:val="-5"/>
          <w:w w:val="99"/>
          <w:sz w:val="21"/>
          <w:szCs w:val="21"/>
        </w:rPr>
        <w:t>衡，形成了一套合理、完整、有效的经营管理框架。报告期内，公司严格按照《上市公司治理准则》、《深</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5"/>
          <w:w w:val="99"/>
          <w:sz w:val="21"/>
          <w:szCs w:val="21"/>
        </w:rPr>
        <w:t>圳证券交易所创业板股票上市规则》、《深圳证券交易所创业板上市公司规范运作指引》等相关的法律、法</w:t>
      </w:r>
      <w:r>
        <w:rPr>
          <w:rFonts w:ascii="宋体" w:hAnsi="宋体" w:cs="宋体" w:eastAsia="宋体" w:hint="default"/>
          <w:spacing w:val="-77"/>
          <w:w w:val="99"/>
          <w:sz w:val="21"/>
          <w:szCs w:val="21"/>
        </w:rPr>
        <w:t> </w:t>
      </w:r>
      <w:r>
        <w:rPr>
          <w:rFonts w:ascii="宋体" w:hAnsi="宋体" w:cs="宋体" w:eastAsia="宋体" w:hint="default"/>
          <w:spacing w:val="-77"/>
          <w:w w:val="99"/>
          <w:sz w:val="21"/>
          <w:szCs w:val="21"/>
        </w:rPr>
      </w:r>
      <w:r>
        <w:rPr>
          <w:rFonts w:ascii="宋体" w:hAnsi="宋体" w:cs="宋体" w:eastAsia="宋体" w:hint="default"/>
          <w:w w:val="95"/>
          <w:sz w:val="21"/>
          <w:szCs w:val="21"/>
        </w:rPr>
        <w:t>规、规范性文件的原则和要求，规范运作，制（修）订了一系列制度，并继续落实内控实施工作，不断健</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全和完善公司法人治理结构，保证公司长期、稳定、健康发展。</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2、与投资者沟通渠道</w:t>
      </w:r>
      <w:r>
        <w:rPr>
          <w:rFonts w:ascii="宋体" w:hAnsi="宋体" w:cs="宋体" w:eastAsia="宋体" w:hint="default"/>
          <w:w w:val="99"/>
          <w:sz w:val="21"/>
          <w:szCs w:val="21"/>
        </w:rPr>
        <w:t> </w:t>
      </w:r>
      <w:r>
        <w:rPr>
          <w:rFonts w:ascii="宋体" w:hAnsi="宋体" w:cs="宋体" w:eastAsia="宋体" w:hint="default"/>
          <w:w w:val="95"/>
          <w:sz w:val="21"/>
          <w:szCs w:val="21"/>
        </w:rPr>
        <w:t>公司注重保护投资者，特别是中小投资者的合法权益，通过网站、电话、邮件等方式，保持与股东有</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效的沟通渠道。公司认真接待投资者、研究机构的来电来访，对公司业务发展方面的问询在已公开披露信</w:t>
      </w:r>
      <w:r>
        <w:rPr>
          <w:rFonts w:ascii="宋体" w:hAnsi="宋体" w:cs="宋体" w:eastAsia="宋体" w:hint="default"/>
          <w:w w:val="99"/>
          <w:sz w:val="21"/>
          <w:szCs w:val="21"/>
        </w:rPr>
        <w:t> </w:t>
      </w:r>
      <w:r>
        <w:rPr>
          <w:rFonts w:ascii="宋体" w:hAnsi="宋体" w:cs="宋体" w:eastAsia="宋体" w:hint="default"/>
          <w:spacing w:val="-3"/>
          <w:sz w:val="21"/>
          <w:szCs w:val="21"/>
        </w:rPr>
        <w:t>息条件下认真答复，保证所有股东对公司重大事项都有知情权，为投资者公平获取公司信息创造良好途径。</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（三）职工权益保护</w:t>
      </w:r>
      <w:r>
        <w:rPr>
          <w:rFonts w:ascii="宋体" w:hAnsi="宋体" w:cs="宋体" w:eastAsia="宋体" w:hint="default"/>
          <w:w w:val="99"/>
          <w:sz w:val="21"/>
          <w:szCs w:val="21"/>
        </w:rPr>
        <w:t> </w:t>
      </w:r>
      <w:r>
        <w:rPr>
          <w:rFonts w:ascii="宋体" w:hAnsi="宋体" w:cs="宋体" w:eastAsia="宋体" w:hint="default"/>
          <w:w w:val="95"/>
          <w:sz w:val="21"/>
          <w:szCs w:val="21"/>
        </w:rPr>
        <w:t>公司始终坚持德才兼备的用人原则，关注员工的综合能力提升和个人职业发展，根据发展战略和人力</w:t>
      </w:r>
      <w:r>
        <w:rPr>
          <w:rFonts w:ascii="宋体" w:hAnsi="宋体" w:cs="宋体" w:eastAsia="宋体" w:hint="default"/>
          <w:sz w:val="21"/>
          <w:szCs w:val="21"/>
        </w:rPr>
      </w:r>
    </w:p>
    <w:p>
      <w:pPr>
        <w:spacing w:before="46"/>
        <w:ind w:left="112" w:right="0" w:firstLine="0"/>
        <w:jc w:val="both"/>
        <w:rPr>
          <w:rFonts w:ascii="宋体" w:hAnsi="宋体" w:cs="宋体" w:eastAsia="宋体" w:hint="default"/>
          <w:sz w:val="21"/>
          <w:szCs w:val="21"/>
        </w:rPr>
      </w:pPr>
      <w:r>
        <w:rPr>
          <w:rFonts w:ascii="宋体" w:hAnsi="宋体" w:cs="宋体" w:eastAsia="宋体" w:hint="default"/>
          <w:sz w:val="21"/>
          <w:szCs w:val="21"/>
        </w:rPr>
        <w:t>资源规划，努力实现让每一位员工都能充分体现自我价值，达到个人职业生涯规划与企业发展目标的最大</w:t>
      </w:r>
    </w:p>
    <w:p>
      <w:pPr>
        <w:spacing w:after="0"/>
        <w:jc w:val="both"/>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112" w:right="157" w:firstLine="0"/>
        <w:jc w:val="left"/>
        <w:rPr>
          <w:rFonts w:ascii="宋体" w:hAnsi="宋体" w:cs="宋体" w:eastAsia="宋体" w:hint="default"/>
          <w:sz w:val="21"/>
          <w:szCs w:val="21"/>
        </w:rPr>
      </w:pPr>
      <w:r>
        <w:rPr>
          <w:rFonts w:ascii="宋体" w:hAnsi="宋体" w:cs="宋体" w:eastAsia="宋体" w:hint="default"/>
          <w:spacing w:val="-2"/>
          <w:w w:val="99"/>
          <w:sz w:val="21"/>
          <w:szCs w:val="21"/>
        </w:rPr>
        <w:t>契合，使员工与企业共同成长。公司严格遵守《劳动法》和《劳动合同法》，依法保护职工的合法权益。</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pacing w:val="-2"/>
          <w:w w:val="99"/>
          <w:sz w:val="21"/>
          <w:szCs w:val="21"/>
        </w:rPr>
        <w:t>所有员工均按照国家和地方有关法律法规与公司签订《劳动合同》。公司严格按照国家规定和标准为员工</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w w:val="95"/>
          <w:sz w:val="21"/>
          <w:szCs w:val="21"/>
        </w:rPr>
        <w:t>提供福利保障，按照国家规定为员工缴纳五险一金。法定福利的缴纳比例及缴纳基数依据国家相关规定执   </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行。</w:t>
      </w:r>
    </w:p>
    <w:p>
      <w:pPr>
        <w:spacing w:line="408" w:lineRule="auto"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（四）供应商、客户和消费者权益保护</w:t>
      </w:r>
      <w:r>
        <w:rPr>
          <w:rFonts w:ascii="宋体" w:hAnsi="宋体" w:cs="宋体" w:eastAsia="宋体" w:hint="default"/>
          <w:w w:val="99"/>
          <w:sz w:val="21"/>
          <w:szCs w:val="21"/>
        </w:rPr>
        <w:t> </w:t>
      </w:r>
      <w:r>
        <w:rPr>
          <w:rFonts w:ascii="宋体" w:hAnsi="宋体" w:cs="宋体" w:eastAsia="宋体" w:hint="default"/>
          <w:w w:val="95"/>
          <w:sz w:val="21"/>
          <w:szCs w:val="21"/>
        </w:rPr>
        <w:t>公司将诚实守信作为企业发展之基，与供应商和客户建立合作共赢的战略合作伙伴关系，与之保持长</w:t>
      </w:r>
      <w:r>
        <w:rPr>
          <w:rFonts w:ascii="宋体" w:hAnsi="宋体" w:cs="宋体" w:eastAsia="宋体" w:hint="default"/>
          <w:sz w:val="21"/>
          <w:szCs w:val="21"/>
        </w:rPr>
      </w:r>
    </w:p>
    <w:p>
      <w:pPr>
        <w:spacing w:before="46"/>
        <w:ind w:left="112" w:right="157" w:firstLine="0"/>
        <w:jc w:val="left"/>
        <w:rPr>
          <w:rFonts w:ascii="宋体" w:hAnsi="宋体" w:cs="宋体" w:eastAsia="宋体" w:hint="default"/>
          <w:sz w:val="21"/>
          <w:szCs w:val="21"/>
        </w:rPr>
      </w:pPr>
      <w:r>
        <w:rPr>
          <w:rFonts w:ascii="宋体" w:hAnsi="宋体" w:cs="宋体" w:eastAsia="宋体" w:hint="default"/>
          <w:sz w:val="21"/>
          <w:szCs w:val="21"/>
        </w:rPr>
        <w:t>期良好的合作关系，充分尊重并保护供应商、客户的合法权益。</w:t>
      </w:r>
    </w:p>
    <w:p>
      <w:pPr>
        <w:spacing w:line="240" w:lineRule="auto" w:before="10"/>
        <w:rPr>
          <w:rFonts w:ascii="宋体" w:hAnsi="宋体" w:cs="宋体" w:eastAsia="宋体" w:hint="default"/>
          <w:sz w:val="14"/>
          <w:szCs w:val="14"/>
        </w:rPr>
      </w:pPr>
    </w:p>
    <w:p>
      <w:pPr>
        <w:spacing w:line="408" w:lineRule="auto"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（五）存在的不足及自我完善措施</w:t>
      </w:r>
      <w:r>
        <w:rPr>
          <w:rFonts w:ascii="宋体" w:hAnsi="宋体" w:cs="宋体" w:eastAsia="宋体" w:hint="default"/>
          <w:w w:val="99"/>
          <w:sz w:val="21"/>
          <w:szCs w:val="21"/>
        </w:rPr>
        <w:t> </w:t>
      </w:r>
      <w:r>
        <w:rPr>
          <w:rFonts w:ascii="宋体" w:hAnsi="宋体" w:cs="宋体" w:eastAsia="宋体" w:hint="default"/>
          <w:w w:val="95"/>
          <w:sz w:val="21"/>
          <w:szCs w:val="21"/>
        </w:rPr>
        <w:t>2017年度，公司在社会责任的履行状况方面与《深圳证券交易所上市公司社会责任指引》的相关要求</w:t>
      </w:r>
      <w:r>
        <w:rPr>
          <w:rFonts w:ascii="宋体" w:hAnsi="宋体" w:cs="宋体" w:eastAsia="宋体" w:hint="default"/>
          <w:sz w:val="21"/>
          <w:szCs w:val="21"/>
        </w:rPr>
      </w:r>
    </w:p>
    <w:p>
      <w:pPr>
        <w:spacing w:line="408" w:lineRule="auto" w:before="46"/>
        <w:ind w:left="112" w:right="157" w:firstLine="0"/>
        <w:jc w:val="left"/>
        <w:rPr>
          <w:rFonts w:ascii="宋体" w:hAnsi="宋体" w:cs="宋体" w:eastAsia="宋体" w:hint="default"/>
          <w:sz w:val="21"/>
          <w:szCs w:val="21"/>
        </w:rPr>
      </w:pPr>
      <w:r>
        <w:rPr>
          <w:rFonts w:ascii="宋体" w:hAnsi="宋体" w:cs="宋体" w:eastAsia="宋体" w:hint="default"/>
          <w:w w:val="95"/>
          <w:sz w:val="21"/>
          <w:szCs w:val="21"/>
        </w:rPr>
        <w:t>仍存在一定的差距，公司还需长期自觉坚持履行社会责任的理念和义务，在生产经营过程中不断加强和创</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新社会责任的履行方式，更好地履行社会责任。</w:t>
      </w:r>
    </w:p>
    <w:p>
      <w:pPr>
        <w:spacing w:line="240" w:lineRule="auto" w:before="8"/>
        <w:rPr>
          <w:rFonts w:ascii="宋体" w:hAnsi="宋体" w:cs="宋体" w:eastAsia="宋体" w:hint="default"/>
          <w:sz w:val="20"/>
          <w:szCs w:val="20"/>
        </w:rPr>
      </w:pPr>
    </w:p>
    <w:p>
      <w:pPr>
        <w:spacing w:before="0"/>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、履行精准扶贫社会责任情况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68" w:lineRule="auto" w:before="0"/>
        <w:ind w:left="532" w:right="2898"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）精准扶贫规划</w:t>
      </w:r>
      <w:r>
        <w:rPr>
          <w:rFonts w:ascii="宋体" w:hAnsi="宋体" w:cs="宋体" w:eastAsia="宋体" w:hint="default"/>
          <w:b/>
          <w:bCs/>
          <w:w w:val="99"/>
          <w:sz w:val="21"/>
          <w:szCs w:val="21"/>
        </w:rPr>
        <w:t> </w:t>
      </w:r>
      <w:r>
        <w:rPr>
          <w:rFonts w:ascii="宋体" w:hAnsi="宋体" w:cs="宋体" w:eastAsia="宋体" w:hint="default"/>
          <w:w w:val="95"/>
          <w:sz w:val="21"/>
          <w:szCs w:val="21"/>
        </w:rPr>
        <w:t>公司报告年度暂未开展精准扶贫工作，也暂无后续精准扶贫计划。</w:t>
      </w:r>
      <w:r>
        <w:rPr>
          <w:rFonts w:ascii="宋体" w:hAnsi="宋体" w:cs="宋体" w:eastAsia="宋体" w:hint="default"/>
          <w:sz w:val="21"/>
          <w:szCs w:val="21"/>
        </w:rPr>
      </w:r>
    </w:p>
    <w:p>
      <w:pPr>
        <w:pStyle w:val="Heading4"/>
        <w:spacing w:line="571" w:lineRule="auto" w:before="128"/>
        <w:ind w:left="532" w:right="7520" w:hanging="420"/>
        <w:jc w:val="left"/>
        <w:rPr>
          <w:rFonts w:ascii="宋体" w:hAnsi="宋体" w:cs="宋体" w:eastAsia="宋体" w:hint="default"/>
          <w:b w:val="0"/>
          <w:bCs w:val="0"/>
        </w:rPr>
      </w:pPr>
      <w:r>
        <w:rPr/>
        <w:t>（</w:t>
      </w:r>
      <w:r>
        <w:rPr>
          <w:rFonts w:ascii="Times New Roman" w:hAnsi="Times New Roman" w:cs="Times New Roman" w:eastAsia="Times New Roman" w:hint="default"/>
        </w:rPr>
        <w:t>2</w:t>
      </w:r>
      <w:r>
        <w:rPr/>
        <w:t>）年度精准扶贫概要</w:t>
      </w:r>
      <w:r>
        <w:rPr>
          <w:w w:val="99"/>
        </w:rPr>
        <w:t> </w:t>
      </w:r>
      <w:r>
        <w:rPr>
          <w:rFonts w:ascii="宋体" w:hAnsi="宋体" w:cs="宋体" w:eastAsia="宋体" w:hint="default"/>
          <w:b w:val="0"/>
          <w:bCs w:val="0"/>
        </w:rPr>
        <w:t>不适用</w:t>
      </w:r>
    </w:p>
    <w:p>
      <w:pPr>
        <w:spacing w:before="124"/>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）精准扶贫成效</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0"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624"/>
        <w:gridCol w:w="1553"/>
        <w:gridCol w:w="4391"/>
      </w:tblGrid>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3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spacing w:line="571" w:lineRule="auto" w:before="34"/>
        <w:ind w:left="532" w:right="746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）后续精准扶贫计划</w:t>
      </w:r>
      <w:r>
        <w:rPr>
          <w:rFonts w:ascii="宋体" w:hAnsi="宋体" w:cs="宋体" w:eastAsia="宋体" w:hint="default"/>
          <w:b/>
          <w:bCs/>
          <w:w w:val="99"/>
          <w:sz w:val="21"/>
          <w:szCs w:val="21"/>
        </w:rPr>
        <w:t> </w:t>
      </w:r>
      <w:r>
        <w:rPr>
          <w:rFonts w:ascii="宋体" w:hAnsi="宋体" w:cs="宋体" w:eastAsia="宋体" w:hint="default"/>
          <w:sz w:val="21"/>
          <w:szCs w:val="21"/>
        </w:rPr>
        <w:t>不适用</w:t>
      </w:r>
    </w:p>
    <w:p>
      <w:pPr>
        <w:spacing w:before="126"/>
        <w:ind w:left="112" w:right="3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、环境保护相关的情况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3554" w:firstLine="0"/>
        <w:jc w:val="left"/>
        <w:rPr>
          <w:rFonts w:ascii="宋体" w:hAnsi="宋体" w:cs="宋体" w:eastAsia="宋体" w:hint="default"/>
          <w:sz w:val="21"/>
          <w:szCs w:val="21"/>
        </w:rPr>
      </w:pPr>
      <w:r>
        <w:rPr>
          <w:rFonts w:ascii="宋体" w:hAnsi="宋体" w:cs="宋体" w:eastAsia="宋体" w:hint="default"/>
          <w:w w:val="95"/>
          <w:sz w:val="21"/>
          <w:szCs w:val="21"/>
        </w:rPr>
        <w:t>上市公司及其子公司是否属于环境保护部门公布的重点排污单位</w:t>
      </w:r>
      <w:r>
        <w:rPr>
          <w:rFonts w:ascii="宋体" w:hAnsi="宋体" w:cs="宋体" w:eastAsia="宋体" w:hint="default"/>
          <w:spacing w:val="78"/>
          <w:w w:val="95"/>
          <w:sz w:val="21"/>
          <w:szCs w:val="21"/>
        </w:rPr>
        <w:t> </w:t>
      </w:r>
      <w:r>
        <w:rPr>
          <w:rFonts w:ascii="宋体" w:hAnsi="宋体" w:cs="宋体" w:eastAsia="宋体" w:hint="default"/>
          <w:spacing w:val="78"/>
          <w:w w:val="95"/>
          <w:sz w:val="21"/>
          <w:szCs w:val="21"/>
        </w:rPr>
      </w:r>
      <w:r>
        <w:rPr>
          <w:rFonts w:ascii="宋体" w:hAnsi="宋体" w:cs="宋体" w:eastAsia="宋体" w:hint="default"/>
          <w:sz w:val="21"/>
          <w:szCs w:val="21"/>
        </w:rPr>
        <w:t>不适用</w:t>
      </w:r>
    </w:p>
    <w:p>
      <w:pPr>
        <w:spacing w:line="240" w:lineRule="auto" w:before="11"/>
        <w:rPr>
          <w:rFonts w:ascii="宋体" w:hAnsi="宋体" w:cs="宋体" w:eastAsia="宋体" w:hint="default"/>
          <w:sz w:val="18"/>
          <w:szCs w:val="18"/>
        </w:rPr>
      </w:pPr>
    </w:p>
    <w:p>
      <w:pPr>
        <w:spacing w:before="0"/>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十八、其他重大事项的说明</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532" w:right="355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公司报告期不存在需要说明的其他重大事项。</w:t>
      </w:r>
      <w:r>
        <w:rPr>
          <w:rFonts w:ascii="宋体" w:hAnsi="宋体" w:cs="宋体" w:eastAsia="宋体" w:hint="default"/>
          <w:sz w:val="21"/>
          <w:szCs w:val="21"/>
        </w:rPr>
      </w:r>
    </w:p>
    <w:p>
      <w:pPr>
        <w:spacing w:line="240" w:lineRule="auto" w:before="8"/>
        <w:rPr>
          <w:rFonts w:ascii="宋体" w:hAnsi="宋体" w:cs="宋体" w:eastAsia="宋体" w:hint="default"/>
          <w:sz w:val="18"/>
          <w:szCs w:val="18"/>
        </w:rPr>
      </w:pPr>
    </w:p>
    <w:p>
      <w:pPr>
        <w:spacing w:before="0"/>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十九、公司子公司重大事项</w:t>
      </w:r>
      <w:r>
        <w:rPr>
          <w:rFonts w:ascii="宋体" w:hAnsi="宋体" w:cs="宋体" w:eastAsia="宋体" w:hint="default"/>
          <w:sz w:val="24"/>
          <w:szCs w:val="24"/>
        </w:rPr>
      </w:r>
    </w:p>
    <w:p>
      <w:pPr>
        <w:spacing w:line="240" w:lineRule="auto" w:before="10"/>
        <w:rPr>
          <w:rFonts w:ascii="宋体" w:hAnsi="宋体" w:cs="宋体" w:eastAsia="宋体" w:hint="default"/>
          <w:b/>
          <w:bCs/>
          <w:sz w:val="30"/>
          <w:szCs w:val="30"/>
        </w:rPr>
      </w:pPr>
    </w:p>
    <w:p>
      <w:pPr>
        <w:spacing w:before="0"/>
        <w:ind w:left="532" w:right="3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13" w:top="1100" w:bottom="1200" w:left="10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2928" w:right="157" w:firstLine="0"/>
        <w:jc w:val="left"/>
        <w:rPr>
          <w:rFonts w:ascii="宋体" w:hAnsi="宋体" w:cs="宋体" w:eastAsia="宋体" w:hint="default"/>
          <w:sz w:val="32"/>
          <w:szCs w:val="32"/>
        </w:rPr>
      </w:pPr>
      <w:r>
        <w:rPr>
          <w:rFonts w:ascii="宋体" w:hAnsi="宋体" w:cs="宋体" w:eastAsia="宋体" w:hint="default"/>
          <w:b/>
          <w:bCs/>
          <w:sz w:val="32"/>
          <w:szCs w:val="32"/>
        </w:rPr>
        <w:t>第六节</w:t>
      </w:r>
      <w:r>
        <w:rPr>
          <w:rFonts w:ascii="宋体" w:hAnsi="宋体" w:cs="宋体" w:eastAsia="宋体" w:hint="default"/>
          <w:b/>
          <w:bCs/>
          <w:spacing w:val="-13"/>
          <w:sz w:val="32"/>
          <w:szCs w:val="32"/>
        </w:rPr>
        <w:t> </w:t>
      </w:r>
      <w:r>
        <w:rPr>
          <w:rFonts w:ascii="宋体" w:hAnsi="宋体" w:cs="宋体" w:eastAsia="宋体" w:hint="default"/>
          <w:b/>
          <w:bCs/>
          <w:sz w:val="32"/>
          <w:szCs w:val="32"/>
        </w:rPr>
        <w:t>股份变动及股东情况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一、股份变动情况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、股份变动情况</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单位：股</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27"/>
        <w:gridCol w:w="823"/>
        <w:gridCol w:w="823"/>
        <w:gridCol w:w="823"/>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2D2D2"/>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16" w:right="135"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26" w:right="135"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282,574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44.26%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30,884,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889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16,450,</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554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299,02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4,624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44.68%</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29" w:right="0"/>
              <w:jc w:val="left"/>
              <w:rPr>
                <w:rFonts w:ascii="Times New Roman" w:hAnsi="Times New Roman" w:cs="Times New Roman" w:eastAsia="Times New Roman" w:hint="default"/>
                <w:sz w:val="18"/>
                <w:szCs w:val="18"/>
              </w:rPr>
            </w:pPr>
            <w:r>
              <w:rPr>
                <w:rFonts w:ascii="Times New Roman"/>
                <w:sz w:val="18"/>
              </w:rPr>
              <w:t>78</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28" w:right="0"/>
              <w:jc w:val="left"/>
              <w:rPr>
                <w:rFonts w:ascii="Times New Roman" w:hAnsi="Times New Roman" w:cs="Times New Roman" w:eastAsia="Times New Roman" w:hint="default"/>
                <w:sz w:val="18"/>
                <w:szCs w:val="18"/>
              </w:rPr>
            </w:pPr>
            <w:r>
              <w:rPr>
                <w:rFonts w:ascii="Times New Roman"/>
                <w:sz w:val="18"/>
              </w:rPr>
              <w:t>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4,400,9</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sz w:val="18"/>
              </w:rPr>
              <w:t>78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0.66%</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282,574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44.26%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26,483,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12,049,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294,62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3,646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44.02%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282,574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,070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44.26%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9" w:right="0"/>
              <w:jc w:val="left"/>
              <w:rPr>
                <w:rFonts w:ascii="Times New Roman" w:hAnsi="Times New Roman" w:cs="Times New Roman" w:eastAsia="Times New Roman" w:hint="default"/>
                <w:sz w:val="18"/>
                <w:szCs w:val="18"/>
              </w:rPr>
            </w:pPr>
            <w:r>
              <w:rPr>
                <w:rFonts w:ascii="Times New Roman"/>
                <w:sz w:val="18"/>
              </w:rPr>
              <w:t>26,483,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911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0"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12,049,</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576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294,62</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3,646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44.02%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355,820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,296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55.74%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370,25</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4,631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55.32%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6" w:right="0"/>
              <w:jc w:val="left"/>
              <w:rPr>
                <w:rFonts w:ascii="Times New Roman" w:hAnsi="Times New Roman" w:cs="Times New Roman" w:eastAsia="Times New Roman" w:hint="default"/>
                <w:sz w:val="18"/>
                <w:szCs w:val="18"/>
              </w:rPr>
            </w:pPr>
            <w:r>
              <w:rPr>
                <w:rFonts w:ascii="Times New Roman"/>
                <w:sz w:val="18"/>
              </w:rPr>
              <w:t>355,820</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,296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55.74%</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0"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38" w:right="0"/>
              <w:jc w:val="left"/>
              <w:rPr>
                <w:rFonts w:ascii="Times New Roman" w:hAnsi="Times New Roman" w:cs="Times New Roman" w:eastAsia="Times New Roman" w:hint="default"/>
                <w:sz w:val="18"/>
                <w:szCs w:val="18"/>
              </w:rPr>
            </w:pPr>
            <w:r>
              <w:rPr>
                <w:rFonts w:ascii="Times New Roman"/>
                <w:sz w:val="18"/>
              </w:rPr>
              <w:t>335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8" w:right="0"/>
              <w:jc w:val="left"/>
              <w:rPr>
                <w:rFonts w:ascii="Times New Roman" w:hAnsi="Times New Roman" w:cs="Times New Roman" w:eastAsia="Times New Roman" w:hint="default"/>
                <w:sz w:val="18"/>
                <w:szCs w:val="18"/>
              </w:rPr>
            </w:pPr>
            <w:r>
              <w:rPr>
                <w:rFonts w:ascii="Times New Roman"/>
                <w:sz w:val="18"/>
              </w:rPr>
              <w:t>14,434,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335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370,25</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4,631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55.32%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6" w:right="0"/>
              <w:jc w:val="left"/>
              <w:rPr>
                <w:rFonts w:ascii="Times New Roman" w:hAnsi="Times New Roman" w:cs="Times New Roman" w:eastAsia="Times New Roman" w:hint="default"/>
                <w:sz w:val="18"/>
                <w:szCs w:val="18"/>
              </w:rPr>
            </w:pPr>
            <w:r>
              <w:rPr>
                <w:rFonts w:ascii="Times New Roman"/>
                <w:sz w:val="18"/>
              </w:rPr>
              <w:t>638,394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,366</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30,884,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889</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30,884,</w:t>
            </w:r>
          </w:p>
          <w:p>
            <w:pPr>
              <w:pStyle w:val="TableParagraph"/>
              <w:spacing w:line="240" w:lineRule="auto" w:before="105"/>
              <w:ind w:left="440" w:right="0"/>
              <w:jc w:val="left"/>
              <w:rPr>
                <w:rFonts w:ascii="Times New Roman" w:hAnsi="Times New Roman" w:cs="Times New Roman" w:eastAsia="Times New Roman" w:hint="default"/>
                <w:sz w:val="18"/>
                <w:szCs w:val="18"/>
              </w:rPr>
            </w:pPr>
            <w:r>
              <w:rPr>
                <w:rFonts w:ascii="Times New Roman"/>
                <w:sz w:val="18"/>
              </w:rPr>
              <w:t>889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6" w:right="0"/>
              <w:jc w:val="left"/>
              <w:rPr>
                <w:rFonts w:ascii="Times New Roman" w:hAnsi="Times New Roman" w:cs="Times New Roman" w:eastAsia="Times New Roman" w:hint="default"/>
                <w:sz w:val="18"/>
                <w:szCs w:val="18"/>
              </w:rPr>
            </w:pPr>
            <w:r>
              <w:rPr>
                <w:rFonts w:ascii="Times New Roman"/>
                <w:sz w:val="18"/>
              </w:rPr>
              <w:t>669,27</w:t>
            </w:r>
          </w:p>
          <w:p>
            <w:pPr>
              <w:pStyle w:val="TableParagraph"/>
              <w:spacing w:line="240" w:lineRule="auto" w:before="105"/>
              <w:ind w:left="275" w:right="0"/>
              <w:jc w:val="left"/>
              <w:rPr>
                <w:rFonts w:ascii="Times New Roman" w:hAnsi="Times New Roman" w:cs="Times New Roman" w:eastAsia="Times New Roman" w:hint="default"/>
                <w:sz w:val="18"/>
                <w:szCs w:val="18"/>
              </w:rPr>
            </w:pPr>
            <w:r>
              <w:rPr>
                <w:rFonts w:ascii="Times New Roman"/>
                <w:sz w:val="18"/>
              </w:rPr>
              <w:t>9,255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63"/>
        <w:ind w:left="532" w:right="157" w:firstLine="0"/>
        <w:jc w:val="left"/>
        <w:rPr>
          <w:rFonts w:ascii="宋体" w:hAnsi="宋体" w:cs="宋体" w:eastAsia="宋体" w:hint="default"/>
          <w:sz w:val="21"/>
          <w:szCs w:val="21"/>
        </w:rPr>
      </w:pPr>
      <w:r>
        <w:rPr>
          <w:rFonts w:ascii="宋体" w:hAnsi="宋体" w:cs="宋体" w:eastAsia="宋体" w:hint="default"/>
          <w:sz w:val="21"/>
          <w:szCs w:val="21"/>
        </w:rPr>
        <w:t>股份变动的原因：</w:t>
      </w:r>
    </w:p>
    <w:p>
      <w:pPr>
        <w:spacing w:line="240" w:lineRule="auto" w:before="10"/>
        <w:rPr>
          <w:rFonts w:ascii="宋体" w:hAnsi="宋体" w:cs="宋体" w:eastAsia="宋体" w:hint="default"/>
          <w:sz w:val="14"/>
          <w:szCs w:val="14"/>
        </w:rPr>
      </w:pPr>
    </w:p>
    <w:p>
      <w:pPr>
        <w:spacing w:line="408" w:lineRule="auto" w:before="0"/>
        <w:ind w:left="112" w:right="0" w:firstLine="420"/>
        <w:jc w:val="left"/>
        <w:rPr>
          <w:rFonts w:ascii="宋体" w:hAnsi="宋体" w:cs="宋体" w:eastAsia="宋体" w:hint="default"/>
          <w:sz w:val="21"/>
          <w:szCs w:val="21"/>
        </w:rPr>
      </w:pPr>
      <w:r>
        <w:rPr>
          <w:rFonts w:ascii="宋体" w:hAnsi="宋体" w:cs="宋体" w:eastAsia="宋体" w:hint="default"/>
          <w:sz w:val="21"/>
          <w:szCs w:val="21"/>
        </w:rPr>
        <w:t>（1）根据中国证监会《关于核准尤洛卡矿业安全工程股份有限公司向李巍屹等发行股份购买资产并</w:t>
      </w:r>
      <w:r>
        <w:rPr>
          <w:rFonts w:ascii="宋体" w:hAnsi="宋体" w:cs="宋体" w:eastAsia="宋体" w:hint="default"/>
          <w:w w:val="99"/>
          <w:sz w:val="21"/>
          <w:szCs w:val="21"/>
        </w:rPr>
        <w:t> </w:t>
      </w:r>
      <w:r>
        <w:rPr>
          <w:rFonts w:ascii="宋体" w:hAnsi="宋体" w:cs="宋体" w:eastAsia="宋体" w:hint="default"/>
          <w:spacing w:val="-11"/>
          <w:w w:val="99"/>
          <w:sz w:val="21"/>
          <w:szCs w:val="21"/>
        </w:rPr>
        <w:t>募集配套资金的批复》【证监许可〔2016〕2040号】。核准你公司非公开发行股份募集配套资金不超</w:t>
      </w:r>
      <w:r>
        <w:rPr>
          <w:rFonts w:ascii="宋体" w:hAnsi="宋体" w:cs="宋体" w:eastAsia="宋体" w:hint="default"/>
          <w:spacing w:val="5"/>
          <w:w w:val="99"/>
          <w:sz w:val="21"/>
          <w:szCs w:val="21"/>
        </w:rPr>
        <w:t> </w:t>
      </w:r>
      <w:r>
        <w:rPr>
          <w:rFonts w:ascii="宋体" w:hAnsi="宋体" w:cs="宋体" w:eastAsia="宋体" w:hint="default"/>
          <w:w w:val="99"/>
          <w:sz w:val="21"/>
          <w:szCs w:val="21"/>
        </w:rPr>
        <w:t>过18,000</w:t>
      </w:r>
      <w:r>
        <w:rPr>
          <w:rFonts w:ascii="宋体" w:hAnsi="宋体" w:cs="宋体" w:eastAsia="宋体" w:hint="default"/>
          <w:w w:val="99"/>
          <w:sz w:val="21"/>
          <w:szCs w:val="21"/>
        </w:rPr>
        <w:t> </w:t>
      </w:r>
      <w:r>
        <w:rPr>
          <w:rFonts w:ascii="宋体" w:hAnsi="宋体" w:cs="宋体" w:eastAsia="宋体" w:hint="default"/>
          <w:w w:val="95"/>
          <w:sz w:val="21"/>
          <w:szCs w:val="21"/>
        </w:rPr>
        <w:t>万元。本次非公开发行股份募集配套资金新增股份22,004,889.00股，并于2017年1月10日取得了中国证券</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pacing w:val="-2"/>
          <w:w w:val="99"/>
          <w:sz w:val="21"/>
          <w:szCs w:val="21"/>
        </w:rPr>
        <w:t>登记结算有限公司深圳分公司出具的《股份登记申请受理确认书》及《证券持有人名册》，本次新增股份</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上市日为2017年1月19日。</w:t>
      </w:r>
    </w:p>
    <w:p>
      <w:pPr>
        <w:spacing w:line="408" w:lineRule="auto" w:before="46"/>
        <w:ind w:left="112" w:right="157" w:firstLine="420"/>
        <w:jc w:val="left"/>
        <w:rPr>
          <w:rFonts w:ascii="宋体" w:hAnsi="宋体" w:cs="宋体" w:eastAsia="宋体" w:hint="default"/>
          <w:sz w:val="21"/>
          <w:szCs w:val="21"/>
        </w:rPr>
      </w:pPr>
      <w:r>
        <w:rPr>
          <w:rFonts w:ascii="宋体" w:hAnsi="宋体" w:cs="宋体" w:eastAsia="宋体" w:hint="default"/>
          <w:w w:val="95"/>
          <w:sz w:val="21"/>
          <w:szCs w:val="21"/>
        </w:rPr>
        <w:t>（2）公司限制性股票激励计划（2017-2019）首次授予完成，向符合条件的174名激励对象授予888万</w:t>
      </w:r>
      <w:r>
        <w:rPr>
          <w:rFonts w:ascii="宋体" w:hAnsi="宋体" w:cs="宋体" w:eastAsia="宋体" w:hint="default"/>
          <w:w w:val="99"/>
          <w:sz w:val="21"/>
          <w:szCs w:val="21"/>
        </w:rPr>
        <w:t> </w:t>
      </w:r>
      <w:r>
        <w:rPr>
          <w:rFonts w:ascii="宋体" w:hAnsi="宋体" w:cs="宋体" w:eastAsia="宋体" w:hint="default"/>
          <w:sz w:val="21"/>
          <w:szCs w:val="21"/>
        </w:rPr>
        <w:t>股限制性股票，根据该验资报告，截至2017年12月06日止，公司实际收到174激励对象认购限制性股票缴</w:t>
      </w:r>
      <w:r>
        <w:rPr>
          <w:rFonts w:ascii="宋体" w:hAnsi="宋体" w:cs="宋体" w:eastAsia="宋体" w:hint="default"/>
          <w:w w:val="99"/>
          <w:sz w:val="21"/>
          <w:szCs w:val="21"/>
        </w:rPr>
        <w:t> </w:t>
      </w:r>
      <w:r>
        <w:rPr>
          <w:rFonts w:ascii="宋体" w:hAnsi="宋体" w:cs="宋体" w:eastAsia="宋体" w:hint="default"/>
          <w:sz w:val="21"/>
          <w:szCs w:val="21"/>
        </w:rPr>
        <w:t>付的认购资金35,786,400.01元，其中：8,880,000.00元增加股本，26,906,400.01元增加资本公积。</w:t>
      </w:r>
    </w:p>
    <w:p>
      <w:pPr>
        <w:spacing w:after="0" w:line="408" w:lineRule="auto"/>
        <w:jc w:val="left"/>
        <w:rPr>
          <w:rFonts w:ascii="宋体" w:hAnsi="宋体" w:cs="宋体" w:eastAsia="宋体" w:hint="default"/>
          <w:sz w:val="21"/>
          <w:szCs w:val="21"/>
        </w:rPr>
        <w:sectPr>
          <w:pgSz w:w="11910" w:h="16840"/>
          <w:pgMar w:header="907" w:footer="1013" w:top="1100" w:bottom="1200" w:left="1020" w:right="1020"/>
        </w:sectPr>
      </w:pPr>
    </w:p>
    <w:p>
      <w:pPr>
        <w:spacing w:line="240" w:lineRule="auto" w:before="9"/>
        <w:rPr>
          <w:rFonts w:ascii="宋体" w:hAnsi="宋体" w:cs="宋体" w:eastAsia="宋体" w:hint="default"/>
          <w:sz w:val="27"/>
          <w:szCs w:val="27"/>
        </w:rPr>
      </w:pPr>
    </w:p>
    <w:p>
      <w:pPr>
        <w:spacing w:before="34"/>
        <w:ind w:left="532" w:right="157" w:firstLine="0"/>
        <w:jc w:val="left"/>
        <w:rPr>
          <w:rFonts w:ascii="宋体" w:hAnsi="宋体" w:cs="宋体" w:eastAsia="宋体" w:hint="default"/>
          <w:sz w:val="21"/>
          <w:szCs w:val="21"/>
        </w:rPr>
      </w:pPr>
      <w:r>
        <w:rPr>
          <w:rFonts w:ascii="宋体" w:hAnsi="宋体" w:cs="宋体" w:eastAsia="宋体" w:hint="default"/>
          <w:sz w:val="21"/>
          <w:szCs w:val="21"/>
        </w:rPr>
        <w:t>股份变动的批准情况</w:t>
      </w:r>
      <w:r>
        <w:rPr>
          <w:rFonts w:ascii="宋体" w:hAnsi="宋体" w:cs="宋体" w:eastAsia="宋体" w:hint="default"/>
          <w:spacing w:val="-5"/>
          <w:sz w:val="21"/>
          <w:szCs w:val="21"/>
        </w:rPr>
        <w:t> </w:t>
      </w:r>
      <w:r>
        <w:rPr>
          <w:rFonts w:ascii="宋体" w:hAnsi="宋体" w:cs="宋体" w:eastAsia="宋体" w:hint="default"/>
          <w:sz w:val="21"/>
          <w:szCs w:val="21"/>
        </w:rPr>
        <w:t>：</w:t>
      </w:r>
    </w:p>
    <w:p>
      <w:pPr>
        <w:spacing w:line="240" w:lineRule="auto" w:before="10"/>
        <w:rPr>
          <w:rFonts w:ascii="宋体" w:hAnsi="宋体" w:cs="宋体" w:eastAsia="宋体" w:hint="default"/>
          <w:sz w:val="14"/>
          <w:szCs w:val="14"/>
        </w:rPr>
      </w:pPr>
    </w:p>
    <w:p>
      <w:pPr>
        <w:spacing w:line="408" w:lineRule="auto" w:before="0"/>
        <w:ind w:left="112" w:right="157" w:firstLine="420"/>
        <w:jc w:val="left"/>
        <w:rPr>
          <w:rFonts w:ascii="宋体" w:hAnsi="宋体" w:cs="宋体" w:eastAsia="宋体" w:hint="default"/>
          <w:sz w:val="21"/>
          <w:szCs w:val="21"/>
        </w:rPr>
      </w:pPr>
      <w:r>
        <w:rPr>
          <w:rFonts w:ascii="宋体" w:hAnsi="宋体" w:cs="宋体" w:eastAsia="宋体" w:hint="default"/>
          <w:w w:val="95"/>
          <w:sz w:val="21"/>
          <w:szCs w:val="21"/>
        </w:rPr>
        <w:t>（1）2016年7月26日，经中国证券监督管理委员会上市公司并购重组审核委员会2016年第52次工作会</w:t>
      </w:r>
      <w:r>
        <w:rPr>
          <w:rFonts w:ascii="宋体" w:hAnsi="宋体" w:cs="宋体" w:eastAsia="宋体" w:hint="default"/>
          <w:w w:val="99"/>
          <w:sz w:val="21"/>
          <w:szCs w:val="21"/>
        </w:rPr>
        <w:t> </w:t>
      </w:r>
      <w:r>
        <w:rPr>
          <w:rFonts w:ascii="宋体" w:hAnsi="宋体" w:cs="宋体" w:eastAsia="宋体" w:hint="default"/>
          <w:w w:val="95"/>
          <w:sz w:val="21"/>
          <w:szCs w:val="21"/>
        </w:rPr>
        <w:t>议审核，尤洛卡公司发行股份及支付现金购买资产并募集配套资金暨关联交易事项获得无条件通过。2016</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年9月27日，公司收到了中国证监会《关于核准尤洛卡矿业安全工程股份有限公司向李巍屹等发行股份购</w:t>
      </w:r>
      <w:r>
        <w:rPr>
          <w:rFonts w:ascii="宋体" w:hAnsi="宋体" w:cs="宋体" w:eastAsia="宋体" w:hint="default"/>
          <w:w w:val="99"/>
          <w:sz w:val="21"/>
          <w:szCs w:val="21"/>
        </w:rPr>
        <w:t> </w:t>
      </w:r>
      <w:r>
        <w:rPr>
          <w:rFonts w:ascii="宋体" w:hAnsi="宋体" w:cs="宋体" w:eastAsia="宋体" w:hint="default"/>
          <w:spacing w:val="-7"/>
          <w:w w:val="99"/>
          <w:sz w:val="21"/>
          <w:szCs w:val="21"/>
        </w:rPr>
        <w:t>买资产并募集配套资金的批复》【证监许可〔2016〕2040号】。</w:t>
      </w:r>
      <w:r>
        <w:rPr>
          <w:rFonts w:ascii="宋体" w:hAnsi="宋体" w:cs="宋体" w:eastAsia="宋体" w:hint="default"/>
          <w:spacing w:val="-7"/>
          <w:sz w:val="21"/>
          <w:szCs w:val="21"/>
        </w:rPr>
      </w:r>
    </w:p>
    <w:p>
      <w:pPr>
        <w:spacing w:line="408" w:lineRule="auto" w:before="46"/>
        <w:ind w:left="112" w:right="111" w:firstLine="420"/>
        <w:jc w:val="left"/>
        <w:rPr>
          <w:rFonts w:ascii="宋体" w:hAnsi="宋体" w:cs="宋体" w:eastAsia="宋体" w:hint="default"/>
          <w:sz w:val="21"/>
          <w:szCs w:val="21"/>
        </w:rPr>
      </w:pPr>
      <w:r>
        <w:rPr>
          <w:rFonts w:ascii="宋体" w:hAnsi="宋体" w:cs="宋体" w:eastAsia="宋体" w:hint="default"/>
          <w:w w:val="95"/>
          <w:sz w:val="21"/>
          <w:szCs w:val="21"/>
        </w:rPr>
        <w:t>（2）2017年11月8日，公司分别召开了第四届董事会第六次会议和第四届监事会第六次会议，审议通</w:t>
      </w:r>
      <w:r>
        <w:rPr>
          <w:rFonts w:ascii="宋体" w:hAnsi="宋体" w:cs="宋体" w:eastAsia="宋体" w:hint="default"/>
          <w:w w:val="99"/>
          <w:sz w:val="21"/>
          <w:szCs w:val="21"/>
        </w:rPr>
        <w:t> </w:t>
      </w:r>
      <w:r>
        <w:rPr>
          <w:rFonts w:ascii="宋体" w:hAnsi="宋体" w:cs="宋体" w:eastAsia="宋体" w:hint="default"/>
          <w:spacing w:val="-6"/>
          <w:w w:val="99"/>
          <w:sz w:val="21"/>
          <w:szCs w:val="21"/>
        </w:rPr>
        <w:t>过了《关于公司&lt;限制性股票激励计划（2017-2019）（草案）&gt;及其摘要的议案》、《关于公司&lt;限制性股票</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5"/>
          <w:w w:val="99"/>
          <w:sz w:val="21"/>
          <w:szCs w:val="21"/>
        </w:rPr>
        <w:t>激励计划（2017-2019）实施考核管理办法&gt;的议案》、《关于提请股东大会授权董事会办理公司限制性股票</w:t>
      </w:r>
      <w:r>
        <w:rPr>
          <w:rFonts w:ascii="宋体" w:hAnsi="宋体" w:cs="宋体" w:eastAsia="宋体" w:hint="default"/>
          <w:spacing w:val="-56"/>
          <w:w w:val="99"/>
          <w:sz w:val="21"/>
          <w:szCs w:val="21"/>
        </w:rPr>
        <w:t> </w:t>
      </w:r>
      <w:r>
        <w:rPr>
          <w:rFonts w:ascii="宋体" w:hAnsi="宋体" w:cs="宋体" w:eastAsia="宋体" w:hint="default"/>
          <w:spacing w:val="-56"/>
          <w:w w:val="99"/>
          <w:sz w:val="21"/>
          <w:szCs w:val="21"/>
        </w:rPr>
      </w:r>
      <w:r>
        <w:rPr>
          <w:rFonts w:ascii="宋体" w:hAnsi="宋体" w:cs="宋体" w:eastAsia="宋体" w:hint="default"/>
          <w:spacing w:val="-2"/>
          <w:w w:val="99"/>
          <w:sz w:val="21"/>
          <w:szCs w:val="21"/>
        </w:rPr>
        <w:t>激励计划（2017-2019）有关事项的议案》，上述议案经2017年第二次临时股东大会审议通过。公司于2017</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w w:val="95"/>
          <w:sz w:val="21"/>
          <w:szCs w:val="21"/>
        </w:rPr>
        <w:t>年11月29日分别召开第四届董事会2017年第七次会议和第四届监事会2017年第七次会议，审议通过了《关</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4"/>
          <w:w w:val="99"/>
          <w:sz w:val="21"/>
          <w:szCs w:val="21"/>
        </w:rPr>
        <w:t>于调整限制性股票激励计划（2017-2019）授予数量的议案》、《关于向激励对象首次授予限制性股票的议</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2"/>
          <w:w w:val="99"/>
          <w:sz w:val="21"/>
          <w:szCs w:val="21"/>
        </w:rPr>
        <w:t>案》，确定了2017年11月29日为授予日，向符合条件的174名激励对象授予888万股限制性股票，公司董事</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会实施并完成了激励计划的授予、登记工作。</w:t>
      </w:r>
    </w:p>
    <w:p>
      <w:pPr>
        <w:spacing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股份变动的过户情况：</w:t>
      </w:r>
    </w:p>
    <w:p>
      <w:pPr>
        <w:spacing w:line="240" w:lineRule="auto" w:before="10"/>
        <w:rPr>
          <w:rFonts w:ascii="宋体" w:hAnsi="宋体" w:cs="宋体" w:eastAsia="宋体" w:hint="default"/>
          <w:sz w:val="14"/>
          <w:szCs w:val="14"/>
        </w:rPr>
      </w:pPr>
    </w:p>
    <w:p>
      <w:pPr>
        <w:spacing w:line="408" w:lineRule="auto"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3"/>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w w:val="95"/>
          <w:sz w:val="21"/>
          <w:szCs w:val="21"/>
        </w:rPr>
        <w:t>股份变动对最近一年和最近一期基本每股收益和稀释每股收益、归属于公司普通股股东的每股净资产</w:t>
      </w:r>
      <w:r>
        <w:rPr>
          <w:rFonts w:ascii="宋体" w:hAnsi="宋体" w:cs="宋体" w:eastAsia="宋体" w:hint="default"/>
          <w:sz w:val="21"/>
          <w:szCs w:val="21"/>
        </w:rPr>
      </w:r>
    </w:p>
    <w:p>
      <w:pPr>
        <w:spacing w:before="46"/>
        <w:ind w:left="112" w:right="157" w:firstLine="0"/>
        <w:jc w:val="left"/>
        <w:rPr>
          <w:rFonts w:ascii="宋体" w:hAnsi="宋体" w:cs="宋体" w:eastAsia="宋体" w:hint="default"/>
          <w:sz w:val="21"/>
          <w:szCs w:val="21"/>
        </w:rPr>
      </w:pPr>
      <w:r>
        <w:rPr>
          <w:rFonts w:ascii="宋体" w:hAnsi="宋体" w:cs="宋体" w:eastAsia="宋体" w:hint="default"/>
          <w:sz w:val="21"/>
          <w:szCs w:val="21"/>
        </w:rPr>
        <w:t>等财务指标的影响：</w:t>
      </w:r>
    </w:p>
    <w:p>
      <w:pPr>
        <w:spacing w:line="240" w:lineRule="auto" w:before="10"/>
        <w:rPr>
          <w:rFonts w:ascii="宋体" w:hAnsi="宋体" w:cs="宋体" w:eastAsia="宋体" w:hint="default"/>
          <w:sz w:val="14"/>
          <w:szCs w:val="14"/>
        </w:rPr>
      </w:pPr>
    </w:p>
    <w:p>
      <w:pPr>
        <w:spacing w:line="408" w:lineRule="auto" w:before="0"/>
        <w:ind w:left="112" w:right="195" w:firstLine="420"/>
        <w:jc w:val="both"/>
        <w:rPr>
          <w:rFonts w:ascii="宋体" w:hAnsi="宋体" w:cs="宋体" w:eastAsia="宋体" w:hint="default"/>
          <w:sz w:val="21"/>
          <w:szCs w:val="21"/>
        </w:rPr>
      </w:pPr>
      <w:r>
        <w:rPr>
          <w:rFonts w:ascii="宋体" w:hAnsi="宋体" w:cs="宋体" w:eastAsia="宋体" w:hint="default"/>
          <w:sz w:val="21"/>
          <w:szCs w:val="21"/>
        </w:rPr>
        <w:t>2017年度公司基本每股收益为0.15元、稀释每股收益为0.15元，</w:t>
      </w:r>
      <w:r>
        <w:rPr>
          <w:rFonts w:ascii="宋体" w:hAnsi="宋体" w:cs="宋体" w:eastAsia="宋体" w:hint="default"/>
          <w:spacing w:val="-17"/>
          <w:sz w:val="21"/>
          <w:szCs w:val="21"/>
        </w:rPr>
        <w:t> </w:t>
      </w:r>
      <w:r>
        <w:rPr>
          <w:rFonts w:ascii="宋体" w:hAnsi="宋体" w:cs="宋体" w:eastAsia="宋体" w:hint="default"/>
          <w:sz w:val="21"/>
          <w:szCs w:val="21"/>
        </w:rPr>
        <w:t>2016年度公司基本每股收益为0.05</w:t>
      </w:r>
      <w:r>
        <w:rPr>
          <w:rFonts w:ascii="宋体" w:hAnsi="宋体" w:cs="宋体" w:eastAsia="宋体" w:hint="default"/>
          <w:w w:val="99"/>
          <w:sz w:val="21"/>
          <w:szCs w:val="21"/>
        </w:rPr>
        <w:t> </w:t>
      </w:r>
      <w:r>
        <w:rPr>
          <w:rFonts w:ascii="宋体" w:hAnsi="宋体" w:cs="宋体" w:eastAsia="宋体" w:hint="default"/>
          <w:w w:val="95"/>
          <w:sz w:val="21"/>
          <w:szCs w:val="21"/>
        </w:rPr>
        <w:t>元、稀释每股收益为0.05元。2017年度归属于公司普通股股东的每股净资产为2.58元/股，2016年度归属</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于公司普通股股东的每股净资产为2.47元/股。</w:t>
      </w:r>
    </w:p>
    <w:p>
      <w:pPr>
        <w:spacing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公司认为必要或证券监管机构要求披露的其他内容：</w:t>
      </w:r>
    </w:p>
    <w:p>
      <w:pPr>
        <w:spacing w:line="240" w:lineRule="auto" w:before="10"/>
        <w:rPr>
          <w:rFonts w:ascii="宋体" w:hAnsi="宋体" w:cs="宋体" w:eastAsia="宋体" w:hint="default"/>
          <w:sz w:val="14"/>
          <w:szCs w:val="14"/>
        </w:rPr>
      </w:pPr>
    </w:p>
    <w:p>
      <w:pPr>
        <w:spacing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8" w:right="139"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9" w:right="137"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38"/>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85" w:right="133"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357"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减持股份的数</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152,820,610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152,820,610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量不超过其所</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持股份总数的</w:t>
            </w:r>
          </w:p>
        </w:tc>
      </w:tr>
      <w:tr>
        <w:trPr>
          <w:trHeight w:val="355"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减持股份的数</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10,575,815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10,575,815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量不超过其所</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持股份总数的</w:t>
            </w:r>
          </w:p>
        </w:tc>
      </w:tr>
      <w:tr>
        <w:trPr>
          <w:trHeight w:val="358"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减持股份的数</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281,997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281,997</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量不超过其所</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持股份总数的</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任职期间每年</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减持股份的数</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2,562,504</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3,075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2,565,579</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高管限售</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量不超过其所</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持股份总数的</w:t>
            </w:r>
          </w:p>
        </w:tc>
      </w:tr>
      <w:tr>
        <w:trPr>
          <w:trHeight w:val="358"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68"/>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4,400,978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4,400,978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p>
            <w:pPr>
              <w:pStyle w:val="TableParagraph"/>
              <w:spacing w:line="240" w:lineRule="auto" w:before="7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日起限售一年</w:t>
            </w: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创业创新资本</w:t>
            </w: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－一创资本可</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4,400,978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4,400,978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交债卧龙一号</w:t>
            </w: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日起限售一年</w:t>
            </w:r>
          </w:p>
        </w:tc>
      </w:tr>
      <w:tr>
        <w:trPr>
          <w:trHeight w:val="358" w:hRule="exact"/>
        </w:trPr>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私募投资基金</w:t>
            </w: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3,924,205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3,924,205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日起限售一年</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68"/>
              <w:jc w:val="left"/>
              <w:rPr>
                <w:rFonts w:ascii="宋体" w:hAnsi="宋体" w:cs="宋体" w:eastAsia="宋体" w:hint="default"/>
                <w:sz w:val="18"/>
                <w:szCs w:val="18"/>
              </w:rPr>
            </w:pPr>
            <w:r>
              <w:rPr>
                <w:rFonts w:ascii="宋体" w:hAnsi="宋体" w:cs="宋体" w:eastAsia="宋体" w:hint="default"/>
                <w:sz w:val="18"/>
                <w:szCs w:val="18"/>
              </w:rPr>
              <w:t>财通基金管理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9,278,728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9,278,728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p>
            <w:pPr>
              <w:pStyle w:val="TableParagraph"/>
              <w:spacing w:line="240" w:lineRule="auto" w:before="7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日起限售一年</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5,249,448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5,249,448</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日起限售三年</w:t>
            </w: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季宗生</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3,395,615</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3,395,615</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tc>
      </w:tr>
      <w:tr>
        <w:trPr>
          <w:trHeight w:val="353"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日起限售三年</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2,859,022</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2,859,022</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tc>
      </w:tr>
      <w:tr>
        <w:trPr>
          <w:trHeight w:val="352"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日起限售三年</w:t>
            </w:r>
          </w:p>
        </w:tc>
      </w:tr>
      <w:tr>
        <w:trPr>
          <w:trHeight w:val="356"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vMerge w:val="restart"/>
            <w:tcBorders>
              <w:top w:val="single" w:sz="4" w:space="0" w:color="000000"/>
              <w:left w:val="single" w:sz="4" w:space="0" w:color="000000"/>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2,161,398</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2,161,398</w:t>
            </w:r>
          </w:p>
        </w:tc>
        <w:tc>
          <w:tcPr>
            <w:tcW w:w="1369" w:type="dxa"/>
            <w:vMerge/>
            <w:tcBorders>
              <w:left w:val="single" w:sz="4" w:space="0" w:color="000000"/>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tc>
      </w:tr>
      <w:tr>
        <w:trPr>
          <w:trHeight w:val="351"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vMerge/>
            <w:tcBorders>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日起限售三年</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2"/>
        <w:gridCol w:w="1369"/>
        <w:gridCol w:w="1369"/>
        <w:gridCol w:w="1369"/>
        <w:gridCol w:w="1369"/>
        <w:gridCol w:w="1369"/>
        <w:gridCol w:w="1362"/>
      </w:tblGrid>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康建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771,927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771,927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69"/>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自上市日期</w:t>
            </w:r>
          </w:p>
          <w:p>
            <w:pPr>
              <w:pStyle w:val="TableParagraph"/>
              <w:spacing w:line="240" w:lineRule="auto" w:before="76"/>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日起限售三年</w:t>
            </w:r>
          </w:p>
        </w:tc>
      </w:tr>
      <w:tr>
        <w:trPr>
          <w:trHeight w:val="358" w:hRule="exact"/>
        </w:trPr>
        <w:tc>
          <w:tcPr>
            <w:tcW w:w="1362"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9" w:type="dxa"/>
            <w:tcBorders>
              <w:top w:val="single" w:sz="4" w:space="0" w:color="000000"/>
              <w:left w:val="single" w:sz="4" w:space="0" w:color="000000"/>
              <w:bottom w:val="nil" w:sz="6" w:space="0" w:color="auto"/>
              <w:right w:val="single" w:sz="4" w:space="0" w:color="000000"/>
            </w:tcBorders>
          </w:tcPr>
          <w:p>
            <w:pPr/>
          </w:p>
        </w:tc>
        <w:tc>
          <w:tcPr>
            <w:tcW w:w="13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本激励计划授</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予的限制性股</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票限售期为自</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相应授予完成</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r>
      <w:tr>
        <w:trPr>
          <w:trHeight w:val="931" w:hRule="exact"/>
        </w:trPr>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10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赵志刚等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名激励对象</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1"/>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2"/>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100"/>
              <w:jc w:val="right"/>
              <w:rPr>
                <w:rFonts w:ascii="Times New Roman" w:hAnsi="Times New Roman" w:cs="Times New Roman" w:eastAsia="Times New Roman" w:hint="default"/>
                <w:sz w:val="18"/>
                <w:szCs w:val="18"/>
              </w:rPr>
            </w:pPr>
            <w:r>
              <w:rPr>
                <w:rFonts w:ascii="Times New Roman"/>
                <w:spacing w:val="-1"/>
                <w:sz w:val="18"/>
              </w:rPr>
              <w:t>8,880,000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8,880,000</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103" w:right="173"/>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102" w:right="167"/>
              <w:jc w:val="both"/>
              <w:rPr>
                <w:rFonts w:ascii="宋体" w:hAnsi="宋体" w:cs="宋体" w:eastAsia="宋体" w:hint="default"/>
                <w:sz w:val="18"/>
                <w:szCs w:val="18"/>
              </w:rPr>
            </w:pPr>
            <w:r>
              <w:rPr>
                <w:rFonts w:ascii="宋体" w:hAnsi="宋体" w:cs="宋体" w:eastAsia="宋体" w:hint="default"/>
                <w:sz w:val="18"/>
                <w:szCs w:val="18"/>
              </w:rPr>
              <w:t>月。满足解除 限售条件的， 激励对象可以</w:t>
            </w:r>
          </w:p>
        </w:tc>
      </w:tr>
      <w:tr>
        <w:trPr>
          <w:trHeight w:val="31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在未来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个月</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内按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r>
      <w:tr>
        <w:trPr>
          <w:trHeight w:val="312"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的比</w:t>
            </w:r>
          </w:p>
        </w:tc>
      </w:tr>
      <w:tr>
        <w:trPr>
          <w:trHeight w:val="307" w:hRule="exact"/>
        </w:trPr>
        <w:tc>
          <w:tcPr>
            <w:tcW w:w="1362"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9" w:type="dxa"/>
            <w:tcBorders>
              <w:top w:val="nil" w:sz="6" w:space="0" w:color="auto"/>
              <w:left w:val="single" w:sz="4" w:space="0" w:color="000000"/>
              <w:bottom w:val="nil" w:sz="6" w:space="0" w:color="auto"/>
              <w:right w:val="single" w:sz="4" w:space="0" w:color="000000"/>
            </w:tcBorders>
          </w:tcPr>
          <w:p>
            <w:pPr/>
          </w:p>
        </w:tc>
        <w:tc>
          <w:tcPr>
            <w:tcW w:w="136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2" w:right="0"/>
              <w:jc w:val="left"/>
              <w:rPr>
                <w:rFonts w:ascii="宋体" w:hAnsi="宋体" w:cs="宋体" w:eastAsia="宋体" w:hint="default"/>
                <w:sz w:val="18"/>
                <w:szCs w:val="18"/>
              </w:rPr>
            </w:pPr>
            <w:r>
              <w:rPr>
                <w:rFonts w:ascii="宋体" w:hAnsi="宋体" w:cs="宋体" w:eastAsia="宋体" w:hint="default"/>
                <w:sz w:val="18"/>
                <w:szCs w:val="18"/>
              </w:rPr>
              <w:t>例分三期解除</w:t>
            </w:r>
          </w:p>
        </w:tc>
      </w:tr>
      <w:tr>
        <w:trPr>
          <w:trHeight w:val="356" w:hRule="exact"/>
        </w:trPr>
        <w:tc>
          <w:tcPr>
            <w:tcW w:w="1362"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9" w:type="dxa"/>
            <w:tcBorders>
              <w:top w:val="nil" w:sz="6" w:space="0" w:color="auto"/>
              <w:left w:val="single" w:sz="4" w:space="0" w:color="000000"/>
              <w:bottom w:val="single" w:sz="4" w:space="0" w:color="000000"/>
              <w:right w:val="single" w:sz="4" w:space="0" w:color="000000"/>
            </w:tcBorders>
          </w:tcPr>
          <w:p>
            <w:pPr/>
          </w:p>
        </w:tc>
        <w:tc>
          <w:tcPr>
            <w:tcW w:w="13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限售。</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180,678,336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14,437,410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30,887,964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197,128,890</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157"/>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12"/>
        <w:gridCol w:w="1293"/>
        <w:gridCol w:w="1295"/>
        <w:gridCol w:w="1295"/>
        <w:gridCol w:w="1296"/>
        <w:gridCol w:w="1295"/>
        <w:gridCol w:w="1683"/>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158"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3" w:right="101" w:hanging="269"/>
              <w:jc w:val="left"/>
              <w:rPr>
                <w:rFonts w:ascii="宋体" w:hAnsi="宋体" w:cs="宋体" w:eastAsia="宋体" w:hint="default"/>
                <w:sz w:val="18"/>
                <w:szCs w:val="18"/>
              </w:rPr>
            </w:pPr>
            <w:r>
              <w:rPr>
                <w:rFonts w:ascii="宋体" w:hAnsi="宋体" w:cs="宋体" w:eastAsia="宋体" w:hint="default"/>
                <w:sz w:val="18"/>
                <w:szCs w:val="18"/>
              </w:rPr>
              <w:t>发行价格（或 利率）</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2" w:right="190" w:hanging="180"/>
              <w:jc w:val="left"/>
              <w:rPr>
                <w:rFonts w:ascii="宋体" w:hAnsi="宋体" w:cs="宋体" w:eastAsia="宋体" w:hint="default"/>
                <w:sz w:val="18"/>
                <w:szCs w:val="18"/>
              </w:rPr>
            </w:pPr>
            <w:r>
              <w:rPr>
                <w:rFonts w:ascii="宋体" w:hAnsi="宋体" w:cs="宋体" w:eastAsia="宋体" w:hint="default"/>
                <w:sz w:val="18"/>
                <w:szCs w:val="18"/>
              </w:rPr>
              <w:t>获准上市交 易数量</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非公开发行</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8.18</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22,004,889</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22,004,889</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218"/>
              <w:jc w:val="left"/>
              <w:rPr>
                <w:rFonts w:ascii="宋体" w:hAnsi="宋体" w:cs="宋体" w:eastAsia="宋体" w:hint="default"/>
                <w:sz w:val="18"/>
                <w:szCs w:val="18"/>
              </w:rPr>
            </w:pPr>
            <w:r>
              <w:rPr>
                <w:rFonts w:ascii="宋体" w:hAnsi="宋体" w:cs="宋体" w:eastAsia="宋体" w:hint="default"/>
                <w:sz w:val="18"/>
                <w:szCs w:val="18"/>
              </w:rPr>
              <w:t>向激励对象发 行</w:t>
            </w:r>
          </w:p>
        </w:tc>
        <w:tc>
          <w:tcPr>
            <w:tcW w:w="1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4.03</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8,880,000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8,880,000</w:t>
            </w:r>
          </w:p>
        </w:tc>
        <w:tc>
          <w:tcPr>
            <w:tcW w:w="168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64"/>
        <w:ind w:left="532" w:right="157" w:firstLine="0"/>
        <w:jc w:val="left"/>
        <w:rPr>
          <w:rFonts w:ascii="宋体" w:hAnsi="宋体" w:cs="宋体" w:eastAsia="宋体" w:hint="default"/>
          <w:sz w:val="21"/>
          <w:szCs w:val="21"/>
        </w:rPr>
      </w:pPr>
      <w:r>
        <w:rPr>
          <w:rFonts w:ascii="宋体" w:hAnsi="宋体" w:cs="宋体" w:eastAsia="宋体" w:hint="default"/>
          <w:sz w:val="21"/>
          <w:szCs w:val="21"/>
        </w:rPr>
        <w:t>报告期内证券发行（不含优先股）情况的说明：</w:t>
      </w:r>
    </w:p>
    <w:p>
      <w:pPr>
        <w:spacing w:line="240" w:lineRule="auto" w:before="10"/>
        <w:rPr>
          <w:rFonts w:ascii="宋体" w:hAnsi="宋体" w:cs="宋体" w:eastAsia="宋体" w:hint="default"/>
          <w:sz w:val="14"/>
          <w:szCs w:val="14"/>
        </w:rPr>
      </w:pPr>
    </w:p>
    <w:p>
      <w:pPr>
        <w:spacing w:line="408" w:lineRule="auto" w:before="0"/>
        <w:ind w:left="112" w:right="0" w:firstLine="420"/>
        <w:jc w:val="left"/>
        <w:rPr>
          <w:rFonts w:ascii="宋体" w:hAnsi="宋体" w:cs="宋体" w:eastAsia="宋体" w:hint="default"/>
          <w:sz w:val="21"/>
          <w:szCs w:val="21"/>
        </w:rPr>
      </w:pPr>
      <w:r>
        <w:rPr>
          <w:rFonts w:ascii="宋体" w:hAnsi="宋体" w:cs="宋体" w:eastAsia="宋体" w:hint="default"/>
          <w:sz w:val="21"/>
          <w:szCs w:val="21"/>
        </w:rPr>
        <w:t>（1）据中国证监会《关于核准尤洛卡矿业安全工程股份有限公司向李巍屹等发行股份购买资产并募</w:t>
      </w:r>
      <w:r>
        <w:rPr>
          <w:rFonts w:ascii="宋体" w:hAnsi="宋体" w:cs="宋体" w:eastAsia="宋体" w:hint="default"/>
          <w:w w:val="99"/>
          <w:sz w:val="21"/>
          <w:szCs w:val="21"/>
        </w:rPr>
        <w:t> </w:t>
      </w:r>
      <w:r>
        <w:rPr>
          <w:rFonts w:ascii="宋体" w:hAnsi="宋体" w:cs="宋体" w:eastAsia="宋体" w:hint="default"/>
          <w:spacing w:val="-7"/>
          <w:w w:val="99"/>
          <w:sz w:val="21"/>
          <w:szCs w:val="21"/>
        </w:rPr>
        <w:t>集配套资金的批复》【证监许可〔2016〕2040号】。核准你公司非公开发行股份募集配套资金不超</w:t>
      </w:r>
      <w:r>
        <w:rPr>
          <w:rFonts w:ascii="宋体" w:hAnsi="宋体" w:cs="宋体" w:eastAsia="宋体" w:hint="default"/>
          <w:spacing w:val="14"/>
          <w:w w:val="99"/>
          <w:sz w:val="21"/>
          <w:szCs w:val="21"/>
        </w:rPr>
        <w:t> </w:t>
      </w:r>
      <w:r>
        <w:rPr>
          <w:rFonts w:ascii="宋体" w:hAnsi="宋体" w:cs="宋体" w:eastAsia="宋体" w:hint="default"/>
          <w:w w:val="99"/>
          <w:sz w:val="21"/>
          <w:szCs w:val="21"/>
        </w:rPr>
        <w:t>过18,000</w:t>
      </w:r>
      <w:r>
        <w:rPr>
          <w:rFonts w:ascii="宋体" w:hAnsi="宋体" w:cs="宋体" w:eastAsia="宋体" w:hint="default"/>
          <w:spacing w:val="-101"/>
          <w:w w:val="99"/>
          <w:sz w:val="21"/>
          <w:szCs w:val="21"/>
        </w:rPr>
        <w:t> </w:t>
      </w:r>
      <w:r>
        <w:rPr>
          <w:rFonts w:ascii="宋体" w:hAnsi="宋体" w:cs="宋体" w:eastAsia="宋体" w:hint="default"/>
          <w:spacing w:val="-101"/>
          <w:w w:val="99"/>
          <w:sz w:val="21"/>
          <w:szCs w:val="21"/>
        </w:rPr>
      </w:r>
      <w:r>
        <w:rPr>
          <w:rFonts w:ascii="宋体" w:hAnsi="宋体" w:cs="宋体" w:eastAsia="宋体" w:hint="default"/>
          <w:w w:val="95"/>
          <w:sz w:val="21"/>
          <w:szCs w:val="21"/>
        </w:rPr>
        <w:t>万元。本次非公开发行股份募集配套资金新增股份22,004,889.00股，并于2017年1月10日取得了中国证券</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pacing w:val="-2"/>
          <w:w w:val="99"/>
          <w:sz w:val="21"/>
          <w:szCs w:val="21"/>
        </w:rPr>
        <w:t>登记结算有限公司深圳分公司出具的《股份登记申请受理确认书》及《证券持有人名册》，本次新增股份</w:t>
      </w:r>
      <w:r>
        <w:rPr>
          <w:rFonts w:ascii="宋体" w:hAnsi="宋体" w:cs="宋体" w:eastAsia="宋体" w:hint="default"/>
          <w:spacing w:val="-95"/>
          <w:w w:val="99"/>
          <w:sz w:val="21"/>
          <w:szCs w:val="21"/>
        </w:rPr>
        <w:t> </w:t>
      </w:r>
      <w:r>
        <w:rPr>
          <w:rFonts w:ascii="宋体" w:hAnsi="宋体" w:cs="宋体" w:eastAsia="宋体" w:hint="default"/>
          <w:spacing w:val="-95"/>
          <w:w w:val="99"/>
          <w:sz w:val="21"/>
          <w:szCs w:val="21"/>
        </w:rPr>
      </w:r>
      <w:r>
        <w:rPr>
          <w:rFonts w:ascii="宋体" w:hAnsi="宋体" w:cs="宋体" w:eastAsia="宋体" w:hint="default"/>
          <w:sz w:val="21"/>
          <w:szCs w:val="21"/>
        </w:rPr>
        <w:t>上市日为</w:t>
      </w:r>
      <w:r>
        <w:rPr>
          <w:rFonts w:ascii="宋体" w:hAnsi="宋体" w:cs="宋体" w:eastAsia="宋体" w:hint="default"/>
          <w:spacing w:val="-9"/>
          <w:sz w:val="21"/>
          <w:szCs w:val="21"/>
        </w:rPr>
        <w:t> </w:t>
      </w:r>
      <w:r>
        <w:rPr>
          <w:rFonts w:ascii="宋体" w:hAnsi="宋体" w:cs="宋体" w:eastAsia="宋体" w:hint="default"/>
          <w:sz w:val="21"/>
          <w:szCs w:val="21"/>
        </w:rPr>
        <w:t>2017年1月19日。</w:t>
      </w:r>
    </w:p>
    <w:p>
      <w:pPr>
        <w:spacing w:after="0" w:line="408" w:lineRule="auto"/>
        <w:jc w:val="left"/>
        <w:rPr>
          <w:rFonts w:ascii="宋体" w:hAnsi="宋体" w:cs="宋体" w:eastAsia="宋体" w:hint="default"/>
          <w:sz w:val="21"/>
          <w:szCs w:val="21"/>
        </w:rPr>
        <w:sectPr>
          <w:pgSz w:w="11910" w:h="16840"/>
          <w:pgMar w:header="907" w:footer="1013" w:top="1100" w:bottom="1200" w:left="1020" w:right="1020"/>
        </w:sectPr>
      </w:pPr>
    </w:p>
    <w:p>
      <w:pPr>
        <w:spacing w:line="240" w:lineRule="auto" w:before="9"/>
        <w:rPr>
          <w:rFonts w:ascii="宋体" w:hAnsi="宋体" w:cs="宋体" w:eastAsia="宋体" w:hint="default"/>
          <w:sz w:val="27"/>
          <w:szCs w:val="27"/>
        </w:rPr>
      </w:pPr>
    </w:p>
    <w:p>
      <w:pPr>
        <w:spacing w:line="408" w:lineRule="auto" w:before="34"/>
        <w:ind w:left="112" w:right="211" w:firstLine="420"/>
        <w:jc w:val="left"/>
        <w:rPr>
          <w:rFonts w:ascii="宋体" w:hAnsi="宋体" w:cs="宋体" w:eastAsia="宋体" w:hint="default"/>
          <w:sz w:val="21"/>
          <w:szCs w:val="21"/>
        </w:rPr>
      </w:pPr>
      <w:r>
        <w:rPr>
          <w:rFonts w:ascii="宋体" w:hAnsi="宋体" w:cs="宋体" w:eastAsia="宋体" w:hint="default"/>
          <w:w w:val="95"/>
          <w:sz w:val="21"/>
          <w:szCs w:val="21"/>
        </w:rPr>
        <w:t>（2）2017年11月8日，公司分别召开了第四届董事会第六次会议和第四届监事会第六次会议，审议通</w:t>
      </w:r>
      <w:r>
        <w:rPr>
          <w:rFonts w:ascii="宋体" w:hAnsi="宋体" w:cs="宋体" w:eastAsia="宋体" w:hint="default"/>
          <w:w w:val="99"/>
          <w:sz w:val="21"/>
          <w:szCs w:val="21"/>
        </w:rPr>
        <w:t> </w:t>
      </w:r>
      <w:r>
        <w:rPr>
          <w:rFonts w:ascii="宋体" w:hAnsi="宋体" w:cs="宋体" w:eastAsia="宋体" w:hint="default"/>
          <w:spacing w:val="-6"/>
          <w:w w:val="99"/>
          <w:sz w:val="21"/>
          <w:szCs w:val="21"/>
        </w:rPr>
        <w:t>过了《关于公司&lt;限制性股票激励计划（2017-2019）（草案）&gt;及其摘要的议案》、《关于公司&lt;限制性股票</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spacing w:val="-5"/>
          <w:w w:val="99"/>
          <w:sz w:val="21"/>
          <w:szCs w:val="21"/>
        </w:rPr>
        <w:t>激励计划（2017-2019）实施考核管理办法&gt;的议案》、《关于提请股东大会授权董事会办理公司限制性股票</w:t>
      </w:r>
      <w:r>
        <w:rPr>
          <w:rFonts w:ascii="宋体" w:hAnsi="宋体" w:cs="宋体" w:eastAsia="宋体" w:hint="default"/>
          <w:spacing w:val="-56"/>
          <w:w w:val="99"/>
          <w:sz w:val="21"/>
          <w:szCs w:val="21"/>
        </w:rPr>
        <w:t> </w:t>
      </w:r>
      <w:r>
        <w:rPr>
          <w:rFonts w:ascii="宋体" w:hAnsi="宋体" w:cs="宋体" w:eastAsia="宋体" w:hint="default"/>
          <w:spacing w:val="-56"/>
          <w:w w:val="99"/>
          <w:sz w:val="21"/>
          <w:szCs w:val="21"/>
        </w:rPr>
      </w:r>
      <w:r>
        <w:rPr>
          <w:rFonts w:ascii="宋体" w:hAnsi="宋体" w:cs="宋体" w:eastAsia="宋体" w:hint="default"/>
          <w:spacing w:val="-2"/>
          <w:w w:val="99"/>
          <w:sz w:val="21"/>
          <w:szCs w:val="21"/>
        </w:rPr>
        <w:t>激励计划（2017-2019）有关事项的议案》，上述议案经2017年第二次临时股东大会审议通过。公司于2017</w:t>
      </w:r>
      <w:r>
        <w:rPr>
          <w:rFonts w:ascii="宋体" w:hAnsi="宋体" w:cs="宋体" w:eastAsia="宋体" w:hint="default"/>
          <w:spacing w:val="-97"/>
          <w:w w:val="99"/>
          <w:sz w:val="21"/>
          <w:szCs w:val="21"/>
        </w:rPr>
        <w:t> </w:t>
      </w:r>
      <w:r>
        <w:rPr>
          <w:rFonts w:ascii="宋体" w:hAnsi="宋体" w:cs="宋体" w:eastAsia="宋体" w:hint="default"/>
          <w:spacing w:val="-97"/>
          <w:w w:val="99"/>
          <w:sz w:val="21"/>
          <w:szCs w:val="21"/>
        </w:rPr>
      </w:r>
      <w:r>
        <w:rPr>
          <w:rFonts w:ascii="宋体" w:hAnsi="宋体" w:cs="宋体" w:eastAsia="宋体" w:hint="default"/>
          <w:w w:val="95"/>
          <w:sz w:val="21"/>
          <w:szCs w:val="21"/>
        </w:rPr>
        <w:t>年11月29日分别召开第四届董事会2017年第七次会议和第四届监事会2017年第七次会议，审议通过了《关</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pacing w:val="-4"/>
          <w:w w:val="99"/>
          <w:sz w:val="21"/>
          <w:szCs w:val="21"/>
        </w:rPr>
        <w:t>于调整限制性股票激励计划（2017-2019）授予数量的议案》、《关于向激励对象首次授予限制性股票的议</w:t>
      </w:r>
      <w:r>
        <w:rPr>
          <w:rFonts w:ascii="宋体" w:hAnsi="宋体" w:cs="宋体" w:eastAsia="宋体" w:hint="default"/>
          <w:spacing w:val="-87"/>
          <w:w w:val="99"/>
          <w:sz w:val="21"/>
          <w:szCs w:val="21"/>
        </w:rPr>
        <w:t> </w:t>
      </w:r>
      <w:r>
        <w:rPr>
          <w:rFonts w:ascii="宋体" w:hAnsi="宋体" w:cs="宋体" w:eastAsia="宋体" w:hint="default"/>
          <w:spacing w:val="-87"/>
          <w:w w:val="99"/>
          <w:sz w:val="21"/>
          <w:szCs w:val="21"/>
        </w:rPr>
      </w:r>
      <w:r>
        <w:rPr>
          <w:rFonts w:ascii="宋体" w:hAnsi="宋体" w:cs="宋体" w:eastAsia="宋体" w:hint="default"/>
          <w:spacing w:val="-2"/>
          <w:w w:val="99"/>
          <w:sz w:val="21"/>
          <w:szCs w:val="21"/>
        </w:rPr>
        <w:t>案》，确定了2017年11月29日为授予日，向符合条件的174名激励对象授予888万股限制性股票，公司董事</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会实施并完成了激励计划的授予、登记工作。</w:t>
      </w:r>
    </w:p>
    <w:p>
      <w:pPr>
        <w:spacing w:line="240" w:lineRule="auto" w:before="8"/>
        <w:rPr>
          <w:rFonts w:ascii="宋体" w:hAnsi="宋体" w:cs="宋体" w:eastAsia="宋体" w:hint="default"/>
          <w:sz w:val="20"/>
          <w:szCs w:val="20"/>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pacing w:val="20"/>
          <w:sz w:val="21"/>
          <w:szCs w:val="21"/>
        </w:rPr>
        <w:t>公司非公开发行股份募集配套资金新增股份</w:t>
      </w:r>
      <w:r>
        <w:rPr>
          <w:rFonts w:ascii="宋体" w:hAnsi="宋体" w:cs="宋体" w:eastAsia="宋体" w:hint="default"/>
          <w:spacing w:val="-90"/>
          <w:sz w:val="21"/>
          <w:szCs w:val="21"/>
        </w:rPr>
        <w:t> </w:t>
      </w:r>
      <w:r>
        <w:rPr>
          <w:rFonts w:ascii="宋体" w:hAnsi="宋体" w:cs="宋体" w:eastAsia="宋体" w:hint="default"/>
          <w:sz w:val="21"/>
          <w:szCs w:val="21"/>
        </w:rPr>
        <w:t>22,004,889.00</w:t>
      </w:r>
      <w:r>
        <w:rPr>
          <w:rFonts w:ascii="宋体" w:hAnsi="宋体" w:cs="宋体" w:eastAsia="宋体" w:hint="default"/>
          <w:spacing w:val="-92"/>
          <w:sz w:val="21"/>
          <w:szCs w:val="21"/>
        </w:rPr>
        <w:t> </w:t>
      </w:r>
      <w:r>
        <w:rPr>
          <w:rFonts w:ascii="宋体" w:hAnsi="宋体" w:cs="宋体" w:eastAsia="宋体" w:hint="default"/>
          <w:spacing w:val="10"/>
          <w:sz w:val="21"/>
          <w:szCs w:val="21"/>
        </w:rPr>
        <w:t>股，</w:t>
      </w:r>
      <w:r>
        <w:rPr>
          <w:rFonts w:ascii="宋体" w:hAnsi="宋体" w:cs="宋体" w:eastAsia="宋体" w:hint="default"/>
          <w:spacing w:val="-91"/>
          <w:sz w:val="21"/>
          <w:szCs w:val="21"/>
        </w:rPr>
        <w:t> </w:t>
      </w:r>
      <w:r>
        <w:rPr>
          <w:rFonts w:ascii="宋体" w:hAnsi="宋体" w:cs="宋体" w:eastAsia="宋体" w:hint="default"/>
          <w:spacing w:val="19"/>
          <w:sz w:val="21"/>
          <w:szCs w:val="21"/>
        </w:rPr>
        <w:t>公司实施限制性股票激励计划</w:t>
      </w:r>
    </w:p>
    <w:p>
      <w:pPr>
        <w:spacing w:line="240" w:lineRule="auto" w:before="10"/>
        <w:rPr>
          <w:rFonts w:ascii="宋体" w:hAnsi="宋体" w:cs="宋体" w:eastAsia="宋体" w:hint="default"/>
          <w:sz w:val="14"/>
          <w:szCs w:val="14"/>
        </w:rPr>
      </w:pPr>
    </w:p>
    <w:p>
      <w:pPr>
        <w:spacing w:line="408" w:lineRule="auto" w:before="0"/>
        <w:ind w:left="112" w:right="105" w:firstLine="0"/>
        <w:jc w:val="left"/>
        <w:rPr>
          <w:rFonts w:ascii="宋体" w:hAnsi="宋体" w:cs="宋体" w:eastAsia="宋体" w:hint="default"/>
          <w:sz w:val="21"/>
          <w:szCs w:val="21"/>
        </w:rPr>
      </w:pPr>
      <w:r>
        <w:rPr>
          <w:rFonts w:ascii="宋体" w:hAnsi="宋体" w:cs="宋体" w:eastAsia="宋体" w:hint="default"/>
          <w:spacing w:val="-4"/>
          <w:w w:val="99"/>
          <w:sz w:val="21"/>
          <w:szCs w:val="21"/>
        </w:rPr>
        <w:t>（2017-2019），授予8,880,,000股限制性股票。公司股份总数由原来638,394,366股增加至669,279,255股，</w:t>
      </w:r>
      <w:r>
        <w:rPr>
          <w:rFonts w:ascii="宋体" w:hAnsi="宋体" w:cs="宋体" w:eastAsia="宋体" w:hint="default"/>
          <w:spacing w:val="-38"/>
          <w:w w:val="99"/>
          <w:sz w:val="21"/>
          <w:szCs w:val="21"/>
        </w:rPr>
        <w:t> </w:t>
      </w:r>
      <w:r>
        <w:rPr>
          <w:rFonts w:ascii="宋体" w:hAnsi="宋体" w:cs="宋体" w:eastAsia="宋体" w:hint="default"/>
          <w:spacing w:val="-38"/>
          <w:w w:val="99"/>
          <w:sz w:val="21"/>
          <w:szCs w:val="21"/>
        </w:rPr>
      </w:r>
      <w:r>
        <w:rPr>
          <w:rFonts w:ascii="宋体" w:hAnsi="宋体" w:cs="宋体" w:eastAsia="宋体" w:hint="default"/>
          <w:sz w:val="21"/>
          <w:szCs w:val="21"/>
        </w:rPr>
        <w:t>公司第一大股东合计持有本公司股份不变，持股比例变化至30.44%，不会导致公司第一大股东发生变化。</w:t>
      </w:r>
      <w:r>
        <w:rPr>
          <w:rFonts w:ascii="宋体" w:hAnsi="宋体" w:cs="宋体" w:eastAsia="宋体" w:hint="default"/>
          <w:w w:val="99"/>
          <w:sz w:val="21"/>
          <w:szCs w:val="21"/>
        </w:rPr>
        <w:t> </w:t>
      </w:r>
      <w:r>
        <w:rPr>
          <w:rFonts w:ascii="宋体" w:hAnsi="宋体" w:cs="宋体" w:eastAsia="宋体" w:hint="default"/>
          <w:sz w:val="21"/>
          <w:szCs w:val="21"/>
        </w:rPr>
        <w:t>上述事项实施完成后，公司货币资金增加53,562,000.00元，其中计入股本人民币30,884,889.00元，计入</w:t>
      </w:r>
      <w:r>
        <w:rPr>
          <w:rFonts w:ascii="宋体" w:hAnsi="宋体" w:cs="宋体" w:eastAsia="宋体" w:hint="default"/>
          <w:w w:val="99"/>
          <w:sz w:val="21"/>
          <w:szCs w:val="21"/>
        </w:rPr>
        <w:t> </w:t>
      </w:r>
      <w:r>
        <w:rPr>
          <w:rFonts w:ascii="宋体" w:hAnsi="宋体" w:cs="宋体" w:eastAsia="宋体" w:hint="default"/>
          <w:sz w:val="21"/>
          <w:szCs w:val="21"/>
        </w:rPr>
        <w:t>资本公积人民币177,679,498.14元。</w:t>
      </w:r>
    </w:p>
    <w:p>
      <w:pPr>
        <w:spacing w:line="240" w:lineRule="auto" w:before="8"/>
        <w:rPr>
          <w:rFonts w:ascii="宋体" w:hAnsi="宋体" w:cs="宋体" w:eastAsia="宋体" w:hint="default"/>
          <w:sz w:val="20"/>
          <w:szCs w:val="20"/>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、现存的内部职工股情况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31"/>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line="240" w:lineRule="auto" w:before="7"/>
        <w:rPr>
          <w:rFonts w:ascii="宋体" w:hAnsi="宋体" w:cs="宋体" w:eastAsia="宋体" w:hint="default"/>
          <w:b/>
          <w:bCs/>
          <w:sz w:val="24"/>
          <w:szCs w:val="24"/>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left="0" w:right="212"/>
        <w:jc w:val="right"/>
      </w:pPr>
      <w:r>
        <w:rPr/>
        <w:t>单位：股</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34"/>
        <w:gridCol w:w="135"/>
        <w:gridCol w:w="661"/>
        <w:gridCol w:w="750"/>
        <w:gridCol w:w="750"/>
        <w:gridCol w:w="824"/>
        <w:gridCol w:w="333"/>
        <w:gridCol w:w="456"/>
        <w:gridCol w:w="829"/>
        <w:gridCol w:w="796"/>
        <w:gridCol w:w="310"/>
        <w:gridCol w:w="1039"/>
        <w:gridCol w:w="290"/>
        <w:gridCol w:w="1059"/>
      </w:tblGrid>
      <w:tr>
        <w:trPr>
          <w:trHeight w:val="196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101" w:right="14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7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31,546</w:t>
            </w:r>
          </w:p>
        </w:tc>
        <w:tc>
          <w:tcPr>
            <w:tcW w:w="15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3" w:right="305"/>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33,680</w:t>
            </w:r>
          </w:p>
        </w:tc>
        <w:tc>
          <w:tcPr>
            <w:tcW w:w="12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90"/>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6" w:lineRule="auto" w:before="19"/>
              <w:ind w:left="102" w:right="57"/>
              <w:jc w:val="both"/>
              <w:rPr>
                <w:rFonts w:ascii="宋体" w:hAnsi="宋体" w:cs="宋体" w:eastAsia="宋体" w:hint="default"/>
                <w:sz w:val="18"/>
                <w:szCs w:val="18"/>
              </w:rPr>
            </w:pPr>
            <w:r>
              <w:rPr>
                <w:rFonts w:ascii="宋体" w:hAnsi="宋体" w:cs="宋体" w:eastAsia="宋体" w:hint="default"/>
                <w:spacing w:val="-21"/>
                <w:sz w:val="18"/>
                <w:szCs w:val="18"/>
              </w:rPr>
              <w:t>（如有）（参见</w:t>
            </w:r>
            <w:r>
              <w:rPr>
                <w:rFonts w:ascii="宋体" w:hAnsi="宋体" w:cs="宋体" w:eastAsia="宋体" w:hint="default"/>
                <w:sz w:val="18"/>
                <w:szCs w:val="18"/>
              </w:rPr>
              <w:t> 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3" w:right="102"/>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7"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98" w:right="7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56" w:right="116"/>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19" w:right="118"/>
              <w:jc w:val="both"/>
              <w:rPr>
                <w:rFonts w:ascii="宋体" w:hAnsi="宋体" w:cs="宋体" w:eastAsia="宋体" w:hint="default"/>
                <w:sz w:val="18"/>
                <w:szCs w:val="18"/>
              </w:rPr>
            </w:pPr>
            <w:r>
              <w:rPr>
                <w:rFonts w:ascii="宋体" w:hAnsi="宋体" w:cs="宋体" w:eastAsia="宋体" w:hint="default"/>
                <w:sz w:val="18"/>
                <w:szCs w:val="18"/>
              </w:rPr>
              <w:t>报告期 内增减 变动情</w:t>
            </w:r>
          </w:p>
        </w:tc>
        <w:tc>
          <w:tcPr>
            <w:tcW w:w="8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17" w:right="160"/>
              <w:jc w:val="both"/>
              <w:rPr>
                <w:rFonts w:ascii="宋体" w:hAnsi="宋体" w:cs="宋体" w:eastAsia="宋体" w:hint="default"/>
                <w:sz w:val="18"/>
                <w:szCs w:val="18"/>
              </w:rPr>
            </w:pPr>
            <w:r>
              <w:rPr>
                <w:rFonts w:ascii="宋体" w:hAnsi="宋体" w:cs="宋体" w:eastAsia="宋体" w:hint="default"/>
                <w:sz w:val="18"/>
                <w:szCs w:val="18"/>
              </w:rPr>
              <w:t>持有有 限售条 件的股</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2"/>
              <w:ind w:left="101" w:right="143"/>
              <w:jc w:val="both"/>
              <w:rPr>
                <w:rFonts w:ascii="宋体" w:hAnsi="宋体" w:cs="宋体" w:eastAsia="宋体" w:hint="default"/>
                <w:sz w:val="18"/>
                <w:szCs w:val="18"/>
              </w:rPr>
            </w:pPr>
            <w:r>
              <w:rPr>
                <w:rFonts w:ascii="宋体" w:hAnsi="宋体" w:cs="宋体" w:eastAsia="宋体" w:hint="default"/>
                <w:sz w:val="18"/>
                <w:szCs w:val="18"/>
              </w:rPr>
              <w:t>持有无 限售条 件的股</w:t>
            </w:r>
          </w:p>
        </w:tc>
        <w:tc>
          <w:tcPr>
            <w:tcW w:w="269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2"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89" w:type="dxa"/>
            <w:gridSpan w:val="2"/>
            <w:vMerge/>
            <w:tcBorders>
              <w:left w:val="single" w:sz="4" w:space="0" w:color="000000"/>
              <w:bottom w:val="single" w:sz="4" w:space="0" w:color="000000"/>
              <w:right w:val="single" w:sz="4" w:space="0" w:color="000000"/>
            </w:tcBorders>
            <w:shd w:val="clear" w:color="auto" w:fill="D2D2D2"/>
          </w:tcPr>
          <w:p>
            <w:pPr/>
          </w:p>
        </w:tc>
        <w:tc>
          <w:tcPr>
            <w:tcW w:w="829"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907" w:footer="1013" w:top="1100" w:bottom="1200" w:left="1020" w:right="9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69"/>
        <w:gridCol w:w="1411"/>
        <w:gridCol w:w="788"/>
        <w:gridCol w:w="786"/>
        <w:gridCol w:w="789"/>
        <w:gridCol w:w="786"/>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况</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17"/>
              <w:jc w:val="right"/>
              <w:rPr>
                <w:rFonts w:ascii="宋体" w:hAnsi="宋体" w:cs="宋体" w:eastAsia="宋体" w:hint="default"/>
                <w:sz w:val="18"/>
                <w:szCs w:val="18"/>
              </w:rPr>
            </w:pPr>
            <w:r>
              <w:rPr>
                <w:rFonts w:ascii="宋体" w:hAnsi="宋体" w:cs="宋体" w:eastAsia="宋体" w:hint="default"/>
                <w:sz w:val="18"/>
                <w:szCs w:val="18"/>
              </w:rPr>
              <w:t>份数量</w:t>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43"/>
              <w:jc w:val="right"/>
              <w:rPr>
                <w:rFonts w:ascii="宋体" w:hAnsi="宋体" w:cs="宋体" w:eastAsia="宋体" w:hint="default"/>
                <w:sz w:val="18"/>
                <w:szCs w:val="18"/>
              </w:rPr>
            </w:pPr>
            <w:r>
              <w:rPr>
                <w:rFonts w:ascii="宋体" w:hAnsi="宋体" w:cs="宋体" w:eastAsia="宋体" w:hint="default"/>
                <w:sz w:val="18"/>
                <w:szCs w:val="18"/>
              </w:rPr>
              <w:t>份数量</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30.44%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8" w:right="0"/>
              <w:jc w:val="left"/>
              <w:rPr>
                <w:rFonts w:ascii="Times New Roman" w:hAnsi="Times New Roman" w:cs="Times New Roman" w:eastAsia="Times New Roman" w:hint="default"/>
                <w:sz w:val="18"/>
                <w:szCs w:val="18"/>
              </w:rPr>
            </w:pPr>
            <w:r>
              <w:rPr>
                <w:rFonts w:ascii="Times New Roman"/>
                <w:sz w:val="18"/>
              </w:rPr>
              <w:t>203,76</w:t>
            </w:r>
          </w:p>
          <w:p>
            <w:pPr>
              <w:pStyle w:val="TableParagraph"/>
              <w:spacing w:line="240" w:lineRule="auto" w:before="105"/>
              <w:ind w:left="269" w:right="0"/>
              <w:jc w:val="left"/>
              <w:rPr>
                <w:rFonts w:ascii="Times New Roman" w:hAnsi="Times New Roman" w:cs="Times New Roman" w:eastAsia="Times New Roman" w:hint="default"/>
                <w:sz w:val="18"/>
                <w:szCs w:val="18"/>
              </w:rPr>
            </w:pPr>
            <w:r>
              <w:rPr>
                <w:rFonts w:ascii="Times New Roman"/>
                <w:sz w:val="18"/>
              </w:rPr>
              <w:t>0,813</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7" w:right="0"/>
              <w:jc w:val="left"/>
              <w:rPr>
                <w:rFonts w:ascii="Times New Roman" w:hAnsi="Times New Roman" w:cs="Times New Roman" w:eastAsia="Times New Roman" w:hint="default"/>
                <w:sz w:val="18"/>
                <w:szCs w:val="18"/>
              </w:rPr>
            </w:pPr>
            <w:r>
              <w:rPr>
                <w:rFonts w:ascii="Times New Roman"/>
                <w:sz w:val="18"/>
              </w:rPr>
              <w:t>152,82</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0,610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50,940,</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23,918,500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7.08%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516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47,381,</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516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5.83%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39,008,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522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-16500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39,008,</w:t>
            </w:r>
          </w:p>
          <w:p>
            <w:pPr>
              <w:pStyle w:val="TableParagraph"/>
              <w:spacing w:line="240" w:lineRule="auto" w:before="105"/>
              <w:ind w:left="457" w:right="0"/>
              <w:jc w:val="left"/>
              <w:rPr>
                <w:rFonts w:ascii="Times New Roman" w:hAnsi="Times New Roman" w:cs="Times New Roman" w:eastAsia="Times New Roman" w:hint="default"/>
                <w:sz w:val="18"/>
                <w:szCs w:val="18"/>
              </w:rPr>
            </w:pPr>
            <w:r>
              <w:rPr>
                <w:rFonts w:ascii="Times New Roman"/>
                <w:sz w:val="18"/>
              </w:rPr>
              <w:t>522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796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李继昌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796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16,812,</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796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王敬芝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15,284,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360</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15,284,</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360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2.11%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14,101,</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087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10,575,</w:t>
            </w:r>
          </w:p>
          <w:p>
            <w:pPr>
              <w:pStyle w:val="TableParagraph"/>
              <w:spacing w:line="240" w:lineRule="auto" w:before="105"/>
              <w:ind w:left="402" w:right="0"/>
              <w:jc w:val="left"/>
              <w:rPr>
                <w:rFonts w:ascii="Times New Roman" w:hAnsi="Times New Roman" w:cs="Times New Roman" w:eastAsia="Times New Roman" w:hint="default"/>
                <w:sz w:val="18"/>
                <w:szCs w:val="18"/>
              </w:rPr>
            </w:pPr>
            <w:r>
              <w:rPr>
                <w:rFonts w:ascii="Times New Roman"/>
                <w:sz w:val="18"/>
              </w:rPr>
              <w:t>815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3,525,2</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李巍峰</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5,604,2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66</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5,604,2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高伟</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2" w:right="0"/>
              <w:jc w:val="left"/>
              <w:rPr>
                <w:rFonts w:ascii="Times New Roman" w:hAnsi="Times New Roman" w:cs="Times New Roman" w:eastAsia="Times New Roman" w:hint="default"/>
                <w:sz w:val="18"/>
                <w:szCs w:val="18"/>
              </w:rPr>
            </w:pPr>
            <w:r>
              <w:rPr>
                <w:rFonts w:ascii="Times New Roman"/>
                <w:sz w:val="18"/>
              </w:rPr>
              <w:t>5,424,2</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12</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2"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102" w:right="0"/>
              <w:jc w:val="left"/>
              <w:rPr>
                <w:rFonts w:ascii="Times New Roman" w:hAnsi="Times New Roman" w:cs="Times New Roman" w:eastAsia="Times New Roman" w:hint="default"/>
                <w:sz w:val="18"/>
                <w:szCs w:val="18"/>
              </w:rPr>
            </w:pPr>
            <w:r>
              <w:rPr>
                <w:rFonts w:ascii="Times New Roman"/>
                <w:sz w:val="18"/>
              </w:rPr>
              <w:t>07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4" w:right="0"/>
              <w:jc w:val="left"/>
              <w:rPr>
                <w:rFonts w:ascii="Times New Roman" w:hAnsi="Times New Roman" w:cs="Times New Roman" w:eastAsia="Times New Roman" w:hint="default"/>
                <w:sz w:val="18"/>
                <w:szCs w:val="18"/>
              </w:rPr>
            </w:pPr>
            <w:r>
              <w:rPr>
                <w:rFonts w:ascii="Times New Roman"/>
                <w:sz w:val="18"/>
              </w:rPr>
              <w:t>3,924,2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07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4,624,205</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5,249,4</w:t>
            </w:r>
          </w:p>
          <w:p>
            <w:pPr>
              <w:pStyle w:val="TableParagraph"/>
              <w:spacing w:line="240" w:lineRule="auto" w:before="105"/>
              <w:ind w:left="492" w:right="0"/>
              <w:jc w:val="left"/>
              <w:rPr>
                <w:rFonts w:ascii="Times New Roman" w:hAnsi="Times New Roman" w:cs="Times New Roman" w:eastAsia="Times New Roman" w:hint="default"/>
                <w:sz w:val="18"/>
                <w:szCs w:val="18"/>
              </w:rPr>
            </w:pPr>
            <w:r>
              <w:rPr>
                <w:rFonts w:ascii="Times New Roman"/>
                <w:sz w:val="18"/>
              </w:rPr>
              <w:t>48</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5,249,4</w:t>
            </w:r>
          </w:p>
          <w:p>
            <w:pPr>
              <w:pStyle w:val="TableParagraph"/>
              <w:spacing w:line="240" w:lineRule="auto" w:before="105"/>
              <w:ind w:left="548" w:right="0"/>
              <w:jc w:val="left"/>
              <w:rPr>
                <w:rFonts w:ascii="Times New Roman" w:hAnsi="Times New Roman" w:cs="Times New Roman" w:eastAsia="Times New Roman" w:hint="default"/>
                <w:sz w:val="18"/>
                <w:szCs w:val="18"/>
              </w:rPr>
            </w:pPr>
            <w:r>
              <w:rPr>
                <w:rFonts w:ascii="Times New Roman"/>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5,249,448</w:t>
            </w: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名股东的情况（如有）</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378"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1"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8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、股东李新安是王晶华的丈夫的妹夫。</w:t>
            </w:r>
          </w:p>
          <w:p>
            <w:pPr>
              <w:pStyle w:val="TableParagraph"/>
              <w:spacing w:line="309" w:lineRule="auto" w:before="101"/>
              <w:ind w:left="101" w:right="1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、股东李巍屹与股东李巍岩、股东李巍峰为兄弟关系，股东李继昌与股东李巍屹、 股东李巍岩和股东李巍峰为父子关系，股东王敬芝与股东李巍屹、股东李巍岩和股 </w:t>
            </w:r>
            <w:r>
              <w:rPr>
                <w:rFonts w:ascii="宋体" w:hAnsi="宋体" w:cs="宋体" w:eastAsia="宋体" w:hint="default"/>
                <w:spacing w:val="-4"/>
                <w:sz w:val="18"/>
                <w:szCs w:val="18"/>
              </w:rPr>
              <w:t>东李巍峰为母子关系，按照《收购管理办法》，构成一致行动人。</w:t>
            </w:r>
          </w:p>
        </w:tc>
      </w:tr>
      <w:tr>
        <w:trPr>
          <w:trHeight w:val="402"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2" w:hRule="exact"/>
        </w:trPr>
        <w:tc>
          <w:tcPr>
            <w:tcW w:w="28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gridSpan w:val="2"/>
            <w:vMerge/>
            <w:tcBorders>
              <w:left w:val="single" w:sz="4" w:space="0" w:color="000000"/>
              <w:bottom w:val="single" w:sz="4" w:space="0" w:color="000000"/>
              <w:right w:val="single" w:sz="4" w:space="0" w:color="000000"/>
            </w:tcBorders>
            <w:shd w:val="clear" w:color="auto" w:fill="D2D2D2"/>
          </w:tcPr>
          <w:p>
            <w:pPr/>
          </w:p>
        </w:tc>
        <w:tc>
          <w:tcPr>
            <w:tcW w:w="3989"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50,940,203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50,940,203</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闫相宏</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39,008,522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39,008,522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5,249,448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5,249,448</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王静</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3,686,040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3,686,040</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3,525,272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3,525,272</w:t>
            </w:r>
          </w:p>
        </w:tc>
      </w:tr>
      <w:tr>
        <w:trPr>
          <w:trHeight w:val="402"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季宗生</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3,395,615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3,395,615</w:t>
            </w:r>
          </w:p>
        </w:tc>
      </w:tr>
      <w:tr>
        <w:trPr>
          <w:trHeight w:val="400" w:hRule="exact"/>
        </w:trPr>
        <w:tc>
          <w:tcPr>
            <w:tcW w:w="28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倪福初</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3,113,632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2"/>
                <w:sz w:val="18"/>
              </w:rPr>
              <w:t>3,113,632</w:t>
            </w:r>
          </w:p>
        </w:tc>
      </w:tr>
    </w:tbl>
    <w:p>
      <w:pPr>
        <w:spacing w:after="0" w:line="240" w:lineRule="auto"/>
        <w:jc w:val="right"/>
        <w:rPr>
          <w:rFonts w:ascii="Times New Roman" w:hAnsi="Times New Roman" w:cs="Times New Roman" w:eastAsia="Times New Roman" w:hint="default"/>
          <w:sz w:val="18"/>
          <w:szCs w:val="18"/>
        </w:rPr>
        <w:sectPr>
          <w:footerReference w:type="default" r:id="rId23"/>
          <w:pgSz w:w="11910" w:h="16840"/>
          <w:pgMar w:footer="1013" w:header="907" w:top="1100" w:bottom="1200" w:left="1020" w:right="1080"/>
          <w:pgNumType w:start="6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880"/>
        <w:gridCol w:w="3989"/>
        <w:gridCol w:w="1349"/>
        <w:gridCol w:w="1349"/>
      </w:tblGrid>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冯钊</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2,788,022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2,788,022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谢红秀</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2,269,100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2,269,100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卢存方</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2,161,398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2,161,398</w:t>
            </w:r>
          </w:p>
        </w:tc>
      </w:tr>
      <w:tr>
        <w:trPr>
          <w:trHeight w:val="372"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tc>
        <w:tc>
          <w:tcPr>
            <w:tcW w:w="6687"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、闫相宏与无限售流通股股东王静是夫妻关系。公司无限售流通股股东李新安是</w:t>
            </w:r>
          </w:p>
        </w:tc>
      </w:tr>
      <w:tr>
        <w:trPr>
          <w:trHeight w:val="32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无限售流通股股东王晶华的丈夫的妹夫。</w:t>
            </w:r>
          </w:p>
        </w:tc>
      </w:tr>
      <w:tr>
        <w:trPr>
          <w:trHeight w:val="322" w:hRule="exact"/>
        </w:trPr>
        <w:tc>
          <w:tcPr>
            <w:tcW w:w="2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w:t>
            </w:r>
          </w:p>
        </w:tc>
        <w:tc>
          <w:tcPr>
            <w:tcW w:w="6687" w:type="dxa"/>
            <w:gridSpan w:val="3"/>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、除此之外，公司未知其他股东之间是否存在关联关系，也未知其他股东之间是</w:t>
            </w:r>
          </w:p>
        </w:tc>
      </w:tr>
      <w:tr>
        <w:trPr>
          <w:trHeight w:val="363"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31" w:lineRule="exact"/>
              <w:ind w:left="101" w:right="0"/>
              <w:jc w:val="left"/>
              <w:rPr>
                <w:rFonts w:ascii="宋体" w:hAnsi="宋体" w:cs="宋体" w:eastAsia="宋体" w:hint="default"/>
                <w:sz w:val="18"/>
                <w:szCs w:val="18"/>
              </w:rPr>
            </w:pPr>
            <w:r>
              <w:rPr>
                <w:rFonts w:ascii="宋体" w:hAnsi="宋体" w:cs="宋体" w:eastAsia="宋体" w:hint="default"/>
                <w:sz w:val="18"/>
                <w:szCs w:val="18"/>
              </w:rPr>
              <w:t>行动的说明</w:t>
            </w:r>
          </w:p>
        </w:tc>
        <w:tc>
          <w:tcPr>
            <w:tcW w:w="6687"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否属于《上市公司收购管理办法》规定的一致行动人。</w:t>
            </w:r>
          </w:p>
        </w:tc>
      </w:tr>
      <w:tr>
        <w:trPr>
          <w:trHeight w:val="362"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tc>
        <w:tc>
          <w:tcPr>
            <w:tcW w:w="6687" w:type="dxa"/>
            <w:gridSpan w:val="3"/>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、股东倪福初通过普通证券账户持有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70,920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股，通过华鑫证券有限责任公司客户</w:t>
            </w:r>
          </w:p>
        </w:tc>
      </w:tr>
      <w:tr>
        <w:trPr>
          <w:trHeight w:val="352"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89"/>
                <w:sz w:val="18"/>
                <w:szCs w:val="18"/>
              </w:rPr>
              <w:t>）</w:t>
            </w:r>
            <w:r>
              <w:rPr>
                <w:rFonts w:ascii="宋体" w:hAnsi="宋体" w:cs="宋体" w:eastAsia="宋体" w:hint="default"/>
                <w:sz w:val="18"/>
                <w:szCs w:val="18"/>
              </w:rPr>
              <w:t>（参见注</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5</w:t>
            </w:r>
            <w:r>
              <w:rPr>
                <w:rFonts w:ascii="宋体" w:hAnsi="宋体" w:cs="宋体" w:eastAsia="宋体" w:hint="default"/>
                <w:sz w:val="18"/>
                <w:szCs w:val="18"/>
              </w:rPr>
              <w:t>）</w:t>
            </w:r>
          </w:p>
        </w:tc>
        <w:tc>
          <w:tcPr>
            <w:tcW w:w="6687" w:type="dxa"/>
            <w:gridSpan w:val="3"/>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信用交易担保证券账户持有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3,042,712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3,113,632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p>
        </w:tc>
      </w:tr>
    </w:tbl>
    <w:p>
      <w:pPr>
        <w:spacing w:before="65"/>
        <w:ind w:left="532" w:right="357" w:firstLine="0"/>
        <w:jc w:val="left"/>
        <w:rPr>
          <w:rFonts w:ascii="宋体" w:hAnsi="宋体" w:cs="宋体" w:eastAsia="宋体" w:hint="default"/>
          <w:sz w:val="21"/>
          <w:szCs w:val="21"/>
        </w:rPr>
      </w:pPr>
      <w:r>
        <w:rPr>
          <w:rFonts w:ascii="宋体" w:hAnsi="宋体" w:cs="宋体" w:eastAsia="宋体" w:hint="default"/>
          <w:sz w:val="21"/>
          <w:szCs w:val="21"/>
        </w:rPr>
        <w:t>公司前10名普通股股东、前10名无限售条件普通股股东在报告期内是否进行约定购回交易</w:t>
      </w:r>
    </w:p>
    <w:p>
      <w:pPr>
        <w:spacing w:line="240" w:lineRule="auto" w:before="10"/>
        <w:rPr>
          <w:rFonts w:ascii="宋体" w:hAnsi="宋体" w:cs="宋体" w:eastAsia="宋体" w:hint="default"/>
          <w:sz w:val="14"/>
          <w:szCs w:val="14"/>
        </w:rPr>
      </w:pPr>
    </w:p>
    <w:p>
      <w:pPr>
        <w:spacing w:line="408" w:lineRule="auto" w:before="0"/>
        <w:ind w:left="532" w:right="357"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w w:val="95"/>
          <w:sz w:val="21"/>
          <w:szCs w:val="21"/>
        </w:rPr>
        <w:t>公司前10名普通股股东、前10名无限售条件普通股股东在报告期内未进行约定购回交易。</w:t>
      </w:r>
      <w:r>
        <w:rPr>
          <w:rFonts w:ascii="宋体" w:hAnsi="宋体" w:cs="宋体" w:eastAsia="宋体" w:hint="default"/>
          <w:sz w:val="21"/>
          <w:szCs w:val="21"/>
        </w:rPr>
      </w:r>
    </w:p>
    <w:p>
      <w:pPr>
        <w:spacing w:line="240" w:lineRule="auto" w:before="8"/>
        <w:rPr>
          <w:rFonts w:ascii="宋体" w:hAnsi="宋体" w:cs="宋体" w:eastAsia="宋体" w:hint="default"/>
          <w:sz w:val="20"/>
          <w:szCs w:val="20"/>
        </w:rPr>
      </w:pPr>
    </w:p>
    <w:p>
      <w:pPr>
        <w:spacing w:before="0"/>
        <w:ind w:left="112" w:right="3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6734" w:firstLine="0"/>
        <w:jc w:val="left"/>
        <w:rPr>
          <w:rFonts w:ascii="宋体" w:hAnsi="宋体" w:cs="宋体" w:eastAsia="宋体" w:hint="default"/>
          <w:sz w:val="21"/>
          <w:szCs w:val="21"/>
        </w:rPr>
      </w:pPr>
      <w:r>
        <w:rPr>
          <w:rFonts w:ascii="宋体" w:hAnsi="宋体" w:cs="宋体" w:eastAsia="宋体" w:hint="default"/>
          <w:sz w:val="21"/>
          <w:szCs w:val="21"/>
        </w:rPr>
        <w:t>控股股东性质：自然人控股</w:t>
      </w:r>
      <w:r>
        <w:rPr>
          <w:rFonts w:ascii="宋体" w:hAnsi="宋体" w:cs="宋体" w:eastAsia="宋体" w:hint="default"/>
          <w:w w:val="99"/>
          <w:sz w:val="21"/>
          <w:szCs w:val="21"/>
        </w:rPr>
        <w:t> </w:t>
      </w:r>
      <w:r>
        <w:rPr>
          <w:rFonts w:ascii="宋体" w:hAnsi="宋体" w:cs="宋体" w:eastAsia="宋体" w:hint="default"/>
          <w:sz w:val="21"/>
          <w:szCs w:val="21"/>
        </w:rPr>
        <w:t>控股股东类型：自然人</w:t>
      </w:r>
    </w:p>
    <w:tbl>
      <w:tblPr>
        <w:tblW w:w="0" w:type="auto"/>
        <w:jc w:val="left"/>
        <w:tblInd w:w="109" w:type="dxa"/>
        <w:tblLayout w:type="fixed"/>
        <w:tblCellMar>
          <w:top w:w="0" w:type="dxa"/>
          <w:left w:w="0" w:type="dxa"/>
          <w:bottom w:w="0" w:type="dxa"/>
          <w:right w:w="0" w:type="dxa"/>
        </w:tblCellMar>
        <w:tblLook w:val="01E0"/>
      </w:tblPr>
      <w:tblGrid>
        <w:gridCol w:w="3417"/>
        <w:gridCol w:w="2030"/>
        <w:gridCol w:w="4120"/>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r>
    </w:tbl>
    <w:p>
      <w:pPr>
        <w:spacing w:before="47"/>
        <w:ind w:left="532" w:right="357" w:firstLine="0"/>
        <w:jc w:val="left"/>
        <w:rPr>
          <w:rFonts w:ascii="宋体" w:hAnsi="宋体" w:cs="宋体" w:eastAsia="宋体" w:hint="default"/>
          <w:sz w:val="21"/>
          <w:szCs w:val="21"/>
        </w:rPr>
      </w:pPr>
      <w:r>
        <w:rPr>
          <w:rFonts w:ascii="宋体" w:hAnsi="宋体" w:cs="宋体" w:eastAsia="宋体" w:hint="default"/>
          <w:sz w:val="21"/>
          <w:szCs w:val="21"/>
        </w:rPr>
        <w:t>控股股东报告期内变更</w:t>
      </w:r>
    </w:p>
    <w:p>
      <w:pPr>
        <w:spacing w:line="240" w:lineRule="auto" w:before="10"/>
        <w:rPr>
          <w:rFonts w:ascii="宋体" w:hAnsi="宋体" w:cs="宋体" w:eastAsia="宋体" w:hint="default"/>
          <w:sz w:val="14"/>
          <w:szCs w:val="14"/>
        </w:rPr>
      </w:pPr>
    </w:p>
    <w:p>
      <w:pPr>
        <w:spacing w:line="408" w:lineRule="auto" w:before="0"/>
        <w:ind w:left="532" w:right="610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公司报告期控股股东未发生变更。</w:t>
      </w:r>
    </w:p>
    <w:p>
      <w:pPr>
        <w:spacing w:line="240" w:lineRule="auto" w:before="8"/>
        <w:rPr>
          <w:rFonts w:ascii="宋体" w:hAnsi="宋体" w:cs="宋体" w:eastAsia="宋体" w:hint="default"/>
          <w:sz w:val="20"/>
          <w:szCs w:val="20"/>
        </w:rPr>
      </w:pPr>
    </w:p>
    <w:p>
      <w:pPr>
        <w:spacing w:before="0"/>
        <w:ind w:left="112" w:right="3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532" w:right="6524" w:firstLine="0"/>
        <w:jc w:val="left"/>
        <w:rPr>
          <w:rFonts w:ascii="宋体" w:hAnsi="宋体" w:cs="宋体" w:eastAsia="宋体" w:hint="default"/>
          <w:sz w:val="21"/>
          <w:szCs w:val="21"/>
        </w:rPr>
      </w:pPr>
      <w:r>
        <w:rPr>
          <w:rFonts w:ascii="宋体" w:hAnsi="宋体" w:cs="宋体" w:eastAsia="宋体" w:hint="default"/>
          <w:sz w:val="21"/>
          <w:szCs w:val="21"/>
        </w:rPr>
        <w:t>实际控制人性质：境内自然人</w:t>
      </w:r>
      <w:r>
        <w:rPr>
          <w:rFonts w:ascii="宋体" w:hAnsi="宋体" w:cs="宋体" w:eastAsia="宋体" w:hint="default"/>
          <w:w w:val="99"/>
          <w:sz w:val="21"/>
          <w:szCs w:val="21"/>
        </w:rPr>
        <w:t> </w:t>
      </w:r>
      <w:r>
        <w:rPr>
          <w:rFonts w:ascii="宋体" w:hAnsi="宋体" w:cs="宋体" w:eastAsia="宋体" w:hint="default"/>
          <w:sz w:val="21"/>
          <w:szCs w:val="21"/>
        </w:rPr>
        <w:t>实际控制人类型：自然人</w:t>
      </w:r>
    </w:p>
    <w:tbl>
      <w:tblPr>
        <w:tblW w:w="0" w:type="auto"/>
        <w:jc w:val="left"/>
        <w:tblInd w:w="10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3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822"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101"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黄自伟任尤洛卡董事长职务，王晶华担任尤洛卡董事职务。</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01"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7"/>
        <w:ind w:left="532" w:right="357" w:firstLine="0"/>
        <w:jc w:val="left"/>
        <w:rPr>
          <w:rFonts w:ascii="宋体" w:hAnsi="宋体" w:cs="宋体" w:eastAsia="宋体" w:hint="default"/>
          <w:sz w:val="21"/>
          <w:szCs w:val="21"/>
        </w:rPr>
      </w:pPr>
      <w:r>
        <w:rPr>
          <w:rFonts w:ascii="宋体" w:hAnsi="宋体" w:cs="宋体" w:eastAsia="宋体" w:hint="default"/>
          <w:sz w:val="21"/>
          <w:szCs w:val="21"/>
        </w:rPr>
        <w:t>实际控制人报告期内变更</w:t>
      </w:r>
    </w:p>
    <w:p>
      <w:pPr>
        <w:spacing w:line="240" w:lineRule="auto" w:before="10"/>
        <w:rPr>
          <w:rFonts w:ascii="宋体" w:hAnsi="宋体" w:cs="宋体" w:eastAsia="宋体" w:hint="default"/>
          <w:sz w:val="14"/>
          <w:szCs w:val="14"/>
        </w:rPr>
      </w:pPr>
    </w:p>
    <w:p>
      <w:pPr>
        <w:spacing w:before="0"/>
        <w:ind w:left="532" w:right="3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13" w:top="1100" w:bottom="1200" w:left="1020" w:right="1080"/>
        </w:sectPr>
      </w:pPr>
    </w:p>
    <w:p>
      <w:pPr>
        <w:spacing w:line="240" w:lineRule="auto" w:before="9"/>
        <w:rPr>
          <w:rFonts w:ascii="宋体" w:hAnsi="宋体" w:cs="宋体" w:eastAsia="宋体" w:hint="default"/>
          <w:sz w:val="27"/>
          <w:szCs w:val="27"/>
        </w:rPr>
      </w:pPr>
    </w:p>
    <w:p>
      <w:pPr>
        <w:spacing w:line="405" w:lineRule="auto" w:before="36"/>
        <w:ind w:left="532" w:right="4244" w:hanging="60"/>
        <w:jc w:val="left"/>
        <w:rPr>
          <w:rFonts w:ascii="宋体" w:hAnsi="宋体" w:cs="宋体" w:eastAsia="宋体" w:hint="default"/>
          <w:sz w:val="21"/>
          <w:szCs w:val="21"/>
        </w:rPr>
      </w:pPr>
      <w:r>
        <w:rPr>
          <w:rFonts w:ascii="宋体" w:hAnsi="宋体" w:cs="宋体" w:eastAsia="宋体" w:hint="default"/>
          <w:sz w:val="18"/>
          <w:szCs w:val="18"/>
        </w:rPr>
        <w:t>公</w:t>
      </w:r>
      <w:r>
        <w:rPr>
          <w:rFonts w:ascii="宋体" w:hAnsi="宋体" w:cs="宋体" w:eastAsia="宋体" w:hint="default"/>
          <w:sz w:val="21"/>
          <w:szCs w:val="21"/>
        </w:rPr>
        <w:t>司报告期实际控制人未发生变更。</w:t>
      </w:r>
      <w:r>
        <w:rPr>
          <w:rFonts w:ascii="宋体" w:hAnsi="宋体" w:cs="宋体" w:eastAsia="宋体" w:hint="default"/>
          <w:w w:val="99"/>
          <w:sz w:val="21"/>
          <w:szCs w:val="21"/>
        </w:rPr>
        <w:t> </w:t>
      </w:r>
      <w:r>
        <w:rPr>
          <w:rFonts w:ascii="宋体" w:hAnsi="宋体" w:cs="宋体" w:eastAsia="宋体" w:hint="default"/>
          <w:w w:val="95"/>
          <w:sz w:val="21"/>
          <w:szCs w:val="21"/>
        </w:rPr>
        <w:t>公司与实际控制人之间的产权及控制关系的方框图</w:t>
      </w:r>
      <w:r>
        <w:rPr>
          <w:rFonts w:ascii="宋体" w:hAnsi="宋体" w:cs="宋体" w:eastAsia="宋体" w:hint="default"/>
          <w:sz w:val="21"/>
          <w:szCs w:val="21"/>
        </w:rPr>
      </w:r>
    </w:p>
    <w:p>
      <w:pPr>
        <w:spacing w:line="240" w:lineRule="auto" w:before="9"/>
        <w:rPr>
          <w:rFonts w:ascii="宋体" w:hAnsi="宋体" w:cs="宋体" w:eastAsia="宋体" w:hint="default"/>
          <w:sz w:val="18"/>
          <w:szCs w:val="18"/>
        </w:rPr>
      </w:pPr>
    </w:p>
    <w:p>
      <w:pPr>
        <w:spacing w:line="3315" w:lineRule="exact"/>
        <w:ind w:left="1317" w:right="0" w:firstLine="0"/>
        <w:rPr>
          <w:rFonts w:ascii="宋体" w:hAnsi="宋体" w:cs="宋体" w:eastAsia="宋体" w:hint="default"/>
          <w:sz w:val="20"/>
          <w:szCs w:val="20"/>
        </w:rPr>
      </w:pPr>
      <w:r>
        <w:rPr>
          <w:rFonts w:ascii="宋体" w:hAnsi="宋体" w:cs="宋体" w:eastAsia="宋体" w:hint="default"/>
          <w:position w:val="-65"/>
          <w:sz w:val="20"/>
          <w:szCs w:val="20"/>
        </w:rPr>
        <w:drawing>
          <wp:inline distT="0" distB="0" distL="0" distR="0">
            <wp:extent cx="4591118" cy="210502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4" cstate="print"/>
                    <a:stretch>
                      <a:fillRect/>
                    </a:stretch>
                  </pic:blipFill>
                  <pic:spPr>
                    <a:xfrm>
                      <a:off x="0" y="0"/>
                      <a:ext cx="4591118" cy="2105025"/>
                    </a:xfrm>
                    <a:prstGeom prst="rect">
                      <a:avLst/>
                    </a:prstGeom>
                  </pic:spPr>
                </pic:pic>
              </a:graphicData>
            </a:graphic>
          </wp:inline>
        </w:drawing>
      </w:r>
      <w:r>
        <w:rPr>
          <w:rFonts w:ascii="宋体" w:hAnsi="宋体" w:cs="宋体" w:eastAsia="宋体" w:hint="default"/>
          <w:position w:val="-65"/>
          <w:sz w:val="20"/>
          <w:szCs w:val="20"/>
        </w:rPr>
      </w:r>
    </w:p>
    <w:p>
      <w:pPr>
        <w:spacing w:line="240" w:lineRule="auto" w:before="7"/>
        <w:rPr>
          <w:rFonts w:ascii="宋体" w:hAnsi="宋体" w:cs="宋体" w:eastAsia="宋体" w:hint="default"/>
          <w:sz w:val="24"/>
          <w:szCs w:val="24"/>
        </w:rPr>
      </w:pPr>
    </w:p>
    <w:p>
      <w:pPr>
        <w:spacing w:before="0"/>
        <w:ind w:left="532" w:right="2118" w:firstLine="0"/>
        <w:jc w:val="left"/>
        <w:rPr>
          <w:rFonts w:ascii="宋体" w:hAnsi="宋体" w:cs="宋体" w:eastAsia="宋体" w:hint="default"/>
          <w:sz w:val="21"/>
          <w:szCs w:val="21"/>
        </w:rPr>
      </w:pPr>
      <w:r>
        <w:rPr>
          <w:rFonts w:ascii="宋体" w:hAnsi="宋体" w:cs="宋体" w:eastAsia="宋体" w:hint="default"/>
          <w:sz w:val="21"/>
          <w:szCs w:val="21"/>
        </w:rPr>
        <w:t>实际控制人通过信托或其他资产管理方式控制公司</w:t>
      </w:r>
    </w:p>
    <w:p>
      <w:pPr>
        <w:spacing w:line="240" w:lineRule="auto" w:before="10"/>
        <w:rPr>
          <w:rFonts w:ascii="宋体" w:hAnsi="宋体" w:cs="宋体" w:eastAsia="宋体" w:hint="default"/>
          <w:sz w:val="14"/>
          <w:szCs w:val="14"/>
        </w:rPr>
      </w:pPr>
    </w:p>
    <w:p>
      <w:pPr>
        <w:spacing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p>
    <w:p>
      <w:pPr>
        <w:spacing w:before="154"/>
        <w:ind w:left="112" w:right="42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、其他持股在</w:t>
      </w:r>
      <w:r>
        <w:rPr>
          <w:rFonts w:ascii="宋体" w:hAnsi="宋体" w:cs="宋体" w:eastAsia="宋体" w:hint="default"/>
          <w:b/>
          <w:bCs/>
          <w:spacing w:val="-60"/>
          <w:sz w:val="21"/>
          <w:szCs w:val="21"/>
        </w:rPr>
        <w:t> </w: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以上的法人股东</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0"/>
        <w:rPr>
          <w:rFonts w:ascii="宋体" w:hAnsi="宋体" w:cs="宋体" w:eastAsia="宋体" w:hint="default"/>
          <w:sz w:val="25"/>
          <w:szCs w:val="25"/>
        </w:rPr>
      </w:pPr>
    </w:p>
    <w:p>
      <w:pPr>
        <w:spacing w:before="0"/>
        <w:ind w:left="112" w:right="211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、控股股东、实际控制人、重组方及其他承诺主体股份限制减持情况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13"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247" w:right="2118" w:firstLine="0"/>
        <w:jc w:val="left"/>
        <w:rPr>
          <w:rFonts w:ascii="宋体" w:hAnsi="宋体" w:cs="宋体" w:eastAsia="宋体" w:hint="default"/>
          <w:sz w:val="32"/>
          <w:szCs w:val="32"/>
        </w:rPr>
      </w:pPr>
      <w:r>
        <w:rPr>
          <w:rFonts w:ascii="宋体" w:hAnsi="宋体" w:cs="宋体" w:eastAsia="宋体" w:hint="default"/>
          <w:b/>
          <w:bCs/>
          <w:sz w:val="32"/>
          <w:szCs w:val="32"/>
        </w:rPr>
        <w:t>第七节</w:t>
      </w:r>
      <w:r>
        <w:rPr>
          <w:rFonts w:ascii="宋体" w:hAnsi="宋体" w:cs="宋体" w:eastAsia="宋体" w:hint="default"/>
          <w:b/>
          <w:bCs/>
          <w:spacing w:val="-10"/>
          <w:sz w:val="32"/>
          <w:szCs w:val="32"/>
        </w:rPr>
        <w:t> </w:t>
      </w:r>
      <w:r>
        <w:rPr>
          <w:rFonts w:ascii="宋体" w:hAnsi="宋体" w:cs="宋体" w:eastAsia="宋体" w:hint="default"/>
          <w:b/>
          <w:bCs/>
          <w:sz w:val="32"/>
          <w:szCs w:val="32"/>
        </w:rPr>
        <w:t>优先股相关情况</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p>
      <w:pPr>
        <w:spacing w:line="307" w:lineRule="auto" w:before="34"/>
        <w:ind w:left="532" w:right="613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1"/>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报告期公司不存在优先股。</w:t>
      </w:r>
    </w:p>
    <w:p>
      <w:pPr>
        <w:spacing w:after="0" w:line="307" w:lineRule="auto"/>
        <w:jc w:val="left"/>
        <w:rPr>
          <w:rFonts w:ascii="宋体" w:hAnsi="宋体" w:cs="宋体" w:eastAsia="宋体" w:hint="default"/>
          <w:sz w:val="21"/>
          <w:szCs w:val="21"/>
        </w:rPr>
        <w:sectPr>
          <w:pgSz w:w="11910" w:h="16840"/>
          <w:pgMar w:header="907" w:footer="1013"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1643" w:right="157" w:firstLine="0"/>
        <w:jc w:val="left"/>
        <w:rPr>
          <w:rFonts w:ascii="宋体" w:hAnsi="宋体" w:cs="宋体" w:eastAsia="宋体" w:hint="default"/>
          <w:sz w:val="32"/>
          <w:szCs w:val="32"/>
        </w:rPr>
      </w:pPr>
      <w:r>
        <w:rPr>
          <w:rFonts w:ascii="宋体" w:hAnsi="宋体" w:cs="宋体" w:eastAsia="宋体" w:hint="default"/>
          <w:b/>
          <w:bCs/>
          <w:sz w:val="32"/>
          <w:szCs w:val="32"/>
        </w:rPr>
        <w:t>第八节</w:t>
      </w:r>
      <w:r>
        <w:rPr>
          <w:rFonts w:ascii="宋体" w:hAnsi="宋体" w:cs="宋体" w:eastAsia="宋体" w:hint="default"/>
          <w:b/>
          <w:bCs/>
          <w:spacing w:val="-17"/>
          <w:sz w:val="32"/>
          <w:szCs w:val="32"/>
        </w:rPr>
        <w:t> </w:t>
      </w:r>
      <w:r>
        <w:rPr>
          <w:rFonts w:ascii="宋体" w:hAnsi="宋体" w:cs="宋体" w:eastAsia="宋体" w:hint="default"/>
          <w:b/>
          <w:bCs/>
          <w:sz w:val="32"/>
          <w:szCs w:val="32"/>
        </w:rPr>
        <w:t>董事、监事、高级管理人员和员工情况</w:t>
      </w:r>
      <w:r>
        <w:rPr>
          <w:rFonts w:ascii="宋体" w:hAnsi="宋体" w:cs="宋体" w:eastAsia="宋体" w:hint="default"/>
          <w:sz w:val="32"/>
          <w:szCs w:val="32"/>
        </w:rPr>
      </w:r>
    </w:p>
    <w:p>
      <w:pPr>
        <w:spacing w:line="240" w:lineRule="auto" w:before="10"/>
        <w:rPr>
          <w:rFonts w:ascii="宋体" w:hAnsi="宋体" w:cs="宋体" w:eastAsia="宋体" w:hint="default"/>
          <w:b/>
          <w:bCs/>
          <w:sz w:val="38"/>
          <w:szCs w:val="38"/>
        </w:rPr>
      </w:pPr>
    </w:p>
    <w:p>
      <w:pPr>
        <w:spacing w:before="0"/>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一、董事、监事和高级管理人员持股变动</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798"/>
        <w:gridCol w:w="797"/>
        <w:gridCol w:w="797"/>
        <w:gridCol w:w="797"/>
        <w:gridCol w:w="798"/>
        <w:gridCol w:w="797"/>
        <w:gridCol w:w="798"/>
        <w:gridCol w:w="798"/>
        <w:gridCol w:w="798"/>
        <w:gridCol w:w="798"/>
        <w:gridCol w:w="798"/>
        <w:gridCol w:w="798"/>
      </w:tblGrid>
      <w:tr>
        <w:trPr>
          <w:trHeight w:val="1338"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02" w:right="123"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2" w:right="122"/>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21"/>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1"/>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5"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3"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3"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5" w:right="12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5" w:right="122" w:hanging="92"/>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3"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4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322"/>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3,416,6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3,417,4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332"/>
              <w:jc w:val="righ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3,416,6</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5" w:right="0"/>
              <w:jc w:val="left"/>
              <w:rPr>
                <w:rFonts w:ascii="Times New Roman" w:hAnsi="Times New Roman" w:cs="Times New Roman" w:eastAsia="Times New Roman" w:hint="default"/>
                <w:sz w:val="18"/>
                <w:szCs w:val="18"/>
              </w:rPr>
            </w:pPr>
            <w:r>
              <w:rPr>
                <w:rFonts w:ascii="Times New Roman"/>
                <w:sz w:val="18"/>
              </w:rPr>
              <w:t>3,417,4</w:t>
            </w:r>
          </w:p>
          <w:p>
            <w:pPr>
              <w:pStyle w:val="TableParagraph"/>
              <w:spacing w:line="240" w:lineRule="auto" w:before="105"/>
              <w:ind w:left="505" w:right="0"/>
              <w:jc w:val="left"/>
              <w:rPr>
                <w:rFonts w:ascii="Times New Roman" w:hAnsi="Times New Roman" w:cs="Times New Roman" w:eastAsia="Times New Roman" w:hint="default"/>
                <w:sz w:val="18"/>
                <w:szCs w:val="18"/>
              </w:rPr>
            </w:pPr>
            <w:r>
              <w:rPr>
                <w:rFonts w:ascii="Times New Roman"/>
                <w:sz w:val="18"/>
              </w:rPr>
              <w:t>72</w:t>
            </w:r>
          </w:p>
        </w:tc>
      </w:tr>
    </w:tbl>
    <w:p>
      <w:pPr>
        <w:spacing w:line="240" w:lineRule="auto" w:before="13"/>
        <w:rPr>
          <w:rFonts w:ascii="宋体" w:hAnsi="宋体" w:cs="宋体" w:eastAsia="宋体" w:hint="default"/>
          <w:b/>
          <w:bCs/>
          <w:sz w:val="17"/>
          <w:szCs w:val="17"/>
        </w:rPr>
      </w:pPr>
    </w:p>
    <w:p>
      <w:pPr>
        <w:spacing w:before="26"/>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二、公司董事、监事、高级管理人员变动情况</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29"/>
        <w:gridCol w:w="1330"/>
        <w:gridCol w:w="1330"/>
        <w:gridCol w:w="1330"/>
        <w:gridCol w:w="4248"/>
      </w:tblGrid>
      <w:tr>
        <w:trPr>
          <w:trHeight w:val="402" w:hRule="exact"/>
        </w:trPr>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年第一次临时股东大会被选举为董事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年第一次临时股东大会被选举为董事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年第一次临时股东大会被选举为独立董事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职工代表大会被选举为职工监事</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第四届董事会</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年第一次会议被聘任为副总经理</w:t>
            </w:r>
          </w:p>
        </w:tc>
      </w:tr>
      <w:tr>
        <w:trPr>
          <w:trHeight w:val="714" w:hRule="exact"/>
        </w:trPr>
        <w:tc>
          <w:tcPr>
            <w:tcW w:w="1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杨明明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第三届监事会任期届满离任</w:t>
            </w:r>
          </w:p>
        </w:tc>
      </w:tr>
    </w:tbl>
    <w:p>
      <w:pPr>
        <w:spacing w:line="240" w:lineRule="auto" w:before="2"/>
        <w:rPr>
          <w:rFonts w:ascii="宋体" w:hAnsi="宋体" w:cs="宋体" w:eastAsia="宋体" w:hint="default"/>
          <w:b/>
          <w:bCs/>
          <w:sz w:val="18"/>
          <w:szCs w:val="18"/>
        </w:rPr>
      </w:pPr>
    </w:p>
    <w:p>
      <w:pPr>
        <w:spacing w:before="26"/>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三、任职情况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41" w:lineRule="auto" w:before="0"/>
        <w:ind w:left="532" w:right="1455" w:firstLine="0"/>
        <w:jc w:val="left"/>
        <w:rPr>
          <w:rFonts w:ascii="宋体" w:hAnsi="宋体" w:cs="宋体" w:eastAsia="宋体" w:hint="default"/>
          <w:sz w:val="21"/>
          <w:szCs w:val="21"/>
        </w:rPr>
      </w:pPr>
      <w:r>
        <w:rPr>
          <w:rFonts w:ascii="宋体" w:hAnsi="宋体" w:cs="宋体" w:eastAsia="宋体" w:hint="default"/>
          <w:w w:val="95"/>
          <w:sz w:val="21"/>
          <w:szCs w:val="21"/>
        </w:rPr>
        <w:t>公司现任董事、监事、高级管理人员专业背景、主要工作经历以及目前在公司的主要职责</w:t>
      </w:r>
      <w:r>
        <w:rPr>
          <w:rFonts w:ascii="宋体" w:hAnsi="宋体" w:cs="宋体" w:eastAsia="宋体" w:hint="default"/>
          <w:spacing w:val="90"/>
          <w:w w:val="95"/>
          <w:sz w:val="21"/>
          <w:szCs w:val="21"/>
        </w:rPr>
        <w:t> </w:t>
      </w:r>
      <w:r>
        <w:rPr>
          <w:rFonts w:ascii="宋体" w:hAnsi="宋体" w:cs="宋体" w:eastAsia="宋体" w:hint="default"/>
          <w:spacing w:val="90"/>
          <w:w w:val="95"/>
          <w:sz w:val="21"/>
          <w:szCs w:val="21"/>
        </w:rPr>
      </w:r>
      <w:r>
        <w:rPr>
          <w:rFonts w:ascii="宋体" w:hAnsi="宋体" w:cs="宋体" w:eastAsia="宋体" w:hint="default"/>
          <w:sz w:val="21"/>
          <w:szCs w:val="21"/>
        </w:rPr>
        <w:t>1、董事</w:t>
      </w:r>
    </w:p>
    <w:p>
      <w:pPr>
        <w:spacing w:line="408" w:lineRule="auto" w:before="16"/>
        <w:ind w:left="112" w:right="112" w:firstLine="420"/>
        <w:jc w:val="both"/>
        <w:rPr>
          <w:rFonts w:ascii="宋体" w:hAnsi="宋体" w:cs="宋体" w:eastAsia="宋体" w:hint="default"/>
          <w:sz w:val="21"/>
          <w:szCs w:val="21"/>
        </w:rPr>
      </w:pPr>
      <w:r>
        <w:rPr>
          <w:rFonts w:ascii="宋体" w:hAnsi="宋体" w:cs="宋体" w:eastAsia="宋体" w:hint="default"/>
          <w:w w:val="95"/>
          <w:sz w:val="21"/>
          <w:szCs w:val="21"/>
        </w:rPr>
        <w:t>黄自伟，男，1946年10月出生，中国国籍，硕士，教授级高级工程师。未有任何国家和地区的永久境</w:t>
      </w:r>
      <w:r>
        <w:rPr>
          <w:rFonts w:ascii="宋体" w:hAnsi="宋体" w:cs="宋体" w:eastAsia="宋体" w:hint="default"/>
          <w:w w:val="99"/>
          <w:sz w:val="21"/>
          <w:szCs w:val="21"/>
        </w:rPr>
        <w:t> </w:t>
      </w:r>
      <w:r>
        <w:rPr>
          <w:rFonts w:ascii="宋体" w:hAnsi="宋体" w:cs="宋体" w:eastAsia="宋体" w:hint="default"/>
          <w:w w:val="95"/>
          <w:sz w:val="21"/>
          <w:szCs w:val="21"/>
        </w:rPr>
        <w:t>外居留权。1982年毕业于同济大学，1982年在山东矿业学院矿压研究所任助教，1987年起历任山东矿业学</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院矿压研究所工程师兼副所长、山东矿业学院智能研究所所长兼高级工程师，1999年起至2014年2月任尤</w:t>
      </w:r>
    </w:p>
    <w:p>
      <w:pPr>
        <w:spacing w:after="0" w:line="408" w:lineRule="auto"/>
        <w:jc w:val="both"/>
        <w:rPr>
          <w:rFonts w:ascii="宋体" w:hAnsi="宋体" w:cs="宋体" w:eastAsia="宋体" w:hint="default"/>
          <w:sz w:val="21"/>
          <w:szCs w:val="21"/>
        </w:rPr>
        <w:sectPr>
          <w:pgSz w:w="11910" w:h="16840"/>
          <w:pgMar w:header="907" w:footer="1013" w:top="1100" w:bottom="1200" w:left="1020" w:right="1020"/>
        </w:sectPr>
      </w:pPr>
    </w:p>
    <w:p>
      <w:pPr>
        <w:spacing w:line="240" w:lineRule="auto" w:before="9"/>
        <w:rPr>
          <w:rFonts w:ascii="宋体" w:hAnsi="宋体" w:cs="宋体" w:eastAsia="宋体" w:hint="default"/>
          <w:sz w:val="27"/>
          <w:szCs w:val="27"/>
        </w:rPr>
      </w:pPr>
    </w:p>
    <w:p>
      <w:pPr>
        <w:spacing w:line="408" w:lineRule="auto" w:before="34"/>
        <w:ind w:left="532" w:right="105" w:hanging="420"/>
        <w:jc w:val="left"/>
        <w:rPr>
          <w:rFonts w:ascii="宋体" w:hAnsi="宋体" w:cs="宋体" w:eastAsia="宋体" w:hint="default"/>
          <w:sz w:val="21"/>
          <w:szCs w:val="21"/>
        </w:rPr>
      </w:pPr>
      <w:r>
        <w:rPr>
          <w:rFonts w:ascii="宋体" w:hAnsi="宋体" w:cs="宋体" w:eastAsia="宋体" w:hint="default"/>
          <w:sz w:val="21"/>
          <w:szCs w:val="21"/>
        </w:rPr>
        <w:t>洛卡总经理。2008年1月起至今任尤洛卡董事、董事长。</w:t>
      </w:r>
      <w:r>
        <w:rPr>
          <w:rFonts w:ascii="宋体" w:hAnsi="宋体" w:cs="宋体" w:eastAsia="宋体" w:hint="default"/>
          <w:w w:val="99"/>
          <w:sz w:val="21"/>
          <w:szCs w:val="21"/>
        </w:rPr>
        <w:t> </w:t>
      </w:r>
      <w:r>
        <w:rPr>
          <w:rFonts w:ascii="宋体" w:hAnsi="宋体" w:cs="宋体" w:eastAsia="宋体" w:hint="default"/>
          <w:w w:val="95"/>
          <w:sz w:val="21"/>
          <w:szCs w:val="21"/>
        </w:rPr>
        <w:t>王晶华，女，1948年2月出生，中国国籍，大专，会计师职称。未有任何国家和地区的永久境外居留</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权。1987年毕业于山东经济学院。1984年6月起任山东矿业学院财务处会计、山东矿业科技开发公司财务</w:t>
      </w:r>
      <w:r>
        <w:rPr>
          <w:rFonts w:ascii="宋体" w:hAnsi="宋体" w:cs="宋体" w:eastAsia="宋体" w:hint="default"/>
          <w:w w:val="99"/>
          <w:sz w:val="21"/>
          <w:szCs w:val="21"/>
        </w:rPr>
        <w:t> </w:t>
      </w:r>
      <w:r>
        <w:rPr>
          <w:rFonts w:ascii="宋体" w:hAnsi="宋体" w:cs="宋体" w:eastAsia="宋体" w:hint="default"/>
          <w:w w:val="95"/>
          <w:sz w:val="21"/>
          <w:szCs w:val="21"/>
        </w:rPr>
        <w:t>科长。1994年7月起任泰安市煤矿供应中心经理。2003年2月起在泰安尤洛卡有限公司工作，任执行董事，</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2008年1月起历任尤洛卡公司董事、副总经理、董事会秘书；2011年3月起至2015年1月任尤洛卡公司副总</w:t>
      </w:r>
      <w:r>
        <w:rPr>
          <w:rFonts w:ascii="宋体" w:hAnsi="宋体" w:cs="宋体" w:eastAsia="宋体" w:hint="default"/>
          <w:w w:val="99"/>
          <w:sz w:val="21"/>
          <w:szCs w:val="21"/>
        </w:rPr>
        <w:t> </w:t>
      </w:r>
      <w:r>
        <w:rPr>
          <w:rFonts w:ascii="宋体" w:hAnsi="宋体" w:cs="宋体" w:eastAsia="宋体" w:hint="default"/>
          <w:sz w:val="21"/>
          <w:szCs w:val="21"/>
        </w:rPr>
        <w:t>经理；2012年3月起至今任尤洛卡公司董事。</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黄屹峰先生，1973年9月出生，中国国籍，硕士研究生学历，山东科技大学在读博士，未有任何国家</w:t>
      </w:r>
      <w:r>
        <w:rPr>
          <w:rFonts w:ascii="宋体" w:hAnsi="宋体" w:cs="宋体" w:eastAsia="宋体" w:hint="default"/>
          <w:w w:val="99"/>
          <w:sz w:val="21"/>
          <w:szCs w:val="21"/>
        </w:rPr>
        <w:t> </w:t>
      </w:r>
      <w:r>
        <w:rPr>
          <w:rFonts w:ascii="宋体" w:hAnsi="宋体" w:cs="宋体" w:eastAsia="宋体" w:hint="default"/>
          <w:w w:val="95"/>
          <w:sz w:val="21"/>
          <w:szCs w:val="21"/>
        </w:rPr>
        <w:t>和地区的永久境外居留权。2008年毕业于长江商学院EMBA。2008年2月起至2015年1月担任尤洛卡公司副总</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经理；2011年3月起担任尤洛卡公司董事。</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李巍屹先生，1969年5月出生，中国国籍，大学学历。未有任何国家和地区的永久境外居留权。1998</w:t>
      </w:r>
      <w:r>
        <w:rPr>
          <w:rFonts w:ascii="宋体" w:hAnsi="宋体" w:cs="宋体" w:eastAsia="宋体" w:hint="default"/>
          <w:w w:val="99"/>
          <w:sz w:val="21"/>
          <w:szCs w:val="21"/>
        </w:rPr>
        <w:t> </w:t>
      </w:r>
      <w:r>
        <w:rPr>
          <w:rFonts w:ascii="宋体" w:hAnsi="宋体" w:cs="宋体" w:eastAsia="宋体" w:hint="default"/>
          <w:w w:val="95"/>
          <w:sz w:val="21"/>
          <w:szCs w:val="21"/>
        </w:rPr>
        <w:t>年12月至2014年4月担任长春师凯科技产业有限责任公司副总经理，2014年5月至今担任长春师凯科技产业</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有限责任公司总经理。同时2013年1月至今担任吉林省吉商智龙文化交流有限公司执行董事，2015年1月至</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今担任吉林省玖壹咖啡餐饮管理有限公司、吉林省玖壹创业投资管理有限公司监事，2014年12月至今担任</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吉林省浦生泰生物技术有限责任公司董事。2017年2月起担任尤洛卡公司董事。</w:t>
      </w:r>
    </w:p>
    <w:p>
      <w:pPr>
        <w:spacing w:line="408" w:lineRule="auto" w:before="46"/>
        <w:ind w:left="112" w:right="295" w:firstLine="420"/>
        <w:jc w:val="both"/>
        <w:rPr>
          <w:rFonts w:ascii="宋体" w:hAnsi="宋体" w:cs="宋体" w:eastAsia="宋体" w:hint="default"/>
          <w:sz w:val="21"/>
          <w:szCs w:val="21"/>
        </w:rPr>
      </w:pPr>
      <w:r>
        <w:rPr>
          <w:rFonts w:ascii="宋体" w:hAnsi="宋体" w:cs="宋体" w:eastAsia="宋体" w:hint="default"/>
          <w:w w:val="95"/>
          <w:sz w:val="21"/>
          <w:szCs w:val="21"/>
        </w:rPr>
        <w:t>李巍岩，男，1967年2月出生，中国国籍，大学学历，未有任何国家和地区的永久境外居留权。1997</w:t>
      </w:r>
      <w:r>
        <w:rPr>
          <w:rFonts w:ascii="宋体" w:hAnsi="宋体" w:cs="宋体" w:eastAsia="宋体" w:hint="default"/>
          <w:spacing w:val="-84"/>
          <w:w w:val="95"/>
          <w:sz w:val="21"/>
          <w:szCs w:val="21"/>
        </w:rPr>
        <w:t> </w:t>
      </w:r>
      <w:r>
        <w:rPr>
          <w:rFonts w:ascii="宋体" w:hAnsi="宋体" w:cs="宋体" w:eastAsia="宋体" w:hint="default"/>
          <w:spacing w:val="-84"/>
          <w:w w:val="95"/>
          <w:sz w:val="21"/>
          <w:szCs w:val="21"/>
        </w:rPr>
      </w:r>
      <w:r>
        <w:rPr>
          <w:rFonts w:ascii="宋体" w:hAnsi="宋体" w:cs="宋体" w:eastAsia="宋体" w:hint="default"/>
          <w:w w:val="95"/>
          <w:sz w:val="21"/>
          <w:szCs w:val="21"/>
        </w:rPr>
        <w:t>年1月至今任长春师凯科技产业有限责任公司副总经理，2014年12月至今任吉林省浦生泰生物技术有限责</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任公司董事。2017年2月起担任尤洛卡公司董事。</w:t>
      </w:r>
    </w:p>
    <w:p>
      <w:pPr>
        <w:spacing w:line="408" w:lineRule="auto" w:before="46"/>
        <w:ind w:left="112" w:right="108" w:firstLine="420"/>
        <w:jc w:val="left"/>
        <w:rPr>
          <w:rFonts w:ascii="宋体" w:hAnsi="宋体" w:cs="宋体" w:eastAsia="宋体" w:hint="default"/>
          <w:sz w:val="21"/>
          <w:szCs w:val="21"/>
        </w:rPr>
      </w:pPr>
      <w:r>
        <w:rPr>
          <w:rFonts w:ascii="宋体" w:hAnsi="宋体" w:cs="宋体" w:eastAsia="宋体" w:hint="default"/>
          <w:sz w:val="21"/>
          <w:szCs w:val="21"/>
        </w:rPr>
        <w:t>李新安先生，1962年2月出生，中国国籍，本科。未有任何国家和地区的永久境外居留权。1982年毕</w:t>
      </w:r>
      <w:r>
        <w:rPr>
          <w:rFonts w:ascii="宋体" w:hAnsi="宋体" w:cs="宋体" w:eastAsia="宋体" w:hint="default"/>
          <w:w w:val="99"/>
          <w:sz w:val="21"/>
          <w:szCs w:val="21"/>
        </w:rPr>
        <w:t> </w:t>
      </w:r>
      <w:r>
        <w:rPr>
          <w:rFonts w:ascii="宋体" w:hAnsi="宋体" w:cs="宋体" w:eastAsia="宋体" w:hint="default"/>
          <w:w w:val="95"/>
          <w:sz w:val="21"/>
          <w:szCs w:val="21"/>
        </w:rPr>
        <w:t>业于山东师范大学。1982年起在泰安教育学院任教，1989年9月起历任泰安教育学院办公室副主任、主任，</w:t>
      </w:r>
      <w:r>
        <w:rPr>
          <w:rFonts w:ascii="宋体" w:hAnsi="宋体" w:cs="宋体" w:eastAsia="宋体" w:hint="default"/>
          <w:spacing w:val="46"/>
          <w:w w:val="95"/>
          <w:sz w:val="21"/>
          <w:szCs w:val="21"/>
        </w:rPr>
        <w:t> </w:t>
      </w:r>
      <w:r>
        <w:rPr>
          <w:rFonts w:ascii="宋体" w:hAnsi="宋体" w:cs="宋体" w:eastAsia="宋体" w:hint="default"/>
          <w:spacing w:val="46"/>
          <w:w w:val="95"/>
          <w:sz w:val="21"/>
          <w:szCs w:val="21"/>
        </w:rPr>
      </w:r>
      <w:r>
        <w:rPr>
          <w:rFonts w:ascii="宋体" w:hAnsi="宋体" w:cs="宋体" w:eastAsia="宋体" w:hint="default"/>
          <w:spacing w:val="-2"/>
          <w:sz w:val="21"/>
          <w:szCs w:val="21"/>
        </w:rPr>
        <w:t>泰安教育电视台台长兼泰安市电化教育馆副馆长。1999年1月起担任山东尤洛卡有限董事兼副总经理。2008</w:t>
      </w:r>
      <w:r>
        <w:rPr>
          <w:rFonts w:ascii="宋体" w:hAnsi="宋体" w:cs="宋体" w:eastAsia="宋体" w:hint="default"/>
          <w:w w:val="99"/>
          <w:sz w:val="21"/>
          <w:szCs w:val="21"/>
        </w:rPr>
        <w:t> </w:t>
      </w:r>
      <w:r>
        <w:rPr>
          <w:rFonts w:ascii="宋体" w:hAnsi="宋体" w:cs="宋体" w:eastAsia="宋体" w:hint="default"/>
          <w:sz w:val="21"/>
          <w:szCs w:val="21"/>
        </w:rPr>
        <w:t>年1月起至今任本公司董事。2008年6月-2010年8月兼任公司内审部负责人，2010年8月起至今兼任公司销</w:t>
      </w:r>
      <w:r>
        <w:rPr>
          <w:rFonts w:ascii="宋体" w:hAnsi="宋体" w:cs="宋体" w:eastAsia="宋体" w:hint="default"/>
          <w:w w:val="99"/>
          <w:sz w:val="21"/>
          <w:szCs w:val="21"/>
        </w:rPr>
        <w:t> </w:t>
      </w:r>
      <w:r>
        <w:rPr>
          <w:rFonts w:ascii="宋体" w:hAnsi="宋体" w:cs="宋体" w:eastAsia="宋体" w:hint="default"/>
          <w:sz w:val="21"/>
          <w:szCs w:val="21"/>
        </w:rPr>
        <w:t>售部部长。</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马训波，男，1968年1月出生，汉族，律师，大专学历，中国国籍，未有任何国家、地区境外永久居</w:t>
      </w:r>
      <w:r>
        <w:rPr>
          <w:rFonts w:ascii="宋体" w:hAnsi="宋体" w:cs="宋体" w:eastAsia="宋体" w:hint="default"/>
          <w:w w:val="99"/>
          <w:sz w:val="21"/>
          <w:szCs w:val="21"/>
        </w:rPr>
        <w:t> </w:t>
      </w:r>
      <w:r>
        <w:rPr>
          <w:rFonts w:ascii="宋体" w:hAnsi="宋体" w:cs="宋体" w:eastAsia="宋体" w:hint="default"/>
          <w:w w:val="95"/>
          <w:sz w:val="21"/>
          <w:szCs w:val="21"/>
        </w:rPr>
        <w:t>留权。1988年7月毕业于山东煤炭教育学院物理专业，1995年10月毕业于山东大学法律专业。1997年7月至</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2011年1月，任山东华林律师事务所律师、合伙人。2011年1月至今山东纵观律师事务所副主任、合伙人、</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执业律师。2014年4月起担任尤洛卡公司董事。</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sz w:val="21"/>
          <w:szCs w:val="21"/>
        </w:rPr>
        <w:t>江霞，女，1965年7月出生，中国国籍，本科学历，工程硕士学位，副教授，硕士生导师，证券相关</w:t>
      </w:r>
      <w:r>
        <w:rPr>
          <w:rFonts w:ascii="宋体" w:hAnsi="宋体" w:cs="宋体" w:eastAsia="宋体" w:hint="default"/>
          <w:w w:val="99"/>
          <w:sz w:val="21"/>
          <w:szCs w:val="21"/>
        </w:rPr>
        <w:t> </w:t>
      </w:r>
      <w:r>
        <w:rPr>
          <w:rFonts w:ascii="宋体" w:hAnsi="宋体" w:cs="宋体" w:eastAsia="宋体" w:hint="default"/>
          <w:sz w:val="21"/>
          <w:szCs w:val="21"/>
        </w:rPr>
        <w:t>业务资格注册会计师、注册税务师。未有任何国家和地区的永久境外居留权。1985年7月任教于山东省财</w:t>
      </w:r>
      <w:r>
        <w:rPr>
          <w:rFonts w:ascii="宋体" w:hAnsi="宋体" w:cs="宋体" w:eastAsia="宋体" w:hint="default"/>
          <w:w w:val="99"/>
          <w:sz w:val="21"/>
          <w:szCs w:val="21"/>
        </w:rPr>
        <w:t> </w:t>
      </w:r>
      <w:r>
        <w:rPr>
          <w:rFonts w:ascii="宋体" w:hAnsi="宋体" w:cs="宋体" w:eastAsia="宋体" w:hint="default"/>
          <w:w w:val="95"/>
          <w:sz w:val="21"/>
          <w:szCs w:val="21"/>
        </w:rPr>
        <w:t>政学校；2001年2月至今任教于山东科技大学，从事会计学教学。同时，1998年11月至1999年8月兼职山东</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泰山会计师事务所；2004年8月至2009年2月担任泰安鲁润股份有限公司独立董事。2014年4月起担任尤洛</w:t>
      </w:r>
    </w:p>
    <w:p>
      <w:pPr>
        <w:spacing w:after="0" w:line="408" w:lineRule="auto"/>
        <w:jc w:val="left"/>
        <w:rPr>
          <w:rFonts w:ascii="宋体" w:hAnsi="宋体" w:cs="宋体" w:eastAsia="宋体" w:hint="default"/>
          <w:sz w:val="21"/>
          <w:szCs w:val="21"/>
        </w:rPr>
        <w:sectPr>
          <w:footerReference w:type="default" r:id="rId25"/>
          <w:pgSz w:w="11910" w:h="16840"/>
          <w:pgMar w:footer="1013" w:header="907" w:top="1100" w:bottom="1200" w:left="1020" w:right="920"/>
        </w:sectPr>
      </w:pPr>
    </w:p>
    <w:p>
      <w:pPr>
        <w:spacing w:line="240" w:lineRule="auto" w:before="9"/>
        <w:rPr>
          <w:rFonts w:ascii="宋体" w:hAnsi="宋体" w:cs="宋体" w:eastAsia="宋体" w:hint="default"/>
          <w:sz w:val="27"/>
          <w:szCs w:val="27"/>
        </w:rPr>
      </w:pPr>
    </w:p>
    <w:p>
      <w:pPr>
        <w:spacing w:before="34"/>
        <w:ind w:left="112" w:right="157" w:firstLine="0"/>
        <w:jc w:val="left"/>
        <w:rPr>
          <w:rFonts w:ascii="宋体" w:hAnsi="宋体" w:cs="宋体" w:eastAsia="宋体" w:hint="default"/>
          <w:sz w:val="21"/>
          <w:szCs w:val="21"/>
        </w:rPr>
      </w:pPr>
      <w:r>
        <w:rPr>
          <w:rFonts w:ascii="宋体" w:hAnsi="宋体" w:cs="宋体" w:eastAsia="宋体" w:hint="default"/>
          <w:sz w:val="21"/>
          <w:szCs w:val="21"/>
        </w:rPr>
        <w:t>卡公司董事。</w:t>
      </w:r>
    </w:p>
    <w:p>
      <w:pPr>
        <w:spacing w:line="240" w:lineRule="auto" w:before="10"/>
        <w:rPr>
          <w:rFonts w:ascii="宋体" w:hAnsi="宋体" w:cs="宋体" w:eastAsia="宋体" w:hint="default"/>
          <w:sz w:val="14"/>
          <w:szCs w:val="14"/>
        </w:rPr>
      </w:pPr>
    </w:p>
    <w:p>
      <w:pPr>
        <w:spacing w:line="408" w:lineRule="auto" w:before="0"/>
        <w:ind w:left="112" w:right="115" w:firstLine="420"/>
        <w:jc w:val="left"/>
        <w:rPr>
          <w:rFonts w:ascii="宋体" w:hAnsi="宋体" w:cs="宋体" w:eastAsia="宋体" w:hint="default"/>
          <w:sz w:val="21"/>
          <w:szCs w:val="21"/>
        </w:rPr>
      </w:pPr>
      <w:r>
        <w:rPr>
          <w:rFonts w:ascii="宋体" w:hAnsi="宋体" w:cs="宋体" w:eastAsia="宋体" w:hint="default"/>
          <w:sz w:val="21"/>
          <w:szCs w:val="21"/>
        </w:rPr>
        <w:t>王同孝，男，1953年3月出生，中国国籍，研究生学历，教授，博士生导师，未有任何国家和地区的</w:t>
      </w:r>
      <w:r>
        <w:rPr>
          <w:rFonts w:ascii="宋体" w:hAnsi="宋体" w:cs="宋体" w:eastAsia="宋体" w:hint="default"/>
          <w:w w:val="99"/>
          <w:sz w:val="21"/>
          <w:szCs w:val="21"/>
        </w:rPr>
        <w:t> </w:t>
      </w:r>
      <w:r>
        <w:rPr>
          <w:rFonts w:ascii="宋体" w:hAnsi="宋体" w:cs="宋体" w:eastAsia="宋体" w:hint="default"/>
          <w:sz w:val="21"/>
          <w:szCs w:val="21"/>
        </w:rPr>
        <w:t>永久境外居留权。1976年8月起历任山东矿业学院教师、地科系团总支书记、电气工程系党总支副书记、</w:t>
      </w:r>
      <w:r>
        <w:rPr>
          <w:rFonts w:ascii="宋体" w:hAnsi="宋体" w:cs="宋体" w:eastAsia="宋体" w:hint="default"/>
          <w:w w:val="99"/>
          <w:sz w:val="21"/>
          <w:szCs w:val="21"/>
        </w:rPr>
        <w:t> </w:t>
      </w:r>
      <w:r>
        <w:rPr>
          <w:rFonts w:ascii="宋体" w:hAnsi="宋体" w:cs="宋体" w:eastAsia="宋体" w:hint="default"/>
          <w:sz w:val="21"/>
          <w:szCs w:val="21"/>
        </w:rPr>
        <w:t>院长办公室副主任，1990年10月至2000年1月起任山东矿业学院科技开发公司、科技产业总公司、产业处</w:t>
      </w:r>
      <w:r>
        <w:rPr>
          <w:rFonts w:ascii="宋体" w:hAnsi="宋体" w:cs="宋体" w:eastAsia="宋体" w:hint="default"/>
          <w:w w:val="99"/>
          <w:sz w:val="21"/>
          <w:szCs w:val="21"/>
        </w:rPr>
        <w:t> </w:t>
      </w:r>
      <w:r>
        <w:rPr>
          <w:rFonts w:ascii="宋体" w:hAnsi="宋体" w:cs="宋体" w:eastAsia="宋体" w:hint="default"/>
          <w:sz w:val="21"/>
          <w:szCs w:val="21"/>
        </w:rPr>
        <w:t>经理、总经理、处长、书记等职。2000年1月至2013年04月任山东科技大学财务处处长、山东科技大学总</w:t>
      </w:r>
      <w:r>
        <w:rPr>
          <w:rFonts w:ascii="宋体" w:hAnsi="宋体" w:cs="宋体" w:eastAsia="宋体" w:hint="default"/>
          <w:w w:val="99"/>
          <w:sz w:val="21"/>
          <w:szCs w:val="21"/>
        </w:rPr>
        <w:t> </w:t>
      </w:r>
      <w:r>
        <w:rPr>
          <w:rFonts w:ascii="宋体" w:hAnsi="宋体" w:cs="宋体" w:eastAsia="宋体" w:hint="default"/>
          <w:w w:val="95"/>
          <w:sz w:val="21"/>
          <w:szCs w:val="21"/>
        </w:rPr>
        <w:t>会计师。2005年6月至2011年5月任青岛澳柯玛股份有限公司独立董事，2008年5月至2014年4月任尤洛卡矿</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业安全工程股份有限公司独立董事。2016年12月-至今任中国教育会计学会副会长职务。2017年2月起担任</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尤洛卡公司董事。</w:t>
      </w:r>
    </w:p>
    <w:p>
      <w:pPr>
        <w:spacing w:line="408" w:lineRule="auto"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2、监事</w:t>
      </w:r>
      <w:r>
        <w:rPr>
          <w:rFonts w:ascii="宋体" w:hAnsi="宋体" w:cs="宋体" w:eastAsia="宋体" w:hint="default"/>
          <w:w w:val="99"/>
          <w:sz w:val="21"/>
          <w:szCs w:val="21"/>
        </w:rPr>
        <w:t> </w:t>
      </w:r>
      <w:r>
        <w:rPr>
          <w:rFonts w:ascii="宋体" w:hAnsi="宋体" w:cs="宋体" w:eastAsia="宋体" w:hint="default"/>
          <w:w w:val="95"/>
          <w:sz w:val="21"/>
          <w:szCs w:val="21"/>
        </w:rPr>
        <w:t>王道银，男，1979年8月出生，中国国籍，初中学历，未有任何国家和地区的永久境外居留权。1994</w:t>
      </w:r>
      <w:r>
        <w:rPr>
          <w:rFonts w:ascii="宋体" w:hAnsi="宋体" w:cs="宋体" w:eastAsia="宋体" w:hint="default"/>
          <w:sz w:val="21"/>
          <w:szCs w:val="21"/>
        </w:rPr>
      </w:r>
    </w:p>
    <w:p>
      <w:pPr>
        <w:spacing w:line="408" w:lineRule="auto" w:before="46"/>
        <w:ind w:left="112" w:right="157" w:firstLine="0"/>
        <w:jc w:val="left"/>
        <w:rPr>
          <w:rFonts w:ascii="宋体" w:hAnsi="宋体" w:cs="宋体" w:eastAsia="宋体" w:hint="default"/>
          <w:sz w:val="21"/>
          <w:szCs w:val="21"/>
        </w:rPr>
      </w:pPr>
      <w:r>
        <w:rPr>
          <w:rFonts w:ascii="宋体" w:hAnsi="宋体" w:cs="宋体" w:eastAsia="宋体" w:hint="default"/>
          <w:sz w:val="21"/>
          <w:szCs w:val="21"/>
        </w:rPr>
        <w:t>年—1996年</w:t>
      </w:r>
      <w:r>
        <w:rPr>
          <w:rFonts w:ascii="宋体" w:hAnsi="宋体" w:cs="宋体" w:eastAsia="宋体" w:hint="default"/>
          <w:spacing w:val="-11"/>
          <w:sz w:val="21"/>
          <w:szCs w:val="21"/>
        </w:rPr>
        <w:t> </w:t>
      </w:r>
      <w:r>
        <w:rPr>
          <w:rFonts w:ascii="宋体" w:hAnsi="宋体" w:cs="宋体" w:eastAsia="宋体" w:hint="default"/>
          <w:sz w:val="21"/>
          <w:szCs w:val="21"/>
        </w:rPr>
        <w:t>青岛学习室内外装修；1997年—1998年，个体装修公司员工；1998年—1999年，个体公司员</w:t>
      </w:r>
      <w:r>
        <w:rPr>
          <w:rFonts w:ascii="宋体" w:hAnsi="宋体" w:cs="宋体" w:eastAsia="宋体" w:hint="default"/>
          <w:w w:val="99"/>
          <w:sz w:val="21"/>
          <w:szCs w:val="21"/>
        </w:rPr>
        <w:t> </w:t>
      </w:r>
      <w:r>
        <w:rPr>
          <w:rFonts w:ascii="宋体" w:hAnsi="宋体" w:cs="宋体" w:eastAsia="宋体" w:hint="default"/>
          <w:w w:val="95"/>
          <w:sz w:val="21"/>
          <w:szCs w:val="21"/>
        </w:rPr>
        <w:t>工；1999年—2002年，海南省晶桐生物有限公司机修工；2003年—2004年，新城冷食厂司机；2005年—至</w:t>
      </w:r>
      <w:r>
        <w:rPr>
          <w:rFonts w:ascii="宋体" w:hAnsi="宋体" w:cs="宋体" w:eastAsia="宋体" w:hint="default"/>
          <w:spacing w:val="42"/>
          <w:w w:val="95"/>
          <w:sz w:val="21"/>
          <w:szCs w:val="21"/>
        </w:rPr>
        <w:t> </w:t>
      </w:r>
      <w:r>
        <w:rPr>
          <w:rFonts w:ascii="宋体" w:hAnsi="宋体" w:cs="宋体" w:eastAsia="宋体" w:hint="default"/>
          <w:spacing w:val="42"/>
          <w:w w:val="95"/>
          <w:sz w:val="21"/>
          <w:szCs w:val="21"/>
        </w:rPr>
      </w:r>
      <w:r>
        <w:rPr>
          <w:rFonts w:ascii="宋体" w:hAnsi="宋体" w:cs="宋体" w:eastAsia="宋体" w:hint="default"/>
          <w:sz w:val="21"/>
          <w:szCs w:val="21"/>
        </w:rPr>
        <w:t>今，尤洛卡公司供应部副部长，2011年2月至2017年5月任尤洛卡公司职工代表监事，2017年5月任尤洛卡</w:t>
      </w:r>
      <w:r>
        <w:rPr>
          <w:rFonts w:ascii="宋体" w:hAnsi="宋体" w:cs="宋体" w:eastAsia="宋体" w:hint="default"/>
          <w:w w:val="99"/>
          <w:sz w:val="21"/>
          <w:szCs w:val="21"/>
        </w:rPr>
        <w:t> </w:t>
      </w:r>
      <w:r>
        <w:rPr>
          <w:rFonts w:ascii="宋体" w:hAnsi="宋体" w:cs="宋体" w:eastAsia="宋体" w:hint="default"/>
          <w:sz w:val="21"/>
          <w:szCs w:val="21"/>
        </w:rPr>
        <w:t>公司监事会主席。</w:t>
      </w:r>
    </w:p>
    <w:p>
      <w:pPr>
        <w:spacing w:line="408" w:lineRule="auto" w:before="46"/>
        <w:ind w:left="112" w:right="157" w:firstLine="420"/>
        <w:jc w:val="left"/>
        <w:rPr>
          <w:rFonts w:ascii="宋体" w:hAnsi="宋体" w:cs="宋体" w:eastAsia="宋体" w:hint="default"/>
          <w:sz w:val="21"/>
          <w:szCs w:val="21"/>
        </w:rPr>
      </w:pPr>
      <w:r>
        <w:rPr>
          <w:rFonts w:ascii="宋体" w:hAnsi="宋体" w:cs="宋体" w:eastAsia="宋体" w:hint="default"/>
          <w:sz w:val="21"/>
          <w:szCs w:val="21"/>
        </w:rPr>
        <w:t>孙兆华，女，1976年2月出生，中国国籍，中专学历，未有任何国家和地区的永久境外居留权。1996</w:t>
      </w:r>
      <w:r>
        <w:rPr>
          <w:rFonts w:ascii="宋体" w:hAnsi="宋体" w:cs="宋体" w:eastAsia="宋体" w:hint="default"/>
          <w:w w:val="99"/>
          <w:sz w:val="21"/>
          <w:szCs w:val="21"/>
        </w:rPr>
        <w:t> </w:t>
      </w:r>
      <w:r>
        <w:rPr>
          <w:rFonts w:ascii="宋体" w:hAnsi="宋体" w:cs="宋体" w:eastAsia="宋体" w:hint="default"/>
          <w:w w:val="95"/>
          <w:sz w:val="21"/>
          <w:szCs w:val="21"/>
        </w:rPr>
        <w:t>年4月起任山东矿业学院职能工程研究所职工，1999年起任尤洛卡公司电子仪表车间主任，2014年4月任尤</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洛卡公司监事。</w:t>
      </w:r>
    </w:p>
    <w:p>
      <w:pPr>
        <w:spacing w:line="408" w:lineRule="auto" w:before="46"/>
        <w:ind w:left="112" w:right="111" w:firstLine="420"/>
        <w:jc w:val="both"/>
        <w:rPr>
          <w:rFonts w:ascii="宋体" w:hAnsi="宋体" w:cs="宋体" w:eastAsia="宋体" w:hint="default"/>
          <w:sz w:val="21"/>
          <w:szCs w:val="21"/>
        </w:rPr>
      </w:pPr>
      <w:r>
        <w:rPr>
          <w:rFonts w:ascii="宋体" w:hAnsi="宋体" w:cs="宋体" w:eastAsia="宋体" w:hint="default"/>
          <w:w w:val="95"/>
          <w:sz w:val="21"/>
          <w:szCs w:val="21"/>
        </w:rPr>
        <w:t>李霞，女，1987年1月出生，大专学历，中国国籍，未有任何国家和地区的永久境外居留权。2008年7</w:t>
      </w:r>
      <w:r>
        <w:rPr>
          <w:rFonts w:ascii="宋体" w:hAnsi="宋体" w:cs="宋体" w:eastAsia="宋体" w:hint="default"/>
          <w:w w:val="99"/>
          <w:sz w:val="21"/>
          <w:szCs w:val="21"/>
        </w:rPr>
        <w:t> </w:t>
      </w:r>
      <w:r>
        <w:rPr>
          <w:rFonts w:ascii="宋体" w:hAnsi="宋体" w:cs="宋体" w:eastAsia="宋体" w:hint="default"/>
          <w:w w:val="95"/>
          <w:sz w:val="21"/>
          <w:szCs w:val="21"/>
        </w:rPr>
        <w:t>月毕业于济宁学院，2008年9月起至2009年12月在泰安市岱岳区祝阳二中执教，2010年2月起至今为尤洛卡</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精准信息工程股份有限公司员工、内审部职员，2017年5月任尤洛卡公司职工代表监事。</w:t>
      </w:r>
    </w:p>
    <w:p>
      <w:pPr>
        <w:spacing w:line="408" w:lineRule="auto"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3、高级管理人员</w:t>
      </w:r>
      <w:r>
        <w:rPr>
          <w:rFonts w:ascii="宋体" w:hAnsi="宋体" w:cs="宋体" w:eastAsia="宋体" w:hint="default"/>
          <w:w w:val="99"/>
          <w:sz w:val="21"/>
          <w:szCs w:val="21"/>
        </w:rPr>
        <w:t> </w:t>
      </w:r>
      <w:r>
        <w:rPr>
          <w:rFonts w:ascii="宋体" w:hAnsi="宋体" w:cs="宋体" w:eastAsia="宋体" w:hint="default"/>
          <w:spacing w:val="-2"/>
          <w:w w:val="99"/>
          <w:sz w:val="21"/>
          <w:szCs w:val="21"/>
        </w:rPr>
        <w:t>赵志刚，男，1971年出生，中国国籍，中专学历（财务会计专业），未有任何国家和地区的永久境外</w:t>
      </w:r>
      <w:r>
        <w:rPr>
          <w:rFonts w:ascii="宋体" w:hAnsi="宋体" w:cs="宋体" w:eastAsia="宋体" w:hint="default"/>
          <w:spacing w:val="-2"/>
          <w:sz w:val="21"/>
          <w:szCs w:val="21"/>
        </w:rPr>
      </w:r>
    </w:p>
    <w:p>
      <w:pPr>
        <w:spacing w:line="408" w:lineRule="auto" w:before="46"/>
        <w:ind w:left="112" w:right="157" w:firstLine="0"/>
        <w:jc w:val="left"/>
        <w:rPr>
          <w:rFonts w:ascii="宋体" w:hAnsi="宋体" w:cs="宋体" w:eastAsia="宋体" w:hint="default"/>
          <w:sz w:val="21"/>
          <w:szCs w:val="21"/>
        </w:rPr>
      </w:pPr>
      <w:r>
        <w:rPr>
          <w:rFonts w:ascii="宋体" w:hAnsi="宋体" w:cs="宋体" w:eastAsia="宋体" w:hint="default"/>
          <w:w w:val="95"/>
          <w:sz w:val="21"/>
          <w:szCs w:val="21"/>
        </w:rPr>
        <w:t>居留权。1991年起任泰安华侨大厦职员，1994年起任泰安市经济委员会（泰安华能煤矿设备供应中心）职</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员，1999年起任深圳欣航油漆厂（台资）销售主管，2003年起任上海中卡智能卡有限公司销售经理，2007</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年起任尤洛卡矿业安全工程股份有限公司采购员、物资供应部部长、总经理助理；2014年8月起任尤洛卡</w:t>
      </w:r>
      <w:r>
        <w:rPr>
          <w:rFonts w:ascii="宋体" w:hAnsi="宋体" w:cs="宋体" w:eastAsia="宋体" w:hint="default"/>
          <w:w w:val="99"/>
          <w:sz w:val="21"/>
          <w:szCs w:val="21"/>
        </w:rPr>
        <w:t> </w:t>
      </w:r>
      <w:r>
        <w:rPr>
          <w:rFonts w:ascii="宋体" w:hAnsi="宋体" w:cs="宋体" w:eastAsia="宋体" w:hint="default"/>
          <w:w w:val="95"/>
          <w:sz w:val="21"/>
          <w:szCs w:val="21"/>
        </w:rPr>
        <w:t>公司副总经理，2015年1月起任尤洛卡公司总经理。同时2012年1月起任尤洛卡（上海）国际贸易有限公司  </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监事。</w:t>
      </w:r>
    </w:p>
    <w:p>
      <w:pPr>
        <w:spacing w:line="408" w:lineRule="auto" w:before="46"/>
        <w:ind w:left="112" w:right="111" w:firstLine="420"/>
        <w:jc w:val="both"/>
        <w:rPr>
          <w:rFonts w:ascii="宋体" w:hAnsi="宋体" w:cs="宋体" w:eastAsia="宋体" w:hint="default"/>
          <w:sz w:val="21"/>
          <w:szCs w:val="21"/>
        </w:rPr>
      </w:pPr>
      <w:r>
        <w:rPr>
          <w:rFonts w:ascii="宋体" w:hAnsi="宋体" w:cs="宋体" w:eastAsia="宋体" w:hint="default"/>
          <w:w w:val="95"/>
          <w:sz w:val="21"/>
          <w:szCs w:val="21"/>
        </w:rPr>
        <w:t>姚明远，男，1982年出生,中国国籍,硕士研究生，未有任何国家和地区的永久境外居留权。荣获第四</w:t>
      </w:r>
      <w:r>
        <w:rPr>
          <w:rFonts w:ascii="宋体" w:hAnsi="宋体" w:cs="宋体" w:eastAsia="宋体" w:hint="default"/>
          <w:w w:val="99"/>
          <w:sz w:val="21"/>
          <w:szCs w:val="21"/>
        </w:rPr>
        <w:t> </w:t>
      </w:r>
      <w:r>
        <w:rPr>
          <w:rFonts w:ascii="宋体" w:hAnsi="宋体" w:cs="宋体" w:eastAsia="宋体" w:hint="default"/>
          <w:spacing w:val="-5"/>
          <w:sz w:val="21"/>
          <w:szCs w:val="21"/>
        </w:rPr>
        <w:t>届泰安市优秀科技工作者提名奖、中华全国工商业联合科学技术奖二等奖、山东省富民兴鲁劳动奖章。2008</w:t>
      </w:r>
      <w:r>
        <w:rPr>
          <w:rFonts w:ascii="宋体" w:hAnsi="宋体" w:cs="宋体" w:eastAsia="宋体" w:hint="default"/>
          <w:w w:val="99"/>
          <w:sz w:val="21"/>
          <w:szCs w:val="21"/>
        </w:rPr>
        <w:t> </w:t>
      </w:r>
      <w:r>
        <w:rPr>
          <w:rFonts w:ascii="宋体" w:hAnsi="宋体" w:cs="宋体" w:eastAsia="宋体" w:hint="default"/>
          <w:w w:val="95"/>
          <w:sz w:val="21"/>
          <w:szCs w:val="21"/>
        </w:rPr>
        <w:t>年2月起在尤洛卡公司研发中心从事煤矿安全监测监控产品研发工作；2011年4月起担任尤洛卡公司研发中</w:t>
      </w:r>
      <w:r>
        <w:rPr>
          <w:rFonts w:ascii="宋体" w:hAnsi="宋体" w:cs="宋体" w:eastAsia="宋体" w:hint="default"/>
          <w:sz w:val="21"/>
          <w:szCs w:val="21"/>
        </w:rPr>
      </w:r>
    </w:p>
    <w:p>
      <w:pPr>
        <w:spacing w:after="0" w:line="408" w:lineRule="auto"/>
        <w:jc w:val="both"/>
        <w:rPr>
          <w:rFonts w:ascii="宋体" w:hAnsi="宋体" w:cs="宋体" w:eastAsia="宋体" w:hint="default"/>
          <w:sz w:val="21"/>
          <w:szCs w:val="21"/>
        </w:rPr>
        <w:sectPr>
          <w:footerReference w:type="default" r:id="rId26"/>
          <w:pgSz w:w="11910" w:h="16840"/>
          <w:pgMar w:footer="1013" w:header="907" w:top="1100" w:bottom="1200" w:left="1020" w:right="1020"/>
          <w:pgNumType w:start="66"/>
        </w:sectPr>
      </w:pPr>
    </w:p>
    <w:p>
      <w:pPr>
        <w:spacing w:line="240" w:lineRule="auto" w:before="9"/>
        <w:rPr>
          <w:rFonts w:ascii="宋体" w:hAnsi="宋体" w:cs="宋体" w:eastAsia="宋体" w:hint="default"/>
          <w:sz w:val="27"/>
          <w:szCs w:val="27"/>
        </w:rPr>
      </w:pPr>
    </w:p>
    <w:p>
      <w:pPr>
        <w:spacing w:line="408" w:lineRule="auto" w:before="34"/>
        <w:ind w:left="532" w:right="0" w:hanging="420"/>
        <w:jc w:val="left"/>
        <w:rPr>
          <w:rFonts w:ascii="宋体" w:hAnsi="宋体" w:cs="宋体" w:eastAsia="宋体" w:hint="default"/>
          <w:sz w:val="21"/>
          <w:szCs w:val="21"/>
        </w:rPr>
      </w:pPr>
      <w:r>
        <w:rPr>
          <w:rFonts w:ascii="宋体" w:hAnsi="宋体" w:cs="宋体" w:eastAsia="宋体" w:hint="default"/>
          <w:sz w:val="21"/>
          <w:szCs w:val="21"/>
        </w:rPr>
        <w:t>心副主任；2014年4月起任尤洛卡公司总经理助理，2015年1月起任尤洛卡公司副总经理。</w:t>
      </w:r>
      <w:r>
        <w:rPr>
          <w:rFonts w:ascii="宋体" w:hAnsi="宋体" w:cs="宋体" w:eastAsia="宋体" w:hint="default"/>
          <w:w w:val="99"/>
          <w:sz w:val="21"/>
          <w:szCs w:val="21"/>
        </w:rPr>
        <w:t> </w:t>
      </w:r>
      <w:r>
        <w:rPr>
          <w:rFonts w:ascii="宋体" w:hAnsi="宋体" w:cs="宋体" w:eastAsia="宋体" w:hint="default"/>
          <w:w w:val="95"/>
          <w:sz w:val="21"/>
          <w:szCs w:val="21"/>
        </w:rPr>
        <w:t>李彬，1981年2月出生，中国国籍，本科学历，未有任何国家和地区的永久境外居留权。2006年毕业</w:t>
      </w:r>
      <w:r>
        <w:rPr>
          <w:rFonts w:ascii="宋体" w:hAnsi="宋体" w:cs="宋体" w:eastAsia="宋体" w:hint="default"/>
          <w:sz w:val="21"/>
          <w:szCs w:val="21"/>
        </w:rPr>
      </w:r>
    </w:p>
    <w:p>
      <w:pPr>
        <w:spacing w:line="408" w:lineRule="auto" w:before="46"/>
        <w:ind w:left="112" w:right="0" w:firstLine="0"/>
        <w:jc w:val="left"/>
        <w:rPr>
          <w:rFonts w:ascii="宋体" w:hAnsi="宋体" w:cs="宋体" w:eastAsia="宋体" w:hint="default"/>
          <w:sz w:val="21"/>
          <w:szCs w:val="21"/>
        </w:rPr>
      </w:pPr>
      <w:r>
        <w:rPr>
          <w:rFonts w:ascii="宋体" w:hAnsi="宋体" w:cs="宋体" w:eastAsia="宋体" w:hint="default"/>
          <w:w w:val="95"/>
          <w:sz w:val="21"/>
          <w:szCs w:val="21"/>
        </w:rPr>
        <w:t>于三峡大学。2006年起任尤洛卡公司销售员、销售部经理。2008年2月起担任尤洛卡公司副总经理；2014</w:t>
      </w:r>
      <w:r>
        <w:rPr>
          <w:rFonts w:ascii="宋体" w:hAnsi="宋体" w:cs="宋体" w:eastAsia="宋体" w:hint="default"/>
          <w:spacing w:val="57"/>
          <w:w w:val="95"/>
          <w:sz w:val="21"/>
          <w:szCs w:val="21"/>
        </w:rPr>
        <w:t> </w:t>
      </w:r>
      <w:r>
        <w:rPr>
          <w:rFonts w:ascii="宋体" w:hAnsi="宋体" w:cs="宋体" w:eastAsia="宋体" w:hint="default"/>
          <w:spacing w:val="57"/>
          <w:w w:val="95"/>
          <w:sz w:val="21"/>
          <w:szCs w:val="21"/>
        </w:rPr>
      </w:r>
      <w:r>
        <w:rPr>
          <w:rFonts w:ascii="宋体" w:hAnsi="宋体" w:cs="宋体" w:eastAsia="宋体" w:hint="default"/>
          <w:sz w:val="21"/>
          <w:szCs w:val="21"/>
        </w:rPr>
        <w:t>年4月起任尤洛卡公司大区销售经理，2015年1月起担任尤洛卡公司副总经理。</w:t>
      </w:r>
    </w:p>
    <w:p>
      <w:pPr>
        <w:spacing w:line="408" w:lineRule="auto" w:before="46"/>
        <w:ind w:left="112" w:right="0" w:firstLine="420"/>
        <w:jc w:val="left"/>
        <w:rPr>
          <w:rFonts w:ascii="宋体" w:hAnsi="宋体" w:cs="宋体" w:eastAsia="宋体" w:hint="default"/>
          <w:sz w:val="21"/>
          <w:szCs w:val="21"/>
        </w:rPr>
      </w:pPr>
      <w:r>
        <w:rPr>
          <w:rFonts w:ascii="宋体" w:hAnsi="宋体" w:cs="宋体" w:eastAsia="宋体" w:hint="default"/>
          <w:spacing w:val="-2"/>
          <w:w w:val="99"/>
          <w:sz w:val="21"/>
          <w:szCs w:val="21"/>
        </w:rPr>
        <w:t>李波，男，1977年出生，中国国籍,本科（函授），未有任何国家和地区的永久境外居留权。1997年5</w:t>
      </w:r>
      <w:r>
        <w:rPr>
          <w:rFonts w:ascii="宋体" w:hAnsi="宋体" w:cs="宋体" w:eastAsia="宋体" w:hint="default"/>
          <w:w w:val="99"/>
          <w:sz w:val="21"/>
          <w:szCs w:val="21"/>
        </w:rPr>
        <w:t> </w:t>
      </w:r>
      <w:r>
        <w:rPr>
          <w:rFonts w:ascii="宋体" w:hAnsi="宋体" w:cs="宋体" w:eastAsia="宋体" w:hint="default"/>
          <w:sz w:val="21"/>
          <w:szCs w:val="21"/>
        </w:rPr>
        <w:t>月起泰安市郊区粮食局冷藏厂机电设备科任职，1999年12月起山东齿轮箱厂齿轮车间任职，2007年7月起</w:t>
      </w:r>
      <w:r>
        <w:rPr>
          <w:rFonts w:ascii="宋体" w:hAnsi="宋体" w:cs="宋体" w:eastAsia="宋体" w:hint="default"/>
          <w:w w:val="99"/>
          <w:sz w:val="21"/>
          <w:szCs w:val="21"/>
        </w:rPr>
        <w:t> </w:t>
      </w:r>
      <w:r>
        <w:rPr>
          <w:rFonts w:ascii="宋体" w:hAnsi="宋体" w:cs="宋体" w:eastAsia="宋体" w:hint="default"/>
          <w:w w:val="95"/>
          <w:sz w:val="21"/>
          <w:szCs w:val="21"/>
        </w:rPr>
        <w:t>尤洛卡公司机加工车间任职，2011年5月起尤洛卡公司试制车间主任、机加工车间主任，2013年4月起尤洛</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卡公司总经理助理兼生产部部长，2015年1月起担任尤洛卡公司副总经理。</w:t>
      </w:r>
    </w:p>
    <w:p>
      <w:pPr>
        <w:spacing w:line="408" w:lineRule="auto" w:before="46"/>
        <w:ind w:left="112" w:right="132" w:firstLine="420"/>
        <w:jc w:val="both"/>
        <w:rPr>
          <w:rFonts w:ascii="宋体" w:hAnsi="宋体" w:cs="宋体" w:eastAsia="宋体" w:hint="default"/>
          <w:sz w:val="21"/>
          <w:szCs w:val="21"/>
        </w:rPr>
      </w:pPr>
      <w:r>
        <w:rPr>
          <w:rFonts w:ascii="宋体" w:hAnsi="宋体" w:cs="宋体" w:eastAsia="宋体" w:hint="default"/>
          <w:w w:val="95"/>
          <w:sz w:val="21"/>
          <w:szCs w:val="21"/>
        </w:rPr>
        <w:t>曹洪伟，中国国籍，研究生文化，高级经济师。未有任何国家和地区的永久境外居留权。2001年毕业</w:t>
      </w:r>
      <w:r>
        <w:rPr>
          <w:rFonts w:ascii="宋体" w:hAnsi="宋体" w:cs="宋体" w:eastAsia="宋体" w:hint="default"/>
          <w:w w:val="99"/>
          <w:sz w:val="21"/>
          <w:szCs w:val="21"/>
        </w:rPr>
        <w:t> </w:t>
      </w:r>
      <w:r>
        <w:rPr>
          <w:rFonts w:ascii="宋体" w:hAnsi="宋体" w:cs="宋体" w:eastAsia="宋体" w:hint="default"/>
          <w:w w:val="95"/>
          <w:sz w:val="21"/>
          <w:szCs w:val="21"/>
        </w:rPr>
        <w:t>于河南大学政治经济学专业在职研究生。1990年至1993年任泰安市中小企业局外经贸业务科长，1993年至</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1996年任中国石化山东泰山石油股份有限公司证券投资策划科长，1996年至2008年任泰安鲁润股份有限公</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w w:val="95"/>
          <w:sz w:val="21"/>
          <w:szCs w:val="21"/>
        </w:rPr>
        <w:t>司董办主任、企发部部长、副总经理，2008年至2010年任山东兴盛矿业股份有限公司常务副总、董事会秘</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书，2010年10月至2011年4月任山东省尤洛卡自动化装备股份有限公司证券事务代表；2011年4月至今任尤</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洛卡公司副总经理兼董事会秘书。曹洪伟先生已经取得董事会秘书资格证书。</w:t>
      </w:r>
    </w:p>
    <w:p>
      <w:pPr>
        <w:spacing w:line="408" w:lineRule="auto" w:before="46"/>
        <w:ind w:left="112" w:right="216" w:firstLine="420"/>
        <w:jc w:val="both"/>
        <w:rPr>
          <w:rFonts w:ascii="宋体" w:hAnsi="宋体" w:cs="宋体" w:eastAsia="宋体" w:hint="default"/>
          <w:sz w:val="21"/>
          <w:szCs w:val="21"/>
        </w:rPr>
      </w:pPr>
      <w:r>
        <w:rPr>
          <w:rFonts w:ascii="宋体" w:hAnsi="宋体" w:cs="宋体" w:eastAsia="宋体" w:hint="default"/>
          <w:w w:val="95"/>
          <w:sz w:val="21"/>
          <w:szCs w:val="21"/>
        </w:rPr>
        <w:t>崔保航，1979年9月出生，中国国籍，本科学历，会计师职称。未有任何国家和地区的永久境外居留</w:t>
      </w:r>
      <w:r>
        <w:rPr>
          <w:rFonts w:ascii="宋体" w:hAnsi="宋体" w:cs="宋体" w:eastAsia="宋体" w:hint="default"/>
          <w:spacing w:val="-85"/>
          <w:w w:val="95"/>
          <w:sz w:val="21"/>
          <w:szCs w:val="21"/>
        </w:rPr>
        <w:t> </w:t>
      </w:r>
      <w:r>
        <w:rPr>
          <w:rFonts w:ascii="宋体" w:hAnsi="宋体" w:cs="宋体" w:eastAsia="宋体" w:hint="default"/>
          <w:spacing w:val="-85"/>
          <w:w w:val="95"/>
          <w:sz w:val="21"/>
          <w:szCs w:val="21"/>
        </w:rPr>
      </w:r>
      <w:r>
        <w:rPr>
          <w:rFonts w:ascii="宋体" w:hAnsi="宋体" w:cs="宋体" w:eastAsia="宋体" w:hint="default"/>
          <w:w w:val="95"/>
          <w:sz w:val="21"/>
          <w:szCs w:val="21"/>
        </w:rPr>
        <w:t>权。2006年毕业于山东科技大学。2006年5月起在尤洛卡公司担任会计。2008年11月起担任尤洛卡公司财</w:t>
      </w:r>
      <w:r>
        <w:rPr>
          <w:rFonts w:ascii="宋体" w:hAnsi="宋体" w:cs="宋体" w:eastAsia="宋体" w:hint="default"/>
          <w:spacing w:val="56"/>
          <w:w w:val="95"/>
          <w:sz w:val="21"/>
          <w:szCs w:val="21"/>
        </w:rPr>
        <w:t> </w:t>
      </w:r>
      <w:r>
        <w:rPr>
          <w:rFonts w:ascii="宋体" w:hAnsi="宋体" w:cs="宋体" w:eastAsia="宋体" w:hint="default"/>
          <w:spacing w:val="56"/>
          <w:w w:val="95"/>
          <w:sz w:val="21"/>
          <w:szCs w:val="21"/>
        </w:rPr>
      </w:r>
      <w:r>
        <w:rPr>
          <w:rFonts w:ascii="宋体" w:hAnsi="宋体" w:cs="宋体" w:eastAsia="宋体" w:hint="default"/>
          <w:sz w:val="21"/>
          <w:szCs w:val="21"/>
        </w:rPr>
        <w:t>务部副部长，2009年4月起担任尤洛卡公司财务负责人。</w:t>
      </w:r>
    </w:p>
    <w:p>
      <w:pPr>
        <w:spacing w:line="408" w:lineRule="auto" w:before="46"/>
        <w:ind w:left="112" w:right="0" w:firstLine="420"/>
        <w:jc w:val="left"/>
        <w:rPr>
          <w:rFonts w:ascii="宋体" w:hAnsi="宋体" w:cs="宋体" w:eastAsia="宋体" w:hint="default"/>
          <w:sz w:val="21"/>
          <w:szCs w:val="21"/>
        </w:rPr>
      </w:pPr>
      <w:r>
        <w:rPr>
          <w:rFonts w:ascii="宋体" w:hAnsi="宋体" w:cs="宋体" w:eastAsia="宋体" w:hint="default"/>
          <w:spacing w:val="-3"/>
          <w:sz w:val="21"/>
          <w:szCs w:val="21"/>
        </w:rPr>
        <w:t>路飞，1974年3月出生，中国国籍，大专学历，工程师，未有任何国家和地区的永久境外居留权。1997</w:t>
      </w:r>
      <w:r>
        <w:rPr>
          <w:rFonts w:ascii="宋体" w:hAnsi="宋体" w:cs="宋体" w:eastAsia="宋体" w:hint="default"/>
          <w:w w:val="99"/>
          <w:sz w:val="21"/>
          <w:szCs w:val="21"/>
        </w:rPr>
        <w:t> </w:t>
      </w:r>
      <w:r>
        <w:rPr>
          <w:rFonts w:ascii="宋体" w:hAnsi="宋体" w:cs="宋体" w:eastAsia="宋体" w:hint="default"/>
          <w:sz w:val="21"/>
          <w:szCs w:val="21"/>
        </w:rPr>
        <w:t>年6月毕业于吉林大学。1997年7月起任泰安大地精工公司数控制作工，2000年6月起任华泰铝轮毂公司技</w:t>
      </w:r>
      <w:r>
        <w:rPr>
          <w:rFonts w:ascii="宋体" w:hAnsi="宋体" w:cs="宋体" w:eastAsia="宋体" w:hint="default"/>
          <w:w w:val="99"/>
          <w:sz w:val="21"/>
          <w:szCs w:val="21"/>
        </w:rPr>
        <w:t> </w:t>
      </w:r>
      <w:r>
        <w:rPr>
          <w:rFonts w:ascii="宋体" w:hAnsi="宋体" w:cs="宋体" w:eastAsia="宋体" w:hint="default"/>
          <w:sz w:val="21"/>
          <w:szCs w:val="21"/>
        </w:rPr>
        <w:t>术员、领班，2004年7月起任华泰铝制品公司编程员、车间主管，2010年12月起任尤洛卡精准信息工程股</w:t>
      </w:r>
      <w:r>
        <w:rPr>
          <w:rFonts w:ascii="宋体" w:hAnsi="宋体" w:cs="宋体" w:eastAsia="宋体" w:hint="default"/>
          <w:w w:val="99"/>
          <w:sz w:val="21"/>
          <w:szCs w:val="21"/>
        </w:rPr>
        <w:t> </w:t>
      </w:r>
      <w:r>
        <w:rPr>
          <w:rFonts w:ascii="宋体" w:hAnsi="宋体" w:cs="宋体" w:eastAsia="宋体" w:hint="default"/>
          <w:w w:val="95"/>
          <w:sz w:val="21"/>
          <w:szCs w:val="21"/>
        </w:rPr>
        <w:t>份有限公司车间技术员，2013年03月起任尤洛卡公司车间副主任，2015年02月起任尤洛卡公司生产部长，</w:t>
      </w:r>
      <w:r>
        <w:rPr>
          <w:rFonts w:ascii="宋体" w:hAnsi="宋体" w:cs="宋体" w:eastAsia="宋体" w:hint="default"/>
          <w:spacing w:val="61"/>
          <w:w w:val="95"/>
          <w:sz w:val="21"/>
          <w:szCs w:val="21"/>
        </w:rPr>
        <w:t> </w:t>
      </w:r>
      <w:r>
        <w:rPr>
          <w:rFonts w:ascii="宋体" w:hAnsi="宋体" w:cs="宋体" w:eastAsia="宋体" w:hint="default"/>
          <w:spacing w:val="61"/>
          <w:w w:val="95"/>
          <w:sz w:val="21"/>
          <w:szCs w:val="21"/>
        </w:rPr>
      </w:r>
      <w:r>
        <w:rPr>
          <w:rFonts w:ascii="宋体" w:hAnsi="宋体" w:cs="宋体" w:eastAsia="宋体" w:hint="default"/>
          <w:sz w:val="21"/>
          <w:szCs w:val="21"/>
        </w:rPr>
        <w:t>2015年11月起任尤洛卡公司总经理助理，2017年5月起任尤洛卡公司副总经理。</w:t>
      </w:r>
    </w:p>
    <w:p>
      <w:pPr>
        <w:spacing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在股东单位任职情况</w:t>
      </w:r>
    </w:p>
    <w:p>
      <w:pPr>
        <w:spacing w:line="240" w:lineRule="auto" w:before="10"/>
        <w:rPr>
          <w:rFonts w:ascii="宋体" w:hAnsi="宋体" w:cs="宋体" w:eastAsia="宋体" w:hint="default"/>
          <w:sz w:val="14"/>
          <w:szCs w:val="14"/>
        </w:rPr>
      </w:pPr>
    </w:p>
    <w:p>
      <w:pPr>
        <w:spacing w:line="408" w:lineRule="auto" w:before="0"/>
        <w:ind w:left="532" w:right="7444"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99"/>
          <w:sz w:val="21"/>
          <w:szCs w:val="21"/>
        </w:rPr>
        <w:t> </w:t>
      </w:r>
      <w:r>
        <w:rPr>
          <w:rFonts w:ascii="宋体" w:hAnsi="宋体" w:cs="宋体" w:eastAsia="宋体" w:hint="default"/>
          <w:sz w:val="21"/>
          <w:szCs w:val="21"/>
        </w:rPr>
        <w:t>在其他单位任职情况</w:t>
      </w:r>
    </w:p>
    <w:p>
      <w:pPr>
        <w:spacing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13"/>
        <w:rPr>
          <w:rFonts w:ascii="宋体" w:hAnsi="宋体" w:cs="宋体" w:eastAsia="宋体" w:hint="default"/>
          <w:sz w:val="9"/>
          <w:szCs w:val="9"/>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5" w:right="144"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49"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6"/>
              <w:jc w:val="center"/>
              <w:rPr>
                <w:rFonts w:ascii="宋体" w:hAnsi="宋体" w:cs="宋体" w:eastAsia="宋体" w:hint="default"/>
                <w:sz w:val="18"/>
                <w:szCs w:val="18"/>
              </w:rPr>
            </w:pPr>
            <w:r>
              <w:rPr>
                <w:rFonts w:ascii="宋体" w:hAnsi="宋体" w:cs="宋体" w:eastAsia="宋体" w:hint="default"/>
                <w:sz w:val="18"/>
                <w:szCs w:val="18"/>
              </w:rPr>
              <w:t>在其他单 位担任的 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503" w:right="140"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52" w:right="159" w:hanging="89"/>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pacing w:val="-6"/>
                <w:sz w:val="18"/>
                <w:szCs w:val="18"/>
              </w:rPr>
              <w:t>尤洛卡（北京）产业信息技术研究院有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7" w:footer="1013" w:top="1100" w:bottom="1200" w:left="1020" w:right="100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尤洛卡（山东）环境工程有限公司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吉林省吉商智龙文化交流有限公司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吉林省玖壹咖啡餐饮管理有限公司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吉林省玖壹创业投资管理有限公司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吉林省浦生泰生物技术有限责任公司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山东纵观律师事务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西安鲁信股权投资管理有限公司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0"/>
        <w:ind w:right="157"/>
        <w:jc w:val="left"/>
      </w:pPr>
      <w:r>
        <w:rPr/>
        <w:t>公司现任及报告期内离任董事、监事和高级管理人员近三年证券监管机构处罚的情况</w:t>
      </w:r>
    </w:p>
    <w:p>
      <w:pPr>
        <w:pStyle w:val="BodyText"/>
        <w:spacing w:line="240" w:lineRule="auto" w:before="117"/>
        <w:ind w:right="15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四、董事、监事、高级管理人员报酬情况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董事、监事、高级管理人员报酬的决策程序、确定依据、实际支付情况</w:t>
      </w:r>
      <w:r>
        <w:rPr>
          <w:rFonts w:ascii="宋体" w:hAnsi="宋体" w:cs="宋体" w:eastAsia="宋体" w:hint="default"/>
          <w:w w:val="99"/>
          <w:sz w:val="21"/>
          <w:szCs w:val="21"/>
        </w:rPr>
        <w:t> </w:t>
      </w:r>
      <w:r>
        <w:rPr>
          <w:rFonts w:ascii="宋体" w:hAnsi="宋体" w:cs="宋体" w:eastAsia="宋体" w:hint="default"/>
          <w:w w:val="95"/>
          <w:sz w:val="21"/>
          <w:szCs w:val="21"/>
        </w:rPr>
        <w:t>董事、监事、高级管理人员报酬的决策程序：2017年4月20日，第三届董事会2017年第二次会议审议</w:t>
      </w:r>
      <w:r>
        <w:rPr>
          <w:rFonts w:ascii="宋体" w:hAnsi="宋体" w:cs="宋体" w:eastAsia="宋体" w:hint="default"/>
          <w:sz w:val="21"/>
          <w:szCs w:val="21"/>
        </w:rPr>
      </w:r>
    </w:p>
    <w:p>
      <w:pPr>
        <w:spacing w:line="408" w:lineRule="auto" w:before="46"/>
        <w:ind w:left="112" w:right="0" w:firstLine="0"/>
        <w:jc w:val="left"/>
        <w:rPr>
          <w:rFonts w:ascii="宋体" w:hAnsi="宋体" w:cs="宋体" w:eastAsia="宋体" w:hint="default"/>
          <w:sz w:val="21"/>
          <w:szCs w:val="21"/>
        </w:rPr>
      </w:pPr>
      <w:r>
        <w:rPr>
          <w:rFonts w:ascii="宋体" w:hAnsi="宋体" w:cs="宋体" w:eastAsia="宋体" w:hint="default"/>
          <w:spacing w:val="-3"/>
          <w:w w:val="99"/>
          <w:sz w:val="21"/>
          <w:szCs w:val="21"/>
        </w:rPr>
        <w:t>通过了《关于公司第四届董事会成员薪酬的议案》，该议案经2017年5月16日召开的2016年年度的股东大会</w:t>
      </w:r>
      <w:r>
        <w:rPr>
          <w:rFonts w:ascii="宋体" w:hAnsi="宋体" w:cs="宋体" w:eastAsia="宋体" w:hint="default"/>
          <w:spacing w:val="-54"/>
          <w:w w:val="99"/>
          <w:sz w:val="21"/>
          <w:szCs w:val="21"/>
        </w:rPr>
        <w:t> </w:t>
      </w:r>
      <w:r>
        <w:rPr>
          <w:rFonts w:ascii="宋体" w:hAnsi="宋体" w:cs="宋体" w:eastAsia="宋体" w:hint="default"/>
          <w:spacing w:val="-54"/>
          <w:w w:val="99"/>
          <w:sz w:val="21"/>
          <w:szCs w:val="21"/>
        </w:rPr>
      </w:r>
      <w:r>
        <w:rPr>
          <w:rFonts w:ascii="宋体" w:hAnsi="宋体" w:cs="宋体" w:eastAsia="宋体" w:hint="default"/>
          <w:sz w:val="21"/>
          <w:szCs w:val="21"/>
        </w:rPr>
        <w:t>审议通过。2017年4月20日，第三届监事会2017年第二次会议审议通过了《关于公司第四届监事会成员薪</w:t>
      </w:r>
      <w:r>
        <w:rPr>
          <w:rFonts w:ascii="宋体" w:hAnsi="宋体" w:cs="宋体" w:eastAsia="宋体" w:hint="default"/>
          <w:w w:val="99"/>
          <w:sz w:val="21"/>
          <w:szCs w:val="21"/>
        </w:rPr>
        <w:t> </w:t>
      </w:r>
      <w:r>
        <w:rPr>
          <w:rFonts w:ascii="宋体" w:hAnsi="宋体" w:cs="宋体" w:eastAsia="宋体" w:hint="default"/>
          <w:spacing w:val="-3"/>
          <w:w w:val="99"/>
          <w:sz w:val="21"/>
          <w:szCs w:val="21"/>
        </w:rPr>
        <w:t>酬的议案》，该议案经2017年5月16日召开的2016年年度的股东大会审议通过。</w:t>
      </w:r>
      <w:r>
        <w:rPr>
          <w:rFonts w:ascii="宋体" w:hAnsi="宋体" w:cs="宋体" w:eastAsia="宋体" w:hint="default"/>
          <w:spacing w:val="-3"/>
          <w:sz w:val="21"/>
          <w:szCs w:val="21"/>
        </w:rPr>
      </w:r>
    </w:p>
    <w:p>
      <w:pPr>
        <w:spacing w:line="408" w:lineRule="auto" w:before="46"/>
        <w:ind w:left="112" w:right="157" w:firstLine="420"/>
        <w:jc w:val="left"/>
        <w:rPr>
          <w:rFonts w:ascii="宋体" w:hAnsi="宋体" w:cs="宋体" w:eastAsia="宋体" w:hint="default"/>
          <w:sz w:val="21"/>
          <w:szCs w:val="21"/>
        </w:rPr>
      </w:pPr>
      <w:r>
        <w:rPr>
          <w:rFonts w:ascii="宋体" w:hAnsi="宋体" w:cs="宋体" w:eastAsia="宋体" w:hint="default"/>
          <w:w w:val="95"/>
          <w:sz w:val="21"/>
          <w:szCs w:val="21"/>
        </w:rPr>
        <w:t>董事、高级管理人员报酬确定依据：董事、监事和高级管理人员的报酬按照公司董事会《薪酬与考核</w:t>
      </w:r>
      <w:r>
        <w:rPr>
          <w:rFonts w:ascii="宋体" w:hAnsi="宋体" w:cs="宋体" w:eastAsia="宋体" w:hint="default"/>
          <w:w w:val="99"/>
          <w:sz w:val="21"/>
          <w:szCs w:val="21"/>
        </w:rPr>
        <w:t> </w:t>
      </w:r>
      <w:r>
        <w:rPr>
          <w:rFonts w:ascii="宋体" w:hAnsi="宋体" w:cs="宋体" w:eastAsia="宋体" w:hint="default"/>
          <w:sz w:val="21"/>
          <w:szCs w:val="21"/>
        </w:rPr>
        <w:t>委员会议事规则》等规定，结合其经营绩效、工作能力、岗位职责等考核确定并发放。</w:t>
      </w:r>
    </w:p>
    <w:p>
      <w:pPr>
        <w:spacing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董事、监事和高级管理人员报酬的实际支付情况：2017年实际支付285.02万元。</w:t>
      </w:r>
    </w:p>
    <w:p>
      <w:pPr>
        <w:spacing w:after="0"/>
        <w:jc w:val="left"/>
        <w:rPr>
          <w:rFonts w:ascii="宋体" w:hAnsi="宋体" w:cs="宋体" w:eastAsia="宋体" w:hint="default"/>
          <w:sz w:val="21"/>
          <w:szCs w:val="21"/>
        </w:rPr>
        <w:sectPr>
          <w:pgSz w:w="11910" w:h="16840"/>
          <w:pgMar w:header="907" w:footer="1013" w:top="1100" w:bottom="1200" w:left="1020" w:right="1020"/>
        </w:sectPr>
      </w:pPr>
    </w:p>
    <w:p>
      <w:pPr>
        <w:spacing w:line="240" w:lineRule="auto" w:before="9"/>
        <w:rPr>
          <w:rFonts w:ascii="宋体" w:hAnsi="宋体" w:cs="宋体" w:eastAsia="宋体" w:hint="default"/>
          <w:sz w:val="27"/>
          <w:szCs w:val="27"/>
        </w:rPr>
      </w:pPr>
    </w:p>
    <w:p>
      <w:pPr>
        <w:spacing w:before="34"/>
        <w:ind w:left="532" w:right="157" w:firstLine="0"/>
        <w:jc w:val="left"/>
        <w:rPr>
          <w:rFonts w:ascii="宋体" w:hAnsi="宋体" w:cs="宋体" w:eastAsia="宋体" w:hint="default"/>
          <w:sz w:val="21"/>
          <w:szCs w:val="21"/>
        </w:rPr>
      </w:pPr>
      <w:r>
        <w:rPr>
          <w:rFonts w:ascii="宋体" w:hAnsi="宋体" w:cs="宋体" w:eastAsia="宋体" w:hint="default"/>
          <w:sz w:val="21"/>
          <w:szCs w:val="21"/>
        </w:rPr>
        <w:t>公司报告期内董事、监事和高级管理人员报酬情况</w:t>
      </w:r>
    </w:p>
    <w:p>
      <w:pPr>
        <w:spacing w:line="240" w:lineRule="auto" w:before="5"/>
        <w:rPr>
          <w:rFonts w:ascii="宋体" w:hAnsi="宋体" w:cs="宋体" w:eastAsia="宋体" w:hint="default"/>
          <w:sz w:val="10"/>
          <w:szCs w:val="10"/>
        </w:rPr>
      </w:pPr>
    </w:p>
    <w:p>
      <w:pPr>
        <w:pStyle w:val="BodyText"/>
        <w:spacing w:line="240" w:lineRule="auto" w:before="44"/>
        <w:ind w:left="0" w:right="112"/>
        <w:jc w:val="right"/>
      </w:pPr>
      <w:r>
        <w:rPr/>
        <w:t>单位：万元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9"/>
        <w:gridCol w:w="1367"/>
        <w:gridCol w:w="1367"/>
        <w:gridCol w:w="1367"/>
        <w:gridCol w:w="1367"/>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9"/>
              <w:jc w:val="right"/>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8" w:right="136"/>
              <w:jc w:val="left"/>
              <w:rPr>
                <w:rFonts w:ascii="宋体" w:hAnsi="宋体" w:cs="宋体" w:eastAsia="宋体" w:hint="default"/>
                <w:sz w:val="18"/>
                <w:szCs w:val="18"/>
              </w:rPr>
            </w:pPr>
            <w:r>
              <w:rPr>
                <w:rFonts w:ascii="宋体" w:hAnsi="宋体" w:cs="宋体" w:eastAsia="宋体" w:hint="default"/>
                <w:sz w:val="18"/>
                <w:szCs w:val="18"/>
              </w:rPr>
              <w:t>从公司获得的 税前报酬总额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7" w:right="138"/>
              <w:jc w:val="left"/>
              <w:rPr>
                <w:rFonts w:ascii="宋体" w:hAnsi="宋体" w:cs="宋体" w:eastAsia="宋体" w:hint="default"/>
                <w:sz w:val="18"/>
                <w:szCs w:val="18"/>
              </w:rPr>
            </w:pPr>
            <w:r>
              <w:rPr>
                <w:rFonts w:ascii="宋体" w:hAnsi="宋体" w:cs="宋体" w:eastAsia="宋体" w:hint="default"/>
                <w:sz w:val="18"/>
                <w:szCs w:val="18"/>
              </w:rPr>
              <w:t>是否在公司关 联方获取报酬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黄自伟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王晶华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27.79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黄屹峰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杨明明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王道银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孙兆华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5.13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赵志刚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18.66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14.96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3"/>
                <w:sz w:val="18"/>
              </w:rPr>
              <w:t>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16.67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2"/>
                <w:sz w:val="18"/>
              </w:rPr>
              <w:t>11.07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99"/>
              <w:jc w:val="righ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285.02</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64"/>
        <w:ind w:left="532" w:right="157" w:firstLine="0"/>
        <w:jc w:val="left"/>
        <w:rPr>
          <w:rFonts w:ascii="宋体" w:hAnsi="宋体" w:cs="宋体" w:eastAsia="宋体" w:hint="default"/>
          <w:sz w:val="21"/>
          <w:szCs w:val="21"/>
        </w:rPr>
      </w:pPr>
      <w:r>
        <w:rPr>
          <w:rFonts w:ascii="宋体" w:hAnsi="宋体" w:cs="宋体" w:eastAsia="宋体" w:hint="default"/>
          <w:sz w:val="21"/>
          <w:szCs w:val="21"/>
        </w:rPr>
        <w:t>公司董事、高级管理人员报告期内被授予的股权激励情况</w:t>
      </w:r>
    </w:p>
    <w:p>
      <w:pPr>
        <w:spacing w:line="240" w:lineRule="auto" w:before="10"/>
        <w:rPr>
          <w:rFonts w:ascii="宋体" w:hAnsi="宋体" w:cs="宋体" w:eastAsia="宋体" w:hint="default"/>
          <w:sz w:val="14"/>
          <w:szCs w:val="14"/>
        </w:rPr>
      </w:pPr>
    </w:p>
    <w:p>
      <w:pPr>
        <w:spacing w:before="0"/>
        <w:ind w:left="532" w:right="157"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line="240" w:lineRule="auto" w:before="5"/>
        <w:rPr>
          <w:rFonts w:ascii="宋体" w:hAnsi="宋体" w:cs="宋体" w:eastAsia="宋体" w:hint="default"/>
          <w:sz w:val="10"/>
          <w:szCs w:val="10"/>
        </w:rPr>
      </w:pPr>
    </w:p>
    <w:p>
      <w:pPr>
        <w:pStyle w:val="BodyText"/>
        <w:spacing w:line="240" w:lineRule="auto" w:before="44"/>
        <w:ind w:left="0" w:right="112"/>
        <w:jc w:val="right"/>
      </w:pPr>
      <w:r>
        <w:rPr/>
        <w:t>单位：股</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196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47"/>
              <w:jc w:val="righ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248"/>
              <w:jc w:val="right"/>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59" w:right="157"/>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35" w:right="133" w:firstLine="24"/>
              <w:jc w:val="both"/>
              <w:rPr>
                <w:rFonts w:ascii="宋体" w:hAnsi="宋体" w:cs="宋体" w:eastAsia="宋体" w:hint="default"/>
                <w:sz w:val="18"/>
                <w:szCs w:val="18"/>
              </w:rPr>
            </w:pPr>
            <w:r>
              <w:rPr>
                <w:rFonts w:ascii="宋体" w:hAnsi="宋体" w:cs="宋体" w:eastAsia="宋体" w:hint="default"/>
                <w:sz w:val="18"/>
                <w:szCs w:val="18"/>
              </w:rPr>
              <w:t>报告期 内已行 权股数 行权价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157"/>
              <w:jc w:val="left"/>
              <w:rPr>
                <w:rFonts w:ascii="宋体" w:hAnsi="宋体" w:cs="宋体" w:eastAsia="宋体" w:hint="default"/>
                <w:sz w:val="18"/>
                <w:szCs w:val="18"/>
              </w:rPr>
            </w:pPr>
            <w:r>
              <w:rPr>
                <w:rFonts w:ascii="宋体" w:hAnsi="宋体" w:cs="宋体" w:eastAsia="宋体" w:hint="default"/>
                <w:sz w:val="18"/>
                <w:szCs w:val="18"/>
              </w:rPr>
              <w:t>报告期 末市价</w:t>
            </w:r>
          </w:p>
          <w:p>
            <w:pPr>
              <w:pStyle w:val="TableParagraph"/>
              <w:spacing w:line="300" w:lineRule="auto" w:before="19"/>
              <w:ind w:left="249" w:right="223" w:hanging="24"/>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期初持 有限制 性股票 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60" w:right="157"/>
              <w:jc w:val="both"/>
              <w:rPr>
                <w:rFonts w:ascii="宋体" w:hAnsi="宋体" w:cs="宋体" w:eastAsia="宋体" w:hint="default"/>
                <w:sz w:val="18"/>
                <w:szCs w:val="18"/>
              </w:rPr>
            </w:pPr>
            <w:r>
              <w:rPr>
                <w:rFonts w:ascii="宋体" w:hAnsi="宋体" w:cs="宋体" w:eastAsia="宋体" w:hint="default"/>
                <w:sz w:val="18"/>
                <w:szCs w:val="18"/>
              </w:rPr>
              <w:t>本期已 解锁股 份数量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59" w:right="159"/>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34" w:right="134" w:firstLine="26"/>
              <w:jc w:val="both"/>
              <w:rPr>
                <w:rFonts w:ascii="宋体" w:hAnsi="宋体" w:cs="宋体" w:eastAsia="宋体" w:hint="default"/>
                <w:sz w:val="18"/>
                <w:szCs w:val="18"/>
              </w:rPr>
            </w:pPr>
            <w:r>
              <w:rPr>
                <w:rFonts w:ascii="宋体" w:hAnsi="宋体" w:cs="宋体" w:eastAsia="宋体" w:hint="default"/>
                <w:sz w:val="18"/>
                <w:szCs w:val="18"/>
              </w:rPr>
              <w:t>限制性 股票的 授予价 格（元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59" w:right="159"/>
              <w:jc w:val="both"/>
              <w:rPr>
                <w:rFonts w:ascii="宋体" w:hAnsi="宋体" w:cs="宋体" w:eastAsia="宋体" w:hint="default"/>
                <w:sz w:val="18"/>
                <w:szCs w:val="18"/>
              </w:rPr>
            </w:pPr>
            <w:r>
              <w:rPr>
                <w:rFonts w:ascii="宋体" w:hAnsi="宋体" w:cs="宋体" w:eastAsia="宋体" w:hint="default"/>
                <w:sz w:val="18"/>
                <w:szCs w:val="18"/>
              </w:rPr>
              <w:t>期末持 有限制 性股票 数量</w:t>
            </w:r>
          </w:p>
        </w:tc>
      </w:tr>
      <w:tr>
        <w:trPr>
          <w:trHeight w:val="400"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1"/>
              <w:jc w:val="right"/>
              <w:rPr>
                <w:rFonts w:ascii="宋体" w:hAnsi="宋体" w:cs="宋体" w:eastAsia="宋体" w:hint="default"/>
                <w:sz w:val="18"/>
                <w:szCs w:val="18"/>
              </w:rPr>
            </w:pPr>
            <w:r>
              <w:rPr>
                <w:rFonts w:ascii="宋体" w:hAnsi="宋体" w:cs="宋体" w:eastAsia="宋体" w:hint="default"/>
                <w:sz w:val="18"/>
                <w:szCs w:val="18"/>
              </w:rPr>
              <w:t>赵志刚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5"/>
              <w:jc w:val="right"/>
              <w:rPr>
                <w:rFonts w:ascii="宋体" w:hAnsi="宋体" w:cs="宋体" w:eastAsia="宋体" w:hint="default"/>
                <w:sz w:val="18"/>
                <w:szCs w:val="18"/>
              </w:rPr>
            </w:pPr>
            <w:r>
              <w:rPr>
                <w:rFonts w:ascii="宋体" w:hAnsi="宋体" w:cs="宋体" w:eastAsia="宋体" w:hint="default"/>
                <w:sz w:val="18"/>
                <w:szCs w:val="18"/>
              </w:rPr>
              <w:t>总经理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1" w:right="0"/>
              <w:jc w:val="left"/>
              <w:rPr>
                <w:rFonts w:ascii="Times New Roman" w:hAnsi="Times New Roman" w:cs="Times New Roman" w:eastAsia="Times New Roman" w:hint="default"/>
                <w:sz w:val="18"/>
                <w:szCs w:val="18"/>
              </w:rPr>
            </w:pPr>
            <w:r>
              <w:rPr>
                <w:rFonts w:ascii="Times New Roman"/>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200,000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5"/>
        <w:gridCol w:w="870"/>
        <w:gridCol w:w="869"/>
        <w:gridCol w:w="869"/>
        <w:gridCol w:w="870"/>
        <w:gridCol w:w="870"/>
        <w:gridCol w:w="870"/>
        <w:gridCol w:w="870"/>
        <w:gridCol w:w="870"/>
        <w:gridCol w:w="870"/>
        <w:gridCol w:w="870"/>
      </w:tblGrid>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李彬</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180,000</w:t>
            </w:r>
          </w:p>
        </w:tc>
      </w:tr>
      <w:tr>
        <w:trPr>
          <w:trHeight w:val="1026"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曹洪伟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2"/>
              <w:jc w:val="left"/>
              <w:rPr>
                <w:rFonts w:ascii="宋体" w:hAnsi="宋体" w:cs="宋体" w:eastAsia="宋体" w:hint="default"/>
                <w:sz w:val="18"/>
                <w:szCs w:val="18"/>
              </w:rPr>
            </w:pPr>
            <w:r>
              <w:rPr>
                <w:rFonts w:ascii="宋体" w:hAnsi="宋体" w:cs="宋体" w:eastAsia="宋体" w:hint="default"/>
                <w:sz w:val="18"/>
                <w:szCs w:val="18"/>
              </w:rPr>
              <w:t>副总经 </w:t>
            </w:r>
            <w:r>
              <w:rPr>
                <w:rFonts w:ascii="宋体" w:hAnsi="宋体" w:cs="宋体" w:eastAsia="宋体" w:hint="default"/>
                <w:spacing w:val="-17"/>
                <w:sz w:val="18"/>
                <w:szCs w:val="18"/>
              </w:rPr>
              <w:t>理、董事</w:t>
            </w:r>
            <w:r>
              <w:rPr>
                <w:rFonts w:ascii="宋体" w:hAnsi="宋体" w:cs="宋体" w:eastAsia="宋体" w:hint="default"/>
                <w:sz w:val="18"/>
                <w:szCs w:val="18"/>
              </w:rPr>
              <w:t> 会秘书</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崔保航</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李波</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路飞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姚明远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4.03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180,000</w:t>
            </w:r>
          </w:p>
        </w:tc>
      </w:tr>
      <w:tr>
        <w:trPr>
          <w:trHeight w:val="714"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1,040,00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0"/>
        <w:rPr>
          <w:rFonts w:ascii="宋体" w:hAnsi="宋体" w:cs="宋体" w:eastAsia="宋体" w:hint="default"/>
          <w:sz w:val="18"/>
          <w:szCs w:val="18"/>
        </w:rPr>
      </w:pPr>
    </w:p>
    <w:p>
      <w:pPr>
        <w:spacing w:before="26"/>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五、公司员工情况</w:t>
      </w:r>
      <w:r>
        <w:rPr>
          <w:rFonts w:ascii="宋体" w:hAnsi="宋体" w:cs="宋体" w:eastAsia="宋体" w:hint="default"/>
          <w:sz w:val="24"/>
          <w:szCs w:val="24"/>
        </w:rPr>
      </w:r>
    </w:p>
    <w:p>
      <w:pPr>
        <w:spacing w:line="240" w:lineRule="auto" w:before="9"/>
        <w:rPr>
          <w:rFonts w:ascii="宋体" w:hAnsi="宋体" w:cs="宋体" w:eastAsia="宋体" w:hint="default"/>
          <w:b/>
          <w:bCs/>
          <w:sz w:val="24"/>
          <w:szCs w:val="24"/>
        </w:rPr>
      </w:pPr>
    </w:p>
    <w:p>
      <w:pPr>
        <w:spacing w:before="0"/>
        <w:ind w:left="112" w:right="3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、员工数量、专业构成及教育程度</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272</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525</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本科及本科以上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209</w:t>
            </w:r>
          </w:p>
        </w:tc>
      </w:tr>
      <w:tr>
        <w:trPr>
          <w:trHeight w:val="400"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152</w:t>
            </w:r>
          </w:p>
        </w:tc>
      </w:tr>
    </w:tbl>
    <w:p>
      <w:pPr>
        <w:spacing w:after="0" w:line="240" w:lineRule="auto"/>
        <w:jc w:val="right"/>
        <w:rPr>
          <w:rFonts w:ascii="Times New Roman" w:hAnsi="Times New Roman" w:cs="Times New Roman" w:eastAsia="Times New Roman" w:hint="default"/>
          <w:sz w:val="18"/>
          <w:szCs w:val="18"/>
        </w:rPr>
        <w:sectPr>
          <w:footerReference w:type="default" r:id="rId27"/>
          <w:pgSz w:w="11910" w:h="16840"/>
          <w:pgMar w:footer="1013" w:header="907" w:top="1100" w:bottom="1200" w:left="1020" w:right="1080"/>
          <w:pgNumType w:start="7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中专及中专以下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525</w:t>
            </w:r>
          </w:p>
        </w:tc>
      </w:tr>
    </w:tbl>
    <w:p>
      <w:pPr>
        <w:spacing w:line="240" w:lineRule="auto" w:before="3"/>
        <w:rPr>
          <w:rFonts w:ascii="宋体" w:hAnsi="宋体" w:cs="宋体" w:eastAsia="宋体" w:hint="default"/>
          <w:b/>
          <w:bCs/>
          <w:sz w:val="19"/>
          <w:szCs w:val="19"/>
        </w:rPr>
      </w:pPr>
    </w:p>
    <w:p>
      <w:pPr>
        <w:spacing w:before="34"/>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、薪酬政策</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line="408" w:lineRule="auto" w:before="0"/>
        <w:ind w:left="112" w:right="212" w:firstLine="420"/>
        <w:jc w:val="both"/>
        <w:rPr>
          <w:rFonts w:ascii="宋体" w:hAnsi="宋体" w:cs="宋体" w:eastAsia="宋体" w:hint="default"/>
          <w:sz w:val="21"/>
          <w:szCs w:val="21"/>
        </w:rPr>
      </w:pPr>
      <w:r>
        <w:rPr>
          <w:rFonts w:ascii="宋体" w:hAnsi="宋体" w:cs="宋体" w:eastAsia="宋体" w:hint="default"/>
          <w:w w:val="95"/>
          <w:sz w:val="21"/>
          <w:szCs w:val="21"/>
        </w:rPr>
        <w:t>公司薪酬政策坚持与岗位价值相匹配的基本原则，同时兼顾技术与专业化能力的差别化对待，根据不</w:t>
      </w:r>
      <w:r>
        <w:rPr>
          <w:rFonts w:ascii="宋体" w:hAnsi="宋体" w:cs="宋体" w:eastAsia="宋体" w:hint="default"/>
          <w:w w:val="99"/>
          <w:sz w:val="21"/>
          <w:szCs w:val="21"/>
        </w:rPr>
        <w:t> </w:t>
      </w:r>
      <w:r>
        <w:rPr>
          <w:rFonts w:ascii="宋体" w:hAnsi="宋体" w:cs="宋体" w:eastAsia="宋体" w:hint="default"/>
          <w:w w:val="95"/>
          <w:sz w:val="21"/>
          <w:szCs w:val="21"/>
        </w:rPr>
        <w:t>同类别岗位制定相应的薪酬等级体系，在每个薪酬等级体系内根据其技术能力、专业化能力水平确定对应</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的薪酬。</w:t>
      </w:r>
    </w:p>
    <w:p>
      <w:pPr>
        <w:spacing w:line="240" w:lineRule="auto" w:before="8"/>
        <w:rPr>
          <w:rFonts w:ascii="宋体" w:hAnsi="宋体" w:cs="宋体" w:eastAsia="宋体" w:hint="default"/>
          <w:sz w:val="20"/>
          <w:szCs w:val="20"/>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、培训计划</w:t>
      </w:r>
      <w:r>
        <w:rPr>
          <w:rFonts w:ascii="宋体" w:hAnsi="宋体" w:cs="宋体" w:eastAsia="宋体" w:hint="default"/>
          <w:sz w:val="21"/>
          <w:szCs w:val="21"/>
        </w:rPr>
      </w:r>
    </w:p>
    <w:p>
      <w:pPr>
        <w:spacing w:line="240" w:lineRule="auto" w:before="6"/>
        <w:rPr>
          <w:rFonts w:ascii="宋体" w:hAnsi="宋体" w:cs="宋体" w:eastAsia="宋体" w:hint="default"/>
          <w:b/>
          <w:bCs/>
          <w:sz w:val="30"/>
          <w:szCs w:val="30"/>
        </w:rPr>
      </w:pPr>
    </w:p>
    <w:p>
      <w:pPr>
        <w:spacing w:line="408" w:lineRule="auto" w:before="0"/>
        <w:ind w:left="112" w:right="105" w:firstLine="420"/>
        <w:jc w:val="left"/>
        <w:rPr>
          <w:rFonts w:ascii="宋体" w:hAnsi="宋体" w:cs="宋体" w:eastAsia="宋体" w:hint="default"/>
          <w:sz w:val="21"/>
          <w:szCs w:val="21"/>
        </w:rPr>
      </w:pPr>
      <w:r>
        <w:rPr>
          <w:rFonts w:ascii="宋体" w:hAnsi="宋体" w:cs="宋体" w:eastAsia="宋体" w:hint="default"/>
          <w:sz w:val="21"/>
          <w:szCs w:val="21"/>
        </w:rPr>
        <w:t>公司各部门根据自身情况，经过需求调查以及往年的培训结果反馈，编制各部门年度培训计划，并报</w:t>
      </w:r>
      <w:r>
        <w:rPr>
          <w:rFonts w:ascii="宋体" w:hAnsi="宋体" w:cs="宋体" w:eastAsia="宋体" w:hint="default"/>
          <w:w w:val="99"/>
          <w:sz w:val="21"/>
          <w:szCs w:val="21"/>
        </w:rPr>
        <w:t> </w:t>
      </w:r>
      <w:r>
        <w:rPr>
          <w:rFonts w:ascii="宋体" w:hAnsi="宋体" w:cs="宋体" w:eastAsia="宋体" w:hint="default"/>
          <w:spacing w:val="-3"/>
          <w:sz w:val="21"/>
          <w:szCs w:val="21"/>
        </w:rPr>
        <w:t>人力资源部备案。公司人力资源部每年根据需求制定对相关岗位人员的年度培训计划，报公司批准后执行。</w:t>
      </w:r>
    </w:p>
    <w:p>
      <w:pPr>
        <w:spacing w:line="240" w:lineRule="auto" w:before="8"/>
        <w:rPr>
          <w:rFonts w:ascii="宋体" w:hAnsi="宋体" w:cs="宋体" w:eastAsia="宋体" w:hint="default"/>
          <w:sz w:val="20"/>
          <w:szCs w:val="20"/>
        </w:rPr>
      </w:pPr>
    </w:p>
    <w:p>
      <w:pPr>
        <w:spacing w:before="0"/>
        <w:ind w:left="112" w:right="10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、劳务外包情况</w:t>
      </w:r>
      <w:r>
        <w:rPr>
          <w:rFonts w:ascii="宋体" w:hAnsi="宋体" w:cs="宋体" w:eastAsia="宋体" w:hint="default"/>
          <w:sz w:val="21"/>
          <w:szCs w:val="21"/>
        </w:rPr>
      </w:r>
    </w:p>
    <w:p>
      <w:pPr>
        <w:spacing w:line="240" w:lineRule="auto" w:before="8"/>
        <w:rPr>
          <w:rFonts w:ascii="宋体" w:hAnsi="宋体" w:cs="宋体" w:eastAsia="宋体" w:hint="default"/>
          <w:b/>
          <w:bCs/>
          <w:sz w:val="30"/>
          <w:szCs w:val="30"/>
        </w:rPr>
      </w:pPr>
    </w:p>
    <w:p>
      <w:pPr>
        <w:spacing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4"/>
          <w:sz w:val="21"/>
          <w:szCs w:val="21"/>
        </w:rPr>
        <w:t> </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713" w:right="3730" w:firstLine="0"/>
        <w:jc w:val="center"/>
        <w:rPr>
          <w:rFonts w:ascii="宋体" w:hAnsi="宋体" w:cs="宋体" w:eastAsia="宋体" w:hint="default"/>
          <w:sz w:val="32"/>
          <w:szCs w:val="32"/>
        </w:rPr>
      </w:pPr>
      <w:r>
        <w:rPr>
          <w:rFonts w:ascii="宋体" w:hAnsi="宋体" w:cs="宋体" w:eastAsia="宋体" w:hint="default"/>
          <w:b/>
          <w:bCs/>
          <w:sz w:val="32"/>
          <w:szCs w:val="32"/>
        </w:rPr>
        <w:t>第九节</w:t>
      </w:r>
      <w:r>
        <w:rPr>
          <w:rFonts w:ascii="宋体" w:hAnsi="宋体" w:cs="宋体" w:eastAsia="宋体" w:hint="default"/>
          <w:b/>
          <w:bCs/>
          <w:spacing w:val="-7"/>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一、公司治理的基本状况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112" w:right="132" w:firstLine="420"/>
        <w:jc w:val="both"/>
        <w:rPr>
          <w:rFonts w:ascii="宋体" w:hAnsi="宋体" w:cs="宋体" w:eastAsia="宋体" w:hint="default"/>
          <w:sz w:val="21"/>
          <w:szCs w:val="21"/>
        </w:rPr>
      </w:pPr>
      <w:r>
        <w:rPr>
          <w:rFonts w:ascii="宋体" w:hAnsi="宋体" w:cs="宋体" w:eastAsia="宋体" w:hint="default"/>
          <w:spacing w:val="-14"/>
          <w:w w:val="99"/>
          <w:sz w:val="21"/>
          <w:szCs w:val="21"/>
        </w:rPr>
        <w:t>报告期内，公司严格按照《公司法》、《证券法》、《上市公司治理准则》、《深圳证券交易所创业板股票</w:t>
      </w:r>
      <w:r>
        <w:rPr>
          <w:rFonts w:ascii="宋体" w:hAnsi="宋体" w:cs="宋体" w:eastAsia="宋体" w:hint="default"/>
          <w:w w:val="99"/>
          <w:sz w:val="21"/>
          <w:szCs w:val="21"/>
        </w:rPr>
        <w:t> </w:t>
      </w:r>
      <w:r>
        <w:rPr>
          <w:rFonts w:ascii="宋体" w:hAnsi="宋体" w:cs="宋体" w:eastAsia="宋体" w:hint="default"/>
          <w:spacing w:val="-5"/>
          <w:w w:val="99"/>
          <w:sz w:val="21"/>
          <w:szCs w:val="21"/>
        </w:rPr>
        <w:t>上市规则》、《深圳证券交易所创业板上市公司规范运作指引》等法律、法规和中国证监会、深交所相关文</w:t>
      </w:r>
      <w:r>
        <w:rPr>
          <w:rFonts w:ascii="宋体" w:hAnsi="宋体" w:cs="宋体" w:eastAsia="宋体" w:hint="default"/>
          <w:spacing w:val="-79"/>
          <w:w w:val="99"/>
          <w:sz w:val="21"/>
          <w:szCs w:val="21"/>
        </w:rPr>
        <w:t> </w:t>
      </w:r>
      <w:r>
        <w:rPr>
          <w:rFonts w:ascii="宋体" w:hAnsi="宋体" w:cs="宋体" w:eastAsia="宋体" w:hint="default"/>
          <w:spacing w:val="-79"/>
          <w:w w:val="99"/>
          <w:sz w:val="21"/>
          <w:szCs w:val="21"/>
        </w:rPr>
      </w:r>
      <w:r>
        <w:rPr>
          <w:rFonts w:ascii="宋体" w:hAnsi="宋体" w:cs="宋体" w:eastAsia="宋体" w:hint="default"/>
          <w:w w:val="95"/>
          <w:sz w:val="21"/>
          <w:szCs w:val="21"/>
        </w:rPr>
        <w:t>件的要求，继续完善公司的法人治理结构，建立健全公司内部管理和控制制度，持续深入开展公司治理活</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动，促进了公司规范运作，提高了公司治理水平。截至报告期末，公司治理的实际状况符合《上市公司治</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sz w:val="21"/>
          <w:szCs w:val="21"/>
        </w:rPr>
        <w:t>理准则》和《深圳证券交易所创业板上市公司规范运作指引》的要求。</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（一）关于股东与股东大会</w:t>
      </w:r>
      <w:r>
        <w:rPr>
          <w:rFonts w:ascii="宋体" w:hAnsi="宋体" w:cs="宋体" w:eastAsia="宋体" w:hint="default"/>
          <w:w w:val="99"/>
          <w:sz w:val="21"/>
          <w:szCs w:val="21"/>
        </w:rPr>
        <w:t> </w:t>
      </w:r>
      <w:r>
        <w:rPr>
          <w:rFonts w:ascii="宋体" w:hAnsi="宋体" w:cs="宋体" w:eastAsia="宋体" w:hint="default"/>
          <w:w w:val="95"/>
          <w:sz w:val="21"/>
          <w:szCs w:val="21"/>
        </w:rPr>
        <w:t>公司股东按照《公司章程》的规定按其所持股份享有平等地位，并承担相应义务。报告期内公司严格</w:t>
      </w:r>
      <w:r>
        <w:rPr>
          <w:rFonts w:ascii="宋体" w:hAnsi="宋体" w:cs="宋体" w:eastAsia="宋体" w:hint="default"/>
          <w:sz w:val="21"/>
          <w:szCs w:val="21"/>
        </w:rPr>
      </w:r>
    </w:p>
    <w:p>
      <w:pPr>
        <w:spacing w:line="408" w:lineRule="auto" w:before="46"/>
        <w:ind w:left="112" w:right="135" w:firstLine="0"/>
        <w:jc w:val="both"/>
        <w:rPr>
          <w:rFonts w:ascii="宋体" w:hAnsi="宋体" w:cs="宋体" w:eastAsia="宋体" w:hint="default"/>
          <w:sz w:val="21"/>
          <w:szCs w:val="21"/>
        </w:rPr>
      </w:pPr>
      <w:r>
        <w:rPr>
          <w:rFonts w:ascii="宋体" w:hAnsi="宋体" w:cs="宋体" w:eastAsia="宋体" w:hint="default"/>
          <w:spacing w:val="-5"/>
          <w:w w:val="99"/>
          <w:sz w:val="21"/>
          <w:szCs w:val="21"/>
        </w:rPr>
        <w:t>按照《公司章程》、《股东大会议事规则》等规定和要求，规范地召集、召开股东大会，给予中小股东以充</w:t>
      </w:r>
      <w:r>
        <w:rPr>
          <w:rFonts w:ascii="宋体" w:hAnsi="宋体" w:cs="宋体" w:eastAsia="宋体" w:hint="default"/>
          <w:spacing w:val="-81"/>
          <w:w w:val="99"/>
          <w:sz w:val="21"/>
          <w:szCs w:val="21"/>
        </w:rPr>
        <w:t> </w:t>
      </w:r>
      <w:r>
        <w:rPr>
          <w:rFonts w:ascii="宋体" w:hAnsi="宋体" w:cs="宋体" w:eastAsia="宋体" w:hint="default"/>
          <w:spacing w:val="-81"/>
          <w:w w:val="99"/>
          <w:sz w:val="21"/>
          <w:szCs w:val="21"/>
        </w:rPr>
      </w:r>
      <w:r>
        <w:rPr>
          <w:rFonts w:ascii="宋体" w:hAnsi="宋体" w:cs="宋体" w:eastAsia="宋体" w:hint="default"/>
          <w:sz w:val="21"/>
          <w:szCs w:val="21"/>
        </w:rPr>
        <w:t>分的机会，反映其诉求，确保股东合法行使权益，平等对待所有股东。</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（二）关于公司与控股股东</w:t>
      </w:r>
      <w:r>
        <w:rPr>
          <w:rFonts w:ascii="宋体" w:hAnsi="宋体" w:cs="宋体" w:eastAsia="宋体" w:hint="default"/>
          <w:w w:val="99"/>
          <w:sz w:val="21"/>
          <w:szCs w:val="21"/>
        </w:rPr>
        <w:t> </w:t>
      </w:r>
      <w:r>
        <w:rPr>
          <w:rFonts w:ascii="宋体" w:hAnsi="宋体" w:cs="宋体" w:eastAsia="宋体" w:hint="default"/>
          <w:w w:val="95"/>
          <w:sz w:val="21"/>
          <w:szCs w:val="21"/>
        </w:rPr>
        <w:t>公司控股股东根据法律法规的规定依法行使其权利并承担义务，没有超越股东大会直接或间接干预公</w:t>
      </w:r>
      <w:r>
        <w:rPr>
          <w:rFonts w:ascii="宋体" w:hAnsi="宋体" w:cs="宋体" w:eastAsia="宋体" w:hint="default"/>
          <w:sz w:val="21"/>
          <w:szCs w:val="21"/>
        </w:rPr>
      </w:r>
    </w:p>
    <w:p>
      <w:pPr>
        <w:spacing w:line="408" w:lineRule="auto" w:before="46"/>
        <w:ind w:left="112" w:right="135" w:firstLine="0"/>
        <w:jc w:val="both"/>
        <w:rPr>
          <w:rFonts w:ascii="宋体" w:hAnsi="宋体" w:cs="宋体" w:eastAsia="宋体" w:hint="default"/>
          <w:sz w:val="21"/>
          <w:szCs w:val="21"/>
        </w:rPr>
      </w:pPr>
      <w:r>
        <w:rPr>
          <w:rFonts w:ascii="宋体" w:hAnsi="宋体" w:cs="宋体" w:eastAsia="宋体" w:hint="default"/>
          <w:w w:val="95"/>
          <w:sz w:val="21"/>
          <w:szCs w:val="21"/>
        </w:rPr>
        <w:t>司经营活动。报告期内公司没有为控股股东及其关联企业提供担保，亦不存在控股股东占用公司资金的行</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sz w:val="21"/>
          <w:szCs w:val="21"/>
        </w:rPr>
        <w:t>为，同时遵守了相关承诺。</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（三）关于董事和董事会</w:t>
      </w:r>
      <w:r>
        <w:rPr>
          <w:rFonts w:ascii="宋体" w:hAnsi="宋体" w:cs="宋体" w:eastAsia="宋体" w:hint="default"/>
          <w:w w:val="99"/>
          <w:sz w:val="21"/>
          <w:szCs w:val="21"/>
        </w:rPr>
        <w:t> </w:t>
      </w:r>
      <w:r>
        <w:rPr>
          <w:rFonts w:ascii="宋体" w:hAnsi="宋体" w:cs="宋体" w:eastAsia="宋体" w:hint="default"/>
          <w:w w:val="95"/>
          <w:sz w:val="21"/>
          <w:szCs w:val="21"/>
        </w:rPr>
        <w:t>公司董事会设董事9名，其中独立董事3名，董事会的人数及人员构成符合法律、法规和《公司章程》</w:t>
      </w:r>
      <w:r>
        <w:rPr>
          <w:rFonts w:ascii="宋体" w:hAnsi="宋体" w:cs="宋体" w:eastAsia="宋体" w:hint="default"/>
          <w:sz w:val="21"/>
          <w:szCs w:val="21"/>
        </w:rPr>
      </w:r>
    </w:p>
    <w:p>
      <w:pPr>
        <w:spacing w:line="408" w:lineRule="auto" w:before="46"/>
        <w:ind w:left="112" w:right="132" w:firstLine="0"/>
        <w:jc w:val="both"/>
        <w:rPr>
          <w:rFonts w:ascii="宋体" w:hAnsi="宋体" w:cs="宋体" w:eastAsia="宋体" w:hint="default"/>
          <w:sz w:val="21"/>
          <w:szCs w:val="21"/>
        </w:rPr>
      </w:pPr>
      <w:r>
        <w:rPr>
          <w:rFonts w:ascii="宋体" w:hAnsi="宋体" w:cs="宋体" w:eastAsia="宋体" w:hint="default"/>
          <w:spacing w:val="-9"/>
          <w:w w:val="99"/>
          <w:sz w:val="21"/>
          <w:szCs w:val="21"/>
        </w:rPr>
        <w:t>的要求。各位董事能够依据《董事会议事规则》、《独立董事工作细则》、《深圳证券交易所创业板上市公司</w:t>
      </w:r>
      <w:r>
        <w:rPr>
          <w:rFonts w:ascii="宋体" w:hAnsi="宋体" w:cs="宋体" w:eastAsia="宋体" w:hint="default"/>
          <w:spacing w:val="-93"/>
          <w:w w:val="99"/>
          <w:sz w:val="21"/>
          <w:szCs w:val="21"/>
        </w:rPr>
        <w:t> </w:t>
      </w:r>
      <w:r>
        <w:rPr>
          <w:rFonts w:ascii="宋体" w:hAnsi="宋体" w:cs="宋体" w:eastAsia="宋体" w:hint="default"/>
          <w:spacing w:val="-93"/>
          <w:w w:val="99"/>
          <w:sz w:val="21"/>
          <w:szCs w:val="21"/>
        </w:rPr>
      </w:r>
      <w:r>
        <w:rPr>
          <w:rFonts w:ascii="宋体" w:hAnsi="宋体" w:cs="宋体" w:eastAsia="宋体" w:hint="default"/>
          <w:w w:val="95"/>
          <w:sz w:val="21"/>
          <w:szCs w:val="21"/>
        </w:rPr>
        <w:t>规范运作指引》等开展工作，出席董事会和股东大会，勤勉尽责地履行职责和义务。公司董事通过参加培</w:t>
      </w:r>
      <w:r>
        <w:rPr>
          <w:rFonts w:ascii="宋体" w:hAnsi="宋体" w:cs="宋体" w:eastAsia="宋体" w:hint="default"/>
          <w:spacing w:val="41"/>
          <w:w w:val="95"/>
          <w:sz w:val="21"/>
          <w:szCs w:val="21"/>
        </w:rPr>
        <w:t> </w:t>
      </w:r>
      <w:r>
        <w:rPr>
          <w:rFonts w:ascii="宋体" w:hAnsi="宋体" w:cs="宋体" w:eastAsia="宋体" w:hint="default"/>
          <w:spacing w:val="41"/>
          <w:w w:val="95"/>
          <w:sz w:val="21"/>
          <w:szCs w:val="21"/>
        </w:rPr>
      </w:r>
      <w:r>
        <w:rPr>
          <w:rFonts w:ascii="宋体" w:hAnsi="宋体" w:cs="宋体" w:eastAsia="宋体" w:hint="default"/>
          <w:w w:val="95"/>
          <w:sz w:val="21"/>
          <w:szCs w:val="21"/>
        </w:rPr>
        <w:t>训、出外学习和自学，熟悉并掌握相关法律法规，从根本上保证董事立足于维护公司和全体股东的最大利</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益，忠实、诚信、勤勉地履行职责。全体董事均能做到以认真负责、勤勉诚信的态度忠实履行职责。公司</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设置董事会秘书、董事会办公室负责信息披露和投资者关系工作。</w:t>
      </w:r>
    </w:p>
    <w:p>
      <w:pPr>
        <w:spacing w:line="408" w:lineRule="auto" w:before="46"/>
        <w:ind w:left="532" w:right="0" w:firstLine="0"/>
        <w:jc w:val="left"/>
        <w:rPr>
          <w:rFonts w:ascii="宋体" w:hAnsi="宋体" w:cs="宋体" w:eastAsia="宋体" w:hint="default"/>
          <w:sz w:val="21"/>
          <w:szCs w:val="21"/>
        </w:rPr>
      </w:pPr>
      <w:r>
        <w:rPr>
          <w:rFonts w:ascii="宋体" w:hAnsi="宋体" w:cs="宋体" w:eastAsia="宋体" w:hint="default"/>
          <w:sz w:val="21"/>
          <w:szCs w:val="21"/>
        </w:rPr>
        <w:t>（四）关于监事和监事会</w:t>
      </w:r>
      <w:r>
        <w:rPr>
          <w:rFonts w:ascii="宋体" w:hAnsi="宋体" w:cs="宋体" w:eastAsia="宋体" w:hint="default"/>
          <w:w w:val="99"/>
          <w:sz w:val="21"/>
          <w:szCs w:val="21"/>
        </w:rPr>
        <w:t> </w:t>
      </w:r>
      <w:r>
        <w:rPr>
          <w:rFonts w:ascii="宋体" w:hAnsi="宋体" w:cs="宋体" w:eastAsia="宋体" w:hint="default"/>
          <w:w w:val="95"/>
          <w:sz w:val="21"/>
          <w:szCs w:val="21"/>
        </w:rPr>
        <w:t>公司监事会设监事3名，其中设置职工代表监事1名，人数和人员构成符合法律、法规和《公司章程》</w:t>
      </w:r>
      <w:r>
        <w:rPr>
          <w:rFonts w:ascii="宋体" w:hAnsi="宋体" w:cs="宋体" w:eastAsia="宋体" w:hint="default"/>
          <w:sz w:val="21"/>
          <w:szCs w:val="21"/>
        </w:rPr>
      </w:r>
    </w:p>
    <w:p>
      <w:pPr>
        <w:spacing w:line="408" w:lineRule="auto" w:before="46"/>
        <w:ind w:left="112" w:right="135" w:firstLine="0"/>
        <w:jc w:val="both"/>
        <w:rPr>
          <w:rFonts w:ascii="宋体" w:hAnsi="宋体" w:cs="宋体" w:eastAsia="宋体" w:hint="default"/>
          <w:sz w:val="21"/>
          <w:szCs w:val="21"/>
        </w:rPr>
      </w:pPr>
      <w:r>
        <w:rPr>
          <w:rFonts w:ascii="宋体" w:hAnsi="宋体" w:cs="宋体" w:eastAsia="宋体" w:hint="default"/>
          <w:w w:val="95"/>
          <w:sz w:val="21"/>
          <w:szCs w:val="21"/>
        </w:rPr>
        <w:t>的规定与要求；监事会会议的召集、召开程序，完全按照《监事会议事规则》的要求履行，并按照拟定的</w:t>
      </w:r>
      <w:r>
        <w:rPr>
          <w:rFonts w:ascii="宋体" w:hAnsi="宋体" w:cs="宋体" w:eastAsia="宋体" w:hint="default"/>
          <w:spacing w:val="36"/>
          <w:w w:val="95"/>
          <w:sz w:val="21"/>
          <w:szCs w:val="21"/>
        </w:rPr>
        <w:t> </w:t>
      </w:r>
      <w:r>
        <w:rPr>
          <w:rFonts w:ascii="宋体" w:hAnsi="宋体" w:cs="宋体" w:eastAsia="宋体" w:hint="default"/>
          <w:spacing w:val="36"/>
          <w:w w:val="95"/>
          <w:sz w:val="21"/>
          <w:szCs w:val="21"/>
        </w:rPr>
      </w:r>
      <w:r>
        <w:rPr>
          <w:rFonts w:ascii="宋体" w:hAnsi="宋体" w:cs="宋体" w:eastAsia="宋体" w:hint="default"/>
          <w:w w:val="95"/>
          <w:sz w:val="21"/>
          <w:szCs w:val="21"/>
        </w:rPr>
        <w:t>会议议程进行。公司监事能够认真履行自己的职责，本着对公司和全体股东负责的精神，依法、独立对公</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司财务以及公司董事、经理和其他高级管理人员履行职责的合法性、合规性进行监督。</w:t>
      </w:r>
    </w:p>
    <w:p>
      <w:pPr>
        <w:spacing w:after="0" w:line="408" w:lineRule="auto"/>
        <w:jc w:val="both"/>
        <w:rPr>
          <w:rFonts w:ascii="宋体" w:hAnsi="宋体" w:cs="宋体" w:eastAsia="宋体" w:hint="default"/>
          <w:sz w:val="21"/>
          <w:szCs w:val="21"/>
        </w:rPr>
        <w:sectPr>
          <w:pgSz w:w="11910" w:h="16840"/>
          <w:pgMar w:header="907" w:footer="1013" w:top="1100" w:bottom="1200" w:left="1020" w:right="1000"/>
        </w:sectPr>
      </w:pPr>
    </w:p>
    <w:p>
      <w:pPr>
        <w:spacing w:line="240" w:lineRule="auto" w:before="9"/>
        <w:rPr>
          <w:rFonts w:ascii="宋体" w:hAnsi="宋体" w:cs="宋体" w:eastAsia="宋体" w:hint="default"/>
          <w:sz w:val="27"/>
          <w:szCs w:val="27"/>
        </w:rPr>
      </w:pPr>
    </w:p>
    <w:p>
      <w:pPr>
        <w:spacing w:line="408" w:lineRule="auto" w:before="34"/>
        <w:ind w:left="532" w:right="105" w:firstLine="0"/>
        <w:jc w:val="left"/>
        <w:rPr>
          <w:rFonts w:ascii="宋体" w:hAnsi="宋体" w:cs="宋体" w:eastAsia="宋体" w:hint="default"/>
          <w:sz w:val="21"/>
          <w:szCs w:val="21"/>
        </w:rPr>
      </w:pPr>
      <w:r>
        <w:rPr>
          <w:rFonts w:ascii="宋体" w:hAnsi="宋体" w:cs="宋体" w:eastAsia="宋体" w:hint="default"/>
          <w:sz w:val="21"/>
          <w:szCs w:val="21"/>
        </w:rPr>
        <w:t>（五）关于绩效评价与激励约束机制</w:t>
      </w:r>
      <w:r>
        <w:rPr>
          <w:rFonts w:ascii="宋体" w:hAnsi="宋体" w:cs="宋体" w:eastAsia="宋体" w:hint="default"/>
          <w:w w:val="99"/>
          <w:sz w:val="21"/>
          <w:szCs w:val="21"/>
        </w:rPr>
        <w:t> </w:t>
      </w:r>
      <w:r>
        <w:rPr>
          <w:rFonts w:ascii="宋体" w:hAnsi="宋体" w:cs="宋体" w:eastAsia="宋体" w:hint="default"/>
          <w:w w:val="95"/>
          <w:sz w:val="21"/>
          <w:szCs w:val="21"/>
        </w:rPr>
        <w:t>公司董事会下设的薪酬和考核委员会负责对公司的董事、监事、高管进行绩效考核，公司现有的考核</w:t>
      </w:r>
      <w:r>
        <w:rPr>
          <w:rFonts w:ascii="宋体" w:hAnsi="宋体" w:cs="宋体" w:eastAsia="宋体" w:hint="default"/>
          <w:sz w:val="21"/>
          <w:szCs w:val="21"/>
        </w:rPr>
      </w:r>
    </w:p>
    <w:p>
      <w:pPr>
        <w:spacing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及激励约束机制基本符合公司的发展现状。</w:t>
      </w:r>
    </w:p>
    <w:p>
      <w:pPr>
        <w:spacing w:line="240" w:lineRule="auto" w:before="10"/>
        <w:rPr>
          <w:rFonts w:ascii="宋体" w:hAnsi="宋体" w:cs="宋体" w:eastAsia="宋体" w:hint="default"/>
          <w:sz w:val="14"/>
          <w:szCs w:val="14"/>
        </w:rPr>
      </w:pPr>
    </w:p>
    <w:p>
      <w:pPr>
        <w:spacing w:line="408" w:lineRule="auto" w:before="0"/>
        <w:ind w:left="532" w:right="105" w:firstLine="0"/>
        <w:jc w:val="left"/>
        <w:rPr>
          <w:rFonts w:ascii="宋体" w:hAnsi="宋体" w:cs="宋体" w:eastAsia="宋体" w:hint="default"/>
          <w:sz w:val="21"/>
          <w:szCs w:val="21"/>
        </w:rPr>
      </w:pPr>
      <w:r>
        <w:rPr>
          <w:rFonts w:ascii="宋体" w:hAnsi="宋体" w:cs="宋体" w:eastAsia="宋体" w:hint="default"/>
          <w:sz w:val="21"/>
          <w:szCs w:val="21"/>
        </w:rPr>
        <w:t>（六）关于信息披露与投资者关系</w:t>
      </w:r>
      <w:r>
        <w:rPr>
          <w:rFonts w:ascii="宋体" w:hAnsi="宋体" w:cs="宋体" w:eastAsia="宋体" w:hint="default"/>
          <w:w w:val="99"/>
          <w:sz w:val="21"/>
          <w:szCs w:val="21"/>
        </w:rPr>
        <w:t> </w:t>
      </w:r>
      <w:r>
        <w:rPr>
          <w:rFonts w:ascii="宋体" w:hAnsi="宋体" w:cs="宋体" w:eastAsia="宋体" w:hint="default"/>
          <w:spacing w:val="-5"/>
          <w:w w:val="99"/>
          <w:sz w:val="21"/>
          <w:szCs w:val="21"/>
        </w:rPr>
        <w:t>公司严格按照有关法律法规以及《信息披露制度》、《投资者关系管理制度》等的要求，真实、准确、</w:t>
      </w:r>
      <w:r>
        <w:rPr>
          <w:rFonts w:ascii="宋体" w:hAnsi="宋体" w:cs="宋体" w:eastAsia="宋体" w:hint="default"/>
          <w:spacing w:val="-5"/>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及时、公平、完整地披露有关信息；并指定公司董事会秘书、董事会办公室负责信息披露工作，协调公司</w:t>
      </w:r>
      <w:r>
        <w:rPr>
          <w:rFonts w:ascii="宋体" w:hAnsi="宋体" w:cs="宋体" w:eastAsia="宋体" w:hint="default"/>
          <w:w w:val="99"/>
          <w:sz w:val="21"/>
          <w:szCs w:val="21"/>
        </w:rPr>
        <w:t> </w:t>
      </w:r>
      <w:r>
        <w:rPr>
          <w:rFonts w:ascii="宋体" w:hAnsi="宋体" w:cs="宋体" w:eastAsia="宋体" w:hint="default"/>
          <w:sz w:val="21"/>
          <w:szCs w:val="21"/>
        </w:rPr>
        <w:t>与投资者的关系。公司除日常接待股东来访，回答投资者咨询，向投资者提供公司已披露的资料以外，还</w:t>
      </w:r>
      <w:r>
        <w:rPr>
          <w:rFonts w:ascii="宋体" w:hAnsi="宋体" w:cs="宋体" w:eastAsia="宋体" w:hint="default"/>
          <w:w w:val="99"/>
          <w:sz w:val="21"/>
          <w:szCs w:val="21"/>
        </w:rPr>
        <w:t> </w:t>
      </w:r>
      <w:r>
        <w:rPr>
          <w:rFonts w:ascii="宋体" w:hAnsi="宋体" w:cs="宋体" w:eastAsia="宋体" w:hint="default"/>
          <w:sz w:val="21"/>
          <w:szCs w:val="21"/>
        </w:rPr>
        <w:t>专门将每月的15日设置为投资者集中接待日，由公司董事长、总经理和相关高管人员直接与投资者面对面</w:t>
      </w:r>
      <w:r>
        <w:rPr>
          <w:rFonts w:ascii="宋体" w:hAnsi="宋体" w:cs="宋体" w:eastAsia="宋体" w:hint="default"/>
          <w:w w:val="99"/>
          <w:sz w:val="21"/>
          <w:szCs w:val="21"/>
        </w:rPr>
        <w:t> </w:t>
      </w:r>
      <w:r>
        <w:rPr>
          <w:rFonts w:ascii="宋体" w:hAnsi="宋体" w:cs="宋体" w:eastAsia="宋体" w:hint="default"/>
          <w:spacing w:val="-11"/>
          <w:w w:val="99"/>
          <w:sz w:val="21"/>
          <w:szCs w:val="21"/>
        </w:rPr>
        <w:t>交流，以便投资者更好地了解公司信息；同时指定《证券时报》、《证券日报》和巨潮网（</w:t>
      </w:r>
      <w:hyperlink r:id="rId14">
        <w:r>
          <w:rPr>
            <w:rFonts w:ascii="宋体" w:hAnsi="宋体" w:cs="宋体" w:eastAsia="宋体" w:hint="default"/>
            <w:spacing w:val="-11"/>
            <w:w w:val="99"/>
            <w:sz w:val="21"/>
            <w:szCs w:val="21"/>
          </w:rPr>
          <w:t>www.cninfo.com.cn</w:t>
        </w:r>
      </w:hyperlink>
      <w:r>
        <w:rPr>
          <w:rFonts w:ascii="宋体" w:hAnsi="宋体" w:cs="宋体" w:eastAsia="宋体" w:hint="default"/>
          <w:spacing w:val="-11"/>
          <w:w w:val="99"/>
          <w:sz w:val="21"/>
          <w:szCs w:val="21"/>
        </w:rPr>
        <w:t>）</w:t>
      </w:r>
      <w:r>
        <w:rPr>
          <w:rFonts w:ascii="宋体" w:hAnsi="宋体" w:cs="宋体" w:eastAsia="宋体" w:hint="default"/>
          <w:spacing w:val="-94"/>
          <w:w w:val="99"/>
          <w:sz w:val="21"/>
          <w:szCs w:val="21"/>
        </w:rPr>
        <w:t> </w:t>
      </w:r>
      <w:r>
        <w:rPr>
          <w:rFonts w:ascii="宋体" w:hAnsi="宋体" w:cs="宋体" w:eastAsia="宋体" w:hint="default"/>
          <w:spacing w:val="-94"/>
          <w:w w:val="99"/>
          <w:sz w:val="21"/>
          <w:szCs w:val="21"/>
        </w:rPr>
      </w:r>
      <w:r>
        <w:rPr>
          <w:rFonts w:ascii="宋体" w:hAnsi="宋体" w:cs="宋体" w:eastAsia="宋体" w:hint="default"/>
          <w:sz w:val="21"/>
          <w:szCs w:val="21"/>
        </w:rPr>
        <w:t>为公司信息披露的指定报纸和网站，确保公司所有股东能够以平等的机会获得信息。</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（七）关于相关利益者</w:t>
      </w:r>
      <w:r>
        <w:rPr>
          <w:rFonts w:ascii="宋体" w:hAnsi="宋体" w:cs="宋体" w:eastAsia="宋体" w:hint="default"/>
          <w:w w:val="99"/>
          <w:sz w:val="21"/>
          <w:szCs w:val="21"/>
        </w:rPr>
        <w:t> </w:t>
      </w:r>
      <w:r>
        <w:rPr>
          <w:rFonts w:ascii="宋体" w:hAnsi="宋体" w:cs="宋体" w:eastAsia="宋体" w:hint="default"/>
          <w:w w:val="95"/>
          <w:sz w:val="21"/>
          <w:szCs w:val="21"/>
        </w:rPr>
        <w:t>公司充分尊重和维护相关利益者的合法权益，实现股东、员工、社会等各方利益的协调平衡，共同推</w:t>
      </w:r>
      <w:r>
        <w:rPr>
          <w:rFonts w:ascii="宋体" w:hAnsi="宋体" w:cs="宋体" w:eastAsia="宋体" w:hint="default"/>
          <w:sz w:val="21"/>
          <w:szCs w:val="21"/>
        </w:rPr>
      </w:r>
    </w:p>
    <w:p>
      <w:pPr>
        <w:spacing w:line="408" w:lineRule="auto" w:before="46"/>
        <w:ind w:left="532" w:right="105" w:hanging="420"/>
        <w:jc w:val="left"/>
        <w:rPr>
          <w:rFonts w:ascii="宋体" w:hAnsi="宋体" w:cs="宋体" w:eastAsia="宋体" w:hint="default"/>
          <w:sz w:val="21"/>
          <w:szCs w:val="21"/>
        </w:rPr>
      </w:pPr>
      <w:r>
        <w:rPr>
          <w:rFonts w:ascii="宋体" w:hAnsi="宋体" w:cs="宋体" w:eastAsia="宋体" w:hint="default"/>
          <w:sz w:val="21"/>
          <w:szCs w:val="21"/>
        </w:rPr>
        <w:t>动公司持续、健康的发展。</w:t>
      </w:r>
      <w:r>
        <w:rPr>
          <w:rFonts w:ascii="宋体" w:hAnsi="宋体" w:cs="宋体" w:eastAsia="宋体" w:hint="default"/>
          <w:w w:val="99"/>
          <w:sz w:val="21"/>
          <w:szCs w:val="21"/>
        </w:rPr>
        <w:t> </w:t>
      </w:r>
      <w:r>
        <w:rPr>
          <w:rFonts w:ascii="宋体" w:hAnsi="宋体" w:cs="宋体" w:eastAsia="宋体" w:hint="default"/>
          <w:w w:val="95"/>
          <w:sz w:val="21"/>
          <w:szCs w:val="21"/>
        </w:rPr>
        <w:t>公司治理的实际状况与中国证监会发布的有关上市公司治理的规范性文件是否存在重大差异</w:t>
      </w:r>
      <w:r>
        <w:rPr>
          <w:rFonts w:ascii="宋体" w:hAnsi="宋体" w:cs="宋体" w:eastAsia="宋体" w:hint="default"/>
          <w:sz w:val="21"/>
          <w:szCs w:val="21"/>
        </w:rPr>
      </w:r>
    </w:p>
    <w:p>
      <w:pPr>
        <w:spacing w:line="408" w:lineRule="auto" w:before="46"/>
        <w:ind w:left="532" w:right="854"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w w:val="99"/>
          <w:sz w:val="21"/>
          <w:szCs w:val="21"/>
        </w:rPr>
        <w:t> </w:t>
      </w:r>
      <w:r>
        <w:rPr>
          <w:rFonts w:ascii="宋体" w:hAnsi="宋体" w:cs="宋体" w:eastAsia="宋体" w:hint="default"/>
          <w:w w:val="95"/>
          <w:sz w:val="21"/>
          <w:szCs w:val="21"/>
        </w:rPr>
        <w:t>公司治理的实际状况与中国证监会发布的有关上市公司治理的规范性文件不存在重大差异。</w:t>
      </w:r>
      <w:r>
        <w:rPr>
          <w:rFonts w:ascii="宋体" w:hAnsi="宋体" w:cs="宋体" w:eastAsia="宋体" w:hint="default"/>
          <w:sz w:val="21"/>
          <w:szCs w:val="21"/>
        </w:rPr>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二、公司相对于控股股东在业务、人员、资产、机构、财务等方面的独立情况</w:t>
      </w:r>
      <w:r>
        <w:rPr>
          <w:rFonts w:ascii="宋体" w:hAnsi="宋体" w:cs="宋体" w:eastAsia="宋体" w:hint="default"/>
          <w:sz w:val="24"/>
          <w:szCs w:val="24"/>
        </w:rPr>
      </w:r>
    </w:p>
    <w:p>
      <w:pPr>
        <w:spacing w:line="240" w:lineRule="auto" w:before="8"/>
        <w:rPr>
          <w:rFonts w:ascii="宋体" w:hAnsi="宋体" w:cs="宋体" w:eastAsia="宋体" w:hint="default"/>
          <w:b/>
          <w:bCs/>
          <w:sz w:val="30"/>
          <w:szCs w:val="30"/>
        </w:rPr>
      </w:pPr>
    </w:p>
    <w:p>
      <w:pPr>
        <w:spacing w:line="408" w:lineRule="auto" w:before="0"/>
        <w:ind w:left="112" w:right="105" w:firstLine="420"/>
        <w:jc w:val="left"/>
        <w:rPr>
          <w:rFonts w:ascii="宋体" w:hAnsi="宋体" w:cs="宋体" w:eastAsia="宋体" w:hint="default"/>
          <w:sz w:val="21"/>
          <w:szCs w:val="21"/>
        </w:rPr>
      </w:pPr>
      <w:r>
        <w:rPr>
          <w:rFonts w:ascii="宋体" w:hAnsi="宋体" w:cs="宋体" w:eastAsia="宋体" w:hint="default"/>
          <w:spacing w:val="-7"/>
          <w:w w:val="99"/>
          <w:sz w:val="21"/>
          <w:szCs w:val="21"/>
        </w:rPr>
        <w:t>公司自成立以来，严格按照《公司法》、《证券法》及《公司章程》等规定和要求规范运作，逐步建立、</w:t>
      </w:r>
      <w:r>
        <w:rPr>
          <w:rFonts w:ascii="宋体" w:hAnsi="宋体" w:cs="宋体" w:eastAsia="宋体" w:hint="default"/>
          <w:w w:val="99"/>
          <w:sz w:val="21"/>
          <w:szCs w:val="21"/>
        </w:rPr>
        <w:t> </w:t>
      </w:r>
      <w:r>
        <w:rPr>
          <w:rFonts w:ascii="宋体" w:hAnsi="宋体" w:cs="宋体" w:eastAsia="宋体" w:hint="default"/>
          <w:sz w:val="21"/>
          <w:szCs w:val="21"/>
        </w:rPr>
        <w:t>健全了公司法人治理结构，在业务、人员、资产、机构、财务等方面做到了与控股股东完全分开，具有独</w:t>
      </w:r>
      <w:r>
        <w:rPr>
          <w:rFonts w:ascii="宋体" w:hAnsi="宋体" w:cs="宋体" w:eastAsia="宋体" w:hint="default"/>
          <w:w w:val="99"/>
          <w:sz w:val="21"/>
          <w:szCs w:val="21"/>
        </w:rPr>
        <w:t> </w:t>
      </w:r>
      <w:r>
        <w:rPr>
          <w:rFonts w:ascii="宋体" w:hAnsi="宋体" w:cs="宋体" w:eastAsia="宋体" w:hint="default"/>
          <w:sz w:val="21"/>
          <w:szCs w:val="21"/>
        </w:rPr>
        <w:t>立、完整的资产和业务及自主经营的能力。公司控股股东为自然人，公司在业务、人员、资产、机构、财</w:t>
      </w:r>
      <w:r>
        <w:rPr>
          <w:rFonts w:ascii="宋体" w:hAnsi="宋体" w:cs="宋体" w:eastAsia="宋体" w:hint="default"/>
          <w:w w:val="99"/>
          <w:sz w:val="21"/>
          <w:szCs w:val="21"/>
        </w:rPr>
        <w:t> </w:t>
      </w:r>
      <w:r>
        <w:rPr>
          <w:rFonts w:ascii="宋体" w:hAnsi="宋体" w:cs="宋体" w:eastAsia="宋体" w:hint="default"/>
          <w:sz w:val="21"/>
          <w:szCs w:val="21"/>
        </w:rPr>
        <w:t>务等方面完全独立。</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1、业务独立性</w:t>
      </w:r>
      <w:r>
        <w:rPr>
          <w:rFonts w:ascii="宋体" w:hAnsi="宋体" w:cs="宋体" w:eastAsia="宋体" w:hint="default"/>
          <w:w w:val="99"/>
          <w:sz w:val="21"/>
          <w:szCs w:val="21"/>
        </w:rPr>
        <w:t> </w:t>
      </w:r>
      <w:r>
        <w:rPr>
          <w:rFonts w:ascii="宋体" w:hAnsi="宋体" w:cs="宋体" w:eastAsia="宋体" w:hint="default"/>
          <w:w w:val="95"/>
          <w:sz w:val="21"/>
          <w:szCs w:val="21"/>
        </w:rPr>
        <w:t>公司拥有独立完整的采购、生产、销售、研发设计等业务体系，具有面向市场独立经营的能力，不存</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在依赖控股股东或其他关联方的情况。公司与控股股东之间不存在关联交易，控股股东除行使股东权利之</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外，没有对公司的业务活动进行干预。</w:t>
      </w:r>
    </w:p>
    <w:p>
      <w:pPr>
        <w:spacing w:line="408" w:lineRule="auto" w:before="46"/>
        <w:ind w:left="532" w:right="99" w:firstLine="0"/>
        <w:jc w:val="left"/>
        <w:rPr>
          <w:rFonts w:ascii="宋体" w:hAnsi="宋体" w:cs="宋体" w:eastAsia="宋体" w:hint="default"/>
          <w:sz w:val="21"/>
          <w:szCs w:val="21"/>
        </w:rPr>
      </w:pPr>
      <w:r>
        <w:rPr>
          <w:rFonts w:ascii="宋体" w:hAnsi="宋体" w:cs="宋体" w:eastAsia="宋体" w:hint="default"/>
          <w:sz w:val="21"/>
          <w:szCs w:val="21"/>
        </w:rPr>
        <w:t>2、资产独立性</w:t>
      </w:r>
      <w:r>
        <w:rPr>
          <w:rFonts w:ascii="宋体" w:hAnsi="宋体" w:cs="宋体" w:eastAsia="宋体" w:hint="default"/>
          <w:w w:val="99"/>
          <w:sz w:val="21"/>
          <w:szCs w:val="21"/>
        </w:rPr>
        <w:t> </w:t>
      </w:r>
      <w:r>
        <w:rPr>
          <w:rFonts w:ascii="宋体" w:hAnsi="宋体" w:cs="宋体" w:eastAsia="宋体" w:hint="default"/>
          <w:spacing w:val="-3"/>
          <w:sz w:val="21"/>
          <w:szCs w:val="21"/>
        </w:rPr>
        <w:t>本公司与控股股东之间资产权属明确，不存在控股股东违规占用本公司资金、资产及其他资源的情况。</w:t>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本公司拥有独立的土地、厂房、机器设备以及商标、专利、非专利技术的所有权或者使用权，各种资产权</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属清晰、完整，没有依赖股东资产进行生产经营的情况。</w:t>
      </w:r>
    </w:p>
    <w:p>
      <w:pPr>
        <w:spacing w:after="0" w:line="408" w:lineRule="auto"/>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7"/>
          <w:szCs w:val="27"/>
        </w:rPr>
      </w:pPr>
    </w:p>
    <w:p>
      <w:pPr>
        <w:spacing w:line="408" w:lineRule="auto" w:before="34"/>
        <w:ind w:left="532" w:right="105" w:firstLine="0"/>
        <w:jc w:val="left"/>
        <w:rPr>
          <w:rFonts w:ascii="宋体" w:hAnsi="宋体" w:cs="宋体" w:eastAsia="宋体" w:hint="default"/>
          <w:sz w:val="21"/>
          <w:szCs w:val="21"/>
        </w:rPr>
      </w:pPr>
      <w:r>
        <w:rPr>
          <w:rFonts w:ascii="宋体" w:hAnsi="宋体" w:cs="宋体" w:eastAsia="宋体" w:hint="default"/>
          <w:sz w:val="21"/>
          <w:szCs w:val="21"/>
        </w:rPr>
        <w:t>3、人员独立性</w:t>
      </w:r>
      <w:r>
        <w:rPr>
          <w:rFonts w:ascii="宋体" w:hAnsi="宋体" w:cs="宋体" w:eastAsia="宋体" w:hint="default"/>
          <w:w w:val="99"/>
          <w:sz w:val="21"/>
          <w:szCs w:val="21"/>
        </w:rPr>
        <w:t> </w:t>
      </w:r>
      <w:r>
        <w:rPr>
          <w:rFonts w:ascii="宋体" w:hAnsi="宋体" w:cs="宋体" w:eastAsia="宋体" w:hint="default"/>
          <w:w w:val="95"/>
          <w:sz w:val="21"/>
          <w:szCs w:val="21"/>
        </w:rPr>
        <w:t>公司拥有完整独立的劳动、人事及薪酬管理体系，该体系和控股股东之间完全独立。公司总经理、副</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总经理、财务总监、董事会秘书等高级管理人员，没有在控股股东、实际控制人及其控制的其他企业中兼</w:t>
      </w:r>
      <w:r>
        <w:rPr>
          <w:rFonts w:ascii="宋体" w:hAnsi="宋体" w:cs="宋体" w:eastAsia="宋体" w:hint="default"/>
          <w:w w:val="99"/>
          <w:sz w:val="21"/>
          <w:szCs w:val="21"/>
        </w:rPr>
        <w:t> </w:t>
      </w:r>
      <w:r>
        <w:rPr>
          <w:rFonts w:ascii="宋体" w:hAnsi="宋体" w:cs="宋体" w:eastAsia="宋体" w:hint="default"/>
          <w:spacing w:val="-3"/>
          <w:w w:val="99"/>
          <w:sz w:val="21"/>
          <w:szCs w:val="21"/>
        </w:rPr>
        <w:t>职。部分董事、监事和高管人员在其它单位兼职情况见“第八节</w:t>
      </w:r>
      <w:r>
        <w:rPr>
          <w:rFonts w:ascii="宋体" w:hAnsi="宋体" w:cs="宋体" w:eastAsia="宋体" w:hint="default"/>
          <w:spacing w:val="28"/>
          <w:w w:val="99"/>
          <w:sz w:val="21"/>
          <w:szCs w:val="21"/>
        </w:rPr>
        <w:t> </w:t>
      </w:r>
      <w:r>
        <w:rPr>
          <w:rFonts w:ascii="宋体" w:hAnsi="宋体" w:cs="宋体" w:eastAsia="宋体" w:hint="default"/>
          <w:spacing w:val="-8"/>
          <w:w w:val="99"/>
          <w:sz w:val="21"/>
          <w:szCs w:val="21"/>
        </w:rPr>
        <w:t>董事、监事、高级管理人员和员工情况”。</w:t>
      </w:r>
      <w:r>
        <w:rPr>
          <w:rFonts w:ascii="宋体" w:hAnsi="宋体" w:cs="宋体" w:eastAsia="宋体" w:hint="default"/>
          <w:spacing w:val="-8"/>
          <w:sz w:val="21"/>
          <w:szCs w:val="21"/>
        </w:rPr>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4、机构独立性</w:t>
      </w:r>
      <w:r>
        <w:rPr>
          <w:rFonts w:ascii="宋体" w:hAnsi="宋体" w:cs="宋体" w:eastAsia="宋体" w:hint="default"/>
          <w:w w:val="99"/>
          <w:sz w:val="21"/>
          <w:szCs w:val="21"/>
        </w:rPr>
        <w:t> </w:t>
      </w:r>
      <w:r>
        <w:rPr>
          <w:rFonts w:ascii="宋体" w:hAnsi="宋体" w:cs="宋体" w:eastAsia="宋体" w:hint="default"/>
          <w:w w:val="95"/>
          <w:sz w:val="21"/>
          <w:szCs w:val="21"/>
        </w:rPr>
        <w:t>公司已经建立了适合公司生产经营所需的独立完整的组织机构，公司机构及生产经营场所与控股股东</w:t>
      </w:r>
      <w:r>
        <w:rPr>
          <w:rFonts w:ascii="宋体" w:hAnsi="宋体" w:cs="宋体" w:eastAsia="宋体" w:hint="default"/>
          <w:sz w:val="21"/>
          <w:szCs w:val="21"/>
        </w:rPr>
      </w:r>
    </w:p>
    <w:p>
      <w:pPr>
        <w:spacing w:line="408" w:lineRule="auto" w:before="46"/>
        <w:ind w:left="112" w:right="212" w:firstLine="0"/>
        <w:jc w:val="both"/>
        <w:rPr>
          <w:rFonts w:ascii="宋体" w:hAnsi="宋体" w:cs="宋体" w:eastAsia="宋体" w:hint="default"/>
          <w:sz w:val="21"/>
          <w:szCs w:val="21"/>
        </w:rPr>
      </w:pPr>
      <w:r>
        <w:rPr>
          <w:rFonts w:ascii="宋体" w:hAnsi="宋体" w:cs="宋体" w:eastAsia="宋体" w:hint="default"/>
          <w:w w:val="95"/>
          <w:sz w:val="21"/>
          <w:szCs w:val="21"/>
        </w:rPr>
        <w:t>完全分开，不存在混合经营、合署办公的情况，也不存在股东单位和其他关联单位或个人干预公司机构设</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置情况。公司及其职能部门与股东单位及其职能部门之间不存在上下级关系，不存在股东单位干预公司生</w:t>
      </w:r>
      <w:r>
        <w:rPr>
          <w:rFonts w:ascii="宋体" w:hAnsi="宋体" w:cs="宋体" w:eastAsia="宋体" w:hint="default"/>
          <w:spacing w:val="38"/>
          <w:w w:val="95"/>
          <w:sz w:val="21"/>
          <w:szCs w:val="21"/>
        </w:rPr>
        <w:t> </w:t>
      </w:r>
      <w:r>
        <w:rPr>
          <w:rFonts w:ascii="宋体" w:hAnsi="宋体" w:cs="宋体" w:eastAsia="宋体" w:hint="default"/>
          <w:spacing w:val="38"/>
          <w:w w:val="95"/>
          <w:sz w:val="21"/>
          <w:szCs w:val="21"/>
        </w:rPr>
      </w:r>
      <w:r>
        <w:rPr>
          <w:rFonts w:ascii="宋体" w:hAnsi="宋体" w:cs="宋体" w:eastAsia="宋体" w:hint="default"/>
          <w:w w:val="95"/>
          <w:sz w:val="21"/>
          <w:szCs w:val="21"/>
        </w:rPr>
        <w:t>产经营活动的情况。公司的股东大会、董事会、独立董事、监事会、总经理等依照法律、法规和公司章程</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sz w:val="21"/>
          <w:szCs w:val="21"/>
        </w:rPr>
        <w:t>独立行使职权。</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5、财务独立性</w:t>
      </w:r>
      <w:r>
        <w:rPr>
          <w:rFonts w:ascii="宋体" w:hAnsi="宋体" w:cs="宋体" w:eastAsia="宋体" w:hint="default"/>
          <w:w w:val="99"/>
          <w:sz w:val="21"/>
          <w:szCs w:val="21"/>
        </w:rPr>
        <w:t> </w:t>
      </w:r>
      <w:r>
        <w:rPr>
          <w:rFonts w:ascii="宋体" w:hAnsi="宋体" w:cs="宋体" w:eastAsia="宋体" w:hint="default"/>
          <w:w w:val="95"/>
          <w:sz w:val="21"/>
          <w:szCs w:val="21"/>
        </w:rPr>
        <w:t>公司拥有独立的财务部门，建立和完善了独立完整的会计核算体系和财务管理制度。公司财务人员独</w:t>
      </w:r>
      <w:r>
        <w:rPr>
          <w:rFonts w:ascii="宋体" w:hAnsi="宋体" w:cs="宋体" w:eastAsia="宋体" w:hint="default"/>
          <w:sz w:val="21"/>
          <w:szCs w:val="21"/>
        </w:rPr>
      </w:r>
    </w:p>
    <w:p>
      <w:pPr>
        <w:spacing w:line="408" w:lineRule="auto" w:before="46"/>
        <w:ind w:left="112" w:right="212" w:firstLine="0"/>
        <w:jc w:val="both"/>
        <w:rPr>
          <w:rFonts w:ascii="宋体" w:hAnsi="宋体" w:cs="宋体" w:eastAsia="宋体" w:hint="default"/>
          <w:sz w:val="21"/>
          <w:szCs w:val="21"/>
        </w:rPr>
      </w:pPr>
      <w:r>
        <w:rPr>
          <w:rFonts w:ascii="宋体" w:hAnsi="宋体" w:cs="宋体" w:eastAsia="宋体" w:hint="default"/>
          <w:w w:val="95"/>
          <w:sz w:val="21"/>
          <w:szCs w:val="21"/>
        </w:rPr>
        <w:t>立，未有在控股股东单位及其控制的其他企业内兼职和领取报酬的情况。公司开设了独立的银行帐户，未</w:t>
      </w:r>
      <w:r>
        <w:rPr>
          <w:rFonts w:ascii="宋体" w:hAnsi="宋体" w:cs="宋体" w:eastAsia="宋体" w:hint="default"/>
          <w:spacing w:val="40"/>
          <w:w w:val="95"/>
          <w:sz w:val="21"/>
          <w:szCs w:val="21"/>
        </w:rPr>
        <w:t> </w:t>
      </w:r>
      <w:r>
        <w:rPr>
          <w:rFonts w:ascii="宋体" w:hAnsi="宋体" w:cs="宋体" w:eastAsia="宋体" w:hint="default"/>
          <w:spacing w:val="40"/>
          <w:w w:val="95"/>
          <w:sz w:val="21"/>
          <w:szCs w:val="21"/>
        </w:rPr>
      </w:r>
      <w:r>
        <w:rPr>
          <w:rFonts w:ascii="宋体" w:hAnsi="宋体" w:cs="宋体" w:eastAsia="宋体" w:hint="default"/>
          <w:w w:val="95"/>
          <w:sz w:val="21"/>
          <w:szCs w:val="21"/>
        </w:rPr>
        <w:t>与股东共用银行账户，不存在股东违规占用本公司资金、资产及其他资源的情况。公司独立进行税务登记</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w w:val="95"/>
          <w:sz w:val="21"/>
          <w:szCs w:val="21"/>
        </w:rPr>
        <w:t>并依法独立纳税。公司能够独立做出财务决策，自主决定资金使用事项，不存在控股股东干预公司资金使</w:t>
      </w:r>
      <w:r>
        <w:rPr>
          <w:rFonts w:ascii="宋体" w:hAnsi="宋体" w:cs="宋体" w:eastAsia="宋体" w:hint="default"/>
          <w:spacing w:val="37"/>
          <w:w w:val="95"/>
          <w:sz w:val="21"/>
          <w:szCs w:val="21"/>
        </w:rPr>
        <w:t> </w:t>
      </w:r>
      <w:r>
        <w:rPr>
          <w:rFonts w:ascii="宋体" w:hAnsi="宋体" w:cs="宋体" w:eastAsia="宋体" w:hint="default"/>
          <w:spacing w:val="37"/>
          <w:w w:val="95"/>
          <w:sz w:val="21"/>
          <w:szCs w:val="21"/>
        </w:rPr>
      </w:r>
      <w:r>
        <w:rPr>
          <w:rFonts w:ascii="宋体" w:hAnsi="宋体" w:cs="宋体" w:eastAsia="宋体" w:hint="default"/>
          <w:sz w:val="21"/>
          <w:szCs w:val="21"/>
        </w:rPr>
        <w:t>用安排的情况。</w:t>
      </w:r>
    </w:p>
    <w:p>
      <w:pPr>
        <w:spacing w:line="240" w:lineRule="auto" w:before="11"/>
        <w:rPr>
          <w:rFonts w:ascii="宋体" w:hAnsi="宋体" w:cs="宋体" w:eastAsia="宋体" w:hint="default"/>
          <w:sz w:val="18"/>
          <w:szCs w:val="18"/>
        </w:rPr>
      </w:pPr>
    </w:p>
    <w:p>
      <w:pPr>
        <w:spacing w:before="0"/>
        <w:ind w:left="112" w:right="0" w:firstLine="0"/>
        <w:jc w:val="both"/>
        <w:rPr>
          <w:rFonts w:ascii="宋体" w:hAnsi="宋体" w:cs="宋体" w:eastAsia="宋体" w:hint="default"/>
          <w:sz w:val="24"/>
          <w:szCs w:val="24"/>
        </w:rPr>
      </w:pPr>
      <w:r>
        <w:rPr>
          <w:rFonts w:ascii="宋体" w:hAnsi="宋体" w:cs="宋体" w:eastAsia="宋体" w:hint="default"/>
          <w:b/>
          <w:bCs/>
          <w:sz w:val="24"/>
          <w:szCs w:val="24"/>
        </w:rPr>
        <w:t>三、同业竞争情况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6"/>
        <w:gridCol w:w="1594"/>
        <w:gridCol w:w="1594"/>
        <w:gridCol w:w="1594"/>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29"/>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1"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巨潮资讯网，公告</w:t>
            </w:r>
            <w:r>
              <w:rPr>
                <w:rFonts w:ascii="宋体" w:hAnsi="宋体" w:cs="宋体" w:eastAsia="宋体" w:hint="default"/>
                <w:sz w:val="18"/>
                <w:szCs w:val="18"/>
              </w:rPr>
              <w:t> 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2017-038</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巨潮资讯网，公告</w:t>
            </w:r>
            <w:r>
              <w:rPr>
                <w:rFonts w:ascii="宋体" w:hAnsi="宋体" w:cs="宋体" w:eastAsia="宋体" w:hint="default"/>
                <w:sz w:val="18"/>
                <w:szCs w:val="18"/>
              </w:rPr>
              <w:t> 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2017-013</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1" w:right="17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00"/>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巨潮资讯网，公告</w:t>
            </w:r>
            <w:r>
              <w:rPr>
                <w:rFonts w:ascii="宋体" w:hAnsi="宋体" w:cs="宋体" w:eastAsia="宋体" w:hint="default"/>
                <w:sz w:val="18"/>
                <w:szCs w:val="18"/>
              </w:rPr>
              <w:t> 编号</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2017-070</w:t>
            </w:r>
          </w:p>
        </w:tc>
      </w:tr>
    </w:tbl>
    <w:p>
      <w:pPr>
        <w:spacing w:after="0" w:line="316" w:lineRule="auto"/>
        <w:jc w:val="left"/>
        <w:rPr>
          <w:rFonts w:ascii="Times New Roman" w:hAnsi="Times New Roman" w:cs="Times New Roman" w:eastAsia="Times New Roman" w:hint="default"/>
          <w:sz w:val="18"/>
          <w:szCs w:val="18"/>
        </w:rPr>
        <w:sectPr>
          <w:pgSz w:w="11910" w:h="16840"/>
          <w:pgMar w:header="907" w:footer="1013" w:top="1100" w:bottom="1200" w:left="1020" w:right="920"/>
        </w:sectPr>
      </w:pPr>
    </w:p>
    <w:p>
      <w:pPr>
        <w:spacing w:line="240" w:lineRule="auto" w:before="10"/>
        <w:rPr>
          <w:rFonts w:ascii="宋体" w:hAnsi="宋体" w:cs="宋体" w:eastAsia="宋体" w:hint="default"/>
          <w:b/>
          <w:bCs/>
          <w:sz w:val="21"/>
          <w:szCs w:val="21"/>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、表决权恢复的优先股股东请求召开临时股东大会</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427"/>
        <w:gridCol w:w="1164"/>
        <w:gridCol w:w="1164"/>
        <w:gridCol w:w="1163"/>
        <w:gridCol w:w="1163"/>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338"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5"/>
              <w:jc w:val="center"/>
              <w:rPr>
                <w:rFonts w:ascii="宋体" w:hAnsi="宋体" w:cs="宋体" w:eastAsia="宋体" w:hint="default"/>
                <w:sz w:val="18"/>
                <w:szCs w:val="18"/>
              </w:rPr>
            </w:pPr>
            <w:r>
              <w:rPr>
                <w:rFonts w:ascii="宋体" w:hAnsi="宋体" w:cs="宋体" w:eastAsia="宋体" w:hint="default"/>
                <w:sz w:val="18"/>
                <w:szCs w:val="18"/>
              </w:rPr>
              <w:t>本报告期应 参加董事会 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8" w:right="125" w:hanging="92"/>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6" w:right="124"/>
              <w:jc w:val="center"/>
              <w:rPr>
                <w:rFonts w:ascii="宋体" w:hAnsi="宋体" w:cs="宋体" w:eastAsia="宋体" w:hint="default"/>
                <w:sz w:val="18"/>
                <w:szCs w:val="18"/>
              </w:rPr>
            </w:pPr>
            <w:r>
              <w:rPr>
                <w:rFonts w:ascii="宋体" w:hAnsi="宋体" w:cs="宋体" w:eastAsia="宋体" w:hint="default"/>
                <w:sz w:val="18"/>
                <w:szCs w:val="18"/>
              </w:rPr>
              <w:t>以通讯方式 参加董事会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16" w:right="125" w:hanging="92"/>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95" w:right="124" w:hanging="269"/>
              <w:jc w:val="left"/>
              <w:rPr>
                <w:rFonts w:ascii="宋体" w:hAnsi="宋体" w:cs="宋体" w:eastAsia="宋体" w:hint="default"/>
                <w:sz w:val="18"/>
                <w:szCs w:val="18"/>
              </w:rPr>
            </w:pPr>
            <w:r>
              <w:rPr>
                <w:rFonts w:ascii="宋体" w:hAnsi="宋体" w:cs="宋体" w:eastAsia="宋体" w:hint="default"/>
                <w:sz w:val="18"/>
                <w:szCs w:val="18"/>
              </w:rPr>
              <w:t>缺席董事会 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5" w:right="126"/>
              <w:jc w:val="center"/>
              <w:rPr>
                <w:rFonts w:ascii="宋体" w:hAnsi="宋体" w:cs="宋体" w:eastAsia="宋体" w:hint="default"/>
                <w:sz w:val="18"/>
                <w:szCs w:val="18"/>
              </w:rPr>
            </w:pPr>
            <w:r>
              <w:rPr>
                <w:rFonts w:ascii="宋体" w:hAnsi="宋体" w:cs="宋体" w:eastAsia="宋体" w:hint="default"/>
                <w:sz w:val="18"/>
                <w:szCs w:val="18"/>
              </w:rPr>
              <w:t>是否连续两 次未亲自参 加董事会会 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306" w:right="125"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王同孝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江霞</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马训波</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60" w:lineRule="auto" w:before="49"/>
        <w:ind w:right="7034"/>
        <w:jc w:val="left"/>
      </w:pPr>
      <w:r>
        <w:rPr/>
        <w:t>连续两次未亲自出席董事会的说明 不适用。</w:t>
      </w:r>
    </w:p>
    <w:p>
      <w:pPr>
        <w:spacing w:line="240" w:lineRule="auto" w:before="12"/>
        <w:rPr>
          <w:rFonts w:ascii="宋体" w:hAnsi="宋体" w:cs="宋体" w:eastAsia="宋体" w:hint="default"/>
          <w:sz w:val="19"/>
          <w:szCs w:val="19"/>
        </w:rPr>
      </w:pPr>
    </w:p>
    <w:p>
      <w:pPr>
        <w:pStyle w:val="Heading4"/>
        <w:spacing w:line="240" w:lineRule="auto"/>
        <w:ind w:right="157"/>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57"/>
        <w:jc w:val="left"/>
      </w:pPr>
      <w:r>
        <w:rPr/>
        <w:t>独立董事对公司有关事项是否提出异议</w:t>
      </w:r>
    </w:p>
    <w:p>
      <w:pPr>
        <w:pStyle w:val="BodyText"/>
        <w:spacing w:line="360" w:lineRule="auto" w:before="115"/>
        <w:ind w:right="5954"/>
        <w:jc w:val="left"/>
      </w:pPr>
      <w:r>
        <w:rPr/>
        <w:t>□ 是 √ 否 报告期内独立董事对公司有关事项未提出异议。</w:t>
      </w:r>
    </w:p>
    <w:p>
      <w:pPr>
        <w:spacing w:line="240" w:lineRule="auto" w:before="2"/>
        <w:rPr>
          <w:rFonts w:ascii="宋体" w:hAnsi="宋体" w:cs="宋体" w:eastAsia="宋体" w:hint="default"/>
          <w:sz w:val="20"/>
          <w:szCs w:val="20"/>
        </w:rPr>
      </w:pPr>
    </w:p>
    <w:p>
      <w:pPr>
        <w:pStyle w:val="Heading4"/>
        <w:spacing w:line="240" w:lineRule="auto"/>
        <w:ind w:right="157"/>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57"/>
        <w:jc w:val="left"/>
      </w:pPr>
      <w:r>
        <w:rPr/>
        <w:t>独立董事对公司有关建议是否被采纳</w:t>
      </w:r>
    </w:p>
    <w:p>
      <w:pPr>
        <w:pStyle w:val="BodyText"/>
        <w:spacing w:line="357" w:lineRule="auto" w:before="117"/>
        <w:ind w:right="5054"/>
        <w:jc w:val="left"/>
      </w:pPr>
      <w:r>
        <w:rPr/>
        <w:t>√ 是 □ 否 独立董事对公司有关建议被采纳或未被采纳的说明 报告期内，独立董事对公司提出的各项合理建议均被采纳。</w:t>
      </w:r>
    </w:p>
    <w:p>
      <w:pPr>
        <w:spacing w:line="240" w:lineRule="auto" w:before="7"/>
        <w:rPr>
          <w:rFonts w:ascii="宋体" w:hAnsi="宋体" w:cs="宋体" w:eastAsia="宋体" w:hint="default"/>
          <w:sz w:val="18"/>
          <w:szCs w:val="18"/>
        </w:rPr>
      </w:pPr>
    </w:p>
    <w:p>
      <w:pPr>
        <w:pStyle w:val="Heading2"/>
        <w:spacing w:line="240" w:lineRule="auto"/>
        <w:ind w:right="157"/>
        <w:jc w:val="left"/>
        <w:rPr>
          <w:b w:val="0"/>
          <w:bCs w:val="0"/>
        </w:rPr>
      </w:pPr>
      <w:r>
        <w:rPr/>
        <w:t>六、董事会下设专门委员会在报告期内履行职责情况</w:t>
      </w:r>
      <w:r>
        <w:rPr>
          <w:b w:val="0"/>
          <w:bCs w:val="0"/>
        </w:rPr>
      </w:r>
    </w:p>
    <w:p>
      <w:pPr>
        <w:spacing w:line="240" w:lineRule="auto" w:before="8"/>
        <w:rPr>
          <w:rFonts w:ascii="宋体" w:hAnsi="宋体" w:cs="宋体" w:eastAsia="宋体" w:hint="default"/>
          <w:b/>
          <w:bCs/>
          <w:sz w:val="30"/>
          <w:szCs w:val="30"/>
        </w:rPr>
      </w:pPr>
    </w:p>
    <w:p>
      <w:pPr>
        <w:spacing w:line="408" w:lineRule="auto" w:before="0"/>
        <w:ind w:left="112" w:right="0" w:firstLine="420"/>
        <w:jc w:val="left"/>
        <w:rPr>
          <w:rFonts w:ascii="宋体" w:hAnsi="宋体" w:cs="宋体" w:eastAsia="宋体" w:hint="default"/>
          <w:sz w:val="21"/>
          <w:szCs w:val="21"/>
        </w:rPr>
      </w:pPr>
      <w:r>
        <w:rPr>
          <w:rFonts w:ascii="宋体" w:hAnsi="宋体" w:cs="宋体" w:eastAsia="宋体" w:hint="default"/>
          <w:spacing w:val="-5"/>
          <w:w w:val="99"/>
          <w:sz w:val="21"/>
          <w:szCs w:val="21"/>
        </w:rPr>
        <w:t>根据《公司法》、《公司章程》等相关法律法规的规定，公司董事会下设审计委员会、战略委员会、提</w:t>
      </w:r>
      <w:r>
        <w:rPr>
          <w:rFonts w:ascii="宋体" w:hAnsi="宋体" w:cs="宋体" w:eastAsia="宋体" w:hint="default"/>
          <w:w w:val="99"/>
          <w:sz w:val="21"/>
          <w:szCs w:val="21"/>
        </w:rPr>
        <w:t> </w:t>
      </w:r>
      <w:r>
        <w:rPr>
          <w:rFonts w:ascii="宋体" w:hAnsi="宋体" w:cs="宋体" w:eastAsia="宋体" w:hint="default"/>
          <w:sz w:val="21"/>
          <w:szCs w:val="21"/>
        </w:rPr>
        <w:t>名委员会和薪酬与考核委员会四个专门委员会。</w:t>
      </w:r>
    </w:p>
    <w:p>
      <w:pPr>
        <w:spacing w:line="408" w:lineRule="auto" w:before="46"/>
        <w:ind w:left="532" w:right="157" w:firstLine="0"/>
        <w:jc w:val="left"/>
        <w:rPr>
          <w:rFonts w:ascii="宋体" w:hAnsi="宋体" w:cs="宋体" w:eastAsia="宋体" w:hint="default"/>
          <w:sz w:val="21"/>
          <w:szCs w:val="21"/>
        </w:rPr>
      </w:pPr>
      <w:r>
        <w:rPr>
          <w:rFonts w:ascii="宋体" w:hAnsi="宋体" w:cs="宋体" w:eastAsia="宋体" w:hint="default"/>
          <w:sz w:val="21"/>
          <w:szCs w:val="21"/>
        </w:rPr>
        <w:t>（一）审计委员会在报告期内的履行职责情况</w:t>
      </w:r>
      <w:r>
        <w:rPr>
          <w:rFonts w:ascii="宋体" w:hAnsi="宋体" w:cs="宋体" w:eastAsia="宋体" w:hint="default"/>
          <w:w w:val="99"/>
          <w:sz w:val="21"/>
          <w:szCs w:val="21"/>
        </w:rPr>
        <w:t> </w:t>
      </w:r>
      <w:r>
        <w:rPr>
          <w:rFonts w:ascii="宋体" w:hAnsi="宋体" w:cs="宋体" w:eastAsia="宋体" w:hint="default"/>
          <w:w w:val="95"/>
          <w:sz w:val="21"/>
          <w:szCs w:val="21"/>
        </w:rPr>
        <w:t>本公司的审计委员会是董事会按照股东大会决议设立的专门工作机构，对董事会负责，其主要职责是</w:t>
      </w:r>
      <w:r>
        <w:rPr>
          <w:rFonts w:ascii="宋体" w:hAnsi="宋体" w:cs="宋体" w:eastAsia="宋体" w:hint="default"/>
          <w:sz w:val="21"/>
          <w:szCs w:val="21"/>
        </w:rPr>
      </w:r>
    </w:p>
    <w:p>
      <w:pPr>
        <w:spacing w:line="408" w:lineRule="auto" w:before="46"/>
        <w:ind w:left="532" w:right="157" w:hanging="420"/>
        <w:jc w:val="left"/>
        <w:rPr>
          <w:rFonts w:ascii="宋体" w:hAnsi="宋体" w:cs="宋体" w:eastAsia="宋体" w:hint="default"/>
          <w:sz w:val="21"/>
          <w:szCs w:val="21"/>
        </w:rPr>
      </w:pPr>
      <w:r>
        <w:rPr>
          <w:rFonts w:ascii="宋体" w:hAnsi="宋体" w:cs="宋体" w:eastAsia="宋体" w:hint="default"/>
          <w:sz w:val="21"/>
          <w:szCs w:val="21"/>
        </w:rPr>
        <w:t>根据《公司章程》的规定对公司内部控制、财务信息和内部审计等进行监督、检查和评价等。</w:t>
      </w:r>
      <w:r>
        <w:rPr>
          <w:rFonts w:ascii="宋体" w:hAnsi="宋体" w:cs="宋体" w:eastAsia="宋体" w:hint="default"/>
          <w:w w:val="99"/>
          <w:sz w:val="21"/>
          <w:szCs w:val="21"/>
        </w:rPr>
        <w:t> </w:t>
      </w:r>
      <w:r>
        <w:rPr>
          <w:rFonts w:ascii="宋体" w:hAnsi="宋体" w:cs="宋体" w:eastAsia="宋体" w:hint="default"/>
          <w:w w:val="95"/>
          <w:sz w:val="21"/>
          <w:szCs w:val="21"/>
        </w:rPr>
        <w:t>本公司审计委员会的委员中，江霞、王同孝为本公司独立董事，江霞为会计专业人士。本公司审计委</w:t>
      </w:r>
      <w:r>
        <w:rPr>
          <w:rFonts w:ascii="宋体" w:hAnsi="宋体" w:cs="宋体" w:eastAsia="宋体" w:hint="default"/>
          <w:sz w:val="21"/>
          <w:szCs w:val="21"/>
        </w:rPr>
      </w:r>
    </w:p>
    <w:p>
      <w:pPr>
        <w:spacing w:after="0" w:line="408" w:lineRule="auto"/>
        <w:jc w:val="left"/>
        <w:rPr>
          <w:rFonts w:ascii="宋体" w:hAnsi="宋体" w:cs="宋体" w:eastAsia="宋体" w:hint="default"/>
          <w:sz w:val="21"/>
          <w:szCs w:val="21"/>
        </w:rPr>
        <w:sectPr>
          <w:pgSz w:w="11910" w:h="16840"/>
          <w:pgMar w:header="907" w:footer="1013" w:top="1100" w:bottom="1200" w:left="1020" w:right="1020"/>
        </w:sectPr>
      </w:pPr>
    </w:p>
    <w:p>
      <w:pPr>
        <w:spacing w:line="240" w:lineRule="auto" w:before="9"/>
        <w:rPr>
          <w:rFonts w:ascii="宋体" w:hAnsi="宋体" w:cs="宋体" w:eastAsia="宋体" w:hint="default"/>
          <w:sz w:val="27"/>
          <w:szCs w:val="27"/>
        </w:rPr>
      </w:pPr>
    </w:p>
    <w:p>
      <w:pPr>
        <w:spacing w:line="408" w:lineRule="auto" w:before="34"/>
        <w:ind w:left="112" w:right="105" w:firstLine="0"/>
        <w:jc w:val="left"/>
        <w:rPr>
          <w:rFonts w:ascii="宋体" w:hAnsi="宋体" w:cs="宋体" w:eastAsia="宋体" w:hint="default"/>
          <w:sz w:val="21"/>
          <w:szCs w:val="21"/>
        </w:rPr>
      </w:pPr>
      <w:r>
        <w:rPr>
          <w:rFonts w:ascii="宋体" w:hAnsi="宋体" w:cs="宋体" w:eastAsia="宋体" w:hint="default"/>
          <w:w w:val="95"/>
          <w:sz w:val="21"/>
          <w:szCs w:val="21"/>
        </w:rPr>
        <w:t>员会的设立，为强化董事会决策作用，确保董事会对高级管理人员的有效监督，完善公司治理结构，发挥</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了重要作用。本报告期内，审计委员会共计召开4次会议，对公司年度审计报告、财务决算报告、半年度</w:t>
      </w:r>
      <w:r>
        <w:rPr>
          <w:rFonts w:ascii="宋体" w:hAnsi="宋体" w:cs="宋体" w:eastAsia="宋体" w:hint="default"/>
          <w:w w:val="99"/>
          <w:sz w:val="21"/>
          <w:szCs w:val="21"/>
        </w:rPr>
        <w:t> </w:t>
      </w:r>
      <w:r>
        <w:rPr>
          <w:rFonts w:ascii="宋体" w:hAnsi="宋体" w:cs="宋体" w:eastAsia="宋体" w:hint="default"/>
          <w:sz w:val="21"/>
          <w:szCs w:val="21"/>
        </w:rPr>
        <w:t>报告、半年度利润分配、续聘外部审计机构等方面的议案进行了审议。</w:t>
      </w:r>
    </w:p>
    <w:p>
      <w:pPr>
        <w:spacing w:line="408" w:lineRule="auto" w:before="46"/>
        <w:ind w:left="112" w:right="105" w:firstLine="420"/>
        <w:jc w:val="left"/>
        <w:rPr>
          <w:rFonts w:ascii="宋体" w:hAnsi="宋体" w:cs="宋体" w:eastAsia="宋体" w:hint="default"/>
          <w:sz w:val="21"/>
          <w:szCs w:val="21"/>
        </w:rPr>
      </w:pPr>
      <w:r>
        <w:rPr>
          <w:rFonts w:ascii="宋体" w:hAnsi="宋体" w:cs="宋体" w:eastAsia="宋体" w:hint="default"/>
          <w:w w:val="95"/>
          <w:sz w:val="21"/>
          <w:szCs w:val="21"/>
        </w:rPr>
        <w:t>审计委员会自设立以来按照《公司章程》及《审计委员会工作规则》规范运作，运行情况良好，保证</w:t>
      </w:r>
      <w:r>
        <w:rPr>
          <w:rFonts w:ascii="宋体" w:hAnsi="宋体" w:cs="宋体" w:eastAsia="宋体" w:hint="default"/>
          <w:w w:val="99"/>
          <w:sz w:val="21"/>
          <w:szCs w:val="21"/>
        </w:rPr>
        <w:t> </w:t>
      </w:r>
      <w:r>
        <w:rPr>
          <w:rFonts w:ascii="宋体" w:hAnsi="宋体" w:cs="宋体" w:eastAsia="宋体" w:hint="default"/>
          <w:sz w:val="21"/>
          <w:szCs w:val="21"/>
        </w:rPr>
        <w:t>了公司内部审计制度的有效实施以及与外部审计机构的有效沟通。</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（二）战略委员会在报告期内的履行职责情况</w:t>
      </w:r>
      <w:r>
        <w:rPr>
          <w:rFonts w:ascii="宋体" w:hAnsi="宋体" w:cs="宋体" w:eastAsia="宋体" w:hint="default"/>
          <w:w w:val="99"/>
          <w:sz w:val="21"/>
          <w:szCs w:val="21"/>
        </w:rPr>
        <w:t> </w:t>
      </w:r>
      <w:r>
        <w:rPr>
          <w:rFonts w:ascii="宋体" w:hAnsi="宋体" w:cs="宋体" w:eastAsia="宋体" w:hint="default"/>
          <w:w w:val="95"/>
          <w:sz w:val="21"/>
          <w:szCs w:val="21"/>
        </w:rPr>
        <w:t>公司战略委员会是董事会按照股东大会决议设立的董事会专门工作机构，对董事会负责，主要职责是</w:t>
      </w:r>
      <w:r>
        <w:rPr>
          <w:rFonts w:ascii="宋体" w:hAnsi="宋体" w:cs="宋体" w:eastAsia="宋体" w:hint="default"/>
          <w:sz w:val="21"/>
          <w:szCs w:val="21"/>
        </w:rPr>
      </w:r>
    </w:p>
    <w:p>
      <w:pPr>
        <w:spacing w:line="408" w:lineRule="auto" w:before="46"/>
        <w:ind w:left="112" w:right="257" w:firstLine="0"/>
        <w:jc w:val="left"/>
        <w:rPr>
          <w:rFonts w:ascii="宋体" w:hAnsi="宋体" w:cs="宋体" w:eastAsia="宋体" w:hint="default"/>
          <w:sz w:val="21"/>
          <w:szCs w:val="21"/>
        </w:rPr>
      </w:pPr>
      <w:r>
        <w:rPr>
          <w:rFonts w:ascii="宋体" w:hAnsi="宋体" w:cs="宋体" w:eastAsia="宋体" w:hint="default"/>
          <w:w w:val="95"/>
          <w:sz w:val="21"/>
          <w:szCs w:val="21"/>
        </w:rPr>
        <w:t>对公司中长期发展战略和重大投资决策进行研究并提出建议，在其职责权限范围内协助董事会开展相关工   </w:t>
      </w:r>
      <w:r>
        <w:rPr>
          <w:rFonts w:ascii="宋体" w:hAnsi="宋体" w:cs="宋体" w:eastAsia="宋体" w:hint="default"/>
          <w:spacing w:val="39"/>
          <w:w w:val="95"/>
          <w:sz w:val="21"/>
          <w:szCs w:val="21"/>
        </w:rPr>
        <w:t> </w:t>
      </w:r>
      <w:r>
        <w:rPr>
          <w:rFonts w:ascii="宋体" w:hAnsi="宋体" w:cs="宋体" w:eastAsia="宋体" w:hint="default"/>
          <w:spacing w:val="39"/>
          <w:w w:val="95"/>
          <w:sz w:val="21"/>
          <w:szCs w:val="21"/>
        </w:rPr>
      </w:r>
      <w:r>
        <w:rPr>
          <w:rFonts w:ascii="宋体" w:hAnsi="宋体" w:cs="宋体" w:eastAsia="宋体" w:hint="default"/>
          <w:sz w:val="21"/>
          <w:szCs w:val="21"/>
        </w:rPr>
        <w:t>作。</w:t>
      </w:r>
      <w:r>
        <w:rPr>
          <w:rFonts w:ascii="宋体" w:hAnsi="宋体" w:cs="宋体" w:eastAsia="宋体" w:hint="default"/>
          <w:spacing w:val="-19"/>
          <w:sz w:val="21"/>
          <w:szCs w:val="21"/>
        </w:rPr>
        <w:t> </w:t>
      </w:r>
      <w:r>
        <w:rPr>
          <w:rFonts w:ascii="宋体" w:hAnsi="宋体" w:cs="宋体" w:eastAsia="宋体" w:hint="default"/>
          <w:sz w:val="21"/>
          <w:szCs w:val="21"/>
        </w:rPr>
        <w:t>公司战略委员会严格按照其既定议事规则履行职责，自设立以来有效运作。</w:t>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（三）提名委员会在报告期内的履行职责情况</w:t>
      </w:r>
      <w:r>
        <w:rPr>
          <w:rFonts w:ascii="宋体" w:hAnsi="宋体" w:cs="宋体" w:eastAsia="宋体" w:hint="default"/>
          <w:w w:val="99"/>
          <w:sz w:val="21"/>
          <w:szCs w:val="21"/>
        </w:rPr>
        <w:t> </w:t>
      </w:r>
      <w:r>
        <w:rPr>
          <w:rFonts w:ascii="宋体" w:hAnsi="宋体" w:cs="宋体" w:eastAsia="宋体" w:hint="default"/>
          <w:w w:val="95"/>
          <w:sz w:val="21"/>
          <w:szCs w:val="21"/>
        </w:rPr>
        <w:t>公司提名委员会是董事会按照股东大会决议设立的专门工作机构，对董事会负责，其主要职责是按照</w:t>
      </w:r>
      <w:r>
        <w:rPr>
          <w:rFonts w:ascii="宋体" w:hAnsi="宋体" w:cs="宋体" w:eastAsia="宋体" w:hint="default"/>
          <w:sz w:val="21"/>
          <w:szCs w:val="21"/>
        </w:rPr>
      </w:r>
    </w:p>
    <w:p>
      <w:pPr>
        <w:spacing w:line="408" w:lineRule="auto" w:before="46"/>
        <w:ind w:left="532" w:right="105" w:hanging="420"/>
        <w:jc w:val="left"/>
        <w:rPr>
          <w:rFonts w:ascii="宋体" w:hAnsi="宋体" w:cs="宋体" w:eastAsia="宋体" w:hint="default"/>
          <w:sz w:val="21"/>
          <w:szCs w:val="21"/>
        </w:rPr>
      </w:pPr>
      <w:r>
        <w:rPr>
          <w:rFonts w:ascii="宋体" w:hAnsi="宋体" w:cs="宋体" w:eastAsia="宋体" w:hint="default"/>
          <w:sz w:val="21"/>
          <w:szCs w:val="21"/>
        </w:rPr>
        <w:t>公司董事和经理人员的选拔标准和程序，搜寻人选，进行选择并提出建议。</w:t>
      </w:r>
      <w:r>
        <w:rPr>
          <w:rFonts w:ascii="宋体" w:hAnsi="宋体" w:cs="宋体" w:eastAsia="宋体" w:hint="default"/>
          <w:w w:val="99"/>
          <w:sz w:val="21"/>
          <w:szCs w:val="21"/>
        </w:rPr>
        <w:t> </w:t>
      </w:r>
      <w:r>
        <w:rPr>
          <w:rFonts w:ascii="宋体" w:hAnsi="宋体" w:cs="宋体" w:eastAsia="宋体" w:hint="default"/>
          <w:w w:val="95"/>
          <w:sz w:val="21"/>
          <w:szCs w:val="21"/>
        </w:rPr>
        <w:t>公司提名委员会严格按照其既定议事规则履行职责，自设立以来有效运作。</w:t>
      </w:r>
      <w:r>
        <w:rPr>
          <w:rFonts w:ascii="宋体" w:hAnsi="宋体" w:cs="宋体" w:eastAsia="宋体" w:hint="default"/>
          <w:sz w:val="21"/>
          <w:szCs w:val="21"/>
        </w:rPr>
      </w:r>
    </w:p>
    <w:p>
      <w:pPr>
        <w:spacing w:line="408" w:lineRule="auto" w:before="46"/>
        <w:ind w:left="532" w:right="105" w:firstLine="0"/>
        <w:jc w:val="left"/>
        <w:rPr>
          <w:rFonts w:ascii="宋体" w:hAnsi="宋体" w:cs="宋体" w:eastAsia="宋体" w:hint="default"/>
          <w:sz w:val="21"/>
          <w:szCs w:val="21"/>
        </w:rPr>
      </w:pPr>
      <w:r>
        <w:rPr>
          <w:rFonts w:ascii="宋体" w:hAnsi="宋体" w:cs="宋体" w:eastAsia="宋体" w:hint="default"/>
          <w:sz w:val="21"/>
          <w:szCs w:val="21"/>
        </w:rPr>
        <w:t>（四）薪酬与考核委员会在报告期内的履行职责情况</w:t>
      </w:r>
      <w:r>
        <w:rPr>
          <w:rFonts w:ascii="宋体" w:hAnsi="宋体" w:cs="宋体" w:eastAsia="宋体" w:hint="default"/>
          <w:w w:val="99"/>
          <w:sz w:val="21"/>
          <w:szCs w:val="21"/>
        </w:rPr>
        <w:t> </w:t>
      </w:r>
      <w:r>
        <w:rPr>
          <w:rFonts w:ascii="宋体" w:hAnsi="宋体" w:cs="宋体" w:eastAsia="宋体" w:hint="default"/>
          <w:w w:val="95"/>
          <w:sz w:val="21"/>
          <w:szCs w:val="21"/>
        </w:rPr>
        <w:t>薪酬与考核委员会是董事会按照股东大会决议设立的专门工作机构，对董事会负责，其主要职责是审</w:t>
      </w:r>
      <w:r>
        <w:rPr>
          <w:rFonts w:ascii="宋体" w:hAnsi="宋体" w:cs="宋体" w:eastAsia="宋体" w:hint="default"/>
          <w:sz w:val="21"/>
          <w:szCs w:val="21"/>
        </w:rPr>
      </w:r>
    </w:p>
    <w:p>
      <w:pPr>
        <w:spacing w:line="408" w:lineRule="auto" w:before="46"/>
        <w:ind w:left="112" w:right="105" w:firstLine="0"/>
        <w:jc w:val="left"/>
        <w:rPr>
          <w:rFonts w:ascii="宋体" w:hAnsi="宋体" w:cs="宋体" w:eastAsia="宋体" w:hint="default"/>
          <w:sz w:val="21"/>
          <w:szCs w:val="21"/>
        </w:rPr>
      </w:pPr>
      <w:r>
        <w:rPr>
          <w:rFonts w:ascii="宋体" w:hAnsi="宋体" w:cs="宋体" w:eastAsia="宋体" w:hint="default"/>
          <w:sz w:val="21"/>
          <w:szCs w:val="21"/>
        </w:rPr>
        <w:t>议并监督执行具有有效激励与约束作用的薪酬制度和绩效考核制度，就本公司董事、监事、高级管理人员</w:t>
      </w:r>
      <w:r>
        <w:rPr>
          <w:rFonts w:ascii="宋体" w:hAnsi="宋体" w:cs="宋体" w:eastAsia="宋体" w:hint="default"/>
          <w:w w:val="99"/>
          <w:sz w:val="21"/>
          <w:szCs w:val="21"/>
        </w:rPr>
        <w:t> </w:t>
      </w:r>
      <w:r>
        <w:rPr>
          <w:rFonts w:ascii="宋体" w:hAnsi="宋体" w:cs="宋体" w:eastAsia="宋体" w:hint="default"/>
          <w:spacing w:val="-3"/>
          <w:sz w:val="21"/>
          <w:szCs w:val="21"/>
        </w:rPr>
        <w:t>的薪酬制度、绩效考核制度以及激励方案向董事会建议，并对董事和高级管理人员的业绩和行为进行评估。</w:t>
      </w:r>
      <w:r>
        <w:rPr>
          <w:rFonts w:ascii="宋体" w:hAnsi="宋体" w:cs="宋体" w:eastAsia="宋体" w:hint="default"/>
          <w:w w:val="99"/>
          <w:sz w:val="21"/>
          <w:szCs w:val="21"/>
        </w:rPr>
        <w:t> </w:t>
      </w:r>
      <w:r>
        <w:rPr>
          <w:rFonts w:ascii="宋体" w:hAnsi="宋体" w:cs="宋体" w:eastAsia="宋体" w:hint="default"/>
          <w:sz w:val="21"/>
          <w:szCs w:val="21"/>
        </w:rPr>
        <w:t>公司薪酬与考核委员会严格按照其既定议事规则履行职责，自设立以来有效运作。</w:t>
      </w:r>
    </w:p>
    <w:p>
      <w:pPr>
        <w:spacing w:line="240" w:lineRule="auto" w:before="11"/>
        <w:rPr>
          <w:rFonts w:ascii="宋体" w:hAnsi="宋体" w:cs="宋体" w:eastAsia="宋体" w:hint="default"/>
          <w:sz w:val="18"/>
          <w:szCs w:val="18"/>
        </w:rPr>
      </w:pPr>
    </w:p>
    <w:p>
      <w:pPr>
        <w:spacing w:before="0"/>
        <w:ind w:left="112" w:right="105" w:firstLine="0"/>
        <w:jc w:val="left"/>
        <w:rPr>
          <w:rFonts w:ascii="宋体" w:hAnsi="宋体" w:cs="宋体" w:eastAsia="宋体" w:hint="default"/>
          <w:sz w:val="24"/>
          <w:szCs w:val="24"/>
        </w:rPr>
      </w:pPr>
      <w:r>
        <w:rPr>
          <w:rFonts w:ascii="宋体" w:hAnsi="宋体" w:cs="宋体" w:eastAsia="宋体" w:hint="default"/>
          <w:b/>
          <w:bCs/>
          <w:sz w:val="24"/>
          <w:szCs w:val="24"/>
        </w:rPr>
        <w:t>七、监事会工作情况</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05"/>
        <w:jc w:val="left"/>
      </w:pPr>
      <w:r>
        <w:rPr/>
        <w:t>监事会在报告期内的监督活动中发现公司是否存在风险</w:t>
      </w:r>
    </w:p>
    <w:p>
      <w:pPr>
        <w:pStyle w:val="BodyText"/>
        <w:spacing w:line="357" w:lineRule="auto" w:before="117"/>
        <w:ind w:right="6414"/>
        <w:jc w:val="left"/>
      </w:pPr>
      <w:r>
        <w:rPr/>
        <w:t>□ 是 √ 否 公司监事会对报告期内的监督事项无异议。</w:t>
      </w:r>
    </w:p>
    <w:p>
      <w:pPr>
        <w:spacing w:line="240" w:lineRule="auto" w:before="7"/>
        <w:rPr>
          <w:rFonts w:ascii="宋体" w:hAnsi="宋体" w:cs="宋体" w:eastAsia="宋体" w:hint="default"/>
          <w:sz w:val="18"/>
          <w:szCs w:val="18"/>
        </w:rPr>
      </w:pPr>
    </w:p>
    <w:p>
      <w:pPr>
        <w:pStyle w:val="Heading2"/>
        <w:spacing w:line="240" w:lineRule="auto"/>
        <w:ind w:right="105"/>
        <w:jc w:val="left"/>
        <w:rPr>
          <w:b w:val="0"/>
          <w:bCs w:val="0"/>
        </w:rPr>
      </w:pPr>
      <w:r>
        <w:rPr/>
        <w:t>八、高级管理人员的考评及激励情况</w:t>
      </w:r>
      <w:r>
        <w:rPr>
          <w:b w:val="0"/>
          <w:bCs w:val="0"/>
        </w:rPr>
      </w:r>
    </w:p>
    <w:p>
      <w:pPr>
        <w:spacing w:line="240" w:lineRule="auto" w:before="5"/>
        <w:rPr>
          <w:rFonts w:ascii="宋体" w:hAnsi="宋体" w:cs="宋体" w:eastAsia="宋体" w:hint="default"/>
          <w:b/>
          <w:bCs/>
          <w:sz w:val="30"/>
          <w:szCs w:val="30"/>
        </w:rPr>
      </w:pPr>
    </w:p>
    <w:p>
      <w:pPr>
        <w:spacing w:line="408" w:lineRule="auto" w:before="0"/>
        <w:ind w:left="112" w:right="99" w:firstLine="420"/>
        <w:jc w:val="left"/>
        <w:rPr>
          <w:rFonts w:ascii="宋体" w:hAnsi="宋体" w:cs="宋体" w:eastAsia="宋体" w:hint="default"/>
          <w:sz w:val="21"/>
          <w:szCs w:val="21"/>
        </w:rPr>
      </w:pPr>
      <w:r>
        <w:rPr>
          <w:rFonts w:ascii="宋体" w:hAnsi="宋体" w:cs="宋体" w:eastAsia="宋体" w:hint="default"/>
          <w:spacing w:val="-3"/>
          <w:sz w:val="21"/>
          <w:szCs w:val="21"/>
        </w:rPr>
        <w:t>根据《薪酬管理制度》在公司任职的高级管理人员的薪酬采用年薪制，年薪与其所承担的责任、风险、</w:t>
      </w:r>
      <w:r>
        <w:rPr>
          <w:rFonts w:ascii="宋体" w:hAnsi="宋体" w:cs="宋体" w:eastAsia="宋体" w:hint="default"/>
          <w:w w:val="99"/>
          <w:sz w:val="21"/>
          <w:szCs w:val="21"/>
        </w:rPr>
        <w:t> </w:t>
      </w:r>
      <w:r>
        <w:rPr>
          <w:rFonts w:ascii="宋体" w:hAnsi="宋体" w:cs="宋体" w:eastAsia="宋体" w:hint="default"/>
          <w:sz w:val="21"/>
          <w:szCs w:val="21"/>
        </w:rPr>
        <w:t>压力、业绩挂钩。年薪=基本工资+绩效工资。根据公司年度经营目标完成情况以及高级管理人员的工作业</w:t>
      </w:r>
      <w:r>
        <w:rPr>
          <w:rFonts w:ascii="宋体" w:hAnsi="宋体" w:cs="宋体" w:eastAsia="宋体" w:hint="default"/>
          <w:w w:val="99"/>
          <w:sz w:val="21"/>
          <w:szCs w:val="21"/>
        </w:rPr>
        <w:t> </w:t>
      </w:r>
      <w:r>
        <w:rPr>
          <w:rFonts w:ascii="宋体" w:hAnsi="宋体" w:cs="宋体" w:eastAsia="宋体" w:hint="default"/>
          <w:sz w:val="21"/>
          <w:szCs w:val="21"/>
        </w:rPr>
        <w:t>绩，由董事会薪酬与考核委员会对高级管理人员进行年度绩效考核，并监督薪酬制度执行情况。公司则根</w:t>
      </w:r>
      <w:r>
        <w:rPr>
          <w:rFonts w:ascii="宋体" w:hAnsi="宋体" w:cs="宋体" w:eastAsia="宋体" w:hint="default"/>
          <w:w w:val="99"/>
          <w:sz w:val="21"/>
          <w:szCs w:val="21"/>
        </w:rPr>
        <w:t> </w:t>
      </w:r>
      <w:r>
        <w:rPr>
          <w:rFonts w:ascii="宋体" w:hAnsi="宋体" w:cs="宋体" w:eastAsia="宋体" w:hint="default"/>
          <w:sz w:val="21"/>
          <w:szCs w:val="21"/>
        </w:rPr>
        <w:t>据绩效考核结果兑现其绩效年薪，并进行奖惩。公司董事会薪酬与考核委员会根据实际情况对公司高级管</w:t>
      </w:r>
      <w:r>
        <w:rPr>
          <w:rFonts w:ascii="宋体" w:hAnsi="宋体" w:cs="宋体" w:eastAsia="宋体" w:hint="default"/>
          <w:w w:val="99"/>
          <w:sz w:val="21"/>
          <w:szCs w:val="21"/>
        </w:rPr>
        <w:t> </w:t>
      </w:r>
      <w:r>
        <w:rPr>
          <w:rFonts w:ascii="宋体" w:hAnsi="宋体" w:cs="宋体" w:eastAsia="宋体" w:hint="default"/>
          <w:sz w:val="21"/>
          <w:szCs w:val="21"/>
        </w:rPr>
        <w:t>理人员进行考核后，一致认为2017年度公司高级管理人员薪酬方案严格执行了公司薪酬管理制度。</w:t>
      </w:r>
    </w:p>
    <w:p>
      <w:pPr>
        <w:spacing w:after="0" w:line="408" w:lineRule="auto"/>
        <w:jc w:val="left"/>
        <w:rPr>
          <w:rFonts w:ascii="宋体" w:hAnsi="宋体" w:cs="宋体" w:eastAsia="宋体" w:hint="default"/>
          <w:sz w:val="21"/>
          <w:szCs w:val="21"/>
        </w:rPr>
        <w:sectPr>
          <w:pgSz w:w="11910" w:h="16840"/>
          <w:pgMar w:header="907" w:footer="1013" w:top="1100" w:bottom="1200" w:left="1020" w:right="920"/>
        </w:sectPr>
      </w:pPr>
    </w:p>
    <w:p>
      <w:pPr>
        <w:spacing w:line="240" w:lineRule="auto" w:before="9"/>
        <w:rPr>
          <w:rFonts w:ascii="宋体" w:hAnsi="宋体" w:cs="宋体" w:eastAsia="宋体" w:hint="default"/>
          <w:sz w:val="20"/>
          <w:szCs w:val="20"/>
        </w:rPr>
      </w:pPr>
    </w:p>
    <w:p>
      <w:pPr>
        <w:pStyle w:val="Heading2"/>
        <w:spacing w:line="240" w:lineRule="auto" w:before="26"/>
        <w:ind w:right="357"/>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357"/>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357"/>
        <w:jc w:val="left"/>
      </w:pPr>
      <w:r>
        <w:rPr/>
        <w:t>□ 是 √ 否</w:t>
      </w:r>
    </w:p>
    <w:p>
      <w:pPr>
        <w:spacing w:line="240" w:lineRule="auto" w:before="0"/>
        <w:rPr>
          <w:rFonts w:ascii="宋体" w:hAnsi="宋体" w:cs="宋体" w:eastAsia="宋体" w:hint="default"/>
          <w:sz w:val="18"/>
          <w:szCs w:val="18"/>
        </w:rPr>
      </w:pPr>
    </w:p>
    <w:p>
      <w:pPr>
        <w:pStyle w:val="Heading4"/>
        <w:spacing w:line="240" w:lineRule="auto" w:before="118"/>
        <w:ind w:right="357"/>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01"/>
              <w:jc w:val="left"/>
              <w:rPr>
                <w:rFonts w:ascii="宋体" w:hAnsi="宋体" w:cs="宋体" w:eastAsia="宋体" w:hint="default"/>
                <w:sz w:val="18"/>
                <w:szCs w:val="18"/>
              </w:rPr>
            </w:pPr>
            <w:r>
              <w:rPr>
                <w:rFonts w:ascii="宋体" w:hAnsi="宋体" w:cs="宋体" w:eastAsia="宋体" w:hint="default"/>
                <w:sz w:val="18"/>
                <w:szCs w:val="18"/>
              </w:rPr>
              <w:t>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日在巨潮资讯网刊登的《</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年度内部控制自我评 价报告》</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64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6"/>
                <w:szCs w:val="2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2" w:lineRule="auto" w:before="127"/>
              <w:ind w:left="102" w:right="101"/>
              <w:jc w:val="left"/>
              <w:rPr>
                <w:rFonts w:ascii="宋体" w:hAnsi="宋体" w:cs="宋体" w:eastAsia="宋体" w:hint="default"/>
                <w:sz w:val="18"/>
                <w:szCs w:val="18"/>
              </w:rPr>
            </w:pPr>
            <w:r>
              <w:rPr>
                <w:rFonts w:ascii="宋体" w:hAnsi="宋体" w:cs="宋体" w:eastAsia="宋体" w:hint="default"/>
                <w:sz w:val="18"/>
                <w:szCs w:val="18"/>
              </w:rPr>
              <w:t>取决于由于该内部控制缺陷的存在可能 导致的财务报告错报的重要程度。</w:t>
            </w:r>
            <w:r>
              <w:rPr>
                <w:rFonts w:ascii="宋体" w:hAnsi="宋体" w:cs="宋体" w:eastAsia="宋体" w:hint="default"/>
                <w:spacing w:val="-42"/>
                <w:sz w:val="18"/>
                <w:szCs w:val="18"/>
              </w:rPr>
              <w:t> </w:t>
            </w:r>
            <w:r>
              <w:rPr>
                <w:rFonts w:ascii="宋体" w:hAnsi="宋体" w:cs="宋体" w:eastAsia="宋体" w:hint="default"/>
                <w:sz w:val="18"/>
                <w:szCs w:val="18"/>
              </w:rPr>
              <w:t>重大</w:t>
            </w:r>
            <w:r>
              <w:rPr>
                <w:rFonts w:ascii="宋体" w:hAnsi="宋体" w:cs="宋体" w:eastAsia="宋体" w:hint="default"/>
                <w:sz w:val="18"/>
                <w:szCs w:val="18"/>
              </w:rPr>
              <w:t> 缺陷：如果一项内部控制缺陷单独或连 同其他缺陷可能导致不能及时防止或发 现并纠正财务报告中的重大错报，应将 </w:t>
            </w:r>
            <w:r>
              <w:rPr>
                <w:rFonts w:ascii="宋体" w:hAnsi="宋体" w:cs="宋体" w:eastAsia="宋体" w:hint="default"/>
                <w:spacing w:val="-3"/>
                <w:sz w:val="18"/>
                <w:szCs w:val="18"/>
              </w:rPr>
              <w:t>该缺陷认定为重大缺陷。存在下列</w:t>
            </w:r>
            <w:r>
              <w:rPr>
                <w:rFonts w:ascii="宋体" w:hAnsi="宋体" w:cs="宋体" w:eastAsia="宋体" w:hint="default"/>
                <w:spacing w:val="1"/>
                <w:sz w:val="18"/>
                <w:szCs w:val="18"/>
              </w:rPr>
              <w:t> </w:t>
            </w:r>
            <w:r>
              <w:rPr>
                <w:rFonts w:ascii="宋体" w:hAnsi="宋体" w:cs="宋体" w:eastAsia="宋体" w:hint="default"/>
                <w:sz w:val="18"/>
                <w:szCs w:val="18"/>
              </w:rPr>
              <w:t>情形</w:t>
            </w:r>
            <w:r>
              <w:rPr>
                <w:rFonts w:ascii="宋体" w:hAnsi="宋体" w:cs="宋体" w:eastAsia="宋体" w:hint="default"/>
                <w:sz w:val="18"/>
                <w:szCs w:val="18"/>
              </w:rPr>
              <w:t> 的</w:t>
            </w:r>
            <w:r>
              <w:rPr>
                <w:rFonts w:ascii="Times New Roman" w:hAnsi="Times New Roman" w:cs="Times New Roman" w:eastAsia="Times New Roman" w:hint="default"/>
                <w:sz w:val="18"/>
                <w:szCs w:val="18"/>
              </w:rPr>
              <w:t>,</w:t>
            </w:r>
            <w:r>
              <w:rPr>
                <w:rFonts w:ascii="宋体" w:hAnsi="宋体" w:cs="宋体" w:eastAsia="宋体" w:hint="default"/>
                <w:sz w:val="18"/>
                <w:szCs w:val="18"/>
              </w:rPr>
              <w:t>表明财务报告内部控制可能存在重大 </w:t>
            </w:r>
            <w:r>
              <w:rPr>
                <w:rFonts w:ascii="宋体" w:hAnsi="宋体" w:cs="宋体" w:eastAsia="宋体" w:hint="default"/>
                <w:spacing w:val="-5"/>
                <w:sz w:val="18"/>
                <w:szCs w:val="18"/>
              </w:rPr>
              <w:t>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董事、监事和高级管理人</w:t>
            </w:r>
            <w:r>
              <w:rPr>
                <w:rFonts w:ascii="宋体" w:hAnsi="宋体" w:cs="宋体" w:eastAsia="宋体" w:hint="default"/>
                <w:spacing w:val="10"/>
                <w:sz w:val="18"/>
                <w:szCs w:val="18"/>
              </w:rPr>
              <w:t> </w:t>
            </w:r>
            <w:r>
              <w:rPr>
                <w:rFonts w:ascii="宋体" w:hAnsi="宋体" w:cs="宋体" w:eastAsia="宋体" w:hint="default"/>
                <w:sz w:val="18"/>
                <w:szCs w:val="18"/>
              </w:rPr>
              <w:t>员舞</w:t>
            </w:r>
            <w:r>
              <w:rPr>
                <w:rFonts w:ascii="宋体" w:hAnsi="宋体" w:cs="宋体" w:eastAsia="宋体" w:hint="default"/>
                <w:sz w:val="18"/>
                <w:szCs w:val="18"/>
              </w:rPr>
              <w:t> 弊；</w:t>
            </w:r>
            <w:r>
              <w:rPr>
                <w:rFonts w:ascii="Times New Roman" w:hAnsi="Times New Roman" w:cs="Times New Roman" w:eastAsia="Times New Roman" w:hint="default"/>
                <w:sz w:val="18"/>
                <w:szCs w:val="18"/>
              </w:rPr>
              <w:t>(2)</w:t>
            </w:r>
            <w:r>
              <w:rPr>
                <w:rFonts w:ascii="宋体" w:hAnsi="宋体" w:cs="宋体" w:eastAsia="宋体" w:hint="default"/>
                <w:sz w:val="18"/>
                <w:szCs w:val="18"/>
              </w:rPr>
              <w:t>企业更正已上报或公布的财务报 </w:t>
            </w:r>
            <w:r>
              <w:rPr>
                <w:rFonts w:ascii="宋体" w:hAnsi="宋体" w:cs="宋体" w:eastAsia="宋体" w:hint="default"/>
                <w:spacing w:val="-5"/>
                <w:sz w:val="18"/>
                <w:szCs w:val="18"/>
              </w:rPr>
              <w:t>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内控评价部门发现当期财务</w:t>
            </w:r>
            <w:r>
              <w:rPr>
                <w:rFonts w:ascii="宋体" w:hAnsi="宋体" w:cs="宋体" w:eastAsia="宋体" w:hint="default"/>
                <w:spacing w:val="10"/>
                <w:sz w:val="18"/>
                <w:szCs w:val="18"/>
              </w:rPr>
              <w:t> </w:t>
            </w:r>
            <w:r>
              <w:rPr>
                <w:rFonts w:ascii="宋体" w:hAnsi="宋体" w:cs="宋体" w:eastAsia="宋体" w:hint="default"/>
                <w:sz w:val="18"/>
                <w:szCs w:val="18"/>
              </w:rPr>
              <w:t>报告</w:t>
            </w:r>
            <w:r>
              <w:rPr>
                <w:rFonts w:ascii="宋体" w:hAnsi="宋体" w:cs="宋体" w:eastAsia="宋体" w:hint="default"/>
                <w:sz w:val="18"/>
                <w:szCs w:val="18"/>
              </w:rPr>
              <w:t> 存在重大错报，而被评估单位内部控制 </w:t>
            </w:r>
            <w:r>
              <w:rPr>
                <w:rFonts w:ascii="宋体" w:hAnsi="宋体" w:cs="宋体" w:eastAsia="宋体" w:hint="default"/>
                <w:spacing w:val="-6"/>
                <w:sz w:val="18"/>
                <w:szCs w:val="18"/>
              </w:rPr>
              <w:t>在运行过程中未能发现该错报；（</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）重</w:t>
            </w:r>
            <w:r>
              <w:rPr>
                <w:rFonts w:ascii="宋体" w:hAnsi="宋体" w:cs="宋体" w:eastAsia="宋体" w:hint="default"/>
                <w:spacing w:val="-73"/>
                <w:sz w:val="18"/>
                <w:szCs w:val="18"/>
              </w:rPr>
              <w:t> </w:t>
            </w:r>
            <w:r>
              <w:rPr>
                <w:rFonts w:ascii="宋体" w:hAnsi="宋体" w:cs="宋体" w:eastAsia="宋体" w:hint="default"/>
                <w:spacing w:val="-6"/>
                <w:sz w:val="18"/>
                <w:szCs w:val="18"/>
              </w:rPr>
              <w:t>大偏离预算；（</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）监管机构处罚。重要</w:t>
            </w:r>
            <w:r>
              <w:rPr>
                <w:rFonts w:ascii="宋体" w:hAnsi="宋体" w:cs="宋体" w:eastAsia="宋体" w:hint="default"/>
                <w:spacing w:val="-73"/>
                <w:sz w:val="18"/>
                <w:szCs w:val="18"/>
              </w:rPr>
              <w:t> </w:t>
            </w:r>
            <w:r>
              <w:rPr>
                <w:rFonts w:ascii="宋体" w:hAnsi="宋体" w:cs="宋体" w:eastAsia="宋体" w:hint="default"/>
                <w:sz w:val="18"/>
                <w:szCs w:val="18"/>
              </w:rPr>
              <w:t>缺陷：一项内部控制缺陷单独或连同其 他缺陷可能导致不能及时防止或</w:t>
            </w:r>
            <w:r>
              <w:rPr>
                <w:rFonts w:ascii="宋体" w:hAnsi="宋体" w:cs="宋体" w:eastAsia="宋体" w:hint="default"/>
                <w:spacing w:val="1"/>
                <w:sz w:val="18"/>
                <w:szCs w:val="18"/>
              </w:rPr>
              <w:t> </w:t>
            </w:r>
            <w:r>
              <w:rPr>
                <w:rFonts w:ascii="宋体" w:hAnsi="宋体" w:cs="宋体" w:eastAsia="宋体" w:hint="default"/>
                <w:sz w:val="18"/>
                <w:szCs w:val="18"/>
              </w:rPr>
              <w:t>发现</w:t>
            </w:r>
            <w:r>
              <w:rPr>
                <w:rFonts w:ascii="宋体" w:hAnsi="宋体" w:cs="宋体" w:eastAsia="宋体" w:hint="default"/>
                <w:sz w:val="18"/>
                <w:szCs w:val="18"/>
              </w:rPr>
              <w:t> 并纠正财务报告中虽然未达到和超过重 </w:t>
            </w:r>
            <w:r>
              <w:rPr>
                <w:rFonts w:ascii="宋体" w:hAnsi="宋体" w:cs="宋体" w:eastAsia="宋体" w:hint="default"/>
                <w:spacing w:val="-3"/>
                <w:sz w:val="18"/>
                <w:szCs w:val="18"/>
              </w:rPr>
              <w:t>要性水平，但仍应引起董事会和管理</w:t>
            </w:r>
            <w:r>
              <w:rPr>
                <w:rFonts w:ascii="宋体" w:hAnsi="宋体" w:cs="宋体" w:eastAsia="宋体" w:hint="default"/>
                <w:spacing w:val="4"/>
                <w:sz w:val="18"/>
                <w:szCs w:val="18"/>
              </w:rPr>
              <w:t> </w:t>
            </w:r>
            <w:r>
              <w:rPr>
                <w:rFonts w:ascii="宋体" w:hAnsi="宋体" w:cs="宋体" w:eastAsia="宋体" w:hint="default"/>
                <w:sz w:val="18"/>
                <w:szCs w:val="18"/>
              </w:rPr>
              <w:t>层</w:t>
            </w:r>
            <w:r>
              <w:rPr>
                <w:rFonts w:ascii="宋体" w:hAnsi="宋体" w:cs="宋体" w:eastAsia="宋体" w:hint="default"/>
                <w:sz w:val="18"/>
                <w:szCs w:val="18"/>
              </w:rPr>
              <w:t> 重视的错报。一般缺陷：不构成重大缺 陷和重要缺陷的内部控制缺陷。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0"/>
              <w:ind w:left="103" w:right="10"/>
              <w:jc w:val="left"/>
              <w:rPr>
                <w:rFonts w:ascii="宋体" w:hAnsi="宋体" w:cs="宋体" w:eastAsia="宋体" w:hint="default"/>
                <w:sz w:val="18"/>
                <w:szCs w:val="18"/>
              </w:rPr>
            </w:pPr>
            <w:r>
              <w:rPr>
                <w:rFonts w:ascii="宋体" w:hAnsi="宋体" w:cs="宋体" w:eastAsia="宋体" w:hint="default"/>
                <w:spacing w:val="-3"/>
                <w:sz w:val="18"/>
                <w:szCs w:val="18"/>
              </w:rPr>
              <w:t>取决于缺陷的严重程度，根据其直接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或潜在负面影响的性质、影响的范围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等因素确定。一般缺陷：对存在的问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题不采取任何行动可能导致较小范 </w:t>
            </w:r>
            <w:r>
              <w:rPr>
                <w:rFonts w:ascii="宋体" w:hAnsi="宋体" w:cs="宋体" w:eastAsia="宋体" w:hint="default"/>
                <w:spacing w:val="-3"/>
                <w:sz w:val="18"/>
                <w:szCs w:val="18"/>
              </w:rPr>
              <w:t>围的目标偏离的缺陷；重要缺陷：对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存在的问题不采取任何行动有一定 的可能导致较大的负面影响的缺陷； </w:t>
            </w:r>
            <w:r>
              <w:rPr>
                <w:rFonts w:ascii="宋体" w:hAnsi="宋体" w:cs="宋体" w:eastAsia="宋体" w:hint="default"/>
                <w:spacing w:val="-3"/>
                <w:sz w:val="18"/>
                <w:szCs w:val="18"/>
              </w:rPr>
              <w:t>重大缺陷：对存在的问题不采取任何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行动有较大的可能导致严重的偏离 控制目标的缺陷。存在下列情形的， 表明非财务报告内部控制可能存在 </w:t>
            </w:r>
            <w:r>
              <w:rPr>
                <w:rFonts w:ascii="宋体" w:hAnsi="宋体" w:cs="宋体" w:eastAsia="宋体" w:hint="default"/>
                <w:spacing w:val="-5"/>
                <w:sz w:val="18"/>
                <w:szCs w:val="18"/>
              </w:rPr>
              <w:t>重大缺陷：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企业缺乏重大事项集体</w:t>
            </w:r>
            <w:r>
              <w:rPr>
                <w:rFonts w:ascii="宋体" w:hAnsi="宋体" w:cs="宋体" w:eastAsia="宋体" w:hint="default"/>
                <w:spacing w:val="-77"/>
                <w:sz w:val="18"/>
                <w:szCs w:val="18"/>
              </w:rPr>
              <w:t> </w:t>
            </w:r>
            <w:r>
              <w:rPr>
                <w:rFonts w:ascii="宋体" w:hAnsi="宋体" w:cs="宋体" w:eastAsia="宋体" w:hint="default"/>
                <w:spacing w:val="-9"/>
                <w:sz w:val="18"/>
                <w:szCs w:val="18"/>
              </w:rPr>
              <w:t>决策程序；</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有违犯国家法律、法规，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受到处罚的情形；</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管理人员或技术</w:t>
            </w:r>
            <w:r>
              <w:rPr>
                <w:rFonts w:ascii="宋体" w:hAnsi="宋体" w:cs="宋体" w:eastAsia="宋体" w:hint="default"/>
                <w:spacing w:val="-77"/>
                <w:sz w:val="18"/>
                <w:szCs w:val="18"/>
              </w:rPr>
              <w:t> </w:t>
            </w:r>
            <w:r>
              <w:rPr>
                <w:rFonts w:ascii="宋体" w:hAnsi="宋体" w:cs="宋体" w:eastAsia="宋体" w:hint="default"/>
                <w:sz w:val="18"/>
                <w:szCs w:val="18"/>
              </w:rPr>
              <w:t>人员纷纷流失；</w:t>
            </w:r>
            <w:r>
              <w:rPr>
                <w:rFonts w:ascii="Times New Roman" w:hAnsi="Times New Roman" w:cs="Times New Roman" w:eastAsia="Times New Roman" w:hint="default"/>
                <w:sz w:val="18"/>
                <w:szCs w:val="18"/>
              </w:rPr>
              <w:t>(4)</w:t>
            </w:r>
            <w:r>
              <w:rPr>
                <w:rFonts w:ascii="宋体" w:hAnsi="宋体" w:cs="宋体" w:eastAsia="宋体" w:hint="default"/>
                <w:sz w:val="18"/>
                <w:szCs w:val="18"/>
              </w:rPr>
              <w:t>媒体负面新闻频 现，给公司形象造成恶劣影响；</w:t>
            </w:r>
            <w:r>
              <w:rPr>
                <w:rFonts w:ascii="Times New Roman" w:hAnsi="Times New Roman" w:cs="Times New Roman" w:eastAsia="Times New Roman" w:hint="default"/>
                <w:sz w:val="18"/>
                <w:szCs w:val="18"/>
              </w:rPr>
              <w:t>(5) </w:t>
            </w:r>
            <w:r>
              <w:rPr>
                <w:rFonts w:ascii="宋体" w:hAnsi="宋体" w:cs="宋体" w:eastAsia="宋体" w:hint="default"/>
                <w:sz w:val="18"/>
                <w:szCs w:val="18"/>
              </w:rPr>
              <w:t>内部控制评价的结果特别是重大或 </w:t>
            </w:r>
            <w:r>
              <w:rPr>
                <w:rFonts w:ascii="宋体" w:hAnsi="宋体" w:cs="宋体" w:eastAsia="宋体" w:hint="default"/>
                <w:spacing w:val="-5"/>
                <w:sz w:val="18"/>
                <w:szCs w:val="18"/>
              </w:rPr>
              <w:t>重要缺陷未得到整改；</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重要业务缺</w:t>
            </w:r>
            <w:r>
              <w:rPr>
                <w:rFonts w:ascii="宋体" w:hAnsi="宋体" w:cs="宋体" w:eastAsia="宋体" w:hint="default"/>
                <w:spacing w:val="-77"/>
                <w:sz w:val="18"/>
                <w:szCs w:val="18"/>
              </w:rPr>
              <w:t> </w:t>
            </w:r>
            <w:r>
              <w:rPr>
                <w:rFonts w:ascii="宋体" w:hAnsi="宋体" w:cs="宋体" w:eastAsia="宋体" w:hint="default"/>
                <w:sz w:val="18"/>
                <w:szCs w:val="18"/>
              </w:rPr>
              <w:t>乏制度控制或制度系统性失效；</w:t>
            </w:r>
            <w:r>
              <w:rPr>
                <w:rFonts w:ascii="Times New Roman" w:hAnsi="Times New Roman" w:cs="Times New Roman" w:eastAsia="Times New Roman" w:hint="default"/>
                <w:sz w:val="18"/>
                <w:szCs w:val="18"/>
              </w:rPr>
              <w:t>(7) </w:t>
            </w:r>
            <w:r>
              <w:rPr>
                <w:rFonts w:ascii="宋体" w:hAnsi="宋体" w:cs="宋体" w:eastAsia="宋体" w:hint="default"/>
                <w:spacing w:val="-5"/>
                <w:sz w:val="18"/>
                <w:szCs w:val="18"/>
              </w:rPr>
              <w:t>出现重大产品质量事故；</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出现重大</w:t>
            </w:r>
            <w:r>
              <w:rPr>
                <w:rFonts w:ascii="宋体" w:hAnsi="宋体" w:cs="宋体" w:eastAsia="宋体" w:hint="default"/>
                <w:spacing w:val="-77"/>
                <w:sz w:val="18"/>
                <w:szCs w:val="18"/>
              </w:rPr>
              <w:t> </w:t>
            </w:r>
            <w:r>
              <w:rPr>
                <w:rFonts w:ascii="宋体" w:hAnsi="宋体" w:cs="宋体" w:eastAsia="宋体" w:hint="default"/>
                <w:sz w:val="18"/>
                <w:szCs w:val="18"/>
              </w:rPr>
              <w:t>安全事故。</w:t>
            </w:r>
          </w:p>
        </w:tc>
      </w:tr>
      <w:tr>
        <w:trPr>
          <w:trHeight w:val="129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0"/>
                <w:szCs w:val="20"/>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资产总额的</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 错报金额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 </w:t>
            </w:r>
            <w:r>
              <w:rPr>
                <w:rFonts w:ascii="宋体" w:hAnsi="宋体" w:cs="宋体" w:eastAsia="宋体" w:hint="default"/>
                <w:spacing w:val="-3"/>
                <w:sz w:val="18"/>
                <w:szCs w:val="18"/>
              </w:rPr>
              <w:t>要缺陷：资产总额的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错报金额≤资 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；营业收入总额的</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1%&lt;</w:t>
            </w:r>
            <w:r>
              <w:rPr>
                <w:rFonts w:ascii="宋体" w:hAnsi="宋体" w:cs="宋体" w:eastAsia="宋体" w:hint="default"/>
                <w:sz w:val="18"/>
                <w:szCs w:val="18"/>
              </w:rPr>
              <w:t>错</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 缺陷导致的直接经济损失金额</w:t>
            </w:r>
            <w:r>
              <w:rPr>
                <w:rFonts w:ascii="Times New Roman" w:hAnsi="Times New Roman" w:cs="Times New Roman" w:eastAsia="Times New Roman" w:hint="default"/>
                <w:sz w:val="18"/>
                <w:szCs w:val="18"/>
              </w:rPr>
              <w:t>&gt;100 </w:t>
            </w:r>
            <w:r>
              <w:rPr>
                <w:rFonts w:ascii="宋体" w:hAnsi="宋体" w:cs="宋体" w:eastAsia="宋体" w:hint="default"/>
                <w:sz w:val="18"/>
                <w:szCs w:val="18"/>
              </w:rPr>
              <w:t>万。</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&lt;</w:t>
            </w:r>
            <w:r>
              <w:rPr>
                <w:rFonts w:ascii="宋体" w:hAnsi="宋体" w:cs="宋体" w:eastAsia="宋体" w:hint="default"/>
                <w:sz w:val="18"/>
                <w:szCs w:val="18"/>
              </w:rPr>
              <w:t>非财务 报告内部控制缺陷导致的直接经济</w:t>
            </w:r>
          </w:p>
        </w:tc>
      </w:tr>
    </w:tbl>
    <w:p>
      <w:pPr>
        <w:spacing w:after="0" w:line="300" w:lineRule="auto"/>
        <w:jc w:val="left"/>
        <w:rPr>
          <w:rFonts w:ascii="宋体" w:hAnsi="宋体" w:cs="宋体" w:eastAsia="宋体" w:hint="default"/>
          <w:sz w:val="18"/>
          <w:szCs w:val="18"/>
        </w:rPr>
        <w:sectPr>
          <w:headerReference w:type="default" r:id="rId28"/>
          <w:pgSz w:w="11910" w:h="16840"/>
          <w:pgMar w:header="907" w:footer="1013" w:top="1100" w:bottom="1200" w:left="1020" w:right="108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3"/>
        <w:gridCol w:w="3051"/>
      </w:tblGrid>
      <w:tr>
        <w:trPr>
          <w:trHeight w:val="986"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102" w:right="101"/>
              <w:jc w:val="both"/>
              <w:rPr>
                <w:rFonts w:ascii="宋体" w:hAnsi="宋体" w:cs="宋体" w:eastAsia="宋体" w:hint="default"/>
                <w:sz w:val="18"/>
                <w:szCs w:val="18"/>
              </w:rPr>
            </w:pPr>
            <w:r>
              <w:rPr>
                <w:rFonts w:ascii="宋体" w:hAnsi="宋体" w:cs="宋体" w:eastAsia="宋体" w:hint="default"/>
                <w:sz w:val="18"/>
                <w:szCs w:val="18"/>
              </w:rPr>
              <w:t>报金额≤营业收入总额的</w:t>
            </w:r>
            <w:r>
              <w:rPr>
                <w:rFonts w:ascii="宋体" w:hAnsi="宋体" w:cs="宋体" w:eastAsia="宋体" w:hint="default"/>
                <w:spacing w:val="6"/>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、一般</w:t>
            </w:r>
            <w:r>
              <w:rPr>
                <w:rFonts w:ascii="宋体" w:hAnsi="宋体" w:cs="宋体" w:eastAsia="宋体" w:hint="default"/>
                <w:sz w:val="18"/>
                <w:szCs w:val="18"/>
              </w:rPr>
              <w:t> </w:t>
            </w:r>
            <w:r>
              <w:rPr>
                <w:rFonts w:ascii="宋体" w:hAnsi="宋体" w:cs="宋体" w:eastAsia="宋体" w:hint="default"/>
                <w:spacing w:val="-3"/>
                <w:sz w:val="18"/>
                <w:szCs w:val="18"/>
              </w:rPr>
              <w:t>缺陷：错报金额≤资产总额的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；错报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3" w:right="101"/>
              <w:jc w:val="left"/>
              <w:rPr>
                <w:rFonts w:ascii="宋体" w:hAnsi="宋体" w:cs="宋体" w:eastAsia="宋体" w:hint="default"/>
                <w:sz w:val="18"/>
                <w:szCs w:val="18"/>
              </w:rPr>
            </w:pPr>
            <w:r>
              <w:rPr>
                <w:rFonts w:ascii="宋体" w:hAnsi="宋体" w:cs="宋体" w:eastAsia="宋体" w:hint="default"/>
                <w:sz w:val="18"/>
                <w:szCs w:val="18"/>
              </w:rPr>
              <w:t>损失≤</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8"/>
                <w:sz w:val="18"/>
                <w:szCs w:val="18"/>
              </w:rPr>
              <w:t>万元。</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、一般缺陷：非财</w:t>
            </w:r>
            <w:r>
              <w:rPr>
                <w:rFonts w:ascii="宋体" w:hAnsi="宋体" w:cs="宋体" w:eastAsia="宋体" w:hint="default"/>
                <w:sz w:val="18"/>
                <w:szCs w:val="18"/>
              </w:rPr>
              <w:t> 务报告内部控制缺陷导致的直接经 济损失金额≤</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spacing w:before="26"/>
        <w:ind w:left="112" w:right="357" w:firstLine="0"/>
        <w:jc w:val="left"/>
        <w:rPr>
          <w:rFonts w:ascii="宋体" w:hAnsi="宋体" w:cs="宋体" w:eastAsia="宋体" w:hint="default"/>
          <w:sz w:val="24"/>
          <w:szCs w:val="24"/>
        </w:rPr>
      </w:pPr>
      <w:r>
        <w:rPr>
          <w:rFonts w:ascii="宋体" w:hAnsi="宋体" w:cs="宋体" w:eastAsia="宋体" w:hint="default"/>
          <w:b/>
          <w:bCs/>
          <w:sz w:val="24"/>
          <w:szCs w:val="24"/>
        </w:rPr>
        <w:t>十、内部控制审计报告或鉴证报告</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357"/>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1" w:right="183"/>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瑞华会计师事务所（特殊普通合伙）出具鉴证报告结论：精准信息公司于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 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08"/>
              <w:jc w:val="left"/>
              <w:rPr>
                <w:rFonts w:ascii="宋体" w:hAnsi="宋体" w:cs="宋体" w:eastAsia="宋体" w:hint="default"/>
                <w:sz w:val="18"/>
                <w:szCs w:val="18"/>
              </w:rPr>
            </w:pPr>
            <w:r>
              <w:rPr>
                <w:rFonts w:ascii="宋体" w:hAnsi="宋体" w:cs="宋体" w:eastAsia="宋体" w:hint="default"/>
                <w:sz w:val="18"/>
                <w:szCs w:val="18"/>
              </w:rPr>
              <w:t>内部控制鉴证报告全文披露日 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208"/>
              <w:jc w:val="left"/>
              <w:rPr>
                <w:rFonts w:ascii="宋体" w:hAnsi="宋体" w:cs="宋体" w:eastAsia="宋体" w:hint="default"/>
                <w:sz w:val="18"/>
                <w:szCs w:val="18"/>
              </w:rPr>
            </w:pPr>
            <w:r>
              <w:rPr>
                <w:rFonts w:ascii="宋体" w:hAnsi="宋体" w:cs="宋体" w:eastAsia="宋体" w:hint="default"/>
                <w:sz w:val="18"/>
                <w:szCs w:val="18"/>
              </w:rPr>
              <w:t>内部控制鉴证报告全文披露索 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7"/>
                <w:sz w:val="18"/>
                <w:szCs w:val="18"/>
              </w:rPr>
              <w:t> </w:t>
            </w:r>
            <w:hyperlink r:id="rId14">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日公司公告。</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标准意见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357"/>
        <w:jc w:val="left"/>
      </w:pPr>
      <w:r>
        <w:rPr/>
        <w:t>会计师事务所是否出具非标准意见的内部控制鉴证报告</w:t>
      </w:r>
    </w:p>
    <w:p>
      <w:pPr>
        <w:pStyle w:val="BodyText"/>
        <w:spacing w:line="357" w:lineRule="auto" w:before="117"/>
        <w:ind w:right="3554"/>
        <w:jc w:val="left"/>
      </w:pPr>
      <w:r>
        <w:rPr/>
        <w:t>□ 是 √ 否 会计师事务所出具的内部控制鉴证报告与董事会的自我评价报告意见是否一致</w:t>
      </w:r>
    </w:p>
    <w:p>
      <w:pPr>
        <w:pStyle w:val="BodyText"/>
        <w:spacing w:line="240" w:lineRule="auto" w:before="29"/>
        <w:ind w:right="357"/>
        <w:jc w:val="left"/>
      </w:pPr>
      <w:r>
        <w:rPr/>
        <w:t>√ 是 □ 否</w:t>
      </w:r>
    </w:p>
    <w:p>
      <w:pPr>
        <w:spacing w:after="0" w:line="240" w:lineRule="auto"/>
        <w:jc w:val="left"/>
        <w:sectPr>
          <w:pgSz w:w="11910" w:h="16840"/>
          <w:pgMar w:header="907" w:footer="1013" w:top="1100" w:bottom="1200" w:left="1020" w:right="10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86" w:right="2118"/>
        <w:jc w:val="left"/>
        <w:rPr>
          <w:b w:val="0"/>
          <w:bCs w:val="0"/>
        </w:rPr>
      </w:pPr>
      <w:r>
        <w:rPr/>
        <w:t>第十节</w:t>
      </w:r>
      <w:r>
        <w:rPr>
          <w:spacing w:val="-10"/>
        </w:rPr>
        <w:t> </w:t>
      </w:r>
      <w:r>
        <w:rPr/>
        <w:t>公司债券相关情况</w:t>
      </w:r>
      <w:r>
        <w:rPr>
          <w:b w:val="0"/>
          <w:bCs w:val="0"/>
        </w:rPr>
      </w:r>
    </w:p>
    <w:p>
      <w:pPr>
        <w:spacing w:line="240" w:lineRule="auto" w:before="6"/>
        <w:rPr>
          <w:rFonts w:ascii="宋体" w:hAnsi="宋体" w:cs="宋体" w:eastAsia="宋体" w:hint="default"/>
          <w:b/>
          <w:bCs/>
          <w:sz w:val="42"/>
          <w:szCs w:val="42"/>
        </w:rPr>
      </w:pPr>
    </w:p>
    <w:p>
      <w:pPr>
        <w:pStyle w:val="BodyText"/>
        <w:spacing w:line="360" w:lineRule="auto"/>
        <w:ind w:right="434"/>
        <w:jc w:val="left"/>
      </w:pPr>
      <w:r>
        <w:rPr/>
        <w:t>公司是否存在公开发行并在证券交易所上市，且在年度报告批准报出日未到期或到期未能全额兑付的公司债券 否</w:t>
      </w:r>
    </w:p>
    <w:p>
      <w:pPr>
        <w:spacing w:after="0" w:line="360" w:lineRule="auto"/>
        <w:jc w:val="left"/>
        <w:sectPr>
          <w:pgSz w:w="11910" w:h="16840"/>
          <w:pgMar w:header="907" w:footer="1013" w:top="1100" w:bottom="1200" w:left="1020" w:right="1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spacing w:before="0"/>
        <w:ind w:left="3552" w:right="3629" w:firstLine="0"/>
        <w:jc w:val="center"/>
        <w:rPr>
          <w:rFonts w:ascii="宋体" w:hAnsi="宋体" w:cs="宋体" w:eastAsia="宋体" w:hint="default"/>
          <w:sz w:val="32"/>
          <w:szCs w:val="32"/>
        </w:rPr>
      </w:pPr>
      <w:r>
        <w:rPr>
          <w:rFonts w:ascii="宋体" w:hAnsi="宋体" w:cs="宋体" w:eastAsia="宋体" w:hint="default"/>
          <w:b/>
          <w:bCs/>
          <w:sz w:val="32"/>
          <w:szCs w:val="32"/>
        </w:rPr>
        <w:t>第十一节</w:t>
      </w:r>
      <w:r>
        <w:rPr>
          <w:rFonts w:ascii="宋体" w:hAnsi="宋体" w:cs="宋体" w:eastAsia="宋体" w:hint="default"/>
          <w:b/>
          <w:bCs/>
          <w:spacing w:val="-8"/>
          <w:sz w:val="32"/>
          <w:szCs w:val="32"/>
        </w:rPr>
        <w:t> </w:t>
      </w:r>
      <w:r>
        <w:rPr>
          <w:rFonts w:ascii="宋体" w:hAnsi="宋体" w:cs="宋体" w:eastAsia="宋体" w:hint="default"/>
          <w:b/>
          <w:bCs/>
          <w:sz w:val="32"/>
          <w:szCs w:val="32"/>
        </w:rPr>
        <w:t>财务报告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6"/>
          <w:szCs w:val="16"/>
        </w:rPr>
      </w:pPr>
    </w:p>
    <w:p>
      <w:pPr>
        <w:spacing w:before="26"/>
        <w:ind w:left="112" w:right="94" w:firstLine="0"/>
        <w:jc w:val="left"/>
        <w:rPr>
          <w:rFonts w:ascii="宋体" w:hAnsi="宋体" w:cs="宋体" w:eastAsia="宋体" w:hint="default"/>
          <w:sz w:val="24"/>
          <w:szCs w:val="24"/>
        </w:rPr>
      </w:pPr>
      <w:r>
        <w:rPr>
          <w:rFonts w:ascii="宋体" w:hAnsi="宋体" w:cs="宋体" w:eastAsia="宋体" w:hint="default"/>
          <w:b/>
          <w:bCs/>
          <w:sz w:val="24"/>
          <w:szCs w:val="24"/>
        </w:rPr>
        <w:t>一、审计报告</w:t>
      </w:r>
      <w:r>
        <w:rPr>
          <w:rFonts w:ascii="宋体" w:hAnsi="宋体" w:cs="宋体" w:eastAsia="宋体" w:hint="default"/>
          <w:sz w:val="24"/>
          <w:szCs w:val="24"/>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5"/>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37050010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王传顺、郭冬梅</w:t>
            </w:r>
          </w:p>
        </w:tc>
      </w:tr>
    </w:tbl>
    <w:p>
      <w:pPr>
        <w:spacing w:after="0" w:line="240" w:lineRule="auto"/>
        <w:jc w:val="left"/>
        <w:rPr>
          <w:rFonts w:ascii="宋体" w:hAnsi="宋体" w:cs="宋体" w:eastAsia="宋体" w:hint="default"/>
          <w:sz w:val="18"/>
          <w:szCs w:val="18"/>
        </w:rPr>
        <w:sectPr>
          <w:footerReference w:type="default" r:id="rId29"/>
          <w:pgSz w:w="11910" w:h="16840"/>
          <w:pgMar w:footer="1013" w:header="907" w:top="1100" w:bottom="1200" w:left="1020" w:right="940"/>
          <w:pgNumType w:start="80"/>
        </w:sect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2"/>
          <w:szCs w:val="12"/>
        </w:rPr>
      </w:pPr>
    </w:p>
    <w:p>
      <w:pPr>
        <w:pStyle w:val="BodyText"/>
        <w:spacing w:line="316" w:lineRule="auto"/>
        <w:ind w:right="-20"/>
        <w:jc w:val="left"/>
      </w:pPr>
      <w:r>
        <w:rPr/>
        <w:t>尤洛卡精准信息工程股份有限公司全体股东： 一、审计意见</w:t>
      </w:r>
    </w:p>
    <w:p>
      <w:pPr>
        <w:pStyle w:val="BodyText"/>
        <w:spacing w:line="240" w:lineRule="auto" w:before="50"/>
        <w:ind w:right="0"/>
        <w:jc w:val="left"/>
      </w:pPr>
      <w:r>
        <w:rPr/>
        <w:br w:type="column"/>
      </w:r>
      <w:r>
        <w:rPr/>
        <w:t>审计报告正文</w:t>
      </w:r>
    </w:p>
    <w:p>
      <w:pPr>
        <w:spacing w:after="0" w:line="240" w:lineRule="auto"/>
        <w:jc w:val="left"/>
        <w:sectPr>
          <w:type w:val="continuous"/>
          <w:pgSz w:w="11910" w:h="16840"/>
          <w:pgMar w:top="1100" w:bottom="280" w:left="1020" w:right="940"/>
          <w:cols w:num="2" w:equalWidth="0">
            <w:col w:w="3713" w:space="566"/>
            <w:col w:w="5671"/>
          </w:cols>
        </w:sectPr>
      </w:pPr>
    </w:p>
    <w:p>
      <w:pPr>
        <w:pStyle w:val="BodyText"/>
        <w:spacing w:line="316" w:lineRule="auto" w:before="19"/>
        <w:ind w:right="94"/>
        <w:jc w:val="left"/>
      </w:pPr>
      <w:r>
        <w:rPr>
          <w:spacing w:val="-2"/>
        </w:rPr>
        <w:t>我们审计了尤洛卡精准信息工程股份有限公司（以下简称“精准信息公司”）财务报表，包括2017年12月31日的合并及公司</w:t>
      </w:r>
      <w:r>
        <w:rPr>
          <w:spacing w:val="-67"/>
        </w:rPr>
        <w:t> </w:t>
      </w:r>
      <w:r>
        <w:rPr>
          <w:spacing w:val="-67"/>
        </w:rPr>
      </w:r>
      <w:r>
        <w:rPr/>
        <w:t>资产负债表，2017年度的合并及公司利润表、合并及公司现金流量表、合并及公司股东权益变动表以及相关财务报表附注。</w:t>
      </w:r>
      <w:r>
        <w:rPr/>
        <w:t> </w:t>
      </w:r>
      <w:r>
        <w:rPr>
          <w:spacing w:val="-2"/>
        </w:rPr>
        <w:t>我们认为，后附的财务报表在所有重大方面按照企业会计准则的规定编制，公允反映了精准信息公司2017年12月31日合并及</w:t>
      </w:r>
      <w:r>
        <w:rPr>
          <w:spacing w:val="-60"/>
        </w:rPr>
        <w:t> </w:t>
      </w:r>
      <w:r>
        <w:rPr>
          <w:spacing w:val="-60"/>
        </w:rPr>
      </w:r>
      <w:r>
        <w:rPr/>
        <w:t>公司的财务状况以及2017年度合并及公司的经营成果和现金流量。</w:t>
      </w:r>
    </w:p>
    <w:p>
      <w:pPr>
        <w:pStyle w:val="BodyText"/>
        <w:spacing w:line="316" w:lineRule="auto" w:before="19"/>
        <w:ind w:right="94"/>
        <w:jc w:val="left"/>
      </w:pPr>
      <w:r>
        <w:rPr/>
        <w:t>二、形成审计意见的基础 </w:t>
      </w:r>
      <w:r>
        <w:rPr>
          <w:spacing w:val="-2"/>
        </w:rPr>
        <w:t>我们按照中国注册会计师审计准则的规定执行了审计工作。审计报告的“注册会计师对财务报表审计的责任”部分进一步阐</w:t>
      </w:r>
      <w:r>
        <w:rPr>
          <w:spacing w:val="-65"/>
        </w:rPr>
        <w:t> </w:t>
      </w:r>
      <w:r>
        <w:rPr>
          <w:spacing w:val="-65"/>
        </w:rPr>
      </w:r>
      <w:r>
        <w:rPr>
          <w:spacing w:val="-2"/>
        </w:rPr>
        <w:t>述了我们在这些准则下的责任。按照中国注册会计师职业道德守则，我们独立于精准信息公司，并履行了职业道德方面的其</w:t>
      </w:r>
      <w:r>
        <w:rPr>
          <w:spacing w:val="-65"/>
        </w:rPr>
        <w:t> </w:t>
      </w:r>
      <w:r>
        <w:rPr>
          <w:spacing w:val="-65"/>
        </w:rPr>
      </w:r>
      <w:r>
        <w:rPr/>
        <w:t>他责任。我们相信，我们获取的审计证据是充分、适当的，为发表审计意见提供了基础。</w:t>
      </w:r>
    </w:p>
    <w:p>
      <w:pPr>
        <w:pStyle w:val="BodyText"/>
        <w:spacing w:line="316" w:lineRule="auto" w:before="19"/>
        <w:ind w:right="94"/>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p>
      <w:pPr>
        <w:pStyle w:val="BodyText"/>
        <w:spacing w:line="316" w:lineRule="auto" w:before="19"/>
        <w:ind w:right="7474"/>
        <w:jc w:val="left"/>
      </w:pPr>
      <w:r>
        <w:rPr/>
        <w:t>（一）应收账款坏账准备计提 1、事项描述</w:t>
      </w:r>
    </w:p>
    <w:p>
      <w:pPr>
        <w:pStyle w:val="BodyText"/>
        <w:spacing w:line="316" w:lineRule="auto" w:before="19"/>
        <w:ind w:right="184"/>
        <w:jc w:val="left"/>
      </w:pPr>
      <w:r>
        <w:rPr/>
        <w:t>应收账款坏账准备计提披露详见财务报表附注“四、重要会计政策和会计估计”之9、应收款项及26、重大会计判断和估计 之坏账准备计提所述会计政策； 应收账款报表项目披露详见财务报表附注“六、合并财务报表项目注释”3及“十四、公司财务报表主要项目注释”1。 </w:t>
      </w:r>
      <w:r>
        <w:rPr>
          <w:spacing w:val="-3"/>
        </w:rPr>
        <w:t>截至2017年12月31日，精准信息公司合并财务报表附注所示的应收账款余额386,690,088.79元，坏账准备金额59,716,882.81</w:t>
      </w:r>
      <w:r>
        <w:rPr>
          <w:spacing w:val="-62"/>
        </w:rPr>
        <w:t> </w:t>
      </w:r>
      <w:r>
        <w:rPr>
          <w:spacing w:val="-62"/>
        </w:rPr>
      </w:r>
      <w:r>
        <w:rPr>
          <w:spacing w:val="-2"/>
        </w:rPr>
        <w:t>元，应收账款账面价值326,973,205.98元，占资产总额的17.01%。若应收账款不能按期收回或无法收回而发生坏账对财务报</w:t>
      </w:r>
      <w:r>
        <w:rPr>
          <w:spacing w:val="-55"/>
        </w:rPr>
        <w:t> </w:t>
      </w:r>
      <w:r>
        <w:rPr>
          <w:spacing w:val="-55"/>
        </w:rPr>
      </w:r>
      <w:r>
        <w:rPr/>
        <w:t>表影响较为重大，为此我们确定应收账款的计量为关键审计事项。</w:t>
      </w:r>
    </w:p>
    <w:p>
      <w:pPr>
        <w:pStyle w:val="BodyText"/>
        <w:spacing w:line="240" w:lineRule="auto" w:before="19"/>
        <w:ind w:right="94"/>
        <w:jc w:val="left"/>
      </w:pPr>
      <w:r>
        <w:rPr/>
        <w:t>2、审计应对</w:t>
      </w:r>
    </w:p>
    <w:p>
      <w:pPr>
        <w:pStyle w:val="BodyText"/>
        <w:spacing w:line="240" w:lineRule="auto" w:before="76"/>
        <w:ind w:right="94"/>
        <w:jc w:val="left"/>
      </w:pPr>
      <w:r>
        <w:rPr/>
        <w:t>（1）我们了解、评估并测试了与应收款项减值相关的内部控制。</w:t>
      </w:r>
    </w:p>
    <w:p>
      <w:pPr>
        <w:pStyle w:val="BodyText"/>
        <w:spacing w:line="240" w:lineRule="auto" w:before="76"/>
        <w:ind w:right="94"/>
        <w:jc w:val="left"/>
      </w:pPr>
      <w:r>
        <w:rPr/>
        <w:t>（2）检查应收款项减值计提的会计政策，评估所使用的方法的恰当性以及减值准备计提比例的合理性；</w:t>
      </w:r>
    </w:p>
    <w:p>
      <w:pPr>
        <w:pStyle w:val="BodyText"/>
        <w:spacing w:line="240" w:lineRule="auto" w:before="76"/>
        <w:ind w:right="94"/>
        <w:jc w:val="left"/>
      </w:pPr>
      <w:r>
        <w:rPr/>
        <w:t>（3）检查相关的交易合同和信用条款及实际信用条款的遵守情况；</w:t>
      </w:r>
    </w:p>
    <w:p>
      <w:pPr>
        <w:pStyle w:val="BodyText"/>
        <w:spacing w:line="240" w:lineRule="auto" w:before="76"/>
        <w:ind w:right="94"/>
        <w:jc w:val="left"/>
      </w:pPr>
      <w:r>
        <w:rPr>
          <w:spacing w:val="-2"/>
        </w:rPr>
        <w:t>（4）对重要应收账款与管理层讨论其可收回性，并执行独立函证程序，检查是否双方就应收账款的金额等已达成一致意见；</w:t>
      </w:r>
    </w:p>
    <w:p>
      <w:pPr>
        <w:pStyle w:val="BodyText"/>
        <w:spacing w:line="240" w:lineRule="auto" w:before="76"/>
        <w:ind w:right="94"/>
        <w:jc w:val="left"/>
      </w:pPr>
      <w:r>
        <w:rPr/>
        <w:t>（5）复核用于确认坏账准备的信息，包括检查账龄计算的正确性、客户财务能力、以往付款历史等；</w:t>
      </w:r>
    </w:p>
    <w:p>
      <w:pPr>
        <w:pStyle w:val="BodyText"/>
        <w:spacing w:line="240" w:lineRule="auto" w:before="76"/>
        <w:ind w:right="94"/>
        <w:jc w:val="left"/>
      </w:pPr>
      <w:r>
        <w:rPr/>
        <w:t>（6）结合期后回款情况检查，评价管理层对坏账准备计提的合理性。</w:t>
      </w:r>
    </w:p>
    <w:p>
      <w:pPr>
        <w:pStyle w:val="BodyText"/>
        <w:spacing w:line="316" w:lineRule="auto" w:before="76"/>
        <w:ind w:right="8554"/>
        <w:jc w:val="left"/>
      </w:pPr>
      <w:r>
        <w:rPr/>
        <w:t>（二）商誉减值 1、事项描述</w:t>
      </w:r>
    </w:p>
    <w:p>
      <w:pPr>
        <w:spacing w:after="0" w:line="316" w:lineRule="auto"/>
        <w:jc w:val="left"/>
        <w:sectPr>
          <w:type w:val="continuous"/>
          <w:pgSz w:w="11910" w:h="16840"/>
          <w:pgMar w:top="1100" w:bottom="28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2"/>
        </w:rPr>
        <w:t>长期资产减值披露详见财务报表附注“四、重要会计政策和会计估计”之18、长期资产减值及26、重大会计判断和估计之长</w:t>
      </w:r>
      <w:r>
        <w:rPr>
          <w:spacing w:val="-64"/>
        </w:rPr>
        <w:t> </w:t>
      </w:r>
      <w:r>
        <w:rPr>
          <w:spacing w:val="-64"/>
        </w:rPr>
      </w:r>
      <w:r>
        <w:rPr/>
        <w:t>期资产减值准备所述会计政策；</w:t>
      </w:r>
    </w:p>
    <w:p>
      <w:pPr>
        <w:pStyle w:val="BodyText"/>
        <w:spacing w:line="316" w:lineRule="auto" w:before="19"/>
        <w:ind w:right="94"/>
        <w:jc w:val="left"/>
      </w:pPr>
      <w:r>
        <w:rPr/>
        <w:t>商誉报表项目披露详见财务报表附注“六、合并财务报表项目注释”14。 </w:t>
      </w:r>
      <w:r>
        <w:rPr>
          <w:spacing w:val="-2"/>
        </w:rPr>
        <w:t>截至2017年12月31日，精准信息公司合并财务报表中商誉的账面价值为569,212,432.09元，占资产总额的29.61%。由于商誉</w:t>
      </w:r>
      <w:r>
        <w:rPr>
          <w:spacing w:val="-51"/>
        </w:rPr>
        <w:t> </w:t>
      </w:r>
      <w:r>
        <w:rPr>
          <w:spacing w:val="-51"/>
        </w:rPr>
      </w:r>
      <w:r>
        <w:rPr/>
        <w:t>金额较大，且管理层需要作出重大判断，我们将商誉的减值确定为关键审计事项。</w:t>
      </w:r>
    </w:p>
    <w:p>
      <w:pPr>
        <w:pStyle w:val="BodyText"/>
        <w:spacing w:line="240" w:lineRule="auto" w:before="19"/>
        <w:ind w:right="94"/>
        <w:jc w:val="left"/>
      </w:pPr>
      <w:r>
        <w:rPr/>
        <w:t>2、审计应对</w:t>
      </w:r>
    </w:p>
    <w:p>
      <w:pPr>
        <w:pStyle w:val="BodyText"/>
        <w:spacing w:line="240" w:lineRule="auto" w:before="76"/>
        <w:ind w:right="94"/>
        <w:jc w:val="left"/>
      </w:pPr>
      <w:r>
        <w:rPr/>
        <w:t>（1）了解并测试了精准信息公司对商誉及其他长期资产减值评估的内部控制；</w:t>
      </w:r>
    </w:p>
    <w:p>
      <w:pPr>
        <w:pStyle w:val="BodyText"/>
        <w:spacing w:line="240" w:lineRule="auto" w:before="76"/>
        <w:ind w:right="94"/>
        <w:jc w:val="left"/>
      </w:pPr>
      <w:r>
        <w:rPr/>
        <w:t>（2）了解各资产组的历史业绩情况及发展规划，以及宏观经济和所属行业的发展趋势；</w:t>
      </w:r>
    </w:p>
    <w:p>
      <w:pPr>
        <w:pStyle w:val="BodyText"/>
        <w:spacing w:line="240" w:lineRule="auto" w:before="76"/>
        <w:ind w:right="94"/>
        <w:jc w:val="left"/>
      </w:pPr>
      <w:r>
        <w:rPr/>
        <w:t>（3）评估商誉减值测试的估值方法；</w:t>
      </w:r>
    </w:p>
    <w:p>
      <w:pPr>
        <w:pStyle w:val="BodyText"/>
        <w:spacing w:line="240" w:lineRule="auto" w:before="76"/>
        <w:ind w:right="94"/>
        <w:jc w:val="left"/>
      </w:pPr>
      <w:r>
        <w:rPr/>
        <w:t>（4）对管理层使用的未来收入增长率、毛利率和费用率假设进行了合理性分析。</w:t>
      </w:r>
    </w:p>
    <w:p>
      <w:pPr>
        <w:pStyle w:val="BodyText"/>
        <w:spacing w:line="316" w:lineRule="auto" w:before="76"/>
        <w:ind w:right="1444"/>
        <w:jc w:val="left"/>
      </w:pPr>
      <w:r>
        <w:rPr/>
        <w:t>（5）利用内部评估专家的工作，对价值类型和评估方法的合理性，以及折现率等参数的选择进行了评估。 四、其他信息</w:t>
      </w:r>
    </w:p>
    <w:p>
      <w:pPr>
        <w:pStyle w:val="BodyText"/>
        <w:spacing w:line="316" w:lineRule="auto" w:before="19"/>
        <w:ind w:right="94"/>
        <w:jc w:val="left"/>
      </w:pPr>
      <w:r>
        <w:rPr>
          <w:spacing w:val="-2"/>
        </w:rPr>
        <w:t>精准信息公司管理层对其他信息负责。其他信息包括精准信息公司2017年年度报告中涵盖的信息，但不包括财务报表和我们</w:t>
      </w:r>
      <w:r>
        <w:rPr>
          <w:spacing w:val="-62"/>
        </w:rPr>
        <w:t> </w:t>
      </w:r>
      <w:r>
        <w:rPr>
          <w:spacing w:val="-62"/>
        </w:rPr>
      </w:r>
      <w:r>
        <w:rPr/>
        <w:t>的审计报告。</w:t>
      </w:r>
    </w:p>
    <w:p>
      <w:pPr>
        <w:pStyle w:val="BodyText"/>
        <w:spacing w:line="316" w:lineRule="auto" w:before="19"/>
        <w:ind w:left="472" w:right="94"/>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19"/>
        <w:ind w:right="94"/>
        <w:jc w:val="left"/>
      </w:pPr>
      <w:r>
        <w:rPr/>
        <w:t>程中了解到的情况存在重大不一致或者似乎存在重大错报。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3"/>
        </w:rPr>
        <w:t> </w:t>
      </w:r>
      <w:r>
        <w:rPr>
          <w:spacing w:val="-43"/>
        </w:rPr>
      </w:r>
      <w:r>
        <w:rPr/>
        <w:t>五、管理层和治理层对财务报表的责任 </w:t>
      </w:r>
      <w:r>
        <w:rPr>
          <w:spacing w:val="-2"/>
        </w:rPr>
        <w:t>精准信息公司管理层（以下简称管理层）负责按照企业会计准则的规定编制财务报表，使其实现公允反映，并设计、执行和</w:t>
      </w:r>
      <w:r>
        <w:rPr>
          <w:spacing w:val="-66"/>
        </w:rPr>
        <w:t> </w:t>
      </w:r>
      <w:r>
        <w:rPr>
          <w:spacing w:val="-66"/>
        </w:rPr>
      </w:r>
      <w:r>
        <w:rPr/>
        <w:t>维护必要的内部控制，以使财务报表不存在由于舞弊或错误导致的重大错报。 </w:t>
      </w:r>
      <w:r>
        <w:rPr>
          <w:spacing w:val="-2"/>
        </w:rPr>
        <w:t>在编制财务报表时，管理层负责评估精准信息公司的持续经营能力，披露与持续经营相关的事项（如适用），并运用持续经</w:t>
      </w:r>
      <w:r>
        <w:rPr>
          <w:spacing w:val="-71"/>
        </w:rPr>
        <w:t> </w:t>
      </w:r>
      <w:r>
        <w:rPr>
          <w:spacing w:val="-71"/>
        </w:rPr>
      </w:r>
      <w:r>
        <w:rPr/>
        <w:t>营假设，除非管理层计划清算精准信息公司、终止运营或别无其他现实的选择。 治理层负责监督精准信息公司的财务报告过程。</w:t>
      </w:r>
    </w:p>
    <w:p>
      <w:pPr>
        <w:pStyle w:val="BodyText"/>
        <w:spacing w:line="316" w:lineRule="auto" w:before="19"/>
        <w:ind w:left="292" w:right="274" w:hanging="180"/>
        <w:jc w:val="left"/>
      </w:pPr>
      <w:r>
        <w:rPr/>
        <w:t>六、注册会计师对财务报表审计的责任 我们的目标是对财务报表整体是否不存在由于舞弊或错误导致的重大错报获取合理保证，并出具包含审计意见的审计报</w:t>
      </w:r>
    </w:p>
    <w:p>
      <w:pPr>
        <w:pStyle w:val="BodyText"/>
        <w:spacing w:line="316" w:lineRule="auto" w:before="19"/>
        <w:ind w:right="192"/>
        <w:jc w:val="both"/>
      </w:pPr>
      <w:r>
        <w:rPr>
          <w:spacing w:val="-2"/>
        </w:rPr>
        <w:t>告。合理保证是高水平的保证，但并不能保证按照审计准则执行的审计在某一重大错报存在时总能发现。错报可能由于舞弊</w:t>
      </w:r>
      <w:r>
        <w:rPr>
          <w:spacing w:val="-65"/>
        </w:rPr>
        <w:t> </w:t>
      </w:r>
      <w:r>
        <w:rPr>
          <w:spacing w:val="-65"/>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right="94"/>
        <w:jc w:val="left"/>
      </w:pPr>
      <w:r>
        <w:rPr/>
        <w:t>在按照审计准则执行审计工作的过程中，我们运用职业判断，并保持职业怀疑。同时，我们也执行以下工作：</w:t>
      </w:r>
    </w:p>
    <w:p>
      <w:pPr>
        <w:pStyle w:val="BodyText"/>
        <w:spacing w:line="316" w:lineRule="auto" w:before="76"/>
        <w:ind w:right="192"/>
        <w:jc w:val="both"/>
      </w:pPr>
      <w:r>
        <w:rPr>
          <w:spacing w:val="-2"/>
        </w:rPr>
        <w:t>（一）识别和评估由于舞弊或错误导致的财务报表重大错报风险，设计和实施审计程序以应对这些风险，并获取充分、适当</w:t>
      </w:r>
      <w:r>
        <w:rPr>
          <w:spacing w:val="-66"/>
        </w:rPr>
        <w:t> </w:t>
      </w:r>
      <w:r>
        <w:rPr>
          <w:spacing w:val="-66"/>
        </w:rPr>
      </w:r>
      <w:r>
        <w:rPr>
          <w:spacing w:val="-2"/>
        </w:rPr>
        <w:t>的审计证据，作为发表审计意见的基础。由于舞弊可能涉及串通、伪造、故意遗漏、虚假陈述或凌驾于内部控制之上，未能</w:t>
      </w:r>
      <w:r>
        <w:rPr>
          <w:spacing w:val="-66"/>
        </w:rPr>
        <w:t> </w:t>
      </w:r>
      <w:r>
        <w:rPr>
          <w:spacing w:val="-66"/>
        </w:rPr>
      </w:r>
      <w:r>
        <w:rPr/>
        <w:t>发现由于舞弊导致的重大错报的风险高于未能发现由于错误导致的重大错报的风险。</w:t>
      </w:r>
    </w:p>
    <w:p>
      <w:pPr>
        <w:pStyle w:val="BodyText"/>
        <w:spacing w:line="240" w:lineRule="auto" w:before="19"/>
        <w:ind w:right="94"/>
        <w:jc w:val="left"/>
      </w:pPr>
      <w:r>
        <w:rPr/>
        <w:t>（二）了解与审计相关的内部控制，以设计恰当的审计程序，但目的并非对内部控制的有效性发表意见。</w:t>
      </w:r>
    </w:p>
    <w:p>
      <w:pPr>
        <w:pStyle w:val="BodyText"/>
        <w:spacing w:line="240" w:lineRule="auto" w:before="76"/>
        <w:ind w:right="94"/>
        <w:jc w:val="left"/>
      </w:pPr>
      <w:r>
        <w:rPr/>
        <w:t>（三）评价管理层选用会计政策的恰当性和作出会计估计及相关披露的合理性。</w:t>
      </w:r>
    </w:p>
    <w:p>
      <w:pPr>
        <w:pStyle w:val="BodyText"/>
        <w:spacing w:line="316" w:lineRule="auto" w:before="76"/>
        <w:ind w:right="192"/>
        <w:jc w:val="both"/>
      </w:pPr>
      <w:r>
        <w:rPr>
          <w:spacing w:val="-2"/>
        </w:rPr>
        <w:t>（四）对管理层使用持续经营假设的恰当性得出结论。同时，根据获取的审计证据，就可能导致对精准信息公司持续经营能</w:t>
      </w:r>
      <w:r>
        <w:rPr>
          <w:spacing w:val="-66"/>
        </w:rPr>
        <w:t> </w:t>
      </w:r>
      <w:r>
        <w:rPr>
          <w:spacing w:val="-66"/>
        </w:rPr>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5"/>
        </w:rPr>
        <w:t> </w:t>
      </w:r>
      <w:r>
        <w:rPr>
          <w:spacing w:val="-65"/>
        </w:rPr>
      </w:r>
      <w:r>
        <w:rPr/>
        <w:t>于截至审计报告日可获得的信息。然而，未来的事项或情况可能导致精准信息公司不能持续经营。</w:t>
      </w:r>
    </w:p>
    <w:p>
      <w:pPr>
        <w:pStyle w:val="BodyText"/>
        <w:spacing w:line="240" w:lineRule="auto" w:before="19"/>
        <w:ind w:right="94"/>
        <w:jc w:val="left"/>
      </w:pPr>
      <w:r>
        <w:rPr/>
        <w:t>（五）评价财务报表的总体列报、结构和内容（包括披露</w:t>
      </w:r>
      <w:r>
        <w:rPr>
          <w:spacing w:val="-89"/>
        </w:rPr>
        <w:t>）</w:t>
      </w:r>
      <w:r>
        <w:rPr/>
        <w:t>，并评价财务报表是否公允反映相关交易和事项。</w:t>
      </w:r>
    </w:p>
    <w:p>
      <w:pPr>
        <w:pStyle w:val="BodyText"/>
        <w:spacing w:line="316" w:lineRule="auto" w:before="76"/>
        <w:ind w:right="94"/>
        <w:jc w:val="left"/>
      </w:pPr>
      <w:r>
        <w:rPr/>
        <w:t>（六）就精准信息公司中实体或业务活动的财务信息获取充分、适当的审计证据，以对财务报表发表意见。我们负责指导、 监督和执行集团审计。我们对审计意见承担全部责任。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我们还就已遵守与独立性相关的职业道德要求向治理层提供声明，并与治理层沟通可能被合理认为影响我们独立性的所有关</w:t>
      </w:r>
      <w:r>
        <w:rPr>
          <w:spacing w:val="-64"/>
        </w:rPr>
        <w:t> </w:t>
      </w:r>
      <w:r>
        <w:rPr>
          <w:spacing w:val="-64"/>
        </w:rPr>
      </w:r>
      <w:r>
        <w:rPr>
          <w:spacing w:val="-5"/>
        </w:rPr>
        <w:t>系和其他事项，以及相关的防范措施（如适用）。</w:t>
      </w:r>
      <w:r>
        <w:rPr>
          <w:spacing w:val="-69"/>
        </w:rPr>
        <w:t> </w:t>
      </w:r>
      <w:r>
        <w:rPr>
          <w:spacing w:val="-69"/>
        </w:rPr>
      </w:r>
      <w:r>
        <w:rPr>
          <w:spacing w:val="-2"/>
        </w:rPr>
        <w:t>从与治理层沟通过的事项中，我们确定哪些事项对本期财务报表审计最为重要，因而构成关键审计事项。我们在审计报告中</w:t>
      </w:r>
      <w:r>
        <w:rPr>
          <w:spacing w:val="-65"/>
        </w:rPr>
        <w:t> </w:t>
      </w:r>
      <w:r>
        <w:rPr>
          <w:spacing w:val="-65"/>
        </w:rPr>
      </w:r>
      <w:r>
        <w:rPr>
          <w:spacing w:val="-2"/>
        </w:rPr>
        <w:t>描述这些事项，除非法律法规禁止公开披露这些事项，或在极少数情形下，如果合理预期在审计报告中沟通某事项造成的负</w:t>
      </w:r>
      <w:r>
        <w:rPr>
          <w:spacing w:val="-65"/>
        </w:rPr>
        <w:t> </w:t>
      </w:r>
      <w:r>
        <w:rPr>
          <w:spacing w:val="-65"/>
        </w:rPr>
      </w:r>
      <w:r>
        <w:rPr/>
        <w:t>面后果超过在公众利益方面产生的益处，我们确定不应在审计报告中沟通该事项。</w:t>
      </w:r>
    </w:p>
    <w:p>
      <w:pPr>
        <w:spacing w:line="240" w:lineRule="auto" w:before="9"/>
        <w:rPr>
          <w:rFonts w:ascii="宋体" w:hAnsi="宋体" w:cs="宋体" w:eastAsia="宋体" w:hint="default"/>
          <w:sz w:val="20"/>
          <w:szCs w:val="20"/>
        </w:rPr>
      </w:pPr>
    </w:p>
    <w:p>
      <w:pPr>
        <w:spacing w:before="0"/>
        <w:ind w:left="112" w:right="157"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sz w:val="24"/>
          <w:szCs w:val="24"/>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财务附注中报表的单位为：人民币元</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3" w:top="1100" w:bottom="1200" w:left="1020" w:right="1020"/>
        </w:sectPr>
      </w:pPr>
    </w:p>
    <w:p>
      <w:pPr>
        <w:pStyle w:val="BodyText"/>
        <w:spacing w:line="240" w:lineRule="auto" w:before="44"/>
        <w:ind w:right="-20"/>
        <w:jc w:val="left"/>
      </w:pPr>
      <w:r>
        <w:rPr/>
        <w:t>编制单位：尤洛卡精准信息工程股份有限公司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280" w:left="1020" w:right="1020"/>
          <w:cols w:num="3" w:equalWidth="0">
            <w:col w:w="3713" w:space="364"/>
            <w:col w:w="1599" w:space="3242"/>
            <w:col w:w="952"/>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294,332,671.36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364,155,484.02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122,541,114.44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122,128,343.43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326,973,205.98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244,402,498.04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20,852,616.29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29,564,214.20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467,863.15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370,891.48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37,050,381.61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24,339,989.31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95,520,185.27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80,180,058.62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114,353,858.12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31,062,913.52</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1,012,091,896.22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896,204,392.62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2,732,653.12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792,252.92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206,619,677.99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214,675,397.80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84,839,447.80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90,932,801.89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4,946,810.14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569,212,432.09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569,212,432.09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1,795,943.26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1,854,302.61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13,538,641.77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14,975,028.31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656,426.99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910,595,223.02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928,589,025.76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1,922,687,119.24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1,824,793,418.38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1,239,983.17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22,799,439.45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78,598,823.70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41,060,595.82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9,866,200.34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3,324,403.70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8,982,856.39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4,767,143.58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39,324,548.90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14,602,089.13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7,091.10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13,884.24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7,557,948.53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19,740,935.31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150,577,452.13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116,308,491.23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2,472,624.98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3,410,756.84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2,472,624.98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3,410,756.84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153,050,077.11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119,719,248.07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669,279,255.00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660,399,255.00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776,605,679.86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749,147,939.18</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43,917,887.13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38,401,723.15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237,637,699.83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207,544,563.73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1,727,440,521.82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1,655,493,481.06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42,196,520.31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49,580,689.25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1,769,637,042.13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1,705,074,170.31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1,922,687,119.24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1,824,793,418.38</w:t>
            </w:r>
          </w:p>
        </w:tc>
      </w:tr>
    </w:tbl>
    <w:p>
      <w:pPr>
        <w:spacing w:line="240" w:lineRule="auto" w:before="1"/>
        <w:rPr>
          <w:rFonts w:ascii="Times New Roman" w:hAnsi="Times New Roman" w:cs="Times New Roman" w:eastAsia="Times New Roman" w:hint="default"/>
          <w:sz w:val="23"/>
          <w:szCs w:val="23"/>
        </w:rPr>
      </w:pPr>
    </w:p>
    <w:p>
      <w:pPr>
        <w:pStyle w:val="BodyText"/>
        <w:tabs>
          <w:tab w:pos="3511" w:val="left" w:leader="none"/>
          <w:tab w:pos="7739" w:val="left" w:leader="none"/>
        </w:tabs>
        <w:spacing w:line="240" w:lineRule="auto" w:before="44"/>
        <w:ind w:left="0" w:right="211"/>
        <w:jc w:val="right"/>
      </w:pPr>
      <w:r>
        <w:rPr/>
        <w:t>法定代表人：黄自伟</w:t>
        <w:tab/>
        <w:t>主管会计工作负责人：崔保航</w:t>
        <w:tab/>
        <w:t>会计机构负责人：郑杰</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150,149,658.65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231,569,267.97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24,150,588.44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15,905,943.43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94,625,697.64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101,778,055.47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4,885,782.18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2,175,223.22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1,427,988.91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247,501.00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39,551,521.37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13,312,726.32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47,486,532.27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46,336,645.88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110,642,997.95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5,142,997.95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472,920,767.41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416,468,361.24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31,200,000.00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905,520,730.77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905,500,832.92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188,510,113.64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193,940,945.24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66,821,996.97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67,190,557.76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4,946,810.14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482,832.26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491,180.94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8,947,838.15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11,687,033.24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656,426.99</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1,202,139,938.78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1,214,957,360.24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1,675,060,706.19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1,631,425,721.48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1,239,983.17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1,799,439.45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47,153,980.64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36,213,109.85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10,884,265.63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3,277,331.00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2,444,180.53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1,324,167.06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3,371,800.92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1,112,969.51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1,877,268.37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9,871,573.27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66,971,479.26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53,598,590.14</w:t>
            </w:r>
          </w:p>
        </w:tc>
      </w:tr>
      <w:tr>
        <w:trPr>
          <w:trHeight w:val="40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66,971,479.26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53,598,590.14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669,279,255.00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660,399,255.00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776,657,068.11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749,199,327.43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43,917,887.13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38,401,723.15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118,235,016.69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129,826,825.76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1,608,089,226.93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1,577,827,131.34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1,675,060,706.19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1,631,425,721.48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53"/>
              <w:jc w:val="right"/>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422,911,717.94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230,358,279.45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6"/>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422,911,717.94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230,358,279.45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46"/>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46"/>
              <w:jc w:val="righ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319,196,321.46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184,306,697.24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200,285,891.59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107,277,515.09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9,173,116.36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4,541,977.56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29,881,768.15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27,370,797.55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77,947,892.50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58,631,507.74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-6,354,729.52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-5,369,591.01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8,262,382.38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-8,145,509.69</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60"/>
              <w:jc w:val="left"/>
              <w:rPr>
                <w:rFonts w:ascii="宋体" w:hAnsi="宋体" w:cs="宋体" w:eastAsia="宋体" w:hint="default"/>
                <w:sz w:val="18"/>
                <w:szCs w:val="18"/>
              </w:rPr>
            </w:pPr>
            <w:r>
              <w:rPr>
                <w:rFonts w:ascii="宋体" w:hAnsi="宋体" w:cs="宋体" w:eastAsia="宋体" w:hint="default"/>
                <w:spacing w:val="-2"/>
                <w:sz w:val="18"/>
                <w:szCs w:val="18"/>
              </w:rPr>
              <w:t>加：公允价值变动收益（损失以</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投资收益（损失以“－”号</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3,553,250.06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12,256.76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720"/>
              <w:jc w:val="left"/>
              <w:rPr>
                <w:rFonts w:ascii="宋体" w:hAnsi="宋体" w:cs="宋体" w:eastAsia="宋体" w:hint="default"/>
                <w:sz w:val="18"/>
                <w:szCs w:val="18"/>
              </w:rPr>
            </w:pPr>
            <w:r>
              <w:rPr>
                <w:rFonts w:ascii="宋体" w:hAnsi="宋体" w:cs="宋体" w:eastAsia="宋体" w:hint="default"/>
                <w:spacing w:val="-2"/>
                <w:sz w:val="18"/>
                <w:szCs w:val="18"/>
              </w:rPr>
              <w:t>其中：对联营企业和合营企</w:t>
            </w:r>
            <w:r>
              <w:rPr>
                <w:rFonts w:ascii="宋体" w:hAnsi="宋体" w:cs="宋体" w:eastAsia="宋体" w:hint="default"/>
                <w:sz w:val="18"/>
                <w:szCs w:val="18"/>
              </w:rPr>
              <w:t> 业的投资收益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-59,599.80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12,252.92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pacing w:val="-6"/>
                <w:sz w:val="18"/>
                <w:szCs w:val="18"/>
              </w:rPr>
              <w:t>汇兑收益（损失以“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 w:firstLine="72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 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-235,771.42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259,416.43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19,328,467.36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126,361,342.48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46,323,255.40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1,755,166.91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9,264,792.71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2,072,796.21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3,629,786.06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jc w:val="left"/>
              <w:rPr>
                <w:rFonts w:ascii="宋体" w:hAnsi="宋体" w:cs="宋体" w:eastAsia="宋体" w:hint="default"/>
                <w:sz w:val="18"/>
                <w:szCs w:val="18"/>
              </w:rPr>
            </w:pPr>
            <w:r>
              <w:rPr>
                <w:rFonts w:ascii="宋体" w:hAnsi="宋体" w:cs="宋体" w:eastAsia="宋体" w:hint="default"/>
                <w:spacing w:val="-1"/>
                <w:sz w:val="18"/>
                <w:szCs w:val="18"/>
              </w:rPr>
              <w:t>四、利润总额（亏损总额以“－”号</w:t>
            </w:r>
            <w:r>
              <w:rPr>
                <w:rFonts w:ascii="宋体" w:hAnsi="宋体" w:cs="宋体" w:eastAsia="宋体" w:hint="default"/>
                <w:sz w:val="18"/>
                <w:szCs w:val="18"/>
              </w:rPr>
              <w:t> 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126,043,713.18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51,958,262.05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17,746,807.73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4,223,748.07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7"/>
                <w:sz w:val="18"/>
                <w:szCs w:val="18"/>
              </w:rPr>
              <w:t>五、净利润（净亏损以“－”号填列）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108,296,905.45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47,734,513.98</w:t>
            </w:r>
          </w:p>
        </w:tc>
      </w:tr>
      <w:tr>
        <w:trPr>
          <w:trHeight w:val="71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5"/>
              <w:jc w:val="left"/>
              <w:rPr>
                <w:rFonts w:ascii="宋体" w:hAnsi="宋体" w:cs="宋体" w:eastAsia="宋体" w:hint="default"/>
                <w:sz w:val="18"/>
                <w:szCs w:val="18"/>
              </w:rPr>
            </w:pPr>
            <w:r>
              <w:rPr>
                <w:rFonts w:ascii="宋体" w:hAnsi="宋体" w:cs="宋体" w:eastAsia="宋体" w:hint="default"/>
                <w:spacing w:val="-1"/>
                <w:sz w:val="18"/>
                <w:szCs w:val="18"/>
              </w:rPr>
              <w:t>（一）持续经营净利润（净亏损</w:t>
            </w:r>
            <w:r>
              <w:rPr>
                <w:rFonts w:ascii="宋体" w:hAnsi="宋体" w:cs="宋体" w:eastAsia="宋体" w:hint="default"/>
                <w:sz w:val="18"/>
                <w:szCs w:val="18"/>
              </w:rPr>
              <w:t> 以“－”号填列）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108,296,905.45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47,734,513.98</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3080"/>
        <w:gridCol w:w="3210"/>
        <w:gridCol w:w="3277"/>
      </w:tblGrid>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55"/>
              <w:jc w:val="left"/>
              <w:rPr>
                <w:rFonts w:ascii="宋体" w:hAnsi="宋体" w:cs="宋体" w:eastAsia="宋体" w:hint="default"/>
                <w:sz w:val="18"/>
                <w:szCs w:val="18"/>
              </w:rPr>
            </w:pPr>
            <w:r>
              <w:rPr>
                <w:rFonts w:ascii="宋体" w:hAnsi="宋体" w:cs="宋体" w:eastAsia="宋体" w:hint="default"/>
                <w:spacing w:val="-1"/>
                <w:sz w:val="18"/>
                <w:szCs w:val="18"/>
              </w:rPr>
              <w:t>（二）终止经营净利润（净亏损</w:t>
            </w:r>
            <w:r>
              <w:rPr>
                <w:rFonts w:ascii="宋体" w:hAnsi="宋体" w:cs="宋体" w:eastAsia="宋体" w:hint="default"/>
                <w:sz w:val="18"/>
                <w:szCs w:val="18"/>
              </w:rPr>
              <w:t> 以“－”号填列）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101,644,074.39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29,911,896.05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6,652,831.06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17,822,617.93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 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firstLine="352"/>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 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52"/>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 益中享有的份额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108,296,905.45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47,734,513.98</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 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101,644,074.39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29,911,896.05</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6,652,831.06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17,822,617.93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0.1539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0.0453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0.1539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0.0453</w:t>
            </w:r>
          </w:p>
        </w:tc>
      </w:tr>
    </w:tbl>
    <w:p>
      <w:pPr>
        <w:pStyle w:val="BodyText"/>
        <w:spacing w:line="240" w:lineRule="auto" w:before="50"/>
        <w:ind w:right="357"/>
        <w:jc w:val="left"/>
      </w:pPr>
      <w:r>
        <w:rPr/>
        <w:t>本期发生同一控制下企业合并的，被合并方在合并前实现的净利润为：元，上期被合并方实现的净利润为：元。</w:t>
      </w:r>
    </w:p>
    <w:p>
      <w:pPr>
        <w:spacing w:after="0" w:line="240" w:lineRule="auto"/>
        <w:jc w:val="left"/>
        <w:sectPr>
          <w:footerReference w:type="default" r:id="rId30"/>
          <w:pgSz w:w="11910" w:h="16840"/>
          <w:pgMar w:footer="1013" w:header="907" w:top="1100" w:bottom="1200" w:left="1020" w:right="1080"/>
          <w:pgNumType w:start="89"/>
        </w:sectPr>
      </w:pPr>
    </w:p>
    <w:p>
      <w:pPr>
        <w:spacing w:line="240" w:lineRule="auto" w:before="13"/>
        <w:rPr>
          <w:rFonts w:ascii="宋体" w:hAnsi="宋体" w:cs="宋体" w:eastAsia="宋体" w:hint="default"/>
          <w:sz w:val="22"/>
          <w:szCs w:val="22"/>
        </w:rPr>
      </w:pPr>
    </w:p>
    <w:p>
      <w:pPr>
        <w:pStyle w:val="BodyText"/>
        <w:tabs>
          <w:tab w:pos="3511" w:val="left" w:leader="none"/>
          <w:tab w:pos="7739" w:val="left" w:leader="none"/>
        </w:tabs>
        <w:spacing w:line="240" w:lineRule="auto" w:before="44"/>
        <w:ind w:left="0" w:right="211"/>
        <w:jc w:val="right"/>
      </w:pPr>
      <w:r>
        <w:rPr/>
        <w:t>法定代表人：黄自伟</w:t>
        <w:tab/>
        <w:t>主管会计工作负责人：崔保航</w:t>
        <w:tab/>
        <w:t>会计机构负责人：郑杰</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119,449,919.10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73,380,642.84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58,623,206.21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51,006,038.35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5,930,904.08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3,253,893.04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14,602,986.52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21,296,187.49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30,828,219.24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33,653,199.99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-4,178,539.32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-4,764,272.73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-361,680.02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2,925,600.72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 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720"/>
              <w:jc w:val="left"/>
              <w:rPr>
                <w:rFonts w:ascii="宋体" w:hAnsi="宋体" w:cs="宋体" w:eastAsia="宋体" w:hint="default"/>
                <w:sz w:val="18"/>
                <w:szCs w:val="18"/>
              </w:rPr>
            </w:pPr>
            <w:r>
              <w:rPr>
                <w:rFonts w:ascii="宋体" w:hAnsi="宋体" w:cs="宋体" w:eastAsia="宋体" w:hint="default"/>
                <w:sz w:val="18"/>
                <w:szCs w:val="18"/>
              </w:rPr>
              <w:t>投资收益（损失以“－”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49,574,683.60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56,012,252.92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19,897.85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12,252.92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1" w:firstLine="720"/>
              <w:jc w:val="left"/>
              <w:rPr>
                <w:rFonts w:ascii="宋体" w:hAnsi="宋体" w:cs="宋体" w:eastAsia="宋体" w:hint="default"/>
                <w:sz w:val="18"/>
                <w:szCs w:val="18"/>
              </w:rPr>
            </w:pPr>
            <w:r>
              <w:rPr>
                <w:rFonts w:ascii="宋体" w:hAnsi="宋体" w:cs="宋体" w:eastAsia="宋体" w:hint="default"/>
                <w:spacing w:val="-8"/>
                <w:sz w:val="18"/>
                <w:szCs w:val="18"/>
              </w:rPr>
              <w:t>资产处置收益（损失以“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-244,164.69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193,890.62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二、营业利润（亏损以“－”号填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63,335,341.30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22,216,139.52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1,409,330.61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190,711.59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2,046,347.60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2,681,522.77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jc w:val="left"/>
              <w:rPr>
                <w:rFonts w:ascii="宋体" w:hAnsi="宋体" w:cs="宋体" w:eastAsia="宋体" w:hint="default"/>
                <w:sz w:val="18"/>
                <w:szCs w:val="18"/>
              </w:rPr>
            </w:pPr>
            <w:r>
              <w:rPr>
                <w:rFonts w:ascii="宋体" w:hAnsi="宋体" w:cs="宋体" w:eastAsia="宋体" w:hint="default"/>
                <w:sz w:val="18"/>
                <w:szCs w:val="18"/>
              </w:rPr>
              <w:t>三、利润总额（亏损总额以“－” 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62,698,324.31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19,725,328.34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2,739,195.09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-4,973,928.42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jc w:val="left"/>
              <w:rPr>
                <w:rFonts w:ascii="宋体" w:hAnsi="宋体" w:cs="宋体" w:eastAsia="宋体" w:hint="default"/>
                <w:sz w:val="18"/>
                <w:szCs w:val="18"/>
              </w:rPr>
            </w:pPr>
            <w:r>
              <w:rPr>
                <w:rFonts w:ascii="宋体" w:hAnsi="宋体" w:cs="宋体" w:eastAsia="宋体" w:hint="default"/>
                <w:sz w:val="18"/>
                <w:szCs w:val="18"/>
              </w:rPr>
              <w:t>四、净利润（净亏损以“－”号填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59,959,129.22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24,699,256.76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59,959,129.22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24,699,256.76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 损以“－”号填列）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3"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 的其他综合收益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1"/>
          <w:pgSz w:w="11910" w:h="16840"/>
          <w:pgMar w:footer="1013" w:header="907" w:top="1100" w:bottom="1200" w:left="1020" w:right="1020"/>
          <w:pgNumType w:start="9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7"/>
        <w:gridCol w:w="3300"/>
        <w:gridCol w:w="3301"/>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 划净负债或净资产的变动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 位不能重分类进损益的其他综合收 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 位以后将重分类进损益的其他综合 收益中享有的份额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 允价值变动损益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 类为可供出售金融资产损益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有效部分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5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59,959,129.22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24,699,256.76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20"/>
                <w:szCs w:val="20"/>
              </w:rPr>
            </w:pPr>
            <w:r>
              <w:rPr>
                <w:rFonts w:ascii="宋体"/>
                <w:w w:val="95"/>
                <w:sz w:val="20"/>
              </w:rPr>
              <w:t>0.0908</w:t>
            </w:r>
            <w:r>
              <w:rPr>
                <w:rFonts w:ascii="宋体"/>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0"/>
              <w:jc w:val="right"/>
              <w:rPr>
                <w:rFonts w:ascii="宋体" w:hAnsi="宋体" w:cs="宋体" w:eastAsia="宋体" w:hint="default"/>
                <w:sz w:val="20"/>
                <w:szCs w:val="20"/>
              </w:rPr>
            </w:pPr>
            <w:r>
              <w:rPr>
                <w:rFonts w:ascii="宋体"/>
                <w:w w:val="95"/>
                <w:sz w:val="20"/>
              </w:rPr>
              <w:t>0.0374</w:t>
            </w:r>
            <w:r>
              <w:rPr>
                <w:rFonts w:ascii="宋体"/>
                <w:sz w:val="20"/>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8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宋体" w:hAnsi="宋体" w:cs="宋体" w:eastAsia="宋体" w:hint="default"/>
                <w:sz w:val="20"/>
                <w:szCs w:val="20"/>
              </w:rPr>
            </w:pPr>
            <w:r>
              <w:rPr>
                <w:rFonts w:ascii="宋体"/>
                <w:w w:val="95"/>
                <w:sz w:val="20"/>
              </w:rPr>
              <w:t>0.0908</w:t>
            </w:r>
            <w:r>
              <w:rPr>
                <w:rFonts w:ascii="宋体"/>
                <w:sz w:val="20"/>
              </w:rPr>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0"/>
              <w:jc w:val="right"/>
              <w:rPr>
                <w:rFonts w:ascii="宋体" w:hAnsi="宋体" w:cs="宋体" w:eastAsia="宋体" w:hint="default"/>
                <w:sz w:val="20"/>
                <w:szCs w:val="20"/>
              </w:rPr>
            </w:pPr>
            <w:r>
              <w:rPr>
                <w:rFonts w:ascii="宋体"/>
                <w:w w:val="95"/>
                <w:sz w:val="20"/>
              </w:rPr>
              <w:t>0.0374</w:t>
            </w:r>
            <w:r>
              <w:rPr>
                <w:rFonts w:ascii="宋体"/>
                <w:sz w:val="20"/>
              </w:rPr>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63" w:right="0"/>
              <w:jc w:val="left"/>
              <w:rPr>
                <w:rFonts w:ascii="Times New Roman" w:hAnsi="Times New Roman" w:cs="Times New Roman" w:eastAsia="Times New Roman" w:hint="default"/>
                <w:sz w:val="18"/>
                <w:szCs w:val="18"/>
              </w:rPr>
            </w:pPr>
            <w:r>
              <w:rPr>
                <w:rFonts w:ascii="Times New Roman"/>
                <w:sz w:val="18"/>
              </w:rPr>
              <w:t>360,324,880.67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062" w:right="0"/>
              <w:jc w:val="left"/>
              <w:rPr>
                <w:rFonts w:ascii="Times New Roman" w:hAnsi="Times New Roman" w:cs="Times New Roman" w:eastAsia="Times New Roman" w:hint="default"/>
                <w:sz w:val="18"/>
                <w:szCs w:val="18"/>
              </w:rPr>
            </w:pPr>
            <w:r>
              <w:rPr>
                <w:rFonts w:ascii="Times New Roman"/>
                <w:sz w:val="18"/>
              </w:rPr>
              <w:t>206,798,060.25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客户存款和同业存放款项净增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向其他金融机构拆入资金净增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 计入当期损益的金融资产净增加额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7,593,096.80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30,074,015.19</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22,250,486.29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52,999,846.93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390,168,463.76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289,871,922.37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157,375,554.27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83,021,472.14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存放中央银行和同业款项净增 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45,994,823.13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28,830,797.94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50,581,277.99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33,055,574.51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66,365,603.33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46,655,476.36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320,317,258.72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191,563,320.95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69,851,205.04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98,308,601.42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390,600,000.00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3,612,849.86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487,017.91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621,330.00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11,080,466.82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771,065.76</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405,780,334.59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1,442,399.60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9,620,300.80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13,057,139.10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485,200,000.00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44,930,000.00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71,857,037.00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494,820,300.80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129,844,176.10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-89,039,966.21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-128,401,776.50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35,786,400.01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179,999,992.02</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 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21,751,059.00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9,005,272.04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62,537,459.01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199,005,264.06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77,728,451.50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21,489,969.60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 的股利、利润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11,229,600.00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30,551,059.00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87,728,451.50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52,041,028.60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-25,190,992.49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146,964,235.46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-44,379,753.66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116,871,060.38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336,001,925.02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219,130,864.64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291,622,171.36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336,001,925.02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9"/>
        <w:rPr>
          <w:rFonts w:ascii="Times New Roman" w:hAnsi="Times New Roman" w:cs="Times New Roman" w:eastAsia="Times New Roman" w:hint="default"/>
          <w:sz w:val="24"/>
          <w:szCs w:val="24"/>
        </w:rPr>
      </w:pPr>
    </w:p>
    <w:p>
      <w:pPr>
        <w:pStyle w:val="Heading4"/>
        <w:spacing w:line="240" w:lineRule="auto" w:before="34"/>
        <w:ind w:right="157"/>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115,401,119.17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103,957,920.20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22,608,446.94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37,464,860.00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138,009,566.11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141,422,780.20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24,485,144.51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69,383,822.57</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支付给职工以及为职工支付的 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17,818,717.58</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15,166,057.87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14,600,682.67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9,064,955.74</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63,508,038.14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62,804,339.40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120,412,582.90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156,419,175.58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17,596,983.21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-14,996,395.38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377,700,000.00</w:t>
            </w: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49,554,785.75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 他长期资产收回的现金净额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520,717.91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511,230.00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 w:right="152"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 到的现金净额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427,775,503.66</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56,511,230.00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 他长期资产支付的现金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7,560,570.70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11,840,515.70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483,200,000.00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136,980,000.00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 付的现金净额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966"/>
        <w:gridCol w:w="3301"/>
        <w:gridCol w:w="3301"/>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490,760,570.70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148,820,515.70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-62,985,067.04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-92,309,285.70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35,786,400.01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179,999,992.02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751,059.00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9,005,272.04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36,537,459.01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189,005,264.06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 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66,039,925.50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21,459,519.60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9,551,059.00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66,039,925.50</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31,010,578.60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-29,502,466.49</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157,994,685.46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 的影响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-74,890,550.32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50,689,004.38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225,040,208.97</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174,351,204.59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150,149,658.65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225,040,208.97</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08"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2" w:right="144"/>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5" w:right="184"/>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5"/>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7" w:right="14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8" w:right="145"/>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168"/>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0" w:right="169"/>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69" w:right="169"/>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44,56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0,689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0"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4"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44,56</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3.73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0,689</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4"/>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6"/>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30,09</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3,136</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 w:right="0"/>
              <w:jc w:val="center"/>
              <w:rPr>
                <w:rFonts w:ascii="Times New Roman" w:hAnsi="Times New Roman" w:cs="Times New Roman" w:eastAsia="Times New Roman" w:hint="default"/>
                <w:sz w:val="18"/>
                <w:szCs w:val="18"/>
              </w:rPr>
            </w:pPr>
            <w:r>
              <w:rPr>
                <w:rFonts w:ascii="Times New Roman"/>
                <w:sz w:val="18"/>
              </w:rPr>
              <w:t>-7,38</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4,168</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64,56</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2,871</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.82</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101,6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44,07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4.39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7" w:right="0"/>
              <w:jc w:val="left"/>
              <w:rPr>
                <w:rFonts w:ascii="Times New Roman" w:hAnsi="Times New Roman" w:cs="Times New Roman" w:eastAsia="Times New Roman" w:hint="default"/>
                <w:sz w:val="18"/>
                <w:szCs w:val="18"/>
              </w:rPr>
            </w:pPr>
            <w:r>
              <w:rPr>
                <w:rFonts w:ascii="Times New Roman"/>
                <w:sz w:val="18"/>
              </w:rPr>
              <w:t>6,652</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,831.</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108,2</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96,90</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5.45</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0"/>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 w:right="0"/>
              <w:jc w:val="center"/>
              <w:rPr>
                <w:rFonts w:ascii="Times New Roman" w:hAnsi="Times New Roman" w:cs="Times New Roman" w:eastAsia="Times New Roman" w:hint="default"/>
                <w:sz w:val="18"/>
                <w:szCs w:val="18"/>
              </w:rPr>
            </w:pPr>
            <w:r>
              <w:rPr>
                <w:rFonts w:ascii="Times New Roman"/>
                <w:sz w:val="18"/>
              </w:rPr>
              <w:t>27,45</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center"/>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7,740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5"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35" w:right="0"/>
              <w:jc w:val="left"/>
              <w:rPr>
                <w:rFonts w:ascii="Times New Roman" w:hAnsi="Times New Roman" w:cs="Times New Roman" w:eastAsia="Times New Roman" w:hint="default"/>
                <w:sz w:val="18"/>
                <w:szCs w:val="18"/>
              </w:rPr>
            </w:pPr>
            <w:r>
              <w:rPr>
                <w:rFonts w:ascii="Times New Roman"/>
                <w:sz w:val="18"/>
              </w:rPr>
              <w:t>0.00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center"/>
              <w:rPr>
                <w:rFonts w:ascii="Times New Roman" w:hAnsi="Times New Roman" w:cs="Times New Roman" w:eastAsia="Times New Roman" w:hint="default"/>
                <w:sz w:val="18"/>
                <w:szCs w:val="18"/>
              </w:rPr>
            </w:pPr>
            <w:r>
              <w:rPr>
                <w:rFonts w:ascii="Times New Roman"/>
                <w:sz w:val="18"/>
              </w:rPr>
              <w:t>26,88</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center"/>
              <w:rPr>
                <w:rFonts w:ascii="Times New Roman" w:hAnsi="Times New Roman" w:cs="Times New Roman" w:eastAsia="Times New Roman" w:hint="default"/>
                <w:sz w:val="18"/>
                <w:szCs w:val="18"/>
              </w:rPr>
            </w:pPr>
            <w:r>
              <w:rPr>
                <w:rFonts w:ascii="Times New Roman"/>
                <w:sz w:val="18"/>
              </w:rPr>
              <w:t>35,76</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.68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572,1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572,1</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5"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8.29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9" w:right="0"/>
              <w:jc w:val="left"/>
              <w:rPr>
                <w:rFonts w:ascii="Times New Roman" w:hAnsi="Times New Roman" w:cs="Times New Roman" w:eastAsia="Times New Roman" w:hint="default"/>
                <w:sz w:val="18"/>
                <w:szCs w:val="18"/>
              </w:rPr>
            </w:pPr>
            <w:r>
              <w:rPr>
                <w:rFonts w:ascii="Times New Roman"/>
                <w:sz w:val="18"/>
              </w:rPr>
              <w:t>-14,0</w:t>
            </w:r>
          </w:p>
          <w:p>
            <w:pPr>
              <w:pStyle w:val="TableParagraph"/>
              <w:spacing w:line="240" w:lineRule="auto" w:before="105"/>
              <w:ind w:left="147" w:right="0"/>
              <w:jc w:val="lef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71,77</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4.31</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5" w:right="0"/>
              <w:jc w:val="left"/>
              <w:rPr>
                <w:rFonts w:ascii="Times New Roman" w:hAnsi="Times New Roman" w:cs="Times New Roman" w:eastAsia="Times New Roman" w:hint="default"/>
                <w:sz w:val="18"/>
                <w:szCs w:val="18"/>
              </w:rPr>
            </w:pPr>
            <w:r>
              <w:rPr>
                <w:rFonts w:ascii="Times New Roman"/>
                <w:sz w:val="18"/>
              </w:rPr>
              <w:t>5,516</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,163.</w:t>
            </w:r>
          </w:p>
          <w:p>
            <w:pPr>
              <w:pStyle w:val="TableParagraph"/>
              <w:spacing w:line="240" w:lineRule="auto" w:before="105"/>
              <w:ind w:left="268"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center"/>
              <w:rPr>
                <w:rFonts w:ascii="Times New Roman" w:hAnsi="Times New Roman" w:cs="Times New Roman" w:eastAsia="Times New Roman" w:hint="default"/>
                <w:sz w:val="18"/>
                <w:szCs w:val="18"/>
              </w:rPr>
            </w:pPr>
            <w:r>
              <w:rPr>
                <w:rFonts w:ascii="Times New Roman"/>
                <w:sz w:val="18"/>
              </w:rPr>
              <w:t>-5,51</w:t>
            </w:r>
          </w:p>
          <w:p>
            <w:pPr>
              <w:pStyle w:val="TableParagraph"/>
              <w:spacing w:line="240" w:lineRule="auto" w:before="105"/>
              <w:ind w:left="45" w:right="0"/>
              <w:jc w:val="center"/>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.98</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1"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3</w:t>
            </w:r>
            <w:r>
              <w:rPr>
                <w:rFonts w:ascii="宋体" w:hAnsi="宋体" w:cs="宋体" w:eastAsia="宋体" w:hint="default"/>
                <w:spacing w:val="-16"/>
                <w:sz w:val="18"/>
                <w:szCs w:val="18"/>
              </w:rPr>
              <w:t>．对所有者（或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6" w:right="0"/>
              <w:jc w:val="left"/>
              <w:rPr>
                <w:rFonts w:ascii="Times New Roman" w:hAnsi="Times New Roman" w:cs="Times New Roman" w:eastAsia="Times New Roman" w:hint="default"/>
                <w:sz w:val="18"/>
                <w:szCs w:val="18"/>
              </w:rPr>
            </w:pPr>
            <w:r>
              <w:rPr>
                <w:rFonts w:ascii="Times New Roman"/>
                <w:sz w:val="18"/>
              </w:rPr>
              <w:t>-66,0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9" w:right="0"/>
              <w:jc w:val="left"/>
              <w:rPr>
                <w:rFonts w:ascii="Times New Roman" w:hAnsi="Times New Roman" w:cs="Times New Roman" w:eastAsia="Times New Roman" w:hint="default"/>
                <w:sz w:val="18"/>
                <w:szCs w:val="18"/>
              </w:rPr>
            </w:pPr>
            <w:r>
              <w:rPr>
                <w:rFonts w:ascii="Times New Roman"/>
                <w:sz w:val="18"/>
              </w:rPr>
              <w:t>-14,0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1" w:right="0"/>
              <w:jc w:val="left"/>
              <w:rPr>
                <w:rFonts w:ascii="Times New Roman" w:hAnsi="Times New Roman" w:cs="Times New Roman" w:eastAsia="Times New Roman" w:hint="default"/>
                <w:sz w:val="18"/>
                <w:szCs w:val="18"/>
              </w:rPr>
            </w:pPr>
            <w:r>
              <w:rPr>
                <w:rFonts w:ascii="Times New Roman"/>
                <w:sz w:val="18"/>
              </w:rPr>
              <w:t>-80,0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8"/>
        <w:gridCol w:w="562"/>
        <w:gridCol w:w="531"/>
        <w:gridCol w:w="531"/>
        <w:gridCol w:w="531"/>
        <w:gridCol w:w="664"/>
        <w:gridCol w:w="665"/>
        <w:gridCol w:w="665"/>
        <w:gridCol w:w="665"/>
        <w:gridCol w:w="664"/>
        <w:gridCol w:w="665"/>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34,77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4.31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7" w:right="0"/>
              <w:jc w:val="left"/>
              <w:rPr>
                <w:rFonts w:ascii="Times New Roman" w:hAnsi="Times New Roman" w:cs="Times New Roman" w:eastAsia="Times New Roman" w:hint="default"/>
                <w:sz w:val="18"/>
                <w:szCs w:val="18"/>
              </w:rPr>
            </w:pPr>
            <w:r>
              <w:rPr>
                <w:rFonts w:ascii="Times New Roman"/>
                <w:sz w:val="18"/>
              </w:rPr>
              <w:t>37,00</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0" w:right="0"/>
              <w:jc w:val="left"/>
              <w:rPr>
                <w:rFonts w:ascii="Times New Roman" w:hAnsi="Times New Roman" w:cs="Times New Roman" w:eastAsia="Times New Roman" w:hint="default"/>
                <w:sz w:val="18"/>
                <w:szCs w:val="18"/>
              </w:rPr>
            </w:pPr>
            <w:r>
              <w:rPr>
                <w:rFonts w:ascii="Times New Roman"/>
                <w:sz w:val="18"/>
              </w:rPr>
              <w:t>71,77</w:t>
            </w:r>
          </w:p>
          <w:p>
            <w:pPr>
              <w:pStyle w:val="TableParagraph"/>
              <w:spacing w:line="240" w:lineRule="auto" w:before="105"/>
              <w:ind w:left="231" w:right="0"/>
              <w:jc w:val="left"/>
              <w:rPr>
                <w:rFonts w:ascii="Times New Roman" w:hAnsi="Times New Roman" w:cs="Times New Roman" w:eastAsia="Times New Roman" w:hint="default"/>
                <w:sz w:val="18"/>
                <w:szCs w:val="18"/>
              </w:rPr>
            </w:pPr>
            <w:r>
              <w:rPr>
                <w:rFonts w:ascii="Times New Roman"/>
                <w:sz w:val="18"/>
              </w:rPr>
              <w:t>4.31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0"/>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669,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279,</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7"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776,6</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05,67</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43,91</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7,887</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237,6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37,69</w:t>
            </w:r>
          </w:p>
          <w:p>
            <w:pPr>
              <w:pStyle w:val="TableParagraph"/>
              <w:spacing w:line="240" w:lineRule="auto" w:before="105"/>
              <w:ind w:left="236" w:right="0"/>
              <w:jc w:val="left"/>
              <w:rPr>
                <w:rFonts w:ascii="Times New Roman" w:hAnsi="Times New Roman" w:cs="Times New Roman" w:eastAsia="Times New Roman" w:hint="default"/>
                <w:sz w:val="18"/>
                <w:szCs w:val="18"/>
              </w:rPr>
            </w:pPr>
            <w:r>
              <w:rPr>
                <w:rFonts w:ascii="Times New Roman"/>
                <w:sz w:val="18"/>
              </w:rPr>
              <w:t>9.83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42,19</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6,520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1,769</w:t>
            </w:r>
          </w:p>
          <w:p>
            <w:pPr>
              <w:pStyle w:val="TableParagraph"/>
              <w:spacing w:line="240" w:lineRule="auto" w:before="105"/>
              <w:ind w:left="186" w:right="0"/>
              <w:jc w:val="left"/>
              <w:rPr>
                <w:rFonts w:ascii="Times New Roman" w:hAnsi="Times New Roman" w:cs="Times New Roman" w:eastAsia="Times New Roman" w:hint="default"/>
                <w:sz w:val="18"/>
                <w:szCs w:val="18"/>
              </w:rPr>
            </w:pPr>
            <w:r>
              <w:rPr>
                <w:rFonts w:ascii="Times New Roman"/>
                <w:sz w:val="18"/>
              </w:rPr>
              <w:t>,637,</w:t>
            </w:r>
          </w:p>
          <w:p>
            <w:pPr>
              <w:pStyle w:val="TableParagraph"/>
              <w:spacing w:line="240" w:lineRule="auto" w:before="105"/>
              <w:ind w:left="140" w:right="0"/>
              <w:jc w:val="left"/>
              <w:rPr>
                <w:rFonts w:ascii="Times New Roman" w:hAnsi="Times New Roman" w:cs="Times New Roman" w:eastAsia="Times New Roman" w:hint="default"/>
                <w:sz w:val="18"/>
                <w:szCs w:val="18"/>
              </w:rPr>
            </w:pPr>
            <w:r>
              <w:rPr>
                <w:rFonts w:ascii="Times New Roman"/>
                <w:sz w:val="18"/>
              </w:rPr>
              <w:t>042.1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157"/>
        <w:jc w:val="left"/>
      </w:pPr>
      <w:r>
        <w:rPr/>
        <w:t>上期金额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140" w:right="139"/>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86" w:right="183"/>
              <w:jc w:val="center"/>
              <w:rPr>
                <w:rFonts w:ascii="宋体" w:hAnsi="宋体" w:cs="宋体" w:eastAsia="宋体" w:hint="default"/>
                <w:sz w:val="18"/>
                <w:szCs w:val="18"/>
              </w:rPr>
            </w:pPr>
            <w:r>
              <w:rPr>
                <w:rFonts w:ascii="宋体" w:hAnsi="宋体" w:cs="宋体" w:eastAsia="宋体" w:hint="default"/>
                <w:sz w:val="18"/>
                <w:szCs w:val="18"/>
              </w:rPr>
              <w:t>股 本</w:t>
            </w:r>
          </w:p>
        </w:tc>
        <w:tc>
          <w:tcPr>
            <w:tcW w:w="15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5" w:right="146"/>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146"/>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146" w:right="146"/>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7" w:right="146"/>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152"/>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026"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9" w:right="170"/>
              <w:jc w:val="both"/>
              <w:rPr>
                <w:rFonts w:ascii="宋体" w:hAnsi="宋体" w:cs="宋体" w:eastAsia="宋体" w:hint="default"/>
                <w:sz w:val="18"/>
                <w:szCs w:val="18"/>
              </w:rPr>
            </w:pPr>
            <w:r>
              <w:rPr>
                <w:rFonts w:ascii="宋体" w:hAnsi="宋体" w:cs="宋体" w:eastAsia="宋体" w:hint="default"/>
                <w:sz w:val="18"/>
                <w:szCs w:val="18"/>
              </w:rPr>
              <w:t>优 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168"/>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70" w:right="168"/>
              <w:jc w:val="left"/>
              <w:rPr>
                <w:rFonts w:ascii="宋体" w:hAnsi="宋体" w:cs="宋体" w:eastAsia="宋体" w:hint="default"/>
                <w:sz w:val="18"/>
                <w:szCs w:val="18"/>
              </w:rPr>
            </w:pPr>
            <w:r>
              <w:rPr>
                <w:rFonts w:ascii="宋体" w:hAnsi="宋体" w:cs="宋体" w:eastAsia="宋体" w:hint="default"/>
                <w:sz w:val="18"/>
                <w:szCs w:val="18"/>
              </w:rPr>
              <w:t>其 他</w:t>
            </w: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376,8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92,61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31,75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8,071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860,6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88,19</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01" w:firstLine="360"/>
              <w:jc w:val="left"/>
              <w:rPr>
                <w:rFonts w:ascii="宋体" w:hAnsi="宋体" w:cs="宋体" w:eastAsia="宋体" w:hint="default"/>
                <w:sz w:val="18"/>
                <w:szCs w:val="18"/>
              </w:rPr>
            </w:pPr>
            <w:r>
              <w:rPr>
                <w:rFonts w:ascii="宋体" w:hAnsi="宋体" w:cs="宋体" w:eastAsia="宋体" w:hint="default"/>
                <w:spacing w:val="-8"/>
                <w:sz w:val="18"/>
                <w:szCs w:val="18"/>
              </w:rPr>
              <w:t>加：会计政</w:t>
            </w:r>
            <w:r>
              <w:rPr>
                <w:rFonts w:ascii="宋体" w:hAnsi="宋体" w:cs="宋体" w:eastAsia="宋体" w:hint="default"/>
                <w:sz w:val="18"/>
                <w:szCs w:val="18"/>
              </w:rPr>
              <w:t> 策变更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43"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3"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453.</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376,8</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36,33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0.03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199,0</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92,61</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2.98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31,75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8,071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860,6</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88,19</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0.48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63"/>
              <w:jc w:val="both"/>
              <w:rPr>
                <w:rFonts w:ascii="宋体" w:hAnsi="宋体" w:cs="宋体" w:eastAsia="宋体" w:hint="default"/>
                <w:sz w:val="18"/>
                <w:szCs w:val="18"/>
              </w:rPr>
            </w:pPr>
            <w:r>
              <w:rPr>
                <w:rFonts w:ascii="宋体" w:hAnsi="宋体" w:cs="宋体" w:eastAsia="宋体" w:hint="default"/>
                <w:spacing w:val="-6"/>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445,</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799,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802.</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372,3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11,60</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8,451,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950.7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17,82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2,617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844,3</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85,97</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9.83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6"/>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6" w:right="0"/>
              <w:jc w:val="left"/>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1,896.</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05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17,82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2,617</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47,73</w:t>
            </w:r>
          </w:p>
          <w:p>
            <w:pPr>
              <w:pStyle w:val="TableParagraph"/>
              <w:spacing w:line="240" w:lineRule="auto" w:before="105"/>
              <w:ind w:left="40" w:right="0"/>
              <w:jc w:val="center"/>
              <w:rPr>
                <w:rFonts w:ascii="Times New Roman" w:hAnsi="Times New Roman" w:cs="Times New Roman" w:eastAsia="Times New Roman" w:hint="default"/>
                <w:sz w:val="18"/>
                <w:szCs w:val="18"/>
              </w:rPr>
            </w:pPr>
            <w:r>
              <w:rPr>
                <w:rFonts w:ascii="Times New Roman"/>
                <w:sz w:val="18"/>
              </w:rPr>
              <w:t>4,513</w:t>
            </w:r>
          </w:p>
          <w:p>
            <w:pPr>
              <w:pStyle w:val="TableParagraph"/>
              <w:spacing w:line="240" w:lineRule="auto" w:before="105"/>
              <w:ind w:left="220" w:right="0"/>
              <w:jc w:val="center"/>
              <w:rPr>
                <w:rFonts w:ascii="Times New Roman" w:hAnsi="Times New Roman" w:cs="Times New Roman" w:eastAsia="Times New Roman" w:hint="default"/>
                <w:sz w:val="18"/>
                <w:szCs w:val="18"/>
              </w:rPr>
            </w:pPr>
            <w:r>
              <w:rPr>
                <w:rFonts w:ascii="Times New Roman"/>
                <w:sz w:val="18"/>
              </w:rPr>
              <w:t>.98</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1"/>
              <w:jc w:val="left"/>
              <w:rPr>
                <w:rFonts w:ascii="宋体" w:hAnsi="宋体" w:cs="宋体" w:eastAsia="宋体" w:hint="default"/>
                <w:sz w:val="18"/>
                <w:szCs w:val="18"/>
              </w:rPr>
            </w:pPr>
            <w:r>
              <w:rPr>
                <w:rFonts w:ascii="宋体" w:hAnsi="宋体" w:cs="宋体" w:eastAsia="宋体" w:hint="default"/>
                <w:spacing w:val="-6"/>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623.</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694,2</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1.15</w:t>
            </w: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5"/>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900,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623.</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694,2</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8.15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818,1</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11,41</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1.15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01" w:right="0"/>
              <w:jc w:val="left"/>
              <w:rPr>
                <w:rFonts w:ascii="宋体" w:hAnsi="宋体" w:cs="宋体" w:eastAsia="宋体" w:hint="default"/>
                <w:sz w:val="18"/>
                <w:szCs w:val="18"/>
              </w:rPr>
            </w:pPr>
            <w:r>
              <w:rPr>
                <w:rFonts w:ascii="宋体" w:hAnsi="宋体" w:cs="宋体" w:eastAsia="宋体" w:hint="default"/>
                <w:spacing w:val="-6"/>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0"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5.30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5.30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5.30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30" w:right="0"/>
              <w:jc w:val="left"/>
              <w:rPr>
                <w:rFonts w:ascii="Times New Roman" w:hAnsi="Times New Roman" w:cs="Times New Roman" w:eastAsia="Times New Roman" w:hint="default"/>
                <w:sz w:val="18"/>
                <w:szCs w:val="18"/>
              </w:rPr>
            </w:pPr>
            <w:r>
              <w:rPr>
                <w:rFonts w:ascii="Times New Roman"/>
                <w:sz w:val="18"/>
              </w:rPr>
              <w:t>5.30</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37"/>
        <w:gridCol w:w="562"/>
        <w:gridCol w:w="531"/>
        <w:gridCol w:w="531"/>
        <w:gridCol w:w="531"/>
        <w:gridCol w:w="664"/>
        <w:gridCol w:w="665"/>
        <w:gridCol w:w="665"/>
        <w:gridCol w:w="665"/>
        <w:gridCol w:w="664"/>
        <w:gridCol w:w="665"/>
        <w:gridCol w:w="678"/>
        <w:gridCol w:w="652"/>
        <w:gridCol w:w="659"/>
      </w:tblGrid>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 w:right="0"/>
              <w:jc w:val="center"/>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179.</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899,1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9" w:lineRule="auto"/>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179.</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899,1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79.00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6"/>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5"/>
              <w:ind w:left="101" w:right="101"/>
              <w:jc w:val="left"/>
              <w:rPr>
                <w:rFonts w:ascii="宋体" w:hAnsi="宋体" w:cs="宋体" w:eastAsia="宋体" w:hint="default"/>
                <w:sz w:val="18"/>
                <w:szCs w:val="18"/>
              </w:rPr>
            </w:pPr>
            <w:r>
              <w:rPr>
                <w:rFonts w:ascii="宋体" w:hAnsi="宋体" w:cs="宋体" w:eastAsia="宋体" w:hint="default"/>
                <w:spacing w:val="-6"/>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1" w:right="0"/>
              <w:jc w:val="center"/>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399,</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65" w:right="0"/>
              <w:jc w:val="center"/>
              <w:rPr>
                <w:rFonts w:ascii="Times New Roman" w:hAnsi="Times New Roman" w:cs="Times New Roman" w:eastAsia="Times New Roman" w:hint="default"/>
                <w:sz w:val="18"/>
                <w:szCs w:val="18"/>
              </w:rPr>
            </w:pPr>
            <w:r>
              <w:rPr>
                <w:rFonts w:ascii="Times New Roman"/>
                <w:sz w:val="18"/>
              </w:rPr>
              <w:t>00</w:t>
            </w: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749,1</w:t>
            </w:r>
          </w:p>
          <w:p>
            <w:pPr>
              <w:pStyle w:val="TableParagraph"/>
              <w:spacing w:line="240" w:lineRule="auto" w:before="105"/>
              <w:ind w:left="145" w:right="0"/>
              <w:jc w:val="left"/>
              <w:rPr>
                <w:rFonts w:ascii="Times New Roman" w:hAnsi="Times New Roman" w:cs="Times New Roman" w:eastAsia="Times New Roman" w:hint="default"/>
                <w:sz w:val="18"/>
                <w:szCs w:val="18"/>
              </w:rPr>
            </w:pPr>
            <w:r>
              <w:rPr>
                <w:rFonts w:ascii="Times New Roman"/>
                <w:sz w:val="18"/>
              </w:rPr>
              <w:t>47,93</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9.18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38,40</w:t>
            </w:r>
          </w:p>
          <w:p>
            <w:pPr>
              <w:pStyle w:val="TableParagraph"/>
              <w:spacing w:line="240" w:lineRule="auto" w:before="105"/>
              <w:ind w:left="44" w:right="0"/>
              <w:jc w:val="center"/>
              <w:rPr>
                <w:rFonts w:ascii="Times New Roman" w:hAnsi="Times New Roman" w:cs="Times New Roman" w:eastAsia="Times New Roman" w:hint="default"/>
                <w:sz w:val="18"/>
                <w:szCs w:val="18"/>
              </w:rPr>
            </w:pPr>
            <w:r>
              <w:rPr>
                <w:rFonts w:ascii="Times New Roman"/>
                <w:sz w:val="18"/>
              </w:rPr>
              <w:t>1,723</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207,5</w:t>
            </w:r>
          </w:p>
          <w:p>
            <w:pPr>
              <w:pStyle w:val="TableParagraph"/>
              <w:spacing w:line="240" w:lineRule="auto" w:before="105"/>
              <w:ind w:left="161" w:right="0"/>
              <w:jc w:val="left"/>
              <w:rPr>
                <w:rFonts w:ascii="Times New Roman" w:hAnsi="Times New Roman" w:cs="Times New Roman" w:eastAsia="Times New Roman" w:hint="default"/>
                <w:sz w:val="18"/>
                <w:szCs w:val="18"/>
              </w:rPr>
            </w:pPr>
            <w:r>
              <w:rPr>
                <w:rFonts w:ascii="Times New Roman"/>
                <w:sz w:val="18"/>
              </w:rPr>
              <w:t>44,56</w:t>
            </w:r>
          </w:p>
          <w:p>
            <w:pPr>
              <w:pStyle w:val="TableParagraph"/>
              <w:spacing w:line="240" w:lineRule="auto" w:before="105"/>
              <w:ind w:left="250" w:right="0"/>
              <w:jc w:val="left"/>
              <w:rPr>
                <w:rFonts w:ascii="Times New Roman" w:hAnsi="Times New Roman" w:cs="Times New Roman" w:eastAsia="Times New Roman" w:hint="default"/>
                <w:sz w:val="18"/>
                <w:szCs w:val="18"/>
              </w:rPr>
            </w:pPr>
            <w:r>
              <w:rPr>
                <w:rFonts w:ascii="Times New Roman"/>
                <w:sz w:val="18"/>
              </w:rPr>
              <w:t>3.73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49,58</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0,689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,074,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170.3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本期金额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660,3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749,19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27,131.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660,3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749,19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27,131.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27,457,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1,809.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30,262,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095.59</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7" w:right="0"/>
              <w:jc w:val="left"/>
              <w:rPr>
                <w:rFonts w:ascii="Times New Roman" w:hAnsi="Times New Roman" w:cs="Times New Roman" w:eastAsia="Times New Roman" w:hint="default"/>
                <w:sz w:val="18"/>
                <w:szCs w:val="18"/>
              </w:rPr>
            </w:pPr>
            <w:r>
              <w:rPr>
                <w:rFonts w:ascii="Times New Roman"/>
                <w:sz w:val="18"/>
              </w:rPr>
              <w:t>59,95</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9,129.</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59,959,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129.22</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27,457,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36,337,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740.68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8,880,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26,885,</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640.68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35,765,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640.68</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572,10</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572,10</w:t>
            </w:r>
          </w:p>
          <w:p>
            <w:pPr>
              <w:pStyle w:val="TableParagraph"/>
              <w:spacing w:line="240" w:lineRule="auto" w:before="105"/>
              <w:ind w:left="249"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-71,5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50,93</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8.29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,774.31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5,516,1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63.98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-5,51</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6,163.</w:t>
            </w:r>
          </w:p>
          <w:p>
            <w:pPr>
              <w:pStyle w:val="TableParagraph"/>
              <w:spacing w:line="240" w:lineRule="auto" w:before="105"/>
              <w:ind w:left="281" w:right="0"/>
              <w:jc w:val="center"/>
              <w:rPr>
                <w:rFonts w:ascii="Times New Roman" w:hAnsi="Times New Roman" w:cs="Times New Roman" w:eastAsia="Times New Roman" w:hint="default"/>
                <w:sz w:val="18"/>
                <w:szCs w:val="18"/>
              </w:rPr>
            </w:pPr>
            <w:r>
              <w:rPr>
                <w:rFonts w:ascii="Times New Roman"/>
                <w:sz w:val="18"/>
              </w:rPr>
              <w:t>98</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8" w:right="0"/>
              <w:jc w:val="left"/>
              <w:rPr>
                <w:rFonts w:ascii="Times New Roman" w:hAnsi="Times New Roman" w:cs="Times New Roman" w:eastAsia="Times New Roman" w:hint="default"/>
                <w:sz w:val="18"/>
                <w:szCs w:val="18"/>
              </w:rPr>
            </w:pPr>
            <w:r>
              <w:rPr>
                <w:rFonts w:ascii="Times New Roman"/>
                <w:sz w:val="18"/>
              </w:rPr>
              <w:t>-66,0</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34,77</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-66,034</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,774.31</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67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2"/>
          <w:pgSz w:w="11910" w:h="16840"/>
          <w:pgMar w:footer="1013" w:header="907" w:top="1100" w:bottom="1200" w:left="1020" w:right="1080"/>
          <w:pgNumType w:start="10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669,2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79,25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776,65</w:t>
            </w:r>
          </w:p>
          <w:p>
            <w:pPr>
              <w:pStyle w:val="TableParagraph"/>
              <w:spacing w:line="240" w:lineRule="auto" w:before="105"/>
              <w:ind w:right="93"/>
              <w:jc w:val="right"/>
              <w:rPr>
                <w:rFonts w:ascii="Times New Roman" w:hAnsi="Times New Roman" w:cs="Times New Roman" w:eastAsia="Times New Roman" w:hint="default"/>
                <w:sz w:val="18"/>
                <w:szCs w:val="18"/>
              </w:rPr>
            </w:pPr>
            <w:r>
              <w:rPr>
                <w:rFonts w:ascii="Times New Roman"/>
                <w:spacing w:val="-1"/>
                <w:sz w:val="18"/>
              </w:rPr>
              <w:t>7,068.1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43,917,</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887.13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4" w:right="0"/>
              <w:jc w:val="left"/>
              <w:rPr>
                <w:rFonts w:ascii="Times New Roman" w:hAnsi="Times New Roman" w:cs="Times New Roman" w:eastAsia="Times New Roman" w:hint="default"/>
                <w:sz w:val="18"/>
                <w:szCs w:val="18"/>
              </w:rPr>
            </w:pPr>
            <w:r>
              <w:rPr>
                <w:rFonts w:ascii="Times New Roman"/>
                <w:sz w:val="18"/>
              </w:rPr>
              <w:t>118,2</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35,01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6.69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1,608,0</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89,226.</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93</w:t>
            </w:r>
          </w:p>
        </w:tc>
      </w:tr>
    </w:tbl>
    <w:p>
      <w:pPr>
        <w:pStyle w:val="BodyText"/>
        <w:spacing w:line="240" w:lineRule="auto" w:before="51"/>
        <w:ind w:right="157"/>
        <w:jc w:val="left"/>
      </w:pPr>
      <w:r>
        <w:rPr/>
        <w:t>上期金额</w:t>
      </w:r>
    </w:p>
    <w:p>
      <w:pPr>
        <w:pStyle w:val="BodyText"/>
        <w:spacing w:line="240" w:lineRule="auto" w:before="115"/>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13" w:right="122" w:hanging="89"/>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23" w:right="122"/>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3" w:right="123"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04" w:right="121"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2" w:right="151"/>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5" w:right="114"/>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4" w:hRule="exact"/>
        </w:trPr>
        <w:tc>
          <w:tcPr>
            <w:tcW w:w="1441"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7" w:right="1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一、上年期末余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214,5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7,718.2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126,5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87,51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6,408.7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01" w:firstLine="360"/>
              <w:jc w:val="left"/>
              <w:rPr>
                <w:rFonts w:ascii="宋体" w:hAnsi="宋体" w:cs="宋体" w:eastAsia="宋体" w:hint="default"/>
                <w:sz w:val="18"/>
                <w:szCs w:val="18"/>
              </w:rPr>
            </w:pPr>
            <w:r>
              <w:rPr>
                <w:rFonts w:ascii="宋体" w:hAnsi="宋体" w:cs="宋体" w:eastAsia="宋体" w:hint="default"/>
                <w:spacing w:val="-7"/>
                <w:sz w:val="18"/>
                <w:szCs w:val="18"/>
              </w:rPr>
              <w:t>加：会计政</w:t>
            </w:r>
            <w:r>
              <w:rPr>
                <w:rFonts w:ascii="宋体" w:hAnsi="宋体" w:cs="宋体" w:eastAsia="宋体" w:hint="default"/>
                <w:sz w:val="18"/>
                <w:szCs w:val="18"/>
              </w:rPr>
              <w:t> 策变更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47"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7"/>
              <w:jc w:val="righ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二、本年期初余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214,5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99,45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376,88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7,718.2</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126,5</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87,51</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4.30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756,47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6,408.7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67"/>
              <w:jc w:val="both"/>
              <w:rPr>
                <w:rFonts w:ascii="宋体" w:hAnsi="宋体" w:cs="宋体" w:eastAsia="宋体" w:hint="default"/>
                <w:sz w:val="18"/>
                <w:szCs w:val="18"/>
              </w:rPr>
            </w:pPr>
            <w:r>
              <w:rPr>
                <w:rFonts w:ascii="宋体" w:hAnsi="宋体" w:cs="宋体" w:eastAsia="宋体" w:hint="default"/>
                <w:spacing w:val="-5"/>
                <w:sz w:val="18"/>
                <w:szCs w:val="18"/>
              </w:rPr>
              <w:t>三、本期增减变</w:t>
            </w:r>
            <w:r>
              <w:rPr>
                <w:rFonts w:ascii="宋体" w:hAnsi="宋体" w:cs="宋体" w:eastAsia="宋体" w:hint="default"/>
                <w:sz w:val="18"/>
                <w:szCs w:val="18"/>
              </w:rPr>
              <w:t> </w:t>
            </w:r>
            <w:r>
              <w:rPr>
                <w:rFonts w:ascii="宋体" w:hAnsi="宋体" w:cs="宋体" w:eastAsia="宋体" w:hint="default"/>
                <w:spacing w:val="-5"/>
                <w:sz w:val="18"/>
                <w:szCs w:val="18"/>
              </w:rPr>
              <w:t>动金额（减少以</w:t>
            </w:r>
            <w:r>
              <w:rPr>
                <w:rFonts w:ascii="宋体" w:hAnsi="宋体" w:cs="宋体" w:eastAsia="宋体" w:hint="default"/>
                <w:sz w:val="18"/>
                <w:szCs w:val="18"/>
              </w:rPr>
              <w:t> “－”号填列）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445,7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99,80</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372,311</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,609.15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2"/>
                <w:sz w:val="18"/>
              </w:rPr>
              <w:t>311.4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821,35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1"/>
                <w:sz w:val="18"/>
              </w:rPr>
              <w:t>0,722.6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（一）综合收益</w:t>
            </w:r>
            <w:r>
              <w:rPr>
                <w:rFonts w:ascii="宋体" w:hAnsi="宋体" w:cs="宋体" w:eastAsia="宋体" w:hint="default"/>
                <w:sz w:val="18"/>
                <w:szCs w:val="18"/>
              </w:rPr>
              <w:t> 总额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24,69</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9,256.</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24,699,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256.76</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（二）所有者投</w:t>
            </w:r>
            <w:r>
              <w:rPr>
                <w:rFonts w:ascii="宋体" w:hAnsi="宋体" w:cs="宋体" w:eastAsia="宋体" w:hint="default"/>
                <w:sz w:val="18"/>
                <w:szCs w:val="18"/>
              </w:rPr>
              <w:t> 入和减少资本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2" w:right="0"/>
              <w:jc w:val="left"/>
              <w:rPr>
                <w:rFonts w:ascii="Times New Roman" w:hAnsi="Times New Roman" w:cs="Times New Roman" w:eastAsia="Times New Roman" w:hint="default"/>
                <w:sz w:val="18"/>
                <w:szCs w:val="18"/>
              </w:rPr>
            </w:pPr>
            <w:r>
              <w:rPr>
                <w:rFonts w:ascii="Times New Roman"/>
                <w:sz w:val="18"/>
              </w:rPr>
              <w:t>123,9</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00,62</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694,21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0,788.1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Times New Roman" w:hAnsi="Times New Roman" w:cs="Times New Roman" w:eastAsia="Times New Roman" w:hint="default"/>
                <w:sz w:val="18"/>
                <w:szCs w:val="18"/>
              </w:rPr>
            </w:pPr>
            <w:r>
              <w:rPr>
                <w:rFonts w:ascii="Times New Roman"/>
                <w:spacing w:val="-1"/>
                <w:w w:val="95"/>
                <w:sz w:val="18"/>
              </w:rPr>
              <w:t>818,11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pacing w:val="-2"/>
                <w:sz w:val="18"/>
              </w:rPr>
              <w:t>1,411.1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400"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5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72" w:right="0"/>
              <w:jc w:val="left"/>
              <w:rPr>
                <w:rFonts w:ascii="Times New Roman" w:hAnsi="Times New Roman" w:cs="Times New Roman" w:eastAsia="Times New Roman" w:hint="default"/>
                <w:sz w:val="18"/>
                <w:szCs w:val="18"/>
              </w:rPr>
            </w:pPr>
            <w:r>
              <w:rPr>
                <w:rFonts w:ascii="Times New Roman"/>
                <w:sz w:val="18"/>
              </w:rPr>
              <w:t>123,9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9" w:right="0"/>
              <w:jc w:val="left"/>
              <w:rPr>
                <w:rFonts w:ascii="Times New Roman" w:hAnsi="Times New Roman" w:cs="Times New Roman" w:eastAsia="Times New Roman" w:hint="default"/>
                <w:sz w:val="18"/>
                <w:szCs w:val="18"/>
              </w:rPr>
            </w:pPr>
            <w:r>
              <w:rPr>
                <w:rFonts w:ascii="Times New Roman"/>
                <w:sz w:val="18"/>
              </w:rPr>
              <w:t>694,21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87" w:right="0"/>
              <w:jc w:val="left"/>
              <w:rPr>
                <w:rFonts w:ascii="Times New Roman" w:hAnsi="Times New Roman" w:cs="Times New Roman" w:eastAsia="Times New Roman" w:hint="default"/>
                <w:sz w:val="18"/>
                <w:szCs w:val="18"/>
              </w:rPr>
            </w:pPr>
            <w:r>
              <w:rPr>
                <w:rFonts w:ascii="Times New Roman"/>
                <w:sz w:val="18"/>
              </w:rPr>
              <w:t>818,11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7"/>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2" w:right="0"/>
              <w:jc w:val="left"/>
              <w:rPr>
                <w:rFonts w:ascii="Times New Roman" w:hAnsi="Times New Roman" w:cs="Times New Roman" w:eastAsia="Times New Roman" w:hint="default"/>
                <w:sz w:val="18"/>
                <w:szCs w:val="18"/>
              </w:rPr>
            </w:pPr>
            <w:r>
              <w:rPr>
                <w:rFonts w:ascii="Times New Roman"/>
                <w:sz w:val="18"/>
              </w:rPr>
              <w:t>00,62</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pacing w:val="-1"/>
                <w:sz w:val="18"/>
              </w:rPr>
              <w:t>0,788.1</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2"/>
                <w:sz w:val="18"/>
              </w:rPr>
              <w:t>1,411.1</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1" w:right="0"/>
              <w:jc w:val="left"/>
              <w:rPr>
                <w:rFonts w:ascii="宋体" w:hAnsi="宋体" w:cs="宋体" w:eastAsia="宋体" w:hint="default"/>
                <w:sz w:val="18"/>
                <w:szCs w:val="18"/>
              </w:rPr>
            </w:pPr>
            <w:r>
              <w:rPr>
                <w:rFonts w:ascii="宋体" w:hAnsi="宋体" w:cs="宋体" w:eastAsia="宋体" w:hint="default"/>
                <w:spacing w:val="-5"/>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,945.30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2</w:t>
            </w:r>
            <w:r>
              <w:rPr>
                <w:rFonts w:ascii="宋体" w:hAnsi="宋体" w:cs="宋体" w:eastAsia="宋体" w:hint="default"/>
                <w:spacing w:val="-16"/>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8"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59,94</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5.30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-21,459</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,945.30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（四）所有者权</w:t>
            </w:r>
            <w:r>
              <w:rPr>
                <w:rFonts w:ascii="宋体" w:hAnsi="宋体" w:cs="宋体" w:eastAsia="宋体" w:hint="default"/>
                <w:sz w:val="18"/>
                <w:szCs w:val="18"/>
              </w:rPr>
              <w:t> 益内部结转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2" w:right="0"/>
              <w:jc w:val="left"/>
              <w:rPr>
                <w:rFonts w:ascii="Times New Roman" w:hAnsi="Times New Roman" w:cs="Times New Roman" w:eastAsia="Times New Roman" w:hint="default"/>
                <w:sz w:val="18"/>
                <w:szCs w:val="18"/>
              </w:rPr>
            </w:pPr>
            <w:r>
              <w:rPr>
                <w:rFonts w:ascii="Times New Roman"/>
                <w:sz w:val="18"/>
              </w:rPr>
              <w:t>321,8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99,17</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-321,89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9,179.0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321,8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99,17</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-321,89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9,179.0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pacing w:val="-5"/>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316" w:lineRule="auto"/>
              <w:ind w:left="101" w:right="101"/>
              <w:jc w:val="left"/>
              <w:rPr>
                <w:rFonts w:ascii="宋体" w:hAnsi="宋体" w:cs="宋体" w:eastAsia="宋体" w:hint="default"/>
                <w:sz w:val="18"/>
                <w:szCs w:val="18"/>
              </w:rPr>
            </w:pPr>
            <w:r>
              <w:rPr>
                <w:rFonts w:ascii="宋体" w:hAnsi="宋体" w:cs="宋体" w:eastAsia="宋体" w:hint="default"/>
                <w:spacing w:val="-5"/>
                <w:sz w:val="18"/>
                <w:szCs w:val="18"/>
              </w:rPr>
              <w:t>四、本期期末余</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2" w:right="0"/>
              <w:jc w:val="left"/>
              <w:rPr>
                <w:rFonts w:ascii="Times New Roman" w:hAnsi="Times New Roman" w:cs="Times New Roman" w:eastAsia="Times New Roman" w:hint="default"/>
                <w:sz w:val="18"/>
                <w:szCs w:val="18"/>
              </w:rPr>
            </w:pPr>
            <w:r>
              <w:rPr>
                <w:rFonts w:ascii="Times New Roman"/>
                <w:sz w:val="18"/>
              </w:rPr>
              <w:t>660,3</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99,25</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749,19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9,327.4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38,401,</w:t>
            </w:r>
          </w:p>
          <w:p>
            <w:pPr>
              <w:pStyle w:val="TableParagraph"/>
              <w:spacing w:line="240" w:lineRule="auto" w:before="105"/>
              <w:ind w:left="188" w:right="0"/>
              <w:jc w:val="left"/>
              <w:rPr>
                <w:rFonts w:ascii="Times New Roman" w:hAnsi="Times New Roman" w:cs="Times New Roman" w:eastAsia="Times New Roman" w:hint="default"/>
                <w:sz w:val="18"/>
                <w:szCs w:val="18"/>
              </w:rPr>
            </w:pPr>
            <w:r>
              <w:rPr>
                <w:rFonts w:ascii="Times New Roman"/>
                <w:sz w:val="18"/>
              </w:rPr>
              <w:t>723.15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7" w:right="0"/>
              <w:jc w:val="left"/>
              <w:rPr>
                <w:rFonts w:ascii="Times New Roman" w:hAnsi="Times New Roman" w:cs="Times New Roman" w:eastAsia="Times New Roman" w:hint="default"/>
                <w:sz w:val="18"/>
                <w:szCs w:val="18"/>
              </w:rPr>
            </w:pPr>
            <w:r>
              <w:rPr>
                <w:rFonts w:ascii="Times New Roman"/>
                <w:sz w:val="18"/>
              </w:rPr>
              <w:t>129,8</w:t>
            </w:r>
          </w:p>
          <w:p>
            <w:pPr>
              <w:pStyle w:val="TableParagraph"/>
              <w:spacing w:line="240" w:lineRule="auto" w:before="105"/>
              <w:ind w:left="157" w:right="0"/>
              <w:jc w:val="left"/>
              <w:rPr>
                <w:rFonts w:ascii="Times New Roman" w:hAnsi="Times New Roman" w:cs="Times New Roman" w:eastAsia="Times New Roman" w:hint="default"/>
                <w:sz w:val="18"/>
                <w:szCs w:val="18"/>
              </w:rPr>
            </w:pPr>
            <w:r>
              <w:rPr>
                <w:rFonts w:ascii="Times New Roman"/>
                <w:sz w:val="18"/>
              </w:rPr>
              <w:t>26,82</w:t>
            </w:r>
          </w:p>
          <w:p>
            <w:pPr>
              <w:pStyle w:val="TableParagraph"/>
              <w:spacing w:line="240" w:lineRule="auto" w:before="105"/>
              <w:ind w:left="248" w:right="0"/>
              <w:jc w:val="left"/>
              <w:rPr>
                <w:rFonts w:ascii="Times New Roman" w:hAnsi="Times New Roman" w:cs="Times New Roman" w:eastAsia="Times New Roman" w:hint="default"/>
                <w:sz w:val="18"/>
                <w:szCs w:val="18"/>
              </w:rPr>
            </w:pPr>
            <w:r>
              <w:rPr>
                <w:rFonts w:ascii="Times New Roman"/>
                <w:sz w:val="18"/>
              </w:rPr>
              <w:t>5.76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27,131.</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80"/>
        </w:sectPr>
      </w:pPr>
    </w:p>
    <w:p>
      <w:pPr>
        <w:spacing w:line="240" w:lineRule="auto" w:before="6"/>
        <w:rPr>
          <w:rFonts w:ascii="Times New Roman" w:hAnsi="Times New Roman" w:cs="Times New Roman" w:eastAsia="Times New Roman" w:hint="default"/>
          <w:sz w:val="23"/>
          <w:szCs w:val="23"/>
        </w:rPr>
      </w:pPr>
    </w:p>
    <w:p>
      <w:pPr>
        <w:pStyle w:val="Heading2"/>
        <w:spacing w:line="240" w:lineRule="auto" w:before="26"/>
        <w:ind w:right="94"/>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2"/>
        </w:rPr>
        <w:t>尤洛卡精准信息工程股份有限公司（以下简称“公司”或“本公司”）前身为泰安市尤洛卡自动化仪表有限公司，于1998年</w:t>
      </w:r>
      <w:r>
        <w:rPr>
          <w:spacing w:val="-69"/>
        </w:rPr>
        <w:t> </w:t>
      </w:r>
      <w:r>
        <w:rPr>
          <w:spacing w:val="-69"/>
        </w:rPr>
      </w:r>
      <w:r>
        <w:rPr/>
        <w:t>10月29日经泰安市工商行政管理局核准成立。2008年1月29日公司整体变更设立为股份有限公司，公司注册资本为人民币</w:t>
      </w:r>
    </w:p>
    <w:p>
      <w:pPr>
        <w:pStyle w:val="BodyText"/>
        <w:spacing w:line="316" w:lineRule="auto" w:before="19"/>
        <w:ind w:right="94"/>
        <w:jc w:val="left"/>
      </w:pPr>
      <w:r>
        <w:rPr>
          <w:spacing w:val="-2"/>
        </w:rPr>
        <w:t>669,279,255.00元，详见本附注六、27。公司企业法人营业执照统一社会信用代码：91370000166441332C。注册地及营业办</w:t>
      </w:r>
      <w:r>
        <w:rPr>
          <w:spacing w:val="-48"/>
        </w:rPr>
        <w:t> </w:t>
      </w:r>
      <w:r>
        <w:rPr>
          <w:spacing w:val="-48"/>
        </w:rPr>
      </w:r>
      <w:r>
        <w:rPr/>
        <w:t>公地：</w:t>
      </w:r>
      <w:r>
        <w:rPr>
          <w:spacing w:val="1"/>
        </w:rPr>
        <w:t> </w:t>
      </w:r>
      <w:r>
        <w:rPr/>
        <w:t>山东省泰安市高新区凤祥路以西规划支路以北。</w:t>
      </w:r>
    </w:p>
    <w:p>
      <w:pPr>
        <w:pStyle w:val="BodyText"/>
        <w:spacing w:line="316" w:lineRule="auto" w:before="19"/>
        <w:ind w:right="94"/>
        <w:jc w:val="left"/>
      </w:pPr>
      <w:r>
        <w:rPr/>
        <w:t>本财务报表业经本公司董事会于2018年4月22日决议批准报出。 </w:t>
      </w:r>
      <w:r>
        <w:rPr>
          <w:spacing w:val="-2"/>
        </w:rPr>
        <w:t>公司所属行业为专用设备制造行业，经营范围：光机电产品、自动化仪器仪表、计算机软硬件、电子电气设备集成系统、无</w:t>
      </w:r>
      <w:r>
        <w:rPr>
          <w:spacing w:val="-66"/>
        </w:rPr>
        <w:t> </w:t>
      </w:r>
      <w:r>
        <w:rPr>
          <w:spacing w:val="-66"/>
        </w:rPr>
      </w:r>
      <w:r>
        <w:rPr>
          <w:spacing w:val="-2"/>
        </w:rPr>
        <w:t>源光网络设备、电子通讯产品、通讯设备、矿山运输机械及矿用高分子材料和无机粉料的生产、加工、销售、维护；计算机</w:t>
      </w:r>
      <w:r>
        <w:rPr>
          <w:spacing w:val="-64"/>
        </w:rPr>
        <w:t> </w:t>
      </w:r>
      <w:r>
        <w:rPr>
          <w:spacing w:val="-64"/>
        </w:rPr>
      </w:r>
      <w:r>
        <w:rPr>
          <w:spacing w:val="-2"/>
        </w:rPr>
        <w:t>系统服务；基础软件服务；计算机系统基础；轨道交通及地下设施通讯信息工程、矿山安全防治工程及环保工程的安装与施</w:t>
      </w:r>
      <w:r>
        <w:rPr>
          <w:spacing w:val="-66"/>
        </w:rPr>
        <w:t> </w:t>
      </w:r>
      <w:r>
        <w:rPr>
          <w:spacing w:val="-66"/>
        </w:rPr>
      </w:r>
      <w:r>
        <w:rPr>
          <w:spacing w:val="-2"/>
        </w:rPr>
        <w:t>工；信息及自动化应用技术培训、转让、咨询服务；技术推广服务；矿山地质、水文、粉尘、有害气体等的检测；经济贸易</w:t>
      </w:r>
      <w:r>
        <w:rPr>
          <w:spacing w:val="-68"/>
        </w:rPr>
        <w:t> </w:t>
      </w:r>
      <w:r>
        <w:rPr>
          <w:spacing w:val="-68"/>
        </w:rPr>
      </w:r>
      <w:r>
        <w:rPr>
          <w:spacing w:val="-2"/>
        </w:rPr>
        <w:t>咨询；设计、制作、代理、发布广告；货物进出口、技术进出口、代理进出口；房屋租赁；以自有资金对外投资及咨询（依</w:t>
      </w:r>
      <w:r>
        <w:rPr>
          <w:spacing w:val="-70"/>
        </w:rPr>
        <w:t> </w:t>
      </w:r>
      <w:r>
        <w:rPr>
          <w:spacing w:val="-70"/>
        </w:rPr>
      </w:r>
      <w:r>
        <w:rPr>
          <w:spacing w:val="-4"/>
        </w:rPr>
        <w:t>法须经批准的项目，经相关部门批准后方可开展经营活动）。</w:t>
      </w:r>
      <w:r>
        <w:rPr>
          <w:spacing w:val="-71"/>
        </w:rPr>
        <w:t> </w:t>
      </w:r>
      <w:r>
        <w:rPr>
          <w:spacing w:val="-71"/>
        </w:rPr>
      </w:r>
      <w:r>
        <w:rPr>
          <w:spacing w:val="-2"/>
        </w:rPr>
        <w:t>本公司2017年度纳入合并范围的一级子公司5户、二级子公司共5户，详见本附注七“在其他主体中的权益”。本公司本年度</w:t>
      </w:r>
      <w:r>
        <w:rPr>
          <w:spacing w:val="-68"/>
        </w:rPr>
        <w:t> </w:t>
      </w:r>
      <w:r>
        <w:rPr>
          <w:spacing w:val="-68"/>
        </w:rPr>
      </w:r>
      <w:r>
        <w:rPr/>
        <w:t>合并范围与上年度相比未发生变化。</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0"/>
        <w:rPr>
          <w:rFonts w:ascii="宋体" w:hAnsi="宋体" w:cs="宋体" w:eastAsia="宋体" w:hint="default"/>
          <w:b/>
          <w:bCs/>
          <w:sz w:val="22"/>
          <w:szCs w:val="22"/>
        </w:rPr>
      </w:pPr>
    </w:p>
    <w:p>
      <w:pPr>
        <w:spacing w:line="240" w:lineRule="auto" w:before="4"/>
        <w:rPr>
          <w:rFonts w:ascii="宋体" w:hAnsi="宋体" w:cs="宋体" w:eastAsia="宋体" w:hint="default"/>
          <w:b/>
          <w:bCs/>
          <w:sz w:val="28"/>
          <w:szCs w:val="28"/>
        </w:rPr>
      </w:pPr>
    </w:p>
    <w:p>
      <w:pPr>
        <w:pStyle w:val="BodyText"/>
        <w:spacing w:line="316" w:lineRule="auto"/>
        <w:ind w:right="187"/>
        <w:jc w:val="left"/>
      </w:pPr>
      <w:r>
        <w:rPr>
          <w:spacing w:val="-5"/>
        </w:rPr>
        <w:t>本公司财务报表以持续经营假设为基础，根据实际发生的交易和事项，按照财政部发布的《企业会计准则——基本准则》（财</w:t>
      </w:r>
      <w:r>
        <w:rPr>
          <w:spacing w:val="-79"/>
        </w:rPr>
        <w:t> </w:t>
      </w:r>
      <w:r>
        <w:rPr>
          <w:spacing w:val="-79"/>
        </w:rPr>
      </w:r>
      <w:r>
        <w:rPr>
          <w:spacing w:val="-3"/>
        </w:rPr>
        <w:t>政部令第33号发布、财政部令第76号修订）、于2006年2月15日及其后颁布和修订的42项具体会计准则、企业会计准则应用指</w:t>
      </w:r>
      <w:r>
        <w:rPr>
          <w:spacing w:val="-87"/>
        </w:rPr>
        <w:t> </w:t>
      </w:r>
      <w:r>
        <w:rPr>
          <w:spacing w:val="-87"/>
        </w:rPr>
      </w:r>
      <w:r>
        <w:rPr>
          <w:spacing w:val="-5"/>
        </w:rPr>
        <w:t>南、企业会计准则解释及其他相关规定（以下合称“企业会计准则”），以及中国证券监督管理委员会《公开发行证券的公司</w:t>
      </w:r>
      <w:r>
        <w:rPr>
          <w:spacing w:val="-79"/>
        </w:rPr>
        <w:t> </w:t>
      </w:r>
      <w:r>
        <w:rPr>
          <w:spacing w:val="-79"/>
        </w:rPr>
      </w:r>
      <w:r>
        <w:rPr>
          <w:spacing w:val="-3"/>
        </w:rPr>
        <w:t>信息披露编报规则第15号——财务报告的一般规定》（2014年修订）的披露规定编制。</w:t>
      </w:r>
      <w:r>
        <w:rPr>
          <w:spacing w:val="-59"/>
        </w:rPr>
        <w:t> </w:t>
      </w:r>
      <w:r>
        <w:rPr>
          <w:spacing w:val="-59"/>
        </w:rPr>
      </w:r>
      <w:r>
        <w:rPr>
          <w:spacing w:val="-2"/>
        </w:rPr>
        <w:t>根据企业会计准则的相关规定，本公司会计核算以权责发生制为基础。除某些金融工具外，本财务报表均以历史成本为计量</w:t>
      </w:r>
      <w:r>
        <w:rPr>
          <w:spacing w:val="-65"/>
        </w:rPr>
        <w:t> </w:t>
      </w:r>
      <w:r>
        <w:rPr>
          <w:spacing w:val="-65"/>
        </w:rPr>
      </w:r>
      <w:r>
        <w:rPr/>
        <w:t>基础。资产如果发生减值，则按照相关规定计提相应的减值准备。</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公司自本报告期末至少12个月内具备持续经营能力，无影响持续经营能力的重大事项。</w:t>
      </w:r>
    </w:p>
    <w:p>
      <w:pPr>
        <w:spacing w:line="240" w:lineRule="auto" w:before="1"/>
        <w:rPr>
          <w:rFonts w:ascii="宋体" w:hAnsi="宋体" w:cs="宋体" w:eastAsia="宋体" w:hint="default"/>
          <w:sz w:val="25"/>
          <w:szCs w:val="25"/>
        </w:rPr>
      </w:pPr>
    </w:p>
    <w:p>
      <w:pPr>
        <w:pStyle w:val="Heading2"/>
        <w:spacing w:line="240" w:lineRule="auto"/>
        <w:ind w:right="94"/>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38" w:lineRule="auto" w:before="25"/>
        <w:ind w:right="94"/>
        <w:jc w:val="left"/>
      </w:pPr>
      <w:r>
        <w:rPr/>
        <w:t>具体会计政策和会计估计提示： </w:t>
      </w:r>
      <w:r>
        <w:rPr>
          <w:spacing w:val="-2"/>
        </w:rPr>
        <w:t>本公司及各子公司根据实际生产经营特点，依据相关企业会计准则的规定，对收入确认等交易和事项制定了若干项具体会计</w:t>
      </w:r>
      <w:r>
        <w:rPr>
          <w:spacing w:val="-64"/>
        </w:rPr>
        <w:t> </w:t>
      </w:r>
      <w:r>
        <w:rPr>
          <w:spacing w:val="-64"/>
        </w:rPr>
      </w:r>
      <w:r>
        <w:rPr/>
        <w:t>政策和会计估计，详见本附注四、21“收入”各项描述。关于管理层所作出的重大会计判断和估计的说明，请参阅附注四、</w:t>
      </w:r>
    </w:p>
    <w:p>
      <w:pPr>
        <w:pStyle w:val="BodyText"/>
        <w:spacing w:line="240" w:lineRule="auto" w:before="2"/>
        <w:ind w:right="94"/>
        <w:jc w:val="left"/>
      </w:pPr>
      <w:r>
        <w:rPr>
          <w:spacing w:val="1"/>
        </w:rPr>
        <w:t>2</w:t>
      </w:r>
      <w:r>
        <w:rPr>
          <w:spacing w:val="-2"/>
        </w:rPr>
        <w:t>6</w:t>
      </w:r>
      <w:r>
        <w:rPr/>
        <w:t>“重大会计判断和估计</w:t>
      </w:r>
      <w:r>
        <w:rPr>
          <w:spacing w:val="-89"/>
        </w:rPr>
        <w:t>”</w:t>
      </w:r>
      <w:r>
        <w:rPr/>
        <w:t>。</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本公司编制的财务报表符合企业会计准则的要求，真实、完整地反映了本公司2017年12月31日的财务状况及2017年度的经营</w:t>
      </w:r>
    </w:p>
    <w:p>
      <w:pPr>
        <w:spacing w:after="0" w:line="240"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2"/>
        </w:rPr>
        <w:t>成果和现金流量等有关信息。此外，本公司的财务报表在所有重大方面符合中国证券监督管理委员会2014年修订的《公开发</w:t>
      </w:r>
      <w:r>
        <w:rPr>
          <w:spacing w:val="-63"/>
        </w:rPr>
        <w:t> </w:t>
      </w:r>
      <w:r>
        <w:rPr>
          <w:spacing w:val="-63"/>
        </w:rPr>
      </w:r>
      <w:r>
        <w:rPr/>
        <w:t>行证券的公司信息披露编报规则第15号－财务报告的一般规定》有关财务报表及其附注的披露要求。</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本公司的会计期间分为年度和中期，会计中期指短于一个完整的会计年度的报告期间。本公司会计年度采用公历年度，即每</w:t>
      </w:r>
      <w:r>
        <w:rPr>
          <w:spacing w:val="-65"/>
        </w:rPr>
        <w:t> </w:t>
      </w:r>
      <w:r>
        <w:rPr>
          <w:spacing w:val="-65"/>
        </w:rPr>
      </w:r>
      <w:r>
        <w:rPr/>
        <w:t>年自1月1日起至12月31日止。</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正常营业周期是指本公司从购买用于加工的资产起至实现现金或现金等价物的期间。本公司以12个月作为一个营业周期，并</w:t>
      </w:r>
      <w:r>
        <w:rPr>
          <w:spacing w:val="-63"/>
        </w:rPr>
        <w:t> </w:t>
      </w:r>
      <w:r>
        <w:rPr>
          <w:spacing w:val="-63"/>
        </w:rPr>
      </w:r>
      <w:r>
        <w:rPr/>
        <w:t>以其作为资产和负债的流动性划分标准。</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2"/>
        </w:rPr>
        <w:t>人民币为本公司及境内子公司经营所处的主要经济环境中的货币，本公司及境内子公司以人民币为记账本位币。本公司编制</w:t>
      </w:r>
      <w:r>
        <w:rPr>
          <w:spacing w:val="-64"/>
        </w:rPr>
        <w:t> </w:t>
      </w:r>
      <w:r>
        <w:rPr>
          <w:spacing w:val="-64"/>
        </w:rPr>
      </w:r>
      <w:r>
        <w:rPr/>
        <w:t>本财务报表时所采用的货币为人民币。</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6" w:lineRule="auto" w:before="19"/>
        <w:ind w:right="94"/>
        <w:jc w:val="left"/>
      </w:pPr>
      <w:r>
        <w:rPr/>
        <w:t>（1）同一控制下企业合并 </w:t>
      </w: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6"/>
        </w:rPr>
        <w:t> </w:t>
      </w:r>
      <w:r>
        <w:rPr>
          <w:spacing w:val="-66"/>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558"/>
        <w:jc w:val="left"/>
      </w:pPr>
      <w:r>
        <w:rPr>
          <w:spacing w:val="-2"/>
        </w:rPr>
        <w:t>（或发行股份面值总额）的差额，调整资本公积（股本溢价）；资本公积（股本溢价）不足以冲减的，调整留存收益。</w:t>
      </w:r>
      <w:r>
        <w:rPr>
          <w:spacing w:val="-75"/>
        </w:rPr>
        <w:t> </w:t>
      </w:r>
      <w:r>
        <w:rPr>
          <w:spacing w:val="-75"/>
        </w:rPr>
      </w:r>
      <w:r>
        <w:rPr/>
        <w:t>合并方为进行企业合并发生的各项直接费用，于发生时计入当期损益。</w:t>
      </w:r>
    </w:p>
    <w:p>
      <w:pPr>
        <w:pStyle w:val="BodyText"/>
        <w:spacing w:line="316" w:lineRule="auto" w:before="19"/>
        <w:ind w:right="94"/>
        <w:jc w:val="left"/>
      </w:pPr>
      <w:r>
        <w:rPr/>
        <w:t>（2）非同一控制下企业合并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5"/>
        </w:rPr>
        <w:t> </w:t>
      </w:r>
      <w:r>
        <w:rPr>
          <w:spacing w:val="-65"/>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5"/>
        </w:rPr>
        <w:t> </w:t>
      </w:r>
      <w:r>
        <w:rPr>
          <w:spacing w:val="-65"/>
        </w:rPr>
      </w:r>
      <w:r>
        <w:rPr>
          <w:spacing w:val="-4"/>
        </w:rPr>
        <w:t>当期损益。购买方作为合并对价发行的权益性证券或债务性证券的交易费用，计入权益性证券或债务性证券的初始确认金额。</w:t>
      </w:r>
      <w:r>
        <w:rPr>
          <w:spacing w:val="-41"/>
        </w:rPr>
        <w:t> </w:t>
      </w:r>
      <w:r>
        <w:rPr>
          <w:spacing w:val="-41"/>
        </w:rPr>
      </w:r>
      <w:r>
        <w:rPr>
          <w:spacing w:val="-2"/>
        </w:rPr>
        <w:t>所涉及的或有对价按其在购买日的公允价值计入合并成本，购买日后12个月内出现对购买日已存在情况的新的或进一步证据</w:t>
      </w:r>
      <w:r>
        <w:rPr>
          <w:spacing w:val="-63"/>
        </w:rPr>
        <w:t> </w:t>
      </w:r>
      <w:r>
        <w:rPr>
          <w:spacing w:val="-63"/>
        </w:rPr>
      </w:r>
      <w:r>
        <w:rPr>
          <w:spacing w:val="-2"/>
        </w:rPr>
        <w:t>而需要调整或有对价的，相应调整合并商誉。购买方发生的合并成本及在合并中取得的可辨认净资产按购买日的公允价值计</w:t>
      </w:r>
      <w:r>
        <w:rPr>
          <w:spacing w:val="-64"/>
        </w:rPr>
        <w:t> </w:t>
      </w:r>
      <w:r>
        <w:rPr>
          <w:spacing w:val="-64"/>
        </w:rPr>
      </w:r>
      <w:r>
        <w:rPr>
          <w:spacing w:val="-2"/>
        </w:rPr>
        <w:t>量。合并成本大于合并中取得的被购买方于购买日可辨认净资产公允价值份额的差额，确认为商誉。合并成本小于合并中取</w:t>
      </w:r>
      <w:r>
        <w:rPr>
          <w:spacing w:val="-65"/>
        </w:rPr>
        <w:t> </w:t>
      </w:r>
      <w:r>
        <w:rPr>
          <w:spacing w:val="-65"/>
        </w:rPr>
      </w:r>
      <w:r>
        <w:rPr>
          <w:spacing w:val="-2"/>
        </w:rPr>
        <w:t>得的被购买方可辨认净资产公允价值份额的，首先对取得的被购买方各项可辨认资产、负债及或有负债的公允价值以及合并</w:t>
      </w:r>
      <w:r>
        <w:rPr>
          <w:spacing w:val="-64"/>
        </w:rPr>
        <w:t> </w:t>
      </w:r>
      <w:r>
        <w:rPr>
          <w:spacing w:val="-64"/>
        </w:rPr>
      </w:r>
      <w:r>
        <w:rPr/>
        <w:t>成本的计量进行复核，复核后合并成本仍小于合并中取得的被购买方可辨认净资产公允价值份额的，其差额计入当期损益。 </w:t>
      </w:r>
      <w:r>
        <w:rPr>
          <w:spacing w:val="-4"/>
        </w:rPr>
        <w:t>购买方取得被购买方的可抵扣暂时性差异，在购买日因不符合递延所得税资产确认条件而未予确认的，在购买日后12个月内，</w:t>
      </w:r>
      <w:r>
        <w:rPr>
          <w:spacing w:val="-38"/>
        </w:rPr>
        <w:t> </w:t>
      </w:r>
      <w:r>
        <w:rPr>
          <w:spacing w:val="-38"/>
        </w:rPr>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66"/>
        </w:rPr>
        <w:t> </w:t>
      </w:r>
      <w:r>
        <w:rPr>
          <w:spacing w:val="-66"/>
        </w:rPr>
      </w:r>
      <w:r>
        <w:rPr/>
        <w:t>认与企业合并相关的递延所得税资产的，计入当期损益。</w:t>
      </w:r>
    </w:p>
    <w:p>
      <w:pPr>
        <w:spacing w:after="0" w:line="316" w:lineRule="auto"/>
        <w:jc w:val="left"/>
        <w:sectPr>
          <w:footerReference w:type="default" r:id="rId33"/>
          <w:pgSz w:w="11910" w:h="16840"/>
          <w:pgMar w:footer="1013" w:header="907" w:top="1100" w:bottom="1200" w:left="1020" w:right="940"/>
          <w:pgNumType w:start="104"/>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3"/>
        </w:rPr>
        <w:t>通过多次交易分步实现的非同一控制下企业合并，根据《财政部关于印发企业会计准则解释第5号的通知》（财会〔2012〕19</w:t>
      </w:r>
      <w:r>
        <w:rPr/>
        <w:t> </w:t>
      </w:r>
      <w:r>
        <w:rPr>
          <w:spacing w:val="-5"/>
        </w:rPr>
        <w:t>号）和《企业会计准则第33号——合并财务报表》第五十一条关于“一揽子交易”的判断标准（参见本附注四、5（2）），判</w:t>
      </w:r>
      <w:r>
        <w:rPr>
          <w:spacing w:val="-74"/>
        </w:rPr>
        <w:t> </w:t>
      </w:r>
      <w:r>
        <w:rPr>
          <w:spacing w:val="-74"/>
        </w:rPr>
      </w:r>
      <w:r>
        <w:rPr>
          <w:spacing w:val="-4"/>
        </w:rPr>
        <w:t>断该多次交易是否属于“一揽子交易”。属于“一揽子交易”的，参考本部分前面各段描述及本附注四、12“长期股权投资”</w:t>
      </w:r>
      <w:r>
        <w:rPr>
          <w:spacing w:val="-38"/>
        </w:rPr>
        <w:t> </w:t>
      </w:r>
      <w:r>
        <w:rPr>
          <w:spacing w:val="-38"/>
        </w:rPr>
      </w:r>
      <w:r>
        <w:rPr/>
        <w:t>进行会计处理；不属于“一揽子交易”的，区分个别财务报表和合并财务报表进行相关会计处理： </w:t>
      </w:r>
      <w:r>
        <w:rPr>
          <w:spacing w:val="-2"/>
        </w:rPr>
        <w:t>在个别财务报表中，以购买日之前所持被购买方的股权投资的账面价值与购买日新增投资成本之和，作为该项投资的初始投</w:t>
      </w:r>
      <w:r>
        <w:rPr>
          <w:spacing w:val="-64"/>
        </w:rPr>
        <w:t> </w:t>
      </w:r>
      <w:r>
        <w:rPr>
          <w:spacing w:val="-64"/>
        </w:rPr>
      </w:r>
      <w:r>
        <w:rPr>
          <w:spacing w:val="-2"/>
        </w:rPr>
        <w:t>资成本；购买日之前持有的被购买方的股权涉及其他综合收益的，在处置该项投资时将与其相关的其他综合收益采用与被购</w:t>
      </w:r>
      <w:r>
        <w:rPr>
          <w:spacing w:val="-64"/>
        </w:rPr>
        <w:t> </w:t>
      </w:r>
      <w:r>
        <w:rPr>
          <w:spacing w:val="-64"/>
        </w:rPr>
      </w:r>
      <w:r>
        <w:rPr>
          <w:spacing w:val="-2"/>
        </w:rPr>
        <w:t>买方直接处置相关资产或负债相同的基础进行会计处理（即，除了按照权益法核算的在被购买方重新计量设定受益计划净负</w:t>
      </w:r>
      <w:r>
        <w:rPr>
          <w:spacing w:val="-64"/>
        </w:rPr>
        <w:t> </w:t>
      </w:r>
      <w:r>
        <w:rPr>
          <w:spacing w:val="-64"/>
        </w:rPr>
      </w:r>
      <w:r>
        <w:rPr>
          <w:spacing w:val="-3"/>
        </w:rPr>
        <w:t>债或净资产导致的变动中的相应份额以外，其余转入当期投资收益）。</w:t>
      </w:r>
      <w:r>
        <w:rPr>
          <w:spacing w:val="-86"/>
        </w:rPr>
        <w:t> </w:t>
      </w:r>
      <w:r>
        <w:rPr>
          <w:spacing w:val="-86"/>
        </w:rPr>
      </w:r>
      <w:r>
        <w:rPr>
          <w:spacing w:val="-2"/>
        </w:rPr>
        <w:t>在合并财务报表中，对于购买日之前持有的被购买方的股权，按照该股权在购买日的公允价值进行重新计量，公允价值与其</w:t>
      </w:r>
      <w:r>
        <w:rPr>
          <w:spacing w:val="-65"/>
        </w:rPr>
        <w:t> </w:t>
      </w:r>
      <w:r>
        <w:rPr>
          <w:spacing w:val="-65"/>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spacing w:val="-3"/>
        </w:rPr>
        <w:t>益计划净负债或净资产导致的变动中的相应份额以外，其余转为购买日所属当期投资收益）。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t>（1）合并财务报表范围的确定原则 </w:t>
      </w:r>
      <w:r>
        <w:rPr>
          <w:spacing w:val="-2"/>
        </w:rPr>
        <w:t>合并财务报表的合并范围以控制为基础予以确定。控制是指本公司拥有对被投资方的权力，通过参与被投资方的相关活动而</w:t>
      </w:r>
      <w:r>
        <w:rPr>
          <w:spacing w:val="-64"/>
        </w:rPr>
        <w:t> </w:t>
      </w:r>
      <w:r>
        <w:rPr>
          <w:spacing w:val="-64"/>
        </w:rPr>
      </w:r>
      <w:r>
        <w:rPr>
          <w:spacing w:val="-2"/>
        </w:rPr>
        <w:t>享有可变回报，并且有能力运用对被投资方的权力影响该回报金额。合并范围包括本公司及全部子公司。子公司，是指被本</w:t>
      </w:r>
      <w:r>
        <w:rPr>
          <w:spacing w:val="-66"/>
        </w:rPr>
        <w:t> </w:t>
      </w:r>
      <w:r>
        <w:rPr>
          <w:spacing w:val="-66"/>
        </w:rPr>
      </w:r>
      <w:r>
        <w:rPr/>
        <w:t>公司控制的主体。</w:t>
      </w:r>
    </w:p>
    <w:p>
      <w:pPr>
        <w:pStyle w:val="BodyText"/>
        <w:spacing w:line="240" w:lineRule="auto" w:before="19"/>
        <w:ind w:right="94"/>
        <w:jc w:val="left"/>
      </w:pPr>
      <w:r>
        <w:rPr/>
        <w:t>一旦相关事实和情况的变化导致上述控制定义涉及的相关要素发生了变化，本公司将进行重新评估。</w:t>
      </w:r>
    </w:p>
    <w:p>
      <w:pPr>
        <w:pStyle w:val="BodyText"/>
        <w:spacing w:line="316" w:lineRule="auto" w:before="76"/>
        <w:ind w:right="94"/>
        <w:jc w:val="left"/>
      </w:pPr>
      <w:r>
        <w:rPr/>
        <w:t>（2）合并财务报表编制的方法 </w:t>
      </w:r>
      <w:r>
        <w:rPr>
          <w:spacing w:val="-2"/>
        </w:rPr>
        <w:t>从取得子公司的净资产和生产经营决策的实际控制权之日起，本公司开始将其纳入合并范围；从丧失实际控制权之日起停止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5"/>
        </w:rPr>
        <w:t> </w:t>
      </w:r>
      <w:r>
        <w:rPr>
          <w:spacing w:val="-65"/>
        </w:rPr>
      </w:r>
      <w:r>
        <w:rPr>
          <w:spacing w:val="-2"/>
        </w:rPr>
        <w:t>期处置的子公司，不调整合并资产负债表的期初数。非同一控制下企业合并增加的子公司，其购买日后的经营成果及现金流</w:t>
      </w:r>
      <w:r>
        <w:rPr>
          <w:spacing w:val="-65"/>
        </w:rPr>
        <w:t> </w:t>
      </w:r>
      <w:r>
        <w:rPr>
          <w:spacing w:val="-65"/>
        </w:rPr>
      </w:r>
      <w:r>
        <w:rPr>
          <w:spacing w:val="-2"/>
        </w:rPr>
        <w:t>量已经适当地包括在合并利润表和合并现金流量表中，且不调整合并财务报表的期初数和对比数。同一控制下企业合并增加</w:t>
      </w:r>
      <w:r>
        <w:rPr>
          <w:spacing w:val="-64"/>
        </w:rPr>
        <w:t> </w:t>
      </w:r>
      <w:r>
        <w:rPr>
          <w:spacing w:val="-64"/>
        </w:rPr>
      </w:r>
      <w:r>
        <w:rPr>
          <w:spacing w:val="-2"/>
        </w:rPr>
        <w:t>的子公司及吸收合并下的被合并方，其自合并当期期初至合并日的经营成果和现金流量已经适当地包括在合并利润表和合并</w:t>
      </w:r>
      <w:r>
        <w:rPr>
          <w:spacing w:val="-64"/>
        </w:rPr>
        <w:t> </w:t>
      </w:r>
      <w:r>
        <w:rPr>
          <w:spacing w:val="-64"/>
        </w:rPr>
      </w:r>
      <w:r>
        <w:rPr/>
        <w:t>现金流量表中，并且同时调整合并财务报表的对比数。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4"/>
        </w:rPr>
        <w:t> </w:t>
      </w:r>
      <w:r>
        <w:rPr>
          <w:spacing w:val="-64"/>
        </w:rPr>
      </w:r>
      <w:r>
        <w:rPr/>
        <w:t>进行调整。</w:t>
      </w:r>
    </w:p>
    <w:p>
      <w:pPr>
        <w:pStyle w:val="BodyText"/>
        <w:spacing w:line="316" w:lineRule="auto" w:before="19"/>
        <w:ind w:right="94"/>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子公司的股东权益及当期净损益中不属于本公司所拥有的部分分别作为少数股东权益及少数股东损益在合并财务报表中股 </w:t>
      </w:r>
      <w:r>
        <w:rPr>
          <w:spacing w:val="-2"/>
        </w:rPr>
        <w:t>东权益及净利润项下单独列示。子公司当期净损益中属于少数股东权益的份额，在合并利润表中净利润项目下以“少数股东</w:t>
      </w:r>
      <w:r>
        <w:rPr>
          <w:spacing w:val="-65"/>
        </w:rPr>
        <w:t> </w:t>
      </w:r>
      <w:r>
        <w:rPr>
          <w:spacing w:val="-65"/>
        </w:rPr>
      </w:r>
      <w:r>
        <w:rPr>
          <w:spacing w:val="-2"/>
        </w:rPr>
        <w:t>损益”项目列示。少数股东分担的子公司的亏损超过了少数股东在该子公司期初股东权益中所享有的份额，仍冲减少数股东</w:t>
      </w:r>
      <w:r>
        <w:rPr>
          <w:spacing w:val="-65"/>
        </w:rPr>
        <w:t> </w:t>
      </w:r>
      <w:r>
        <w:rPr>
          <w:spacing w:val="-65"/>
        </w:rPr>
      </w:r>
      <w:r>
        <w:rPr/>
        <w:t>权益。 </w:t>
      </w:r>
      <w:r>
        <w:rPr>
          <w:spacing w:val="-2"/>
        </w:rPr>
        <w:t>当因处置部分股权投资或其他原因丧失了对原有子公司的控制权时，对于剩余股权，按照其在丧失控制权日的公允价值进行</w:t>
      </w:r>
      <w:r>
        <w:rPr>
          <w:spacing w:val="-64"/>
        </w:rPr>
        <w:t> </w:t>
      </w:r>
      <w:r>
        <w:rPr>
          <w:spacing w:val="-64"/>
        </w:rPr>
      </w:r>
      <w:r>
        <w:rPr>
          <w:spacing w:val="-2"/>
        </w:rPr>
        <w:t>重新计量。处置股权取得的对价与剩余股权公允价值之和，减去按原持股比例计算应享有原有子公司自购买日开始持续计算</w:t>
      </w:r>
      <w:r>
        <w:rPr>
          <w:spacing w:val="-64"/>
        </w:rPr>
        <w:t> </w:t>
      </w:r>
      <w:r>
        <w:rPr>
          <w:spacing w:val="-64"/>
        </w:rPr>
      </w:r>
      <w:r>
        <w:rPr>
          <w:spacing w:val="-2"/>
        </w:rPr>
        <w:t>的净资产的份额之间的差额，计入丧失控制权当期的投资收益。与原有子公司股权投资相关的其他综合收益，在丧失控制权</w:t>
      </w:r>
      <w:r>
        <w:rPr>
          <w:spacing w:val="-65"/>
        </w:rPr>
        <w:t> </w:t>
      </w:r>
      <w:r>
        <w:rPr>
          <w:spacing w:val="-65"/>
        </w:rPr>
      </w:r>
      <w:r>
        <w:rPr>
          <w:spacing w:val="-2"/>
        </w:rPr>
        <w:t>时采用与被购买方直接处置相关资产或负债相同的基础进行会计处理（即，除了在该原有子公司重新计量设定受益计划净负</w:t>
      </w:r>
      <w:r>
        <w:rPr>
          <w:spacing w:val="-64"/>
        </w:rPr>
        <w:t> </w:t>
      </w:r>
      <w:r>
        <w:rPr>
          <w:spacing w:val="-64"/>
        </w:rPr>
      </w:r>
      <w:r>
        <w:rPr>
          <w:spacing w:val="-4"/>
        </w:rPr>
        <w:t>债或净资产导致的变动以外，其余一并转为当期投资收益）。其后，对该部分剩余股权按照《企业会计准则第2号——长期股</w:t>
      </w:r>
      <w:r>
        <w:rPr>
          <w:spacing w:val="-46"/>
        </w:rPr>
        <w:t> </w:t>
      </w:r>
      <w:r>
        <w:rPr>
          <w:spacing w:val="-46"/>
        </w:rPr>
      </w:r>
      <w:r>
        <w:rPr>
          <w:spacing w:val="-4"/>
        </w:rPr>
        <w:t>权投资》或《企业会计准则第22号——金融工具确认和计量》等相关规定进行后续计量，详见本附注四、12“长期股权投资”</w:t>
      </w:r>
      <w:r>
        <w:rPr>
          <w:spacing w:val="-37"/>
        </w:rPr>
        <w:t> </w:t>
      </w:r>
      <w:r>
        <w:rPr>
          <w:spacing w:val="-37"/>
        </w:rPr>
      </w:r>
      <w:r>
        <w:rPr>
          <w:spacing w:val="-7"/>
        </w:rPr>
        <w:t>或本附注四、8“金融工具”。</w:t>
      </w:r>
      <w:r>
        <w:rPr>
          <w:spacing w:val="-83"/>
        </w:rPr>
        <w:t> </w:t>
      </w:r>
      <w:r>
        <w:rPr>
          <w:spacing w:val="-83"/>
        </w:rPr>
      </w:r>
      <w:r>
        <w:rPr>
          <w:spacing w:val="-2"/>
        </w:rPr>
        <w:t>本公司通过多次交易分步处置对子公司股权投资直至丧失控制权的，需区分处置对子公司股权投资直至丧失控制权的各项交</w:t>
      </w:r>
      <w:r>
        <w:rPr>
          <w:spacing w:val="-64"/>
        </w:rPr>
        <w:t> </w:t>
      </w:r>
      <w:r>
        <w:rPr>
          <w:spacing w:val="-64"/>
        </w:rPr>
      </w:r>
      <w:r>
        <w:rPr>
          <w:spacing w:val="-2"/>
        </w:rPr>
        <w:t>易是否属于一揽子交易。处置对子公司股权投资的各项交易的条款、条件以及经济影响符合以下一种或多种情况，通常表明</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2"/>
        <w:jc w:val="both"/>
      </w:pPr>
      <w:r>
        <w:rPr>
          <w:spacing w:val="-2"/>
        </w:rPr>
        <w:t>应将多次交易事项作为一揽子交易进行会计处理：①这些交易是同时或者在考虑了彼此影响的情况下订立的；②这些交易整</w:t>
      </w:r>
      <w:r>
        <w:rPr>
          <w:spacing w:val="-64"/>
        </w:rPr>
        <w:t> </w:t>
      </w:r>
      <w:r>
        <w:rPr>
          <w:spacing w:val="-64"/>
        </w:rPr>
      </w:r>
      <w:r>
        <w:rPr>
          <w:spacing w:val="-2"/>
        </w:rPr>
        <w:t>体才能达成一项完整的商业结果；③一项交易的发生取决于其他至少一项交易的发生；④一项交易单独看是不经济的，但是</w:t>
      </w:r>
      <w:r>
        <w:rPr>
          <w:spacing w:val="-65"/>
        </w:rPr>
        <w:t> </w:t>
      </w:r>
      <w:r>
        <w:rPr>
          <w:spacing w:val="-65"/>
        </w:rPr>
      </w:r>
      <w:r>
        <w:rPr>
          <w:spacing w:val="-2"/>
        </w:rPr>
        <w:t>和其他交易一并考虑时是经济的。不属于一揽子交易的，对其中的每一项交易视情况分别按照“不丧失控制权的情况下部分</w:t>
      </w:r>
      <w:r>
        <w:rPr>
          <w:spacing w:val="-65"/>
        </w:rPr>
        <w:t> </w:t>
      </w:r>
      <w:r>
        <w:rPr>
          <w:spacing w:val="-65"/>
        </w:rPr>
      </w:r>
      <w:r>
        <w:rPr>
          <w:spacing w:val="-4"/>
        </w:rPr>
        <w:t>处置对子公司的长期股权投资”（详见本附注四、12、（2）④）和“因处置部分股权投资或其他原因丧失了对原有子公司的</w:t>
      </w:r>
      <w:r>
        <w:rPr>
          <w:spacing w:val="-47"/>
        </w:rPr>
        <w:t> </w:t>
      </w:r>
      <w:r>
        <w:rPr>
          <w:spacing w:val="-47"/>
        </w:rPr>
      </w:r>
      <w:r>
        <w:rPr>
          <w:spacing w:val="-2"/>
        </w:rPr>
        <w:t>控制权”（详见前段）适用的原则进行会计处理。处置对子公司股权投资直至丧失控制权的各项交易属于一揽子交易的，将</w:t>
      </w:r>
      <w:r>
        <w:rPr>
          <w:spacing w:val="-71"/>
        </w:rPr>
        <w:t> </w:t>
      </w:r>
      <w:r>
        <w:rPr>
          <w:spacing w:val="-71"/>
        </w:rPr>
      </w:r>
      <w:r>
        <w:rPr>
          <w:spacing w:val="-2"/>
        </w:rPr>
        <w:t>各项交易作为一项处置子公司并丧失控制权的交易进行会计处理；但是，在丧失控制权之前每一次处置价款与处置投资对应</w:t>
      </w:r>
      <w:r>
        <w:rPr>
          <w:spacing w:val="-64"/>
        </w:rPr>
        <w:t> </w:t>
      </w:r>
      <w:r>
        <w:rPr>
          <w:spacing w:val="-64"/>
        </w:rPr>
      </w:r>
      <w:r>
        <w:rPr>
          <w:spacing w:val="-2"/>
        </w:rPr>
        <w:t>的享有该子公司净资产份额的差额，在合并财务报表中确认为其他综合收益，在丧失控制权时一并转入丧失控制权当期的损</w:t>
      </w:r>
      <w:r>
        <w:rPr>
          <w:spacing w:val="-64"/>
        </w:rPr>
        <w:t> </w:t>
      </w:r>
      <w:r>
        <w:rPr>
          <w:spacing w:val="-64"/>
        </w:rPr>
      </w:r>
      <w:r>
        <w:rPr/>
        <w:t>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合营安排，是指一项由两个或两个以上的参与方共同控制的安排。本公司根据在合营安排中享有的权利和承担的义务，将合</w:t>
      </w:r>
      <w:r>
        <w:rPr>
          <w:spacing w:val="-65"/>
        </w:rPr>
        <w:t> </w:t>
      </w:r>
      <w:r>
        <w:rPr>
          <w:spacing w:val="-65"/>
        </w:rPr>
      </w:r>
      <w:r>
        <w:rPr>
          <w:spacing w:val="-4"/>
        </w:rPr>
        <w:t>营安排分为共同经营和合营企业。共同经营，是指本公司享有该安排相关资产且承担该安排相关负债的合营安排。合营企业，</w:t>
      </w:r>
      <w:r>
        <w:rPr>
          <w:spacing w:val="-42"/>
        </w:rPr>
        <w:t> </w:t>
      </w:r>
      <w:r>
        <w:rPr>
          <w:spacing w:val="-42"/>
        </w:rPr>
      </w:r>
      <w:r>
        <w:rPr/>
        <w:t>是指本公司仅对该安排的净资产享有权利的合营安排。 </w:t>
      </w:r>
      <w:r>
        <w:rPr>
          <w:spacing w:val="-3"/>
        </w:rPr>
        <w:t>本公司对合营企业的投资采用权益法核算，按照本附注四、12、（2）②</w:t>
      </w:r>
      <w:r>
        <w:rPr/>
        <w:t> “权益法核算的长期股权投资”中所述的会计政策</w:t>
      </w:r>
      <w:r>
        <w:rPr>
          <w:spacing w:val="-82"/>
        </w:rPr>
        <w:t> </w:t>
      </w:r>
      <w:r>
        <w:rPr>
          <w:spacing w:val="-82"/>
        </w:rPr>
      </w:r>
      <w:r>
        <w:rPr/>
        <w:t>处理。 </w:t>
      </w:r>
      <w:r>
        <w:rPr>
          <w:spacing w:val="-2"/>
        </w:rPr>
        <w:t>本公司作为合营方对共同经营，确认本公司单独持有的资产、单独所承担的负债，以及按本公司份额确认共同持有的资产和</w:t>
      </w:r>
      <w:r>
        <w:rPr>
          <w:spacing w:val="-65"/>
        </w:rPr>
        <w:t> </w:t>
      </w:r>
      <w:r>
        <w:rPr>
          <w:spacing w:val="-65"/>
        </w:rPr>
      </w:r>
      <w:r>
        <w:rPr>
          <w:spacing w:val="-2"/>
        </w:rPr>
        <w:t>共同承担的负债；确认出售本公司享有的共同经营产出份额所产生的收入；按本公司份额确认共同经营因出售产出所产生的</w:t>
      </w:r>
      <w:r>
        <w:rPr>
          <w:spacing w:val="-64"/>
        </w:rPr>
        <w:t> </w:t>
      </w:r>
      <w:r>
        <w:rPr>
          <w:spacing w:val="-64"/>
        </w:rPr>
      </w:r>
      <w:r>
        <w:rPr/>
        <w:t>收入；确认本公司单独所发生的费用，以及按本公司份额确认共同经营发生的费用。 </w:t>
      </w:r>
      <w:r>
        <w:rPr>
          <w:spacing w:val="-2"/>
        </w:rPr>
        <w:t>当本公司作为合营方向共同经营投出或出售资产（该资产不构成业务，下同）、或者自共同经营购买资产时，在该等资产出</w:t>
      </w:r>
      <w:r>
        <w:rPr>
          <w:spacing w:val="-71"/>
        </w:rPr>
        <w:t> </w:t>
      </w:r>
      <w:r>
        <w:rPr>
          <w:spacing w:val="-71"/>
        </w:rPr>
      </w:r>
      <w:r>
        <w:rPr>
          <w:spacing w:val="-2"/>
        </w:rPr>
        <w:t>售给第三方之前，本公司仅确认因该交易产生的损益中归属于共同经营其他参与方的部分。该等资产发生符合《企业会计准</w:t>
      </w:r>
      <w:r>
        <w:rPr>
          <w:spacing w:val="-65"/>
        </w:rPr>
        <w:t> </w:t>
      </w:r>
      <w:r>
        <w:rPr>
          <w:spacing w:val="-65"/>
        </w:rPr>
      </w:r>
      <w:r>
        <w:rPr/>
        <w:t>则第8号——资产减值》等规定的资产减值损失的，对于由本公司向共同经营投出或出售资产的情况，本公司全额确认该损</w:t>
      </w:r>
      <w:r>
        <w:rPr/>
        <w:t> 失；对于本公司自共同经营购买资产的情况，本公司按承担的份额确认该损失。</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本公司现金及现金等价物包括库存现金、可以随时用于支付的存款以及本公司持有的期限短（一般为从购买日起三个月内到</w:t>
      </w:r>
      <w:r>
        <w:rPr>
          <w:spacing w:val="-64"/>
        </w:rPr>
        <w:t> </w:t>
      </w:r>
      <w:r>
        <w:rPr>
          <w:spacing w:val="-64"/>
        </w:rPr>
      </w:r>
      <w:r>
        <w:rPr>
          <w:spacing w:val="-3"/>
        </w:rPr>
        <w:t>期）、流动性强、易于转换为已知金额现金、价值变动风险很小的投资。</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jc w:val="both"/>
      </w:pPr>
      <w:r>
        <w:rPr>
          <w:spacing w:val="-2"/>
        </w:rPr>
        <w:t>在本公司成为金融工具合同的一方时确认一项金融资产或金融负债。金融资产和金融负债在初始确认时以公允价值计量。对</w:t>
      </w:r>
      <w:r>
        <w:rPr>
          <w:spacing w:val="-64"/>
        </w:rPr>
        <w:t> </w:t>
      </w:r>
      <w:r>
        <w:rPr>
          <w:spacing w:val="-64"/>
        </w:rPr>
      </w:r>
      <w:r>
        <w:rPr>
          <w:spacing w:val="-2"/>
        </w:rPr>
        <w:t>于以公允价值计量且其变动计入当期损益的金融资产和金融负债，相关的交易费用直接计入损益；对于其他类别的金融资产</w:t>
      </w:r>
      <w:r>
        <w:rPr>
          <w:spacing w:val="-64"/>
        </w:rPr>
        <w:t> </w:t>
      </w:r>
      <w:r>
        <w:rPr>
          <w:spacing w:val="-64"/>
        </w:rPr>
      </w:r>
      <w:r>
        <w:rPr/>
        <w:t>和金融负债，相关交易费用计入初始确认金额。</w:t>
      </w:r>
    </w:p>
    <w:p>
      <w:pPr>
        <w:pStyle w:val="BodyText"/>
        <w:spacing w:line="316" w:lineRule="auto" w:before="19"/>
        <w:ind w:right="94"/>
        <w:jc w:val="left"/>
      </w:pPr>
      <w:r>
        <w:rPr/>
        <w:t>（1）金融资产和金融负债的公允价值确定方法 </w:t>
      </w:r>
      <w:r>
        <w:rPr>
          <w:spacing w:val="-2"/>
        </w:rPr>
        <w:t>公允价值，是指市场参与者在计量日发生的有序交易中，出售一项资产所能收到或者转移一项负债所需支付的价格。金融工</w:t>
      </w:r>
      <w:r>
        <w:rPr>
          <w:spacing w:val="-65"/>
        </w:rPr>
        <w:t> </w:t>
      </w:r>
      <w:r>
        <w:rPr>
          <w:spacing w:val="-65"/>
        </w:rPr>
      </w:r>
      <w:r>
        <w:rPr>
          <w:spacing w:val="-2"/>
        </w:rPr>
        <w:t>具存在活跃市场的，本公司采用活跃市场中的报价确定其公允价值。活跃市场中的报价是指易于定期从交易所、经纪商、行</w:t>
      </w:r>
      <w:r>
        <w:rPr>
          <w:spacing w:val="-66"/>
        </w:rPr>
        <w:t> </w:t>
      </w:r>
      <w:r>
        <w:rPr>
          <w:spacing w:val="-66"/>
        </w:rPr>
      </w:r>
      <w:r>
        <w:rPr>
          <w:spacing w:val="-2"/>
        </w:rPr>
        <w:t>业协会、定价服务机构等获得的价格，且代表了在公平交易中实际发生的市场交易的价格。金融工具不存在活跃市场的，本</w:t>
      </w:r>
      <w:r>
        <w:rPr>
          <w:spacing w:val="-66"/>
        </w:rPr>
        <w:t> </w:t>
      </w:r>
      <w:r>
        <w:rPr>
          <w:spacing w:val="-66"/>
        </w:rPr>
      </w:r>
      <w:r>
        <w:rPr>
          <w:spacing w:val="-2"/>
        </w:rPr>
        <w:t>公司采用估值技术确定其公允价值。估值技术包括参考熟悉情况并自愿交易的各方最近进行的市场交易中使用的价格、参照</w:t>
      </w:r>
      <w:r>
        <w:rPr>
          <w:spacing w:val="-64"/>
        </w:rPr>
        <w:t> </w:t>
      </w:r>
      <w:r>
        <w:rPr>
          <w:spacing w:val="-64"/>
        </w:rPr>
      </w:r>
      <w:r>
        <w:rPr/>
        <w:t>实质上相同的其他金融工具当前的公允价值、现金流量折现法和期权定价模型等。</w:t>
      </w:r>
    </w:p>
    <w:p>
      <w:pPr>
        <w:pStyle w:val="BodyText"/>
        <w:spacing w:line="316" w:lineRule="auto" w:before="19"/>
        <w:ind w:right="94"/>
        <w:jc w:val="left"/>
      </w:pPr>
      <w:r>
        <w:rPr/>
        <w:t>（2）金融资产的分类、确认和计量 </w:t>
      </w:r>
      <w:r>
        <w:rPr>
          <w:spacing w:val="-2"/>
        </w:rPr>
        <w:t>以常规方式买卖金融资产，按交易日进行会计确认和终止确认。金融资产在初始确认时划分为以公允价值计量且其变动计入</w:t>
      </w:r>
      <w:r>
        <w:rPr>
          <w:spacing w:val="-64"/>
        </w:rPr>
        <w:t> </w:t>
      </w:r>
      <w:r>
        <w:rPr>
          <w:spacing w:val="-64"/>
        </w:rPr>
      </w:r>
      <w:r>
        <w:rPr/>
        <w:t>当期损益的金融资产、持有至到期投资、贷款和应收款项以及可供出售金融资产。</w:t>
      </w:r>
    </w:p>
    <w:p>
      <w:pPr>
        <w:pStyle w:val="BodyText"/>
        <w:spacing w:line="316" w:lineRule="auto" w:before="19"/>
        <w:ind w:right="3334"/>
        <w:jc w:val="left"/>
      </w:pPr>
      <w:r>
        <w:rPr/>
        <w:t>①</w:t>
      </w:r>
      <w:r>
        <w:rPr>
          <w:spacing w:val="1"/>
        </w:rPr>
        <w:t> </w:t>
      </w:r>
      <w:r>
        <w:rPr/>
        <w:t>以公允价值计量且其变动计入当期损益的金融资产</w:t>
      </w:r>
      <w:r>
        <w:rPr/>
        <w:t> 包括交易性金融资产和指定为以公允价值计量且其变动计入当期损益的金融资产。</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2"/>
        </w:rPr>
        <w:t>交易性金融资产是指满足下列条件之一的金融资产：A.取得该金融资产的目的，主要是为了近期内出售；B.属于进行集中管</w:t>
      </w:r>
      <w:r>
        <w:rPr>
          <w:spacing w:val="-63"/>
        </w:rPr>
        <w:t> </w:t>
      </w:r>
      <w:r>
        <w:rPr>
          <w:spacing w:val="-63"/>
        </w:rPr>
      </w:r>
      <w:r>
        <w:rPr/>
        <w:t>理的可辨认金融工具组合的一部分，且有客观证据表明本公司近期采用短期获利方式对该组合进行管理；C.属于衍生工具，</w:t>
      </w:r>
      <w:r>
        <w:rPr/>
        <w:t> </w:t>
      </w:r>
      <w:r>
        <w:rPr>
          <w:spacing w:val="-2"/>
        </w:rPr>
        <w:t>但是，被指定且为有效套期工具的衍生工具、属于财务担保合同的衍生工具、与在活跃市场中没有报价且其公允价值不能可</w:t>
      </w:r>
      <w:r>
        <w:rPr>
          <w:spacing w:val="-65"/>
        </w:rPr>
        <w:t> </w:t>
      </w:r>
      <w:r>
        <w:rPr>
          <w:spacing w:val="-65"/>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符合下述条件之一的金融资产，在初始确认时可指定为以公允价值计量且其变动计入当期损益的金融资产：A.该指定可以消</w:t>
      </w:r>
      <w:r>
        <w:rPr>
          <w:spacing w:val="-63"/>
        </w:rPr>
        <w:t> </w:t>
      </w:r>
      <w:r>
        <w:rPr>
          <w:spacing w:val="-63"/>
        </w:rPr>
      </w:r>
      <w:r>
        <w:rPr>
          <w:spacing w:val="-2"/>
        </w:rPr>
        <w:t>除或明显减少由于该金融资产的计量基础不同所导致的相关利得或损失在确认或计量方面不一致的情况；B.本公司风险管理</w:t>
      </w:r>
      <w:r>
        <w:rPr>
          <w:spacing w:val="-63"/>
        </w:rPr>
        <w:t> </w:t>
      </w:r>
      <w:r>
        <w:rPr>
          <w:spacing w:val="-63"/>
        </w:rPr>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19"/>
        <w:ind w:right="1714"/>
        <w:jc w:val="left"/>
      </w:pPr>
      <w:r>
        <w:rPr/>
        <w:t>②</w:t>
      </w:r>
      <w:r>
        <w:rPr>
          <w:spacing w:val="1"/>
        </w:rPr>
        <w:t> </w:t>
      </w:r>
      <w:r>
        <w:rPr/>
        <w:t>持有至到期投资</w:t>
      </w:r>
      <w:r>
        <w:rPr/>
        <w:t> 是指到期日固定、回收金额固定或可确定，且本公司有明确意图和能力持有至到期的非衍生金融资产。</w:t>
      </w:r>
    </w:p>
    <w:p>
      <w:pPr>
        <w:pStyle w:val="BodyText"/>
        <w:spacing w:line="316" w:lineRule="auto" w:before="19"/>
        <w:ind w:right="94"/>
        <w:jc w:val="left"/>
      </w:pPr>
      <w:r>
        <w:rPr>
          <w:spacing w:val="-2"/>
        </w:rPr>
        <w:t>持有至到期投资采用实际利率法，按摊余成本进行后续计量，在终止确认、发生减值或摊销时产生的利得或损失，计入当期</w:t>
      </w:r>
      <w:r>
        <w:rPr>
          <w:spacing w:val="-66"/>
        </w:rPr>
        <w:t> </w:t>
      </w:r>
      <w:r>
        <w:rPr>
          <w:spacing w:val="-66"/>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在计算实际利率时，本公司将在考虑金融资产或金融负债所有合同条款的基础上预计未来现金流量（不考虑未来的信用损 </w:t>
      </w:r>
      <w:r>
        <w:rPr>
          <w:spacing w:val="-2"/>
        </w:rPr>
        <w:t>失），同时还将考虑金融资产或金融负债合同各方之间支付或收取的、属于实际利率组成部分的各项收费、交易费用及折价</w:t>
      </w:r>
      <w:r>
        <w:rPr>
          <w:spacing w:val="-71"/>
        </w:rPr>
        <w:t> </w:t>
      </w:r>
      <w:r>
        <w:rPr>
          <w:spacing w:val="-71"/>
        </w:rPr>
      </w:r>
      <w:r>
        <w:rPr/>
        <w:t>或溢价等。</w:t>
      </w:r>
    </w:p>
    <w:p>
      <w:pPr>
        <w:pStyle w:val="BodyText"/>
        <w:spacing w:line="316" w:lineRule="auto" w:before="19"/>
        <w:ind w:right="94"/>
        <w:jc w:val="left"/>
      </w:pPr>
      <w:r>
        <w:rPr/>
        <w:t>③</w:t>
      </w:r>
      <w:r>
        <w:rPr>
          <w:spacing w:val="1"/>
        </w:rPr>
        <w:t> </w:t>
      </w:r>
      <w:r>
        <w:rPr/>
        <w:t>贷款和应收款项</w:t>
      </w:r>
      <w:r>
        <w:rPr/>
        <w:t> </w:t>
      </w:r>
      <w:r>
        <w:rPr>
          <w:spacing w:val="-2"/>
        </w:rPr>
        <w:t>是指在活跃市场中没有报价、回收金额固定或可确定的非衍生金融资产。本公司划分为贷款和应收款的金融资产包括应收票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6"/>
        </w:rPr>
        <w:t> </w:t>
      </w:r>
      <w:r>
        <w:rPr>
          <w:spacing w:val="-66"/>
        </w:rPr>
      </w:r>
      <w:r>
        <w:rPr/>
        <w:t>损益。</w:t>
      </w:r>
    </w:p>
    <w:p>
      <w:pPr>
        <w:pStyle w:val="BodyText"/>
        <w:spacing w:line="316" w:lineRule="auto" w:before="19"/>
        <w:ind w:right="94"/>
        <w:jc w:val="left"/>
      </w:pPr>
      <w:r>
        <w:rPr/>
        <w:t>④</w:t>
      </w:r>
      <w:r>
        <w:rPr>
          <w:spacing w:val="1"/>
        </w:rPr>
        <w:t> </w:t>
      </w:r>
      <w:r>
        <w:rPr/>
        <w:t>可供出售金融资产</w:t>
      </w:r>
      <w:r>
        <w:rPr/>
        <w:t>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可供出售债务工具投资的期末成本按照摊余成本法确定，即初始确认金额扣除已偿还的本金，加上或减去采用实际利率法将</w:t>
      </w:r>
      <w:r>
        <w:rPr>
          <w:spacing w:val="-64"/>
        </w:rPr>
        <w:t> </w:t>
      </w:r>
      <w:r>
        <w:rPr>
          <w:spacing w:val="-64"/>
        </w:rPr>
      </w:r>
      <w:r>
        <w:rPr>
          <w:spacing w:val="-2"/>
        </w:rPr>
        <w:t>该初始确认金额与到期日金额之间的差额进行摊销形成的累计摊销额，并扣除已发生的减值损失后的金额。可供出售权益工</w:t>
      </w:r>
      <w:r>
        <w:rPr>
          <w:spacing w:val="-64"/>
        </w:rPr>
        <w:t> </w:t>
      </w:r>
      <w:r>
        <w:rPr>
          <w:spacing w:val="-64"/>
        </w:rPr>
      </w:r>
      <w:r>
        <w:rPr/>
        <w:t>具投资的期末成本为其初始取得成本。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2"/>
        </w:rPr>
        <w:t>成本相关的汇兑差额计入当期损益外，确认为其他综合收益，在该金融资产终止确认时转出，计入当期损益。但是，在活跃</w:t>
      </w:r>
      <w:r>
        <w:rPr>
          <w:spacing w:val="-65"/>
        </w:rPr>
        <w:t> </w:t>
      </w:r>
      <w:r>
        <w:rPr>
          <w:spacing w:val="-65"/>
        </w:rPr>
      </w:r>
      <w:r>
        <w:rPr>
          <w:spacing w:val="-2"/>
        </w:rPr>
        <w:t>市场中没有报价且其公允价值不能可靠计量的权益工具投资，以及与该权益工具挂钩并须通过交付该权益工具结算的衍生金</w:t>
      </w:r>
      <w:r>
        <w:rPr>
          <w:spacing w:val="-64"/>
        </w:rPr>
        <w:t> </w:t>
      </w:r>
      <w:r>
        <w:rPr>
          <w:spacing w:val="-64"/>
        </w:rPr>
      </w:r>
      <w:r>
        <w:rPr/>
        <w:t>融资产，按照成本进行后续计量。 可供出售金融资产持有期间取得的利息及被投资单位宣告发放的现金股利，计入投资收益。</w:t>
      </w:r>
    </w:p>
    <w:p>
      <w:pPr>
        <w:pStyle w:val="BodyText"/>
        <w:spacing w:line="316" w:lineRule="auto" w:before="19"/>
        <w:ind w:right="94"/>
        <w:jc w:val="left"/>
      </w:pPr>
      <w:r>
        <w:rPr/>
        <w:t>（3）金融资产减值 除了以公允价值计量且其变动计入当期损益的金融资产外，本公司在每个资产负债表日对其他金融资产的账面价值进行检 查，有客观证据表明金融资产发生减值的，计提减值准备。 </w:t>
      </w:r>
      <w:r>
        <w:rPr>
          <w:spacing w:val="-2"/>
        </w:rPr>
        <w:t>本公司对单项金额重大的金融资产单独进行减值测试；对单项金额不重大的金融资产，单独进行减值测试或包括在具有类似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1"/>
        </w:rPr>
        <w:t> </w:t>
      </w:r>
      <w:r>
        <w:rPr>
          <w:spacing w:val="-41"/>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240" w:lineRule="auto" w:before="19"/>
        <w:ind w:right="94"/>
        <w:jc w:val="left"/>
      </w:pPr>
      <w:r>
        <w:rPr/>
        <w:t>①</w:t>
      </w:r>
      <w:r>
        <w:rPr>
          <w:spacing w:val="1"/>
        </w:rPr>
        <w:t> </w:t>
      </w:r>
      <w:r>
        <w:rPr/>
        <w:t>持有至到期投资、贷款和应收款项减值</w:t>
      </w:r>
    </w:p>
    <w:p>
      <w:pPr>
        <w:spacing w:after="0" w:line="240"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t>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5"/>
        </w:rPr>
        <w:t> </w:t>
      </w:r>
      <w:r>
        <w:rPr>
          <w:spacing w:val="-65"/>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9"/>
        <w:ind w:right="94"/>
        <w:jc w:val="left"/>
      </w:pPr>
      <w:r>
        <w:rPr/>
        <w:t>②</w:t>
      </w:r>
      <w:r>
        <w:rPr>
          <w:spacing w:val="1"/>
        </w:rPr>
        <w:t> </w:t>
      </w:r>
      <w:r>
        <w:rPr/>
        <w:t>可供出售金融资产减值</w:t>
      </w:r>
      <w:r>
        <w:rPr/>
        <w:t> 当综合相关因素判断可供出售权益工具投资公允价值下跌是严重或非暂时性下跌时，表明该可供出售权益工具投资发生减 值。 </w:t>
      </w:r>
      <w:r>
        <w:rPr>
          <w:spacing w:val="-2"/>
        </w:rPr>
        <w:t>可供出售金融资产发生减值时，将原计入其他综合收益的因公允价值下降形成的累计损失予以转出并计入当期损益，该转出</w:t>
      </w:r>
      <w:r>
        <w:rPr>
          <w:spacing w:val="-64"/>
        </w:rPr>
        <w:t> </w:t>
      </w:r>
      <w:r>
        <w:rPr>
          <w:spacing w:val="-64"/>
        </w:rPr>
      </w:r>
      <w:r>
        <w:rPr/>
        <w:t>的累计损失为该资产初始取得成本扣除已收回本金和已摊销金额、当前公允价值和原已计入损益的减值损失后的余额。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5"/>
        </w:rPr>
        <w:t> </w:t>
      </w:r>
      <w:r>
        <w:rPr>
          <w:spacing w:val="-65"/>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pStyle w:val="BodyText"/>
        <w:spacing w:line="240" w:lineRule="auto" w:before="19"/>
        <w:ind w:right="94"/>
        <w:jc w:val="left"/>
      </w:pPr>
      <w:r>
        <w:rPr/>
        <w:t>（4）金融资产转移的确认依据和计量方法</w:t>
      </w:r>
    </w:p>
    <w:p>
      <w:pPr>
        <w:pStyle w:val="BodyText"/>
        <w:spacing w:line="316" w:lineRule="auto" w:before="76"/>
        <w:ind w:right="174"/>
        <w:jc w:val="left"/>
      </w:pPr>
      <w:r>
        <w:rPr/>
        <w:t>满足下列条件之一的金融资产，予以终止确认：①</w:t>
      </w:r>
      <w:r>
        <w:rPr>
          <w:spacing w:val="-40"/>
        </w:rPr>
        <w:t> </w:t>
      </w:r>
      <w:r>
        <w:rPr/>
        <w:t>收取该金融资产现金流量的合同权利终止；②</w:t>
      </w:r>
      <w:r>
        <w:rPr>
          <w:spacing w:val="-40"/>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有权上几乎所有的风险和报酬，但是放弃了对该金融资产的控制。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5"/>
        </w:rPr>
        <w:t> </w:t>
      </w:r>
      <w:r>
        <w:rPr>
          <w:spacing w:val="-65"/>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 </w:t>
      </w:r>
      <w:r>
        <w:rPr>
          <w:spacing w:val="-2"/>
        </w:rPr>
        <w:t>本公司对采用附追索权方式出售的金融资产，或将持有的金融资产背书转让，需确定该金融资产所有权上几乎所有的风险和</w:t>
      </w:r>
      <w:r>
        <w:rPr>
          <w:spacing w:val="-64"/>
        </w:rPr>
        <w:t> </w:t>
      </w:r>
      <w:r>
        <w:rPr>
          <w:spacing w:val="-64"/>
        </w:rPr>
      </w:r>
      <w:r>
        <w:rPr>
          <w:spacing w:val="-2"/>
        </w:rPr>
        <w:t>报酬是否已经转移。已将该金融资产所有权上几乎所有的风险和报酬转移给转入方的，终止确认该金融资产；保留了金融资</w:t>
      </w:r>
      <w:r>
        <w:rPr>
          <w:spacing w:val="-65"/>
        </w:rPr>
        <w:t> </w:t>
      </w:r>
      <w:r>
        <w:rPr>
          <w:spacing w:val="-65"/>
        </w:rPr>
      </w:r>
      <w:r>
        <w:rPr>
          <w:spacing w:val="-2"/>
        </w:rPr>
        <w:t>产所有权上几乎所有的风险和报酬的，不终止确认该金融资产；既没有转移也没有保留金融资产所有权上几乎所有的风险和</w:t>
      </w:r>
      <w:r>
        <w:rPr>
          <w:spacing w:val="-64"/>
        </w:rPr>
        <w:t> </w:t>
      </w:r>
      <w:r>
        <w:rPr>
          <w:spacing w:val="-64"/>
        </w:rPr>
      </w:r>
      <w:r>
        <w:rPr/>
        <w:t>报酬的，则继续判断企业是否对该资产保留了控制，并根据前面各段所述的原则进行会计处理。</w:t>
      </w:r>
    </w:p>
    <w:p>
      <w:pPr>
        <w:pStyle w:val="BodyText"/>
        <w:spacing w:line="316" w:lineRule="auto" w:before="19"/>
        <w:ind w:right="94"/>
        <w:jc w:val="left"/>
      </w:pPr>
      <w:r>
        <w:rPr/>
        <w:t>（5）金融负债的分类和计量 </w:t>
      </w:r>
      <w:r>
        <w:rPr>
          <w:spacing w:val="-2"/>
        </w:rPr>
        <w:t>金融负债在初始确认时划分为以公允价值计量且其变动计入当期损益的金融负债和其他金融负债。初始确认金融负债，以公</w:t>
      </w:r>
      <w:r>
        <w:rPr>
          <w:spacing w:val="-64"/>
        </w:rPr>
        <w:t> </w:t>
      </w:r>
      <w:r>
        <w:rPr>
          <w:spacing w:val="-64"/>
        </w:rPr>
      </w:r>
      <w:r>
        <w:rPr>
          <w:spacing w:val="-2"/>
        </w:rPr>
        <w:t>允价值计量。对于以公允价值计量且其变动计入当期损益的金融负债，相关的交易费用直接计入当期损益；对于其他金融负</w:t>
      </w:r>
      <w:r>
        <w:rPr>
          <w:spacing w:val="-65"/>
        </w:rPr>
        <w:t> </w:t>
      </w:r>
      <w:r>
        <w:rPr>
          <w:spacing w:val="-65"/>
        </w:rPr>
      </w:r>
      <w:r>
        <w:rPr/>
        <w:t>债，相关交易费用计入初始确认金额。</w:t>
      </w:r>
    </w:p>
    <w:p>
      <w:pPr>
        <w:pStyle w:val="BodyText"/>
        <w:spacing w:line="316" w:lineRule="auto" w:before="19"/>
        <w:ind w:right="94"/>
        <w:jc w:val="left"/>
      </w:pPr>
      <w:r>
        <w:rPr/>
        <w:t>①</w:t>
      </w:r>
      <w:r>
        <w:rPr>
          <w:spacing w:val="1"/>
        </w:rPr>
        <w:t> </w:t>
      </w:r>
      <w:r>
        <w:rPr/>
        <w:t>以公允价值计量且其变动计入当期损益的金融负债</w:t>
      </w:r>
      <w:r>
        <w:rPr/>
        <w:t>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right="94"/>
        <w:jc w:val="left"/>
      </w:pPr>
      <w:r>
        <w:rPr/>
        <w:t>②</w:t>
      </w:r>
      <w:r>
        <w:rPr>
          <w:spacing w:val="1"/>
        </w:rPr>
        <w:t> </w:t>
      </w:r>
      <w:r>
        <w:rPr/>
        <w:t>其他金融负债</w:t>
      </w:r>
      <w:r>
        <w:rPr/>
        <w:t>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16" w:lineRule="auto" w:before="19"/>
        <w:ind w:right="94"/>
        <w:jc w:val="left"/>
      </w:pPr>
      <w:r>
        <w:rPr/>
        <w:t>③</w:t>
      </w:r>
      <w:r>
        <w:rPr>
          <w:spacing w:val="1"/>
        </w:rPr>
        <w:t> </w:t>
      </w:r>
      <w:r>
        <w:rPr/>
        <w:t>财务担保合同及贷款承诺</w:t>
      </w:r>
      <w:r>
        <w:rPr/>
        <w:t> </w:t>
      </w:r>
      <w:r>
        <w:rPr>
          <w:spacing w:val="-2"/>
        </w:rPr>
        <w:t>不属于指定为以公允价值计量且其变动计入当期损益的金融负债的财务担保合同，或没有指定为以公允价值计量且其变动计</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2"/>
        <w:jc w:val="both"/>
      </w:pPr>
      <w:r>
        <w:rPr>
          <w:spacing w:val="-2"/>
        </w:rPr>
        <w:t>入损益并将以低于市场利率贷款的贷款承诺，以公允价值进行初始确认，在初始确认后按照《企业会计准则第13号—或有事</w:t>
      </w:r>
      <w:r>
        <w:rPr>
          <w:spacing w:val="-64"/>
        </w:rPr>
        <w:t> </w:t>
      </w:r>
      <w:r>
        <w:rPr>
          <w:spacing w:val="-64"/>
        </w:rPr>
      </w:r>
      <w:r>
        <w:rPr>
          <w:spacing w:val="-2"/>
        </w:rPr>
        <w:t>项》确定的金额和初始确认金额扣除按照《企业会计准则第14号—收入》的原则确定的累计摊销额后的余额之中的较高者进</w:t>
      </w:r>
      <w:r>
        <w:rPr>
          <w:spacing w:val="-64"/>
        </w:rPr>
        <w:t> </w:t>
      </w:r>
      <w:r>
        <w:rPr>
          <w:spacing w:val="-64"/>
        </w:rPr>
      </w:r>
      <w:r>
        <w:rPr/>
        <w:t>行后续计量。</w:t>
      </w:r>
    </w:p>
    <w:p>
      <w:pPr>
        <w:pStyle w:val="BodyText"/>
        <w:spacing w:line="316" w:lineRule="auto" w:before="19"/>
        <w:ind w:right="94"/>
        <w:jc w:val="left"/>
      </w:pPr>
      <w:r>
        <w:rPr/>
        <w:t>（6）金融负债的终止确认 </w:t>
      </w:r>
      <w:r>
        <w:rPr>
          <w:spacing w:val="-2"/>
        </w:rPr>
        <w:t>金融负债的现时义务全部或部分已经解除的，才能终止确认该金融负债或其一部分。本公司（债务人）与债权人之间签订协</w:t>
      </w:r>
      <w:r>
        <w:rPr>
          <w:spacing w:val="-66"/>
        </w:rPr>
        <w:t> </w:t>
      </w:r>
      <w:r>
        <w:rPr>
          <w:spacing w:val="-66"/>
        </w:rPr>
      </w:r>
      <w:r>
        <w:rPr>
          <w:spacing w:val="-2"/>
        </w:rPr>
        <w:t>议，以承担新金融负债方式替换现存金融负债，且新金融负债与现存金融负债的合同条款实质上不同的，终止确认现存金融</w:t>
      </w:r>
      <w:r>
        <w:rPr>
          <w:spacing w:val="-65"/>
        </w:rPr>
        <w:t> </w:t>
      </w:r>
      <w:r>
        <w:rPr>
          <w:spacing w:val="-65"/>
        </w:rPr>
      </w:r>
      <w:r>
        <w:rPr/>
        <w:t>负债，并同时确认新金融负债。 金融负债全部或部分终止确认的，将终止确认部分的账面价值与支付的对价（包括转出的非现金资产或承担的新金融负债） 之间的差额，计入当期损益。</w:t>
      </w:r>
    </w:p>
    <w:p>
      <w:pPr>
        <w:pStyle w:val="BodyText"/>
        <w:spacing w:line="316" w:lineRule="auto" w:before="19"/>
        <w:ind w:right="94"/>
        <w:jc w:val="left"/>
      </w:pPr>
      <w:r>
        <w:rPr/>
        <w:t>（7）衍生工具及嵌入衍生工具 </w:t>
      </w:r>
      <w:r>
        <w:rPr>
          <w:spacing w:val="-4"/>
        </w:rPr>
        <w:t>衍生工具于相关合同签署日以公允价值进行初始计量，并以公允价值进行后续计量。衍生工具的公允价值变动计入当期损益。</w:t>
      </w:r>
      <w:r>
        <w:rPr>
          <w:spacing w:val="-41"/>
        </w:rPr>
        <w:t> </w:t>
      </w:r>
      <w:r>
        <w:rPr>
          <w:spacing w:val="-41"/>
        </w:rPr>
      </w:r>
      <w:r>
        <w:rPr>
          <w:spacing w:val="-2"/>
        </w:rPr>
        <w:t>对包含嵌入衍生工具的混合工具，如未指定为以公允价值计量且其变动计入当期损益的金融资产或金融负债，嵌入衍生工具</w:t>
      </w:r>
      <w:r>
        <w:rPr>
          <w:spacing w:val="-64"/>
        </w:rPr>
        <w:t> </w:t>
      </w:r>
      <w:r>
        <w:rPr>
          <w:spacing w:val="-64"/>
        </w:rPr>
      </w:r>
      <w:r>
        <w:rPr>
          <w:spacing w:val="-2"/>
        </w:rPr>
        <w:t>与该主合同在经济特征及风险方面不存在紧密关系，且与嵌入衍生工具条件相同，单独存在的工具符合衍生工具定义的，嵌</w:t>
      </w:r>
      <w:r>
        <w:rPr>
          <w:spacing w:val="-65"/>
        </w:rPr>
        <w:t> </w:t>
      </w:r>
      <w:r>
        <w:rPr>
          <w:spacing w:val="-65"/>
        </w:rPr>
      </w:r>
      <w:r>
        <w:rPr>
          <w:spacing w:val="-2"/>
        </w:rPr>
        <w:t>入衍生工具从混合工具中分拆，作为单独的衍生金融工具处理。如果无法在取得时或后续的资产负债表日对嵌入衍生工具进</w:t>
      </w:r>
      <w:r>
        <w:rPr>
          <w:spacing w:val="-64"/>
        </w:rPr>
        <w:t> </w:t>
      </w:r>
      <w:r>
        <w:rPr>
          <w:spacing w:val="-64"/>
        </w:rPr>
      </w:r>
      <w:r>
        <w:rPr/>
        <w:t>行单独计量，则将混合工具整体指定为以公允价值计量且其变动计入当期损益的金融资产或金融负债。</w:t>
      </w:r>
    </w:p>
    <w:p>
      <w:pPr>
        <w:pStyle w:val="BodyText"/>
        <w:spacing w:line="316" w:lineRule="auto" w:before="19"/>
        <w:ind w:right="94"/>
        <w:jc w:val="left"/>
      </w:pPr>
      <w:r>
        <w:rPr/>
        <w:t>（8）金融资产和金融负债的抵销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5"/>
        </w:rPr>
        <w:t> </w:t>
      </w:r>
      <w:r>
        <w:rPr>
          <w:spacing w:val="-65"/>
        </w:rPr>
      </w:r>
      <w:r>
        <w:rPr/>
        <w:t>和金融负债在资产负债表内分别列示，不予相互抵销。</w:t>
      </w:r>
    </w:p>
    <w:p>
      <w:pPr>
        <w:pStyle w:val="BodyText"/>
        <w:spacing w:line="316" w:lineRule="auto" w:before="19"/>
        <w:ind w:right="94"/>
        <w:jc w:val="left"/>
      </w:pPr>
      <w:r>
        <w:rPr/>
        <w:t>（9）权益工具 </w:t>
      </w:r>
      <w:r>
        <w:rPr>
          <w:spacing w:val="-2"/>
        </w:rPr>
        <w:t>权益工具是指能证明拥有本公司在扣除所有负债后的资产中的剩余权益的合同。本公司发行（含再融资）、回购、出售或注</w:t>
      </w:r>
      <w:r>
        <w:rPr>
          <w:spacing w:val="-71"/>
        </w:rPr>
        <w:t> </w:t>
      </w:r>
      <w:r>
        <w:rPr>
          <w:spacing w:val="-71"/>
        </w:rPr>
      </w:r>
      <w:r>
        <w:rPr/>
        <w:t>销权益工具作为权益的变动处理。本公司不确认权益工具的公允价值变动。与权益性交易相关的交易费用从权益中扣减。 </w:t>
      </w:r>
      <w:r>
        <w:rPr>
          <w:spacing w:val="-2"/>
        </w:rPr>
        <w:t>本公司对权益工具持有方的各种分配（不包括股票股利），减少股东权益。本公司不确认权益工具的公允价值变动额。</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10</w:t>
      </w:r>
      <w:r>
        <w:rPr/>
        <w:t>、应收款项</w:t>
      </w:r>
      <w:r>
        <w:rPr>
          <w:b w:val="0"/>
          <w:bCs w:val="0"/>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万元以上的应收款项确认为单项 金额重大的应收款项。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独测试未发生减值的金融资产，包括在具有类似信用风险</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特征的金融资产组合中进行减值测试。单项测试已确认减</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值损失的应收款项，不再包括在具有类似信用风险特征的</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应收款项组合中进行减值测试。</w:t>
            </w:r>
          </w:p>
        </w:tc>
      </w:tr>
    </w:tbl>
    <w:p>
      <w:pPr>
        <w:spacing w:line="240" w:lineRule="auto" w:before="3"/>
        <w:rPr>
          <w:rFonts w:ascii="宋体" w:hAnsi="宋体" w:cs="宋体" w:eastAsia="宋体" w:hint="default"/>
          <w:b/>
          <w:bCs/>
          <w:sz w:val="19"/>
          <w:szCs w:val="19"/>
        </w:rPr>
      </w:pPr>
    </w:p>
    <w:p>
      <w:pPr>
        <w:spacing w:before="34"/>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合并范围内关联方组合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应收退税款组合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0"/>
        <w:ind w:right="94"/>
        <w:jc w:val="left"/>
      </w:pPr>
      <w:r>
        <w:rPr/>
        <w:t>组合中，采用账龄分析法计提坏账准备的：</w:t>
      </w:r>
    </w:p>
    <w:p>
      <w:pPr>
        <w:spacing w:after="0" w:line="240"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before="44"/>
        <w:ind w:right="94"/>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8"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52"/>
        <w:ind w:right="94"/>
        <w:jc w:val="left"/>
      </w:pPr>
      <w:r>
        <w:rPr/>
        <w:t>组合中，采用余额百分比法计提坏账准备的：</w:t>
      </w:r>
    </w:p>
    <w:p>
      <w:pPr>
        <w:pStyle w:val="BodyText"/>
        <w:spacing w:line="360" w:lineRule="auto" w:before="115"/>
        <w:ind w:right="6574"/>
        <w:jc w:val="left"/>
      </w:pPr>
      <w:r>
        <w:rPr/>
        <w:t>□ 适用 √ 不适用 组合中，采用其他方法计提坏账准备的：</w:t>
      </w:r>
    </w:p>
    <w:p>
      <w:pPr>
        <w:pStyle w:val="BodyText"/>
        <w:spacing w:line="240" w:lineRule="auto" w:before="27"/>
        <w:ind w:right="94"/>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4"/>
        <w:gridCol w:w="4784"/>
      </w:tblGrid>
      <w:tr>
        <w:trPr>
          <w:trHeight w:val="358"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本公司对存在如下特征的单项金额虽不重大的应收款项，</w:t>
            </w:r>
          </w:p>
        </w:tc>
      </w:tr>
      <w:tr>
        <w:trPr>
          <w:trHeight w:val="628"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103" w:right="101"/>
              <w:jc w:val="left"/>
              <w:rPr>
                <w:rFonts w:ascii="宋体" w:hAnsi="宋体" w:cs="宋体" w:eastAsia="宋体" w:hint="default"/>
                <w:sz w:val="18"/>
                <w:szCs w:val="18"/>
              </w:rPr>
            </w:pPr>
            <w:r>
              <w:rPr>
                <w:rFonts w:ascii="宋体" w:hAnsi="宋体" w:cs="宋体" w:eastAsia="宋体" w:hint="default"/>
                <w:spacing w:val="-1"/>
                <w:sz w:val="18"/>
                <w:szCs w:val="18"/>
              </w:rPr>
              <w:t>考虑其未来可收回的风险，计提坏账准备：</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、与对方存在</w:t>
            </w:r>
            <w:r>
              <w:rPr>
                <w:rFonts w:ascii="宋体" w:hAnsi="宋体" w:cs="宋体" w:eastAsia="宋体" w:hint="default"/>
                <w:sz w:val="18"/>
                <w:szCs w:val="18"/>
              </w:rPr>
              <w:t> </w:t>
            </w:r>
            <w:r>
              <w:rPr>
                <w:rFonts w:ascii="宋体" w:hAnsi="宋体" w:cs="宋体" w:eastAsia="宋体" w:hint="default"/>
                <w:spacing w:val="-1"/>
                <w:sz w:val="18"/>
                <w:szCs w:val="18"/>
              </w:rPr>
              <w:t>争议或涉及诉讼、仲裁的应收款项；</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、已有明显迹象表明</w:t>
            </w:r>
          </w:p>
        </w:tc>
      </w:tr>
      <w:tr>
        <w:trPr>
          <w:trHeight w:val="353"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债务人很可能无法履行还款义务的应收款项。</w:t>
            </w:r>
          </w:p>
        </w:tc>
      </w:tr>
      <w:tr>
        <w:trPr>
          <w:trHeight w:val="357" w:hRule="exact"/>
        </w:trPr>
        <w:tc>
          <w:tcPr>
            <w:tcW w:w="4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1"/>
                <w:sz w:val="18"/>
                <w:szCs w:val="18"/>
              </w:rPr>
              <w:t>项，单独进行减值测试，有客观证据表明其发生了减值的，</w:t>
            </w:r>
          </w:p>
        </w:tc>
      </w:tr>
      <w:tr>
        <w:trPr>
          <w:trHeight w:val="624"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68"/>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 值损失，计提坏账准备：应收关联方款项；与对方存在争</w:t>
            </w:r>
          </w:p>
        </w:tc>
      </w:tr>
      <w:tr>
        <w:trPr>
          <w:trHeight w:val="312" w:hRule="exact"/>
        </w:trPr>
        <w:tc>
          <w:tcPr>
            <w:tcW w:w="4784" w:type="dxa"/>
            <w:tcBorders>
              <w:top w:val="nil" w:sz="6" w:space="0" w:color="auto"/>
              <w:left w:val="single" w:sz="4" w:space="0" w:color="000000"/>
              <w:bottom w:val="nil" w:sz="6" w:space="0" w:color="auto"/>
              <w:right w:val="single" w:sz="4" w:space="0" w:color="000000"/>
            </w:tcBorders>
            <w:shd w:val="clear" w:color="auto" w:fill="D2D2D2"/>
          </w:tcPr>
          <w:p>
            <w:pPr/>
          </w:p>
        </w:tc>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议或涉及诉讼、仲裁的应收款项；已有明显迹象表明债务</w:t>
            </w:r>
          </w:p>
        </w:tc>
      </w:tr>
      <w:tr>
        <w:trPr>
          <w:trHeight w:val="357" w:hRule="exact"/>
        </w:trPr>
        <w:tc>
          <w:tcPr>
            <w:tcW w:w="4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人很可能无法履行还款义务的应收款项；等等。</w:t>
            </w:r>
          </w:p>
        </w:tc>
      </w:tr>
    </w:tbl>
    <w:p>
      <w:pPr>
        <w:spacing w:line="240" w:lineRule="auto" w:before="5"/>
        <w:rPr>
          <w:rFonts w:ascii="宋体" w:hAnsi="宋体" w:cs="宋体" w:eastAsia="宋体" w:hint="default"/>
          <w:b/>
          <w:bCs/>
          <w:sz w:val="19"/>
          <w:szCs w:val="19"/>
        </w:rPr>
      </w:pPr>
    </w:p>
    <w:p>
      <w:pPr>
        <w:spacing w:before="34"/>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316" w:lineRule="auto" w:before="29"/>
        <w:ind w:right="2254"/>
        <w:jc w:val="left"/>
      </w:pPr>
      <w:r>
        <w:rPr/>
        <w:t>（1）存货的分类 存货主要包括原材料、在产品及自制半成品、产成品、库存商品、委托加工物资、发出商品等。</w:t>
      </w:r>
    </w:p>
    <w:p>
      <w:pPr>
        <w:pStyle w:val="BodyText"/>
        <w:spacing w:line="316" w:lineRule="auto" w:before="19"/>
        <w:ind w:right="814"/>
        <w:jc w:val="left"/>
      </w:pPr>
      <w:r>
        <w:rPr/>
        <w:t>（2）存货取得和发出的计价方法 存货在取得时按实际成本计价，存货成本包括采购成本、加工成本和其他成本。领用和发出时按加权平均法计价。</w:t>
      </w:r>
    </w:p>
    <w:p>
      <w:pPr>
        <w:pStyle w:val="BodyText"/>
        <w:spacing w:line="316" w:lineRule="auto" w:before="19"/>
        <w:ind w:right="94"/>
        <w:jc w:val="left"/>
      </w:pPr>
      <w:r>
        <w:rPr/>
        <w:t>（3）存货可变现净值的确认和跌价准备的计提方法 </w:t>
      </w:r>
      <w:r>
        <w:rPr>
          <w:spacing w:val="-4"/>
        </w:rPr>
        <w:t>可变现净值是指在日常活动中，存货的估计售价减去至完工时估计将要发生的成本、估计的销售费用以及相关税费后的金额。</w:t>
      </w:r>
      <w:r>
        <w:rPr>
          <w:spacing w:val="-41"/>
        </w:rPr>
        <w:t> </w:t>
      </w:r>
      <w:r>
        <w:rPr>
          <w:spacing w:val="-41"/>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在资产负债表日，存货按照成本与可变现净值孰低计量。当其可变现净值低于成本时，提取存货跌价准备。存货跌价准备通</w:t>
      </w:r>
      <w:r>
        <w:rPr>
          <w:spacing w:val="-66"/>
        </w:rPr>
        <w:t> </w:t>
      </w:r>
      <w:r>
        <w:rPr>
          <w:spacing w:val="-66"/>
        </w:rPr>
      </w:r>
      <w:r>
        <w:rPr/>
        <w:t>常按单个存货项目的成本高于其可变现净值的差额提取。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5"/>
        </w:rPr>
        <w:t> </w:t>
      </w:r>
      <w:r>
        <w:rPr>
          <w:spacing w:val="-65"/>
        </w:rPr>
      </w:r>
      <w:r>
        <w:rPr/>
        <w:t>的存货跌价准备金额内予以转回，转回的金额计入当期损益。</w:t>
      </w:r>
    </w:p>
    <w:p>
      <w:pPr>
        <w:pStyle w:val="BodyText"/>
        <w:spacing w:line="240" w:lineRule="auto" w:before="19"/>
        <w:ind w:right="94"/>
        <w:jc w:val="left"/>
      </w:pPr>
      <w:r>
        <w:rPr/>
        <w:t>（4）存货的盘存制度为永续盘存制。</w:t>
      </w:r>
    </w:p>
    <w:p>
      <w:pPr>
        <w:spacing w:after="0" w:line="240" w:lineRule="auto"/>
        <w:jc w:val="left"/>
        <w:sectPr>
          <w:footerReference w:type="default" r:id="rId34"/>
          <w:pgSz w:w="11910" w:h="16840"/>
          <w:pgMar w:footer="1013" w:header="907" w:top="1100" w:bottom="1200" w:left="1020" w:right="940"/>
          <w:pgNumType w:start="11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rFonts w:ascii="Times New Roman" w:hAnsi="Times New Roman" w:cs="Times New Roman" w:eastAsia="Times New Roman" w:hint="default"/>
        </w:rPr>
        <w:t>12</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83"/>
        <w:jc w:val="left"/>
      </w:pPr>
      <w:r>
        <w:rPr>
          <w:spacing w:val="-2"/>
        </w:rPr>
        <w:t>本公司若主要通过出售（包括具有商业实质的非货币性资产交换，下同）而非持续使用一项非流动资产或处置组收回其账面</w:t>
      </w:r>
      <w:r>
        <w:rPr>
          <w:spacing w:val="-65"/>
        </w:rPr>
        <w:t> </w:t>
      </w:r>
      <w:r>
        <w:rPr>
          <w:spacing w:val="-65"/>
        </w:rPr>
      </w:r>
      <w:r>
        <w:rPr>
          <w:spacing w:val="-2"/>
        </w:rPr>
        <w:t>价值的，则将其划分为持有待售类别。具体标准为同时满足以下条件：某项非流动资产或处置组根据类似交易中出售此类资</w:t>
      </w:r>
      <w:r>
        <w:rPr>
          <w:spacing w:val="-65"/>
        </w:rPr>
        <w:t> </w:t>
      </w:r>
      <w:r>
        <w:rPr>
          <w:spacing w:val="-65"/>
        </w:rPr>
      </w:r>
      <w:r>
        <w:rPr>
          <w:spacing w:val="-2"/>
        </w:rPr>
        <w:t>产或处置组的惯例，在当前状况下即可立即出售；本公司已经就出售计划作出决议且获得确定的购买承诺；预计出售将在一</w:t>
      </w:r>
      <w:r>
        <w:rPr>
          <w:spacing w:val="-65"/>
        </w:rPr>
        <w:t> </w:t>
      </w:r>
      <w:r>
        <w:rPr>
          <w:spacing w:val="-65"/>
        </w:rPr>
      </w:r>
      <w:r>
        <w:rPr>
          <w:spacing w:val="-2"/>
        </w:rPr>
        <w:t>年内完成。其中，处置组是指在一项交易中作为整体通过出售或其他方式一并处置的一组资产，以及在该交易中转让的与这</w:t>
      </w:r>
      <w:r>
        <w:rPr>
          <w:spacing w:val="-65"/>
        </w:rPr>
        <w:t> </w:t>
      </w:r>
      <w:r>
        <w:rPr>
          <w:spacing w:val="-65"/>
        </w:rPr>
      </w:r>
      <w:r>
        <w:rPr/>
        <w:t>些资产直接相关的负债。处置组所属的资产组或资产组组合按照《企业会计准则第 8</w:t>
      </w:r>
      <w:r>
        <w:rPr>
          <w:spacing w:val="1"/>
        </w:rPr>
        <w:t> </w:t>
      </w:r>
      <w:r>
        <w:rPr/>
        <w:t>号——资产减值》分摊了企业合并中</w:t>
      </w:r>
      <w:r>
        <w:rPr/>
        <w:t> 取得的商誉的，该处置组应当包含分摊至处置组的商誉。 </w:t>
      </w:r>
      <w:r>
        <w:rPr>
          <w:spacing w:val="-2"/>
        </w:rPr>
        <w:t>本公司初始计量或在资产负债表日重新计量划分为持有待售的非流动资产和处置组时，其账面价值高于公允价值减去出售费</w:t>
      </w:r>
      <w:r>
        <w:rPr>
          <w:spacing w:val="-64"/>
        </w:rPr>
        <w:t> </w:t>
      </w:r>
      <w:r>
        <w:rPr>
          <w:spacing w:val="-64"/>
        </w:rPr>
      </w:r>
      <w:r>
        <w:rPr>
          <w:spacing w:val="-2"/>
        </w:rPr>
        <w:t>用后的净额的，将账面价值减记至公允价值减去出售费用后的净额，减记的金额确认为资产减值损失，计入当期损益，同时</w:t>
      </w:r>
      <w:r>
        <w:rPr>
          <w:spacing w:val="-66"/>
        </w:rPr>
        <w:t> </w:t>
      </w:r>
      <w:r>
        <w:rPr>
          <w:spacing w:val="-66"/>
        </w:rPr>
      </w:r>
      <w:r>
        <w:rPr>
          <w:spacing w:val="-2"/>
        </w:rPr>
        <w:t>计提持有待售资产减值准备。对于处置组，所确认的资产减值损失先抵减处置组中商誉的账面价值，再按比例抵减该处置组</w:t>
      </w:r>
      <w:r>
        <w:rPr>
          <w:spacing w:val="-65"/>
        </w:rPr>
        <w:t> </w:t>
      </w:r>
      <w:r>
        <w:rPr>
          <w:spacing w:val="-65"/>
        </w:rPr>
      </w:r>
      <w:r>
        <w:rPr>
          <w:spacing w:val="-5"/>
        </w:rPr>
        <w:t>内适用《企业会计准则第42号——持有待售的非流动资产、处置组和终止经营》（以下简称“持有待售准则”）的计量规定的</w:t>
      </w:r>
      <w:r>
        <w:rPr>
          <w:spacing w:val="-76"/>
        </w:rPr>
        <w:t> </w:t>
      </w:r>
      <w:r>
        <w:rPr>
          <w:spacing w:val="-76"/>
        </w:rPr>
      </w:r>
      <w:r>
        <w:rPr>
          <w:spacing w:val="-2"/>
        </w:rPr>
        <w:t>各项非流动资产的账面价值。后续资产负债表日持有待售的处置组公允价值减去出售费用后的净额增加的，以前减记的金额</w:t>
      </w:r>
      <w:r>
        <w:rPr>
          <w:spacing w:val="-64"/>
        </w:rPr>
        <w:t> </w:t>
      </w:r>
      <w:r>
        <w:rPr>
          <w:spacing w:val="-64"/>
        </w:rPr>
      </w:r>
      <w:r>
        <w:rPr>
          <w:spacing w:val="-2"/>
        </w:rPr>
        <w:t>应当予以恢复，并在划分为持有待售类别后适用持有待售准则计量规定的非流动资产确认的资产减值损失金额内转回，转回</w:t>
      </w:r>
      <w:r>
        <w:rPr>
          <w:spacing w:val="-64"/>
        </w:rPr>
        <w:t> </w:t>
      </w:r>
      <w:r>
        <w:rPr>
          <w:spacing w:val="-64"/>
        </w:rPr>
      </w:r>
      <w:r>
        <w:rPr>
          <w:spacing w:val="-2"/>
        </w:rPr>
        <w:t>金额计入当期损益，并根据处置组中除商誉外适用持有待售准则计量规定的各项非流动资产账面价值所占比重按比例增加其</w:t>
      </w:r>
      <w:r>
        <w:rPr>
          <w:spacing w:val="-64"/>
        </w:rPr>
        <w:t> </w:t>
      </w:r>
      <w:r>
        <w:rPr>
          <w:spacing w:val="-64"/>
        </w:rPr>
      </w:r>
      <w:r>
        <w:rPr>
          <w:spacing w:val="-2"/>
        </w:rPr>
        <w:t>账面价值；已抵减的商誉账面价值，以及适用持有待售准则计量规定的非流动资产在划分为持有待售类别前确认的资产减值</w:t>
      </w:r>
      <w:r>
        <w:rPr>
          <w:spacing w:val="-64"/>
        </w:rPr>
        <w:t> </w:t>
      </w:r>
      <w:r>
        <w:rPr>
          <w:spacing w:val="-64"/>
        </w:rPr>
      </w:r>
      <w:r>
        <w:rPr/>
        <w:t>损失不得转回。 </w:t>
      </w:r>
      <w:r>
        <w:rPr>
          <w:spacing w:val="-2"/>
        </w:rPr>
        <w:t>持有待售的非流动资产或处置组中的非流动资产不计提折旧或摊销，持有待售的处置组中负债的利息和其他费用继续予以确</w:t>
      </w:r>
      <w:r>
        <w:rPr>
          <w:spacing w:val="-64"/>
        </w:rPr>
        <w:t> </w:t>
      </w:r>
      <w:r>
        <w:rPr>
          <w:spacing w:val="-64"/>
        </w:rPr>
      </w:r>
      <w:r>
        <w:rPr/>
        <w:t>认。 </w:t>
      </w:r>
      <w:r>
        <w:rPr>
          <w:spacing w:val="-2"/>
        </w:rPr>
        <w:t>非流动资产或处置组不再满足持有待售类别的划分条件时，本公司不再将其继续划分为持有待售类别或将非流动资产从持有</w:t>
      </w:r>
      <w:r>
        <w:rPr>
          <w:spacing w:val="-64"/>
        </w:rPr>
        <w:t> </w:t>
      </w:r>
      <w:r>
        <w:rPr>
          <w:spacing w:val="-64"/>
        </w:rPr>
      </w:r>
      <w:r>
        <w:rPr>
          <w:spacing w:val="-4"/>
        </w:rPr>
        <w:t>待售的处置组中移除，并按照以下两者孰低计量：（1）划分为持有待售类别前的账面价值，按照假定不划分为持有待售类别</w:t>
      </w:r>
      <w:r>
        <w:rPr>
          <w:spacing w:val="-45"/>
        </w:rPr>
        <w:t> </w:t>
      </w:r>
      <w:r>
        <w:rPr>
          <w:spacing w:val="-45"/>
        </w:rPr>
      </w:r>
      <w:r>
        <w:rPr>
          <w:spacing w:val="-3"/>
        </w:rPr>
        <w:t>情况下本应确认的折旧、摊销或减值等进行调整后的金额；（2）可收回金额。</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本部分所指的长期股权投资是指本公司对被投资单位具有控制、共同控制或重大影响的长期股权投资。本公司对被投资单位</w:t>
      </w:r>
      <w:r>
        <w:rPr>
          <w:spacing w:val="-64"/>
        </w:rPr>
        <w:t> </w:t>
      </w:r>
      <w:r>
        <w:rPr>
          <w:spacing w:val="-64"/>
        </w:rPr>
      </w:r>
      <w:r>
        <w:rPr>
          <w:spacing w:val="-2"/>
        </w:rPr>
        <w:t>不具有控制、共同控制或重大影响的长期股权投资，作为可供出售金融资产或以公允价值计量且其变动计入当期损益的金融</w:t>
      </w:r>
      <w:r>
        <w:rPr>
          <w:spacing w:val="-64"/>
        </w:rPr>
        <w:t> </w:t>
      </w:r>
      <w:r>
        <w:rPr>
          <w:spacing w:val="-64"/>
        </w:rPr>
      </w:r>
      <w:r>
        <w:rPr>
          <w:spacing w:val="-4"/>
        </w:rPr>
        <w:t>资产核算，其会计政策详见附注四、8“金融工具”。</w:t>
      </w:r>
      <w:r>
        <w:rPr>
          <w:spacing w:val="-85"/>
        </w:rPr>
        <w:t> </w:t>
      </w:r>
      <w:r>
        <w:rPr>
          <w:spacing w:val="-85"/>
        </w:rPr>
      </w:r>
      <w:r>
        <w:rPr>
          <w:spacing w:val="-2"/>
        </w:rPr>
        <w:t>共同控制，是指本公司按照相关约定对某项安排所共有的控制，并且该安排的相关活动必须经过分享控制权的参与方一致同</w:t>
      </w:r>
      <w:r>
        <w:rPr>
          <w:spacing w:val="-64"/>
        </w:rPr>
        <w:t> </w:t>
      </w:r>
      <w:r>
        <w:rPr>
          <w:spacing w:val="-64"/>
        </w:rPr>
      </w:r>
      <w:r>
        <w:rPr>
          <w:spacing w:val="-2"/>
        </w:rPr>
        <w:t>意后才能决策。重大影响，是指本公司对被投资单位的财务和经营政策有参与决策的权力，但并不能够控制或者与其他方一</w:t>
      </w:r>
      <w:r>
        <w:rPr>
          <w:spacing w:val="-65"/>
        </w:rPr>
        <w:t> </w:t>
      </w:r>
      <w:r>
        <w:rPr>
          <w:spacing w:val="-65"/>
        </w:rPr>
      </w:r>
      <w:r>
        <w:rPr/>
        <w:t>起共同控制这些政策的制定。</w:t>
      </w:r>
    </w:p>
    <w:p>
      <w:pPr>
        <w:pStyle w:val="BodyText"/>
        <w:spacing w:line="316" w:lineRule="auto" w:before="19"/>
        <w:ind w:right="94"/>
        <w:jc w:val="left"/>
      </w:pPr>
      <w:r>
        <w:rPr/>
        <w:t>（1）投资成本的确定 </w:t>
      </w:r>
      <w:r>
        <w:rPr>
          <w:spacing w:val="-2"/>
        </w:rPr>
        <w:t>对于同一控制下的企业合并取得的长期股权投资，在合并日按照被合并方股东权益在最终控制方合并财务报表中的账面价值</w:t>
      </w:r>
      <w:r>
        <w:rPr>
          <w:spacing w:val="-64"/>
        </w:rPr>
        <w:t> </w:t>
      </w:r>
      <w:r>
        <w:rPr>
          <w:spacing w:val="-64"/>
        </w:rPr>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5"/>
        </w:rPr>
        <w:t> </w:t>
      </w:r>
      <w:r>
        <w:rPr>
          <w:spacing w:val="-65"/>
        </w:rPr>
      </w:r>
      <w:r>
        <w:rPr>
          <w:spacing w:val="-2"/>
        </w:rPr>
        <w:t>照被合并方股东权益在最终控制方合并财务报表中的账面价值的份额作为长期股权投资的初始投资成本，按照发行股份的面</w:t>
      </w:r>
      <w:r>
        <w:rPr>
          <w:spacing w:val="-64"/>
        </w:rPr>
        <w:t> </w:t>
      </w:r>
      <w:r>
        <w:rPr>
          <w:spacing w:val="-64"/>
        </w:rPr>
      </w:r>
      <w:r>
        <w:rPr>
          <w:spacing w:val="-2"/>
        </w:rPr>
        <w:t>值总额作为股本，长期股权投资初始投资成本与所发行股份面值总额之间的差额，调整资本公积；资本公积不足冲减的，调</w:t>
      </w:r>
      <w:r>
        <w:rPr>
          <w:spacing w:val="-66"/>
        </w:rPr>
        <w:t> </w:t>
      </w:r>
      <w:r>
        <w:rPr>
          <w:spacing w:val="-66"/>
        </w:rPr>
      </w:r>
      <w:r>
        <w:rPr/>
        <w:t>整留存收益。 </w:t>
      </w:r>
      <w:r>
        <w:rPr>
          <w:spacing w:val="-2"/>
        </w:rPr>
        <w:t>对于非同一控制下的企业合并取得的长期股权投资，在购买日按照合并成本作为长期股权投资的初始投资成本，合并成本包</w:t>
      </w:r>
      <w:r>
        <w:rPr>
          <w:spacing w:val="-64"/>
        </w:rPr>
        <w:t> </w:t>
      </w:r>
      <w:r>
        <w:rPr>
          <w:spacing w:val="-64"/>
        </w:rPr>
      </w:r>
      <w:r>
        <w:rPr/>
        <w:t>括购买方付出的资产、发生或承担的负债、发行的权益性证券的公允价值之和。 合并方或购买方为企业合并发生的审计、法律服务、评估咨询等中介费用以及其他相关管理费用，于发生时计入当期损益。 </w:t>
      </w:r>
      <w:r>
        <w:rPr>
          <w:spacing w:val="-2"/>
        </w:rPr>
        <w:t>除企业合并形成的长期股权投资外的其他股权投资，按成本进行初始计量，该成本视长期股权投资取得方式的不同，分别按</w:t>
      </w:r>
      <w:r>
        <w:rPr>
          <w:spacing w:val="-65"/>
        </w:rPr>
        <w:t> </w:t>
      </w:r>
      <w:r>
        <w:rPr>
          <w:spacing w:val="-65"/>
        </w:rPr>
      </w:r>
      <w:r>
        <w:rPr>
          <w:spacing w:val="-2"/>
        </w:rPr>
        <w:t>照本公司实际支付的现金购买价款、本公司发行的权益性证券的公允价值、投资合同或协议约定的价值、非货币性资产交换</w:t>
      </w:r>
      <w:r>
        <w:rPr>
          <w:spacing w:val="-65"/>
        </w:rPr>
        <w:t> </w:t>
      </w:r>
      <w:r>
        <w:rPr>
          <w:spacing w:val="-65"/>
        </w:rPr>
      </w:r>
      <w:r>
        <w:rPr>
          <w:spacing w:val="-2"/>
        </w:rPr>
        <w:t>交易中换出资产的公允价值或原账面价值、该项长期股权投资自身的公允价值等方式确定。与取得长期股权投资直接相关的</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192"/>
        <w:jc w:val="both"/>
      </w:pPr>
      <w:r>
        <w:rPr>
          <w:spacing w:val="-2"/>
        </w:rPr>
        <w:t>费用、税金及其他必要支出也计入投资成本。对于因追加投资能够对被投资单位实施重大影响或实施共同控制但不构成控制</w:t>
      </w:r>
      <w:r>
        <w:rPr>
          <w:spacing w:val="-64"/>
        </w:rPr>
        <w:t> </w:t>
      </w:r>
      <w:r>
        <w:rPr>
          <w:spacing w:val="-64"/>
        </w:rPr>
      </w:r>
      <w:r>
        <w:rPr>
          <w:spacing w:val="-2"/>
        </w:rPr>
        <w:t>的，长期股权投资成本为按照《企业会计准则第22号——金融工具确认和计量》确定的原持有股权投资的公允价值加上新增</w:t>
      </w:r>
      <w:r>
        <w:rPr>
          <w:spacing w:val="-64"/>
        </w:rPr>
        <w:t> </w:t>
      </w:r>
      <w:r>
        <w:rPr>
          <w:spacing w:val="-64"/>
        </w:rPr>
      </w:r>
      <w:r>
        <w:rPr/>
        <w:t>投资成本之和。</w:t>
      </w:r>
    </w:p>
    <w:p>
      <w:pPr>
        <w:pStyle w:val="BodyText"/>
        <w:spacing w:line="316" w:lineRule="auto" w:before="19"/>
        <w:ind w:right="94"/>
        <w:jc w:val="left"/>
      </w:pPr>
      <w:r>
        <w:rPr/>
        <w:t>（2）后续计量及损益确认方法 </w:t>
      </w:r>
      <w:r>
        <w:rPr>
          <w:spacing w:val="-2"/>
        </w:rPr>
        <w:t>对被投资单位具有共同控制（构成共同经营者除外）或重大影响的长期股权投资，采用权益法核算。此外，公司财务报表采</w:t>
      </w:r>
      <w:r>
        <w:rPr>
          <w:spacing w:val="-66"/>
        </w:rPr>
        <w:t> </w:t>
      </w:r>
      <w:r>
        <w:rPr>
          <w:spacing w:val="-66"/>
        </w:rPr>
      </w:r>
      <w:r>
        <w:rPr/>
        <w:t>用成本法核算能够对被投资单位实施控制的长期股权投资。</w:t>
      </w:r>
    </w:p>
    <w:p>
      <w:pPr>
        <w:pStyle w:val="BodyText"/>
        <w:spacing w:line="316" w:lineRule="auto" w:before="19"/>
        <w:ind w:right="94"/>
        <w:jc w:val="left"/>
      </w:pPr>
      <w:r>
        <w:rPr/>
        <w:t>①</w:t>
      </w:r>
      <w:r>
        <w:rPr>
          <w:spacing w:val="1"/>
        </w:rPr>
        <w:t> </w:t>
      </w:r>
      <w:r>
        <w:rPr/>
        <w:t>成本法核算的长期股权投资</w:t>
      </w:r>
      <w:r>
        <w:rPr/>
        <w:t> </w:t>
      </w:r>
      <w:r>
        <w:rPr>
          <w:spacing w:val="-2"/>
        </w:rPr>
        <w:t>采用成本法核算时，长期股权投资按初始投资成本计价，追加或收回投资调整长期股权投资的成本。除取得投资时实际支付</w:t>
      </w:r>
      <w:r>
        <w:rPr>
          <w:spacing w:val="-65"/>
        </w:rPr>
        <w:t> </w:t>
      </w:r>
      <w:r>
        <w:rPr>
          <w:spacing w:val="-65"/>
        </w:rPr>
      </w:r>
      <w:r>
        <w:rPr>
          <w:spacing w:val="-2"/>
        </w:rPr>
        <w:t>的价款或者对价中包含的已宣告但尚未发放的现金股利或者利润外，当期投资收益按照享有被投资单位宣告发放的现金股利</w:t>
      </w:r>
      <w:r>
        <w:rPr>
          <w:spacing w:val="-64"/>
        </w:rPr>
        <w:t> </w:t>
      </w:r>
      <w:r>
        <w:rPr>
          <w:spacing w:val="-64"/>
        </w:rPr>
      </w:r>
      <w:r>
        <w:rPr/>
        <w:t>或利润确认。</w:t>
      </w:r>
    </w:p>
    <w:p>
      <w:pPr>
        <w:pStyle w:val="BodyText"/>
        <w:spacing w:line="316" w:lineRule="auto" w:before="19"/>
        <w:ind w:right="94"/>
        <w:jc w:val="left"/>
      </w:pPr>
      <w:r>
        <w:rPr/>
        <w:t>②</w:t>
      </w:r>
      <w:r>
        <w:rPr>
          <w:spacing w:val="1"/>
        </w:rPr>
        <w:t> </w:t>
      </w:r>
      <w:r>
        <w:rPr/>
        <w:t>权益法核算的长期股权投资</w:t>
      </w:r>
      <w:r>
        <w:rPr/>
        <w:t>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r>
        <w:rPr>
          <w:spacing w:val="-41"/>
        </w:rPr>
        <w:t> </w:t>
      </w:r>
      <w:r>
        <w:rPr>
          <w:spacing w:val="-41"/>
        </w:rPr>
      </w:r>
      <w:r>
        <w:rPr/>
        <w:t>同时调整长期股权投资的成本。 </w:t>
      </w:r>
      <w:r>
        <w:rPr>
          <w:spacing w:val="-2"/>
        </w:rPr>
        <w:t>采用权益法核算时，按照应享有或应分担的被投资单位实现的净损益和其他综合收益的份额，分别确认投资收益和其他综合</w:t>
      </w:r>
      <w:r>
        <w:rPr>
          <w:spacing w:val="-64"/>
        </w:rPr>
        <w:t> </w:t>
      </w:r>
      <w:r>
        <w:rPr>
          <w:spacing w:val="-64"/>
        </w:rPr>
      </w:r>
      <w:r>
        <w:rPr>
          <w:spacing w:val="-2"/>
        </w:rPr>
        <w:t>收益，同时调整长期股权投资的账面价值；按照被投资单位宣告分派的利润或现金股利计算应享有的部分，相应减少长期股</w:t>
      </w:r>
      <w:r>
        <w:rPr>
          <w:spacing w:val="-65"/>
        </w:rPr>
        <w:t> </w:t>
      </w:r>
      <w:r>
        <w:rPr>
          <w:spacing w:val="-65"/>
        </w:rPr>
      </w:r>
      <w:r>
        <w:rPr>
          <w:spacing w:val="-2"/>
        </w:rPr>
        <w:t>权投资的账面价值；对于被投资单位除净损益、其他综合收益和利润分配以外所有者权益的其他变动，调整长期股权投资的</w:t>
      </w:r>
      <w:r>
        <w:rPr>
          <w:spacing w:val="-65"/>
        </w:rPr>
        <w:t> </w:t>
      </w:r>
      <w:r>
        <w:rPr>
          <w:spacing w:val="-65"/>
        </w:rPr>
      </w:r>
      <w:r>
        <w:rPr>
          <w:spacing w:val="-2"/>
        </w:rPr>
        <w:t>账面价值并计入资本公积。在确认应享有被投资单位净损益的份额时，以取得投资时被投资单位各项可辨认资产等的公允价</w:t>
      </w:r>
      <w:r>
        <w:rPr>
          <w:spacing w:val="-64"/>
        </w:rPr>
        <w:t> </w:t>
      </w:r>
      <w:r>
        <w:rPr>
          <w:spacing w:val="-64"/>
        </w:rPr>
      </w:r>
      <w:r>
        <w:rPr>
          <w:spacing w:val="-2"/>
        </w:rPr>
        <w:t>值为基础，对被投资单位的净利润进行调整后确认。被投资单位采用的会计政策及会计期间与本公司不一致的，按照本公司</w:t>
      </w:r>
      <w:r>
        <w:rPr>
          <w:spacing w:val="-65"/>
        </w:rPr>
        <w:t> </w:t>
      </w:r>
      <w:r>
        <w:rPr>
          <w:spacing w:val="-65"/>
        </w:rPr>
      </w:r>
      <w:r>
        <w:rPr>
          <w:spacing w:val="-2"/>
        </w:rPr>
        <w:t>的会计政策及会计期间对被投资单位的财务报表进行调整，并据以确认投资收益和其他综合收益。对于本公司与联营企业及</w:t>
      </w:r>
      <w:r>
        <w:rPr>
          <w:spacing w:val="-64"/>
        </w:rPr>
        <w:t> </w:t>
      </w:r>
      <w:r>
        <w:rPr>
          <w:spacing w:val="-64"/>
        </w:rPr>
      </w:r>
      <w:r>
        <w:rPr>
          <w:spacing w:val="-2"/>
        </w:rPr>
        <w:t>合营企业之间发生的交易，投出或出售的资产不构成业务的，未实现内部交易损益按照享有的比例计算归属于本公司的部分</w:t>
      </w:r>
      <w:r>
        <w:rPr>
          <w:spacing w:val="-64"/>
        </w:rPr>
        <w:t> </w:t>
      </w:r>
      <w:r>
        <w:rPr>
          <w:spacing w:val="-64"/>
        </w:rPr>
      </w:r>
      <w:r>
        <w:rPr>
          <w:spacing w:val="-2"/>
        </w:rPr>
        <w:t>予以抵销，在此基础上确认投资损益。但本公司与被投资单位发生的未实现内部交易损失，属于所转让资产减值损失的，不</w:t>
      </w:r>
      <w:r>
        <w:rPr>
          <w:spacing w:val="-66"/>
        </w:rPr>
        <w:t> </w:t>
      </w:r>
      <w:r>
        <w:rPr>
          <w:spacing w:val="-66"/>
        </w:rPr>
      </w:r>
      <w:r>
        <w:rPr/>
        <w:t>予以抵销。 </w:t>
      </w: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记至零为限。此外，如本公司对被投资单位负有承担额外损失的义务，则按预计承担的义务确认预计负债，计入当期投资损</w:t>
      </w:r>
      <w:r>
        <w:rPr>
          <w:spacing w:val="-66"/>
        </w:rPr>
        <w:t> </w:t>
      </w:r>
      <w:r>
        <w:rPr>
          <w:spacing w:val="-66"/>
        </w:rPr>
      </w:r>
      <w:r>
        <w:rPr/>
        <w:t>失。被投资单位以后期间实现净利润的，本公司在收益分享额弥补未确认的亏损分担额后，恢复确认收益分享额。</w:t>
      </w:r>
    </w:p>
    <w:p>
      <w:pPr>
        <w:pStyle w:val="BodyText"/>
        <w:spacing w:line="316" w:lineRule="auto" w:before="19"/>
        <w:ind w:right="94"/>
        <w:jc w:val="left"/>
      </w:pPr>
      <w:r>
        <w:rPr/>
        <w:t>③</w:t>
      </w:r>
      <w:r>
        <w:rPr>
          <w:spacing w:val="1"/>
        </w:rPr>
        <w:t> </w:t>
      </w:r>
      <w:r>
        <w:rPr/>
        <w:t>收购少数股权</w:t>
      </w:r>
      <w:r>
        <w:rPr/>
        <w:t>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16" w:lineRule="auto" w:before="19"/>
        <w:ind w:right="94"/>
        <w:jc w:val="left"/>
      </w:pPr>
      <w:r>
        <w:rPr/>
        <w:t>④</w:t>
      </w:r>
      <w:r>
        <w:rPr>
          <w:spacing w:val="1"/>
        </w:rPr>
        <w:t> </w:t>
      </w:r>
      <w:r>
        <w:rPr/>
        <w:t>处置长期股权投资</w:t>
      </w:r>
      <w:r>
        <w:rPr/>
        <w:t>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应享有子公司净资产的差额计入股东权益；母公司部分处置对子公司的长期股权投资导致丧失对子公司控制权的，按本附注</w:t>
      </w:r>
      <w:r>
        <w:rPr>
          <w:spacing w:val="-64"/>
        </w:rPr>
        <w:t> </w:t>
      </w:r>
      <w:r>
        <w:rPr>
          <w:spacing w:val="-64"/>
        </w:rPr>
      </w:r>
      <w:r>
        <w:rPr>
          <w:spacing w:val="-6"/>
        </w:rPr>
        <w:t>四、5、（2）“合并财务报表编制的方法”中所述的相关会计政策处理。</w:t>
      </w:r>
      <w:r>
        <w:rPr>
          <w:spacing w:val="-74"/>
        </w:rPr>
        <w:t> </w:t>
      </w:r>
      <w:r>
        <w:rPr>
          <w:spacing w:val="-74"/>
        </w:rPr>
      </w:r>
      <w:r>
        <w:rPr/>
        <w:t>其他情形下的长期股权投资处置，对于处置的股权，其账面价值与实际取得价款的差额，计入当期损益。 </w:t>
      </w:r>
      <w:r>
        <w:rPr>
          <w:spacing w:val="-2"/>
        </w:rPr>
        <w:t>采用权益法核算的长期股权投资，处置后的剩余股权仍采用权益法核算的，在处置时将原计入股东权益的其他综合收益部分</w:t>
      </w:r>
      <w:r>
        <w:rPr>
          <w:spacing w:val="-64"/>
        </w:rPr>
        <w:t> </w:t>
      </w:r>
      <w:r>
        <w:rPr>
          <w:spacing w:val="-64"/>
        </w:rPr>
      </w:r>
      <w:r>
        <w:rPr>
          <w:spacing w:val="-2"/>
        </w:rPr>
        <w:t>按相应的比例采用与被投资单位直接处置相关资产或负债相同的基础进行会计处理。因被投资方除净损益、其他综合收益和</w:t>
      </w:r>
      <w:r>
        <w:rPr>
          <w:spacing w:val="-64"/>
        </w:rPr>
        <w:t> </w:t>
      </w:r>
      <w:r>
        <w:rPr>
          <w:spacing w:val="-64"/>
        </w:rPr>
      </w:r>
      <w:r>
        <w:rPr/>
        <w:t>利润分配以外的其他所有者权益变动而确认的所有者权益，按比例结转入当期损益。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算或金融工具确认和计量准则核算而确认的其他综合收益，采用与被投资单位直接处置相关资产或负债相同的基础进行会计</w:t>
      </w:r>
      <w:r>
        <w:rPr>
          <w:spacing w:val="-64"/>
        </w:rPr>
        <w:t> </w:t>
      </w:r>
      <w:r>
        <w:rPr>
          <w:spacing w:val="-64"/>
        </w:rPr>
      </w:r>
      <w:r>
        <w:rPr>
          <w:spacing w:val="-2"/>
        </w:rPr>
        <w:t>处理，并按比例结转当期损益；因采用权益法核算而确认的被投资单位净资产中除净损益、其他综合收益和利润分配以外的</w:t>
      </w:r>
      <w:r>
        <w:rPr>
          <w:spacing w:val="-65"/>
        </w:rPr>
        <w:t> </w:t>
      </w:r>
      <w:r>
        <w:rPr>
          <w:spacing w:val="-65"/>
        </w:rPr>
      </w:r>
      <w:r>
        <w:rPr/>
        <w:t>其他所有者权益变动按比例结转当期损益。</w:t>
      </w:r>
    </w:p>
    <w:p>
      <w:pPr>
        <w:spacing w:after="0" w:line="316" w:lineRule="auto"/>
        <w:jc w:val="left"/>
        <w:sectPr>
          <w:pgSz w:w="11910" w:h="16840"/>
          <w:pgMar w:header="907" w:footer="1013" w:top="1100" w:bottom="1200" w:left="1020" w:right="940"/>
        </w:sectPr>
      </w:pPr>
    </w:p>
    <w:p>
      <w:pPr>
        <w:spacing w:line="240" w:lineRule="auto" w:before="10"/>
        <w:rPr>
          <w:rFonts w:ascii="宋体" w:hAnsi="宋体" w:cs="宋体" w:eastAsia="宋体" w:hint="default"/>
          <w:sz w:val="21"/>
          <w:szCs w:val="21"/>
        </w:rPr>
      </w:pPr>
    </w:p>
    <w:p>
      <w:pPr>
        <w:pStyle w:val="Heading4"/>
        <w:spacing w:line="240" w:lineRule="auto" w:before="34"/>
        <w:ind w:right="0"/>
        <w:jc w:val="both"/>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2"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）确认条件</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192"/>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10.00-30.00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3.17-9.50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1"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电子设备及其他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3.00-5.00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1"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11"/>
        <w:ind w:right="94"/>
        <w:jc w:val="left"/>
      </w:pPr>
      <w:r>
        <w:rPr/>
        <w:t>与固定资产有关的后续支出，如果与该固定资产有关的经济利益很可能流入且其成本能可靠地计量，则计入固定资产成本， 并终止确认被替换部分的账面价值。除此以外的其他后续支出，在发生时计入当期损益。 </w:t>
      </w:r>
      <w:r>
        <w:rPr>
          <w:spacing w:val="-2"/>
        </w:rPr>
        <w:t>当固定资产处于处置状态或预期通过使用或处置不能产生经济利益时，终止确认该固定资产。固定资产出售、转让、报废或</w:t>
      </w:r>
      <w:r>
        <w:rPr>
          <w:spacing w:val="-66"/>
        </w:rPr>
        <w:t> </w:t>
      </w:r>
      <w:r>
        <w:rPr>
          <w:spacing w:val="-66"/>
        </w:rPr>
      </w:r>
      <w:r>
        <w:rPr/>
        <w:t>毁损的处置收入扣除其账面价值和相关税费后的差额计入当期损益。 本公司至少于年度终了对固定资产的使用寿命、预计净残值和折旧方法进行复核，如发生改变则作为会计估计变更处理。</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right="94"/>
        <w:jc w:val="left"/>
      </w:pPr>
      <w:r>
        <w:rPr>
          <w:spacing w:val="-2"/>
        </w:rPr>
        <w:t>在建工程成本按实际工程支出确定，包括在建期间发生的各项工程支出、工程达到预定可使用状态前的资本化的借款费用以</w:t>
      </w:r>
      <w:r>
        <w:rPr>
          <w:spacing w:val="-64"/>
        </w:rPr>
        <w:t> </w:t>
      </w:r>
      <w:r>
        <w:rPr>
          <w:spacing w:val="-64"/>
        </w:rPr>
      </w:r>
      <w:r>
        <w:rPr/>
        <w:t>及其他相关费用等。在建工程在达到预定可使用状态后结转为固定资产。 在建工程的减值测试方法和减值准备计提方法详见附注四、18“长期资产减值“。</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借款费用包括借款利息、折价或溢价的摊销、辅助费用以及因外币借款而发生的汇兑差额等。可直接归属于符合资本化条件</w:t>
      </w:r>
      <w:r>
        <w:rPr>
          <w:spacing w:val="-65"/>
        </w:rPr>
        <w:t> </w:t>
      </w:r>
      <w:r>
        <w:rPr>
          <w:spacing w:val="-65"/>
        </w:rPr>
      </w:r>
      <w:r>
        <w:rPr>
          <w:spacing w:val="-2"/>
        </w:rPr>
        <w:t>的资产的购建或者生产的借款费用，在资产支出已经发生、借款费用已经发生、为使资产达到预定可使用或可销售状态所必</w:t>
      </w:r>
      <w:r>
        <w:rPr>
          <w:spacing w:val="-65"/>
        </w:rPr>
        <w:t> </w:t>
      </w:r>
      <w:r>
        <w:rPr>
          <w:spacing w:val="-65"/>
        </w:rPr>
      </w:r>
      <w:r>
        <w:rPr>
          <w:spacing w:val="-2"/>
        </w:rPr>
        <w:t>要的购建或生产活动已经开始时，开始资本化；构建或者生产的符合资本化条件的资产达到预定可使用状态或者可销售状态</w:t>
      </w:r>
      <w:r>
        <w:rPr>
          <w:spacing w:val="-64"/>
        </w:rPr>
        <w:t> </w:t>
      </w:r>
      <w:r>
        <w:rPr>
          <w:spacing w:val="-64"/>
        </w:rPr>
      </w:r>
      <w:r>
        <w:rPr/>
        <w:t>时，停止资本化。其余借款费用在发生当期确认为费用。 </w:t>
      </w:r>
      <w:r>
        <w:rPr>
          <w:spacing w:val="-2"/>
        </w:rPr>
        <w:t>专门借款当期实际发生的利息费用，减去尚未动用的借款资金存入银行取得的利息收入或进行暂时性投资取得的投资收益后</w:t>
      </w:r>
      <w:r>
        <w:rPr>
          <w:spacing w:val="-64"/>
        </w:rPr>
        <w:t> </w:t>
      </w:r>
      <w:r>
        <w:rPr>
          <w:spacing w:val="-64"/>
        </w:rPr>
      </w:r>
      <w:r>
        <w:rPr/>
        <w:t>的金额予以资本化；一般借款根据累计资产支出超过专门借款部分的资产支出加权平均数乘以所占用一般借款的资本化率， 确定资本化金额。资本化率根据一般借款的加权平均利率计算确定。 资本化期间内，外币专门借款的汇兑差额全部予以资本化；外币一般借款的汇兑差额计入当期损益。 </w:t>
      </w:r>
      <w:r>
        <w:rPr>
          <w:spacing w:val="-2"/>
        </w:rPr>
        <w:t>符合资本化条件的资产指需要经过相当长时间的购建或者生产活动才能达到预定可使用或可销售状态的固定资产、投资性房</w:t>
      </w:r>
      <w:r>
        <w:rPr>
          <w:spacing w:val="-64"/>
        </w:rPr>
        <w:t> </w:t>
      </w:r>
      <w:r>
        <w:rPr>
          <w:spacing w:val="-64"/>
        </w:rPr>
      </w:r>
      <w:r>
        <w:rPr/>
        <w:t>地产和存货等资产。 </w:t>
      </w:r>
      <w:r>
        <w:rPr>
          <w:spacing w:val="-2"/>
        </w:rPr>
        <w:t>如果符合资本化条件的资产在购建或生产过程中发生非正常中断、并且中断时间连续超过3个月的，暂停借款费用的资本化，</w:t>
      </w:r>
      <w:r>
        <w:rPr>
          <w:spacing w:val="-61"/>
        </w:rPr>
        <w:t> </w:t>
      </w:r>
      <w:r>
        <w:rPr>
          <w:spacing w:val="-61"/>
        </w:rPr>
      </w:r>
      <w:r>
        <w:rPr/>
        <w:t>直至资产的购建或生产活动重新开始。</w:t>
      </w:r>
    </w:p>
    <w:p>
      <w:pPr>
        <w:spacing w:after="0" w:line="316" w:lineRule="auto"/>
        <w:jc w:val="left"/>
        <w:sectPr>
          <w:pgSz w:w="11910" w:h="16840"/>
          <w:pgMar w:header="907" w:footer="1013" w:top="1100" w:bottom="1200" w:left="1020" w:right="940"/>
        </w:sectPr>
      </w:pPr>
    </w:p>
    <w:p>
      <w:pPr>
        <w:spacing w:line="240" w:lineRule="auto" w:before="10"/>
        <w:rPr>
          <w:rFonts w:ascii="宋体" w:hAnsi="宋体" w:cs="宋体" w:eastAsia="宋体" w:hint="default"/>
          <w:sz w:val="21"/>
          <w:szCs w:val="21"/>
        </w:rPr>
      </w:pPr>
    </w:p>
    <w:p>
      <w:pPr>
        <w:spacing w:before="34"/>
        <w:ind w:left="112" w:right="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）计价方法、使用寿命、减值测试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7"/>
        <w:ind w:right="94"/>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无形资产按成本进行初始计量。与无形资产有关的支出，如果相关的经济利益很可能流入本公司且其成本能可靠地计量，则</w:t>
      </w:r>
      <w:r>
        <w:rPr>
          <w:spacing w:val="-65"/>
        </w:rPr>
        <w:t> </w:t>
      </w:r>
      <w:r>
        <w:rPr>
          <w:spacing w:val="-65"/>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5"/>
        </w:rPr>
        <w:t> </w:t>
      </w:r>
      <w:r>
        <w:rPr>
          <w:spacing w:val="-65"/>
        </w:rPr>
      </w:r>
      <w:r>
        <w:rPr/>
        <w:t>的，全部作为固定资产处理。 </w:t>
      </w:r>
      <w:r>
        <w:rPr>
          <w:spacing w:val="-2"/>
        </w:rPr>
        <w:t>使用寿命有限的无形资产自可供使用时起，对其原值减去预计净残值和已计提的减值准备累计金额在其预计使用寿命内采用</w:t>
      </w:r>
      <w:r>
        <w:rPr>
          <w:spacing w:val="-64"/>
        </w:rPr>
        <w:t> </w:t>
      </w:r>
      <w:r>
        <w:rPr>
          <w:spacing w:val="-64"/>
        </w:rPr>
      </w:r>
      <w:r>
        <w:rPr/>
        <w:t>直线法分期平均摊销。使用寿命不确定的无形资产不予摊销。 </w:t>
      </w:r>
      <w:r>
        <w:rPr>
          <w:spacing w:val="-2"/>
        </w:rPr>
        <w:t>期末，对使用寿命有限的无形资产的使用寿命和摊销方法进行复核，如发生变更则作为会计估计变更处理。此外，还对使用</w:t>
      </w:r>
      <w:r>
        <w:rPr>
          <w:spacing w:val="-66"/>
        </w:rPr>
        <w:t> </w:t>
      </w:r>
      <w:r>
        <w:rPr>
          <w:spacing w:val="-66"/>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74"/>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right="94"/>
        <w:jc w:val="left"/>
      </w:pPr>
      <w:r>
        <w:rPr/>
        <w:t>①</w:t>
      </w:r>
      <w:r>
        <w:rPr>
          <w:spacing w:val="1"/>
        </w:rPr>
        <w:t> </w:t>
      </w:r>
      <w:r>
        <w:rPr/>
        <w:t>完成该无形资产以使其能够使用或出售在技术上具有可行性；</w:t>
      </w:r>
    </w:p>
    <w:p>
      <w:pPr>
        <w:pStyle w:val="BodyText"/>
        <w:spacing w:line="240" w:lineRule="auto" w:before="76"/>
        <w:ind w:right="94"/>
        <w:jc w:val="left"/>
      </w:pPr>
      <w:r>
        <w:rPr/>
        <w:t>②</w:t>
      </w:r>
      <w:r>
        <w:rPr>
          <w:spacing w:val="1"/>
        </w:rPr>
        <w:t> </w:t>
      </w:r>
      <w:r>
        <w:rPr/>
        <w:t>具有完成该无形资产并使用或出售的意图；</w:t>
      </w:r>
    </w:p>
    <w:p>
      <w:pPr>
        <w:pStyle w:val="BodyText"/>
        <w:spacing w:line="316" w:lineRule="auto" w:before="76"/>
        <w:ind w:right="183"/>
        <w:jc w:val="left"/>
      </w:pPr>
      <w:r>
        <w:rPr/>
        <w:t>③</w:t>
      </w:r>
      <w:r>
        <w:rPr>
          <w:spacing w:val="1"/>
        </w:rPr>
        <w:t> </w:t>
      </w:r>
      <w:r>
        <w:rPr/>
        <w:t>无形资产产生经济利益的方式，包括能够证明运用该无形资产生产的产品存在市场或无形资产自身存在市场，无形资产</w:t>
      </w:r>
      <w:r>
        <w:rPr/>
        <w:t> 将在内部使用的，能够证明其有用性；</w:t>
      </w:r>
    </w:p>
    <w:p>
      <w:pPr>
        <w:pStyle w:val="BodyText"/>
        <w:spacing w:line="240" w:lineRule="auto" w:before="19"/>
        <w:ind w:right="94"/>
        <w:jc w:val="left"/>
      </w:pPr>
      <w:r>
        <w:rPr/>
        <w:t>④</w:t>
      </w:r>
      <w:r>
        <w:rPr>
          <w:spacing w:val="1"/>
        </w:rPr>
        <w:t> </w:t>
      </w:r>
      <w:r>
        <w:rPr/>
        <w:t>有足够的技术、财务资源和其他资源支持，以完成该无形资产的开发，并有能力使用或出售该无形资产；</w:t>
      </w:r>
    </w:p>
    <w:p>
      <w:pPr>
        <w:pStyle w:val="BodyText"/>
        <w:spacing w:line="316" w:lineRule="auto" w:before="76"/>
        <w:ind w:right="3334"/>
        <w:jc w:val="left"/>
      </w:pPr>
      <w:r>
        <w:rPr/>
        <w:t>⑤</w:t>
      </w:r>
      <w:r>
        <w:rPr>
          <w:spacing w:val="1"/>
        </w:rPr>
        <w:t> </w:t>
      </w:r>
      <w:r>
        <w:rPr/>
        <w:t>归属于该无形资产开发阶段的支出能够可靠地计量。</w:t>
      </w:r>
      <w:r>
        <w:rPr/>
        <w:t> 无法区分研究阶段支出和开发阶段支出的，将发生的研发支出全部计入当期损益。</w:t>
      </w:r>
    </w:p>
    <w:p>
      <w:pPr>
        <w:pStyle w:val="BodyText"/>
        <w:spacing w:line="316" w:lineRule="auto" w:before="19"/>
        <w:ind w:right="3514"/>
        <w:jc w:val="left"/>
      </w:pPr>
      <w:r>
        <w:rPr/>
        <w:t>（3）无形资产的减值测试方法及减值准备计提方法 无形资产的减值测试方法和减值准备计提方法详见附注四、18“长期资产减值”</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18</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对于固定资产、在建工程、使用寿命有限的无形资产、以成本模式计量的投资性房地产及对子公司、合营企业、联营企业的</w:t>
      </w:r>
      <w:r>
        <w:rPr>
          <w:spacing w:val="-65"/>
        </w:rPr>
        <w:t> </w:t>
      </w:r>
      <w:r>
        <w:rPr>
          <w:spacing w:val="-65"/>
        </w:rPr>
      </w:r>
      <w:r>
        <w:rPr>
          <w:spacing w:val="-2"/>
        </w:rPr>
        <w:t>长期股权投资等非流动非金融资产，本公司于资产负债表日判断是否存在减值迹象。如存在减值迹象的，则估计其可收回金</w:t>
      </w:r>
      <w:r>
        <w:rPr>
          <w:spacing w:val="-65"/>
        </w:rPr>
        <w:t> </w:t>
      </w:r>
      <w:r>
        <w:rPr>
          <w:spacing w:val="-65"/>
        </w:rPr>
      </w:r>
      <w:r>
        <w:rPr>
          <w:spacing w:val="-2"/>
        </w:rPr>
        <w:t>额，进行减值测试。商誉、使用寿命不确定的无形资产和尚未达到可使用状态的无形资产，无论是否存在减值迹象，每年均</w:t>
      </w:r>
      <w:r>
        <w:rPr>
          <w:spacing w:val="-65"/>
        </w:rPr>
        <w:t> </w:t>
      </w:r>
      <w:r>
        <w:rPr>
          <w:spacing w:val="-65"/>
        </w:rPr>
      </w:r>
      <w:r>
        <w:rPr/>
        <w:t>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2"/>
        </w:rPr>
        <w:t> </w:t>
      </w:r>
      <w:r>
        <w:rPr>
          <w:spacing w:val="-42"/>
        </w:rPr>
      </w:r>
      <w:r>
        <w:rPr>
          <w:spacing w:val="-2"/>
        </w:rPr>
        <w:t>则以可获取的最佳信息为基础估计资产的公允价值。处置费用包括与资产处置有关的法律费用、相关税费、搬运费以及为使</w:t>
      </w:r>
      <w:r>
        <w:rPr>
          <w:spacing w:val="-65"/>
        </w:rPr>
        <w:t> </w:t>
      </w:r>
      <w:r>
        <w:rPr>
          <w:spacing w:val="-65"/>
        </w:rPr>
      </w:r>
      <w:r>
        <w:rPr>
          <w:spacing w:val="-2"/>
        </w:rPr>
        <w:t>资产达到可销售状态所发生的直接费用。资产预计未来现金流量的现值，按照资产在持续使用过程中和最终处置时所产生的</w:t>
      </w:r>
    </w:p>
    <w:p>
      <w:pPr>
        <w:spacing w:after="0" w:line="316" w:lineRule="auto"/>
        <w:jc w:val="left"/>
        <w:sectPr>
          <w:footerReference w:type="default" r:id="rId35"/>
          <w:pgSz w:w="11910" w:h="16840"/>
          <w:pgMar w:footer="1013" w:header="907"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2"/>
        </w:rPr>
        <w:t>预计未来现金流量，选择恰当的折现率对其进行折现后的金额加以确定。资产减值准备按单项资产为基础计算并确认，如果</w:t>
      </w:r>
      <w:r>
        <w:rPr>
          <w:spacing w:val="-65"/>
        </w:rPr>
        <w:t> </w:t>
      </w:r>
      <w:r>
        <w:rPr>
          <w:spacing w:val="-65"/>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 </w:t>
      </w:r>
      <w:r>
        <w:rPr>
          <w:spacing w:val="-2"/>
        </w:rPr>
        <w:t>在财务报表中单独列示的商誉，在进行减值测试时，将商誉的账面价值分摊至预期从企业合并的协同效应中受益的资产组或</w:t>
      </w:r>
      <w:r>
        <w:rPr>
          <w:spacing w:val="-64"/>
        </w:rPr>
        <w:t> </w:t>
      </w:r>
      <w:r>
        <w:rPr>
          <w:spacing w:val="-64"/>
        </w:rPr>
      </w:r>
      <w:r>
        <w:rPr/>
        <w:t>资产组组合。测试结果表明包含分摊的商誉的资产组或资产组组合的可收回金额低于其账面价值的，确认相应的减值损失。 </w:t>
      </w:r>
      <w:r>
        <w:rPr>
          <w:spacing w:val="-2"/>
        </w:rPr>
        <w:t>减值损失金额先抵减分摊至该资产组或资产组组合的商誉的账面价值，再根据资产组或资产组组合中除商誉以外的其他各项</w:t>
      </w:r>
      <w:r>
        <w:rPr>
          <w:spacing w:val="-64"/>
        </w:rPr>
        <w:t> </w:t>
      </w:r>
      <w:r>
        <w:rPr>
          <w:spacing w:val="-64"/>
        </w:rPr>
      </w:r>
      <w:r>
        <w:rPr/>
        <w:t>资产的账面价值所占比重，按比例抵减其他各项资产的账面价值。 上述资产减值损失一经确认，以后期间不予转回价值得以恢复的部分。</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长期待摊费用为已经发生但应由报告期和以后各期负担的分摊期限在一年以上的各项费用。本公司的长期待摊费用主要包括</w:t>
      </w:r>
      <w:r>
        <w:rPr>
          <w:spacing w:val="-64"/>
        </w:rPr>
        <w:t> </w:t>
      </w:r>
      <w:r>
        <w:rPr>
          <w:spacing w:val="-64"/>
        </w:rPr>
      </w:r>
      <w:r>
        <w:rPr/>
        <w:t>会籍费、土地租赁费。长期待摊费用在预计受益期间按直线法摊销。</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20</w:t>
      </w:r>
      <w:r>
        <w:rPr/>
        <w:t>、职工薪酬</w:t>
      </w:r>
      <w:r>
        <w:rPr>
          <w:b w:val="0"/>
          <w:bCs w:val="0"/>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316" w:lineRule="auto"/>
        <w:ind w:right="192"/>
        <w:jc w:val="both"/>
      </w:pPr>
      <w:r>
        <w:rPr>
          <w:spacing w:val="-2"/>
        </w:rPr>
        <w:t>短期薪酬主要包括工资、奖金、津贴和补贴、职工福利费、医疗保险费、生育保险费、工伤保险费、住房公积金、工会经费</w:t>
      </w:r>
      <w:r>
        <w:rPr>
          <w:spacing w:val="-66"/>
        </w:rPr>
        <w:t> </w:t>
      </w:r>
      <w:r>
        <w:rPr>
          <w:spacing w:val="-66"/>
        </w:rPr>
      </w:r>
      <w:r>
        <w:rPr>
          <w:spacing w:val="-2"/>
        </w:rPr>
        <w:t>和职工教育经费、非货币性福利等。本公司在职工为本公司提供服务的会计期间将实际发生的短期职工薪酬确认为负债，并</w:t>
      </w:r>
      <w:r>
        <w:rPr>
          <w:spacing w:val="-65"/>
        </w:rPr>
        <w:t> </w:t>
      </w:r>
      <w:r>
        <w:rPr>
          <w:spacing w:val="-65"/>
        </w:rPr>
      </w:r>
      <w:r>
        <w:rPr/>
        <w:t>计入当期损益或相关资产成本。其中非货币性福利按公允价值计量。</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jc w:val="left"/>
      </w:pPr>
      <w:r>
        <w:rPr>
          <w:spacing w:val="-2"/>
        </w:rPr>
        <w:t>离职后福利主要包括设定提存计划。其中设定提存计划主要包括基本养老保险、失业保险等，相应的应缴存金额于发生时计</w:t>
      </w:r>
      <w:r>
        <w:rPr>
          <w:spacing w:val="-65"/>
        </w:rPr>
        <w:t> </w:t>
      </w:r>
      <w:r>
        <w:rPr>
          <w:spacing w:val="-65"/>
        </w:rPr>
      </w:r>
      <w:r>
        <w:rPr/>
        <w:t>入相关资产成本或当期损益。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在职工劳动合同到期之前解除与职工的劳动关系，或为鼓励职工自愿接受裁减而提出给予补偿的建议，在本公司不能单方面</w:t>
      </w:r>
      <w:r>
        <w:rPr>
          <w:spacing w:val="-64"/>
        </w:rPr>
        <w:t> </w:t>
      </w:r>
      <w:r>
        <w:rPr>
          <w:spacing w:val="-64"/>
        </w:rPr>
      </w:r>
      <w:r>
        <w:rPr/>
        <w:t>撤回因解除劳动关系计划或裁减建议所提供的辞退福利时，和本公司确认与涉及支付辞退福利的重组相关的成本两者孰早 日，确认辞退福利产生的职工薪酬负债，并计入当期损益。但辞退福利预期在年度报告期结束后十二个月不能完全支付的， 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spacing w:val="-3"/>
        </w:rPr>
        <w:t>人员工资和缴纳的社会保险费等，在符合预计负债确认条件时，计入当期损益（辞退福利）。</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本公司向职工提供的其他长期职工福利，符合设定提存计划的，按照设定提存计划进行会计处理，除此之外按照设定受益计</w:t>
      </w:r>
      <w:r>
        <w:rPr>
          <w:spacing w:val="-65"/>
        </w:rPr>
        <w:t> </w:t>
      </w:r>
      <w:r>
        <w:rPr>
          <w:spacing w:val="-65"/>
        </w:rPr>
      </w:r>
      <w:r>
        <w:rPr/>
        <w:t>划进行会计处理。</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21</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t>（1）股份支付的会计处理方法 </w:t>
      </w:r>
      <w:r>
        <w:rPr>
          <w:spacing w:val="-2"/>
        </w:rPr>
        <w:t>股份支付是为了获取职工或其他方提供服务而授予权益工具或者承担以权益工具为基础确定的负债的交易。股份支付分为以</w:t>
      </w:r>
    </w:p>
    <w:p>
      <w:pPr>
        <w:spacing w:after="0" w:line="316" w:lineRule="auto"/>
        <w:jc w:val="left"/>
        <w:sectPr>
          <w:footerReference w:type="default" r:id="rId36"/>
          <w:pgSz w:w="11910" w:h="16840"/>
          <w:pgMar w:footer="1013" w:header="907"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before="44"/>
        <w:ind w:right="94"/>
        <w:jc w:val="left"/>
      </w:pPr>
      <w:r>
        <w:rPr/>
        <w:t>权益结算的股份支付和以现金结算的股份支付。</w:t>
      </w:r>
    </w:p>
    <w:p>
      <w:pPr>
        <w:pStyle w:val="BodyText"/>
        <w:spacing w:line="316" w:lineRule="auto" w:before="76"/>
        <w:ind w:right="94"/>
        <w:jc w:val="left"/>
      </w:pPr>
      <w:r>
        <w:rPr/>
        <w:t>①</w:t>
      </w:r>
      <w:r>
        <w:rPr>
          <w:spacing w:val="1"/>
        </w:rPr>
        <w:t> </w:t>
      </w:r>
      <w:r>
        <w:rPr/>
        <w:t>以权益结算的股份支付</w:t>
      </w:r>
      <w:r>
        <w:rPr/>
        <w:t>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r>
        <w:rPr>
          <w:spacing w:val="-64"/>
        </w:rPr>
        <w:t> </w:t>
      </w:r>
      <w:r>
        <w:rPr>
          <w:spacing w:val="-64"/>
        </w:rPr>
      </w:r>
      <w:r>
        <w:rPr/>
        <w:t>计算计入相关成本或费用/在授予后立即可行权时，在授予日计入相关成本或费用，相应增加资本公积。</w:t>
      </w:r>
      <w:r>
        <w:rPr/>
        <w:t> </w:t>
      </w:r>
      <w:r>
        <w:rPr>
          <w:spacing w:val="-2"/>
        </w:rPr>
        <w:t>在等待期内每个资产负债表日，本公司根据最新取得的可行权职工人数变动等后续信息做出最佳估计，修正预计可行权的权</w:t>
      </w:r>
      <w:r>
        <w:rPr>
          <w:spacing w:val="-64"/>
        </w:rPr>
        <w:t> </w:t>
      </w:r>
      <w:r>
        <w:rPr>
          <w:spacing w:val="-64"/>
        </w:rPr>
      </w:r>
      <w:r>
        <w:rPr/>
        <w:t>益工具数量。上述估计的影响计入当期相关成本或费用，并相应调整资本公积。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5"/>
        </w:rPr>
        <w:t> </w:t>
      </w:r>
      <w:r>
        <w:rPr>
          <w:spacing w:val="-65"/>
        </w:rPr>
      </w:r>
      <w:r>
        <w:rPr/>
        <w:t>公允价值计量，计入相关成本或费用，相应增加股东权益。</w:t>
      </w:r>
    </w:p>
    <w:p>
      <w:pPr>
        <w:pStyle w:val="BodyText"/>
        <w:spacing w:line="316" w:lineRule="auto" w:before="19"/>
        <w:ind w:right="94"/>
        <w:jc w:val="left"/>
      </w:pPr>
      <w:r>
        <w:rPr/>
        <w:t>②</w:t>
      </w:r>
      <w:r>
        <w:rPr>
          <w:spacing w:val="1"/>
        </w:rPr>
        <w:t> </w:t>
      </w:r>
      <w:r>
        <w:rPr/>
        <w:t>以现金结算的股份支付</w:t>
      </w:r>
      <w:r>
        <w:rPr/>
        <w:t> </w:t>
      </w:r>
      <w:r>
        <w:rPr>
          <w:spacing w:val="-4"/>
        </w:rPr>
        <w:t>以现金结算的股份支付，按照本公司承担的以股份或其他权益工具为基础确定的负债的公允价值计量。如授予后立即可行权，</w:t>
      </w:r>
      <w:r>
        <w:rPr>
          <w:spacing w:val="-41"/>
        </w:rPr>
        <w:t> </w:t>
      </w:r>
      <w:r>
        <w:rPr>
          <w:spacing w:val="-41"/>
        </w:rPr>
      </w:r>
      <w:r>
        <w:rPr>
          <w:spacing w:val="-2"/>
        </w:rPr>
        <w:t>在授予日计入相关成本或费用，相应增加负债；如须完成等待期内的服务或达到规定业绩条件以后才可行权，在等待期的每</w:t>
      </w:r>
      <w:r>
        <w:rPr>
          <w:spacing w:val="-65"/>
        </w:rPr>
        <w:t> </w:t>
      </w:r>
      <w:r>
        <w:rPr>
          <w:spacing w:val="-65"/>
        </w:rPr>
      </w:r>
      <w:r>
        <w:rPr>
          <w:spacing w:val="-2"/>
        </w:rPr>
        <w:t>个资产负债表日，以对可行权情况的最佳估计为基础，按照本公司承担负债的公允价值金额，将当期取得的服务计入成本或</w:t>
      </w:r>
      <w:r>
        <w:rPr>
          <w:spacing w:val="-65"/>
        </w:rPr>
        <w:t> </w:t>
      </w:r>
      <w:r>
        <w:rPr>
          <w:spacing w:val="-65"/>
        </w:rPr>
      </w:r>
      <w:r>
        <w:rPr/>
        <w:t>费用，相应增加负债。 在相关负债结算前的每个资产负债表日以及结算日，对负债的公允价值重新计量，其变动计入当期损益。</w:t>
      </w:r>
    </w:p>
    <w:p>
      <w:pPr>
        <w:pStyle w:val="BodyText"/>
        <w:spacing w:line="316" w:lineRule="auto" w:before="19"/>
        <w:ind w:right="94"/>
        <w:jc w:val="left"/>
      </w:pPr>
      <w:r>
        <w:rPr/>
        <w:t>（2）修改、终止股份支付计划的相关会计处理 </w:t>
      </w:r>
      <w:r>
        <w:rPr>
          <w:spacing w:val="-2"/>
        </w:rPr>
        <w:t>本公司对股份支付计划进行修改时，若修改增加了所授予权益工具的公允价值，按照权益工具公允价值的增加相应确认取得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允价值总额或采用了其他不利于职工的方式，则仍继续对取得的服务进行会计处理，视同该变更从未发生，除非本公司取消</w:t>
      </w:r>
      <w:r>
        <w:rPr>
          <w:spacing w:val="-65"/>
        </w:rPr>
        <w:t> </w:t>
      </w:r>
      <w:r>
        <w:rPr>
          <w:spacing w:val="-65"/>
        </w:rPr>
      </w:r>
      <w:r>
        <w:rPr/>
        <w:t>了部分或全部已授予的权益工具。 </w:t>
      </w:r>
      <w:r>
        <w:rPr>
          <w:spacing w:val="-2"/>
        </w:rPr>
        <w:t>在等待期内，如果取消了授予的权益工具，本公司对取消所授予的权益性工具作为加速行权处理，将剩余等待期内应确认的</w:t>
      </w:r>
      <w:r>
        <w:rPr>
          <w:spacing w:val="-65"/>
        </w:rPr>
        <w:t> </w:t>
      </w:r>
      <w:r>
        <w:rPr>
          <w:spacing w:val="-65"/>
        </w:rPr>
      </w:r>
      <w:r>
        <w:rPr>
          <w:spacing w:val="-2"/>
        </w:rPr>
        <w:t>金额立即计入当期损益，同时确认资本公积。职工或其他方能够选择满足非可行权条件但在等待期内未满足的，本公司将其</w:t>
      </w:r>
      <w:r>
        <w:rPr>
          <w:spacing w:val="-65"/>
        </w:rPr>
        <w:t> </w:t>
      </w:r>
      <w:r>
        <w:rPr>
          <w:spacing w:val="-65"/>
        </w:rPr>
      </w:r>
      <w:r>
        <w:rPr/>
        <w:t>作为授予权益工具的取消处理。</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22</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316" w:lineRule="auto" w:before="25"/>
        <w:ind w:right="94"/>
        <w:jc w:val="left"/>
      </w:pPr>
      <w:r>
        <w:rPr/>
        <w:t>（1）商品销售收入 </w:t>
      </w: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2"/>
        </w:rPr>
        <w:t> </w:t>
      </w:r>
      <w:r>
        <w:rPr>
          <w:spacing w:val="-42"/>
        </w:rPr>
      </w:r>
      <w:r>
        <w:rPr/>
        <w:t>确认商品销售收入的实现。</w:t>
      </w:r>
    </w:p>
    <w:p>
      <w:pPr>
        <w:pStyle w:val="BodyText"/>
        <w:spacing w:line="240" w:lineRule="auto" w:before="19"/>
        <w:ind w:right="94"/>
        <w:jc w:val="left"/>
      </w:pPr>
      <w:r>
        <w:rPr/>
        <w:t>公司销售分直销与经销。</w:t>
      </w:r>
    </w:p>
    <w:p>
      <w:pPr>
        <w:pStyle w:val="BodyText"/>
        <w:spacing w:line="316" w:lineRule="auto" w:before="76"/>
        <w:ind w:right="94"/>
        <w:jc w:val="left"/>
      </w:pPr>
      <w:r>
        <w:rPr>
          <w:spacing w:val="-2"/>
        </w:rPr>
        <w:t>①直销：在客户矿井内安装调试完毕后，客户进行验收，并调试运行一段时间（通常为一个月至三个月）。验收结束后公司</w:t>
      </w:r>
      <w:r>
        <w:rPr>
          <w:spacing w:val="-71"/>
        </w:rPr>
        <w:t> </w:t>
      </w:r>
      <w:r>
        <w:rPr>
          <w:spacing w:val="-71"/>
        </w:rPr>
      </w:r>
      <w:r>
        <w:rPr/>
        <w:t>开具发票并确认收入。</w:t>
      </w:r>
    </w:p>
    <w:p>
      <w:pPr>
        <w:pStyle w:val="BodyText"/>
        <w:spacing w:line="316" w:lineRule="auto" w:before="19"/>
        <w:ind w:right="94"/>
        <w:jc w:val="left"/>
      </w:pPr>
      <w:r>
        <w:rPr>
          <w:spacing w:val="-2"/>
        </w:rPr>
        <w:t>②经销：公司与经销商签订经销协议，当业务发生时，经销商需先预付全部货款后，由公司向对方发货，同时开具发票确认</w:t>
      </w:r>
      <w:r>
        <w:rPr>
          <w:spacing w:val="-65"/>
        </w:rPr>
        <w:t> </w:t>
      </w:r>
      <w:r>
        <w:rPr>
          <w:spacing w:val="-65"/>
        </w:rPr>
      </w:r>
      <w:r>
        <w:rPr/>
        <w:t>收入。</w:t>
      </w:r>
    </w:p>
    <w:p>
      <w:pPr>
        <w:pStyle w:val="BodyText"/>
        <w:spacing w:line="316" w:lineRule="auto" w:before="19"/>
        <w:ind w:right="94"/>
        <w:jc w:val="left"/>
      </w:pPr>
      <w:r>
        <w:rPr/>
        <w:t>（2）提供劳务收入 </w:t>
      </w: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度按已经发生的劳务成本占估计总成本的比例确定。 </w:t>
      </w:r>
      <w:r>
        <w:rPr>
          <w:spacing w:val="-2"/>
        </w:rPr>
        <w:t>提供劳务交易的结果能够可靠估计是指同时满足：①收入的金额能够可靠地计量；②相关的经济利益很可能流入企业；③交</w:t>
      </w:r>
      <w:r>
        <w:rPr>
          <w:spacing w:val="-65"/>
        </w:rPr>
        <w:t> </w:t>
      </w:r>
      <w:r>
        <w:rPr>
          <w:spacing w:val="-65"/>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p>
    <w:p>
      <w:pPr>
        <w:spacing w:after="0" w:line="316" w:lineRule="auto"/>
        <w:jc w:val="left"/>
        <w:sectPr>
          <w:footerReference w:type="default" r:id="rId37"/>
          <w:pgSz w:w="11910" w:h="16840"/>
          <w:pgMar w:footer="1013" w:header="907" w:top="1100" w:bottom="1200" w:left="1020" w:right="940"/>
          <w:pgNumType w:start="116"/>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t>发生的劳务成本作为当期费用。已经发生的劳务成本如预计不能得到补偿的，则不确认收入。 本公司与其他企业签订的合同或协议包括销售商品和提供劳务时，如销售商品部分和提供劳务部分能够区分并单独计量的，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pStyle w:val="BodyText"/>
        <w:spacing w:line="316" w:lineRule="auto" w:before="19"/>
        <w:ind w:right="6034"/>
        <w:jc w:val="left"/>
      </w:pPr>
      <w:r>
        <w:rPr/>
        <w:t>（3）使用费收入 根据有关合同或协议，按权责发生制确认收入。</w:t>
      </w:r>
    </w:p>
    <w:p>
      <w:pPr>
        <w:pStyle w:val="BodyText"/>
        <w:spacing w:line="316" w:lineRule="auto" w:before="19"/>
        <w:ind w:right="5134"/>
        <w:jc w:val="left"/>
      </w:pPr>
      <w:r>
        <w:rPr/>
        <w:t>（4）利息收入 按照他人使用本公司货币资金的时间和实际利率计算确定。</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23</w:t>
      </w:r>
      <w:r>
        <w:rPr/>
        <w:t>、政府补助</w:t>
      </w:r>
      <w:r>
        <w:rPr>
          <w:b w:val="0"/>
          <w:bCs w:val="0"/>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公司将所取得的用于购建或以其他方式形成长期资产的政府补助界定为与资产相关的政府补助。与资产相关的政府补助，确</w:t>
      </w:r>
      <w:r>
        <w:rPr>
          <w:spacing w:val="-64"/>
        </w:rPr>
        <w:t> </w:t>
      </w:r>
      <w:r>
        <w:rPr>
          <w:spacing w:val="-64"/>
        </w:rPr>
      </w:r>
      <w:r>
        <w:rPr/>
        <w:t>认为递延收益，并在相关资产的使用寿命内平均分配计入当期损益。</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94"/>
        <w:jc w:val="left"/>
      </w:pPr>
      <w:r>
        <w:rPr>
          <w:spacing w:val="-4"/>
        </w:rPr>
        <w:t>与收益相关的政府补助，用于补偿以后期间的相关费用和损失的，确认为递延收益，并在确认相关费用的期间计入当期损益；</w:t>
      </w:r>
      <w:r>
        <w:rPr>
          <w:spacing w:val="-42"/>
        </w:rPr>
        <w:t> </w:t>
      </w:r>
      <w:r>
        <w:rPr>
          <w:spacing w:val="-42"/>
        </w:rPr>
      </w:r>
      <w:r>
        <w:rPr/>
        <w:t>用于补偿已经发生的相关费用和损失的，直接计入当期损益。</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94"/>
        <w:jc w:val="left"/>
      </w:pPr>
      <w:r>
        <w:rPr/>
        <w:t>（1）当期所得税 </w:t>
      </w:r>
      <w:r>
        <w:rPr>
          <w:spacing w:val="-2"/>
        </w:rPr>
        <w:t>资产负债表日，对于当期和以前期间形成的当期所得税负债（或资产），以按照税法规定计算的预期应交纳（或返还）的所</w:t>
      </w:r>
      <w:r>
        <w:rPr>
          <w:spacing w:val="-71"/>
        </w:rPr>
        <w:t> </w:t>
      </w:r>
      <w:r>
        <w:rPr>
          <w:spacing w:val="-71"/>
        </w:rPr>
      </w:r>
      <w:r>
        <w:rPr>
          <w:spacing w:val="-2"/>
        </w:rPr>
        <w:t>得税金额计量。计算当期所得税费用所依据的应纳税所得额系根据有关税法规定对本年度税前会计利润作相应调整后计算得</w:t>
      </w:r>
      <w:r>
        <w:rPr>
          <w:spacing w:val="-64"/>
        </w:rPr>
        <w:t> </w:t>
      </w:r>
      <w:r>
        <w:rPr>
          <w:spacing w:val="-64"/>
        </w:rPr>
      </w:r>
      <w:r>
        <w:rPr/>
        <w:t>出。</w:t>
      </w:r>
    </w:p>
    <w:p>
      <w:pPr>
        <w:pStyle w:val="BodyText"/>
        <w:spacing w:line="316" w:lineRule="auto" w:before="19"/>
        <w:ind w:right="94"/>
        <w:jc w:val="left"/>
      </w:pPr>
      <w:r>
        <w:rPr/>
        <w:t>（2）递延所得税资产及递延所得税负债 </w:t>
      </w:r>
      <w:r>
        <w:rPr>
          <w:spacing w:val="-2"/>
        </w:rPr>
        <w:t>某些资产、负债项目的账面价值与其计税基础之间的差额，以及未作为资产和负债确认但按照税法规定可以确定其计税基础</w:t>
      </w:r>
      <w:r>
        <w:rPr>
          <w:spacing w:val="-64"/>
        </w:rPr>
        <w:t> </w:t>
      </w:r>
      <w:r>
        <w:rPr>
          <w:spacing w:val="-64"/>
        </w:rPr>
      </w:r>
      <w:r>
        <w:rPr/>
        <w:t>的项目的账面价值与计税基础之间的差额产生的暂时性差异，采用资产负债表债务法确认递延所得税资产及递延所得税负 债。 </w:t>
      </w:r>
      <w:r>
        <w:rPr>
          <w:spacing w:val="-2"/>
        </w:rPr>
        <w:t>与商誉的初始确认有关，以及与既不是企业合并、发生时也不影响会计利润和应纳税所得额（或可抵扣亏损）的交易中产生</w:t>
      </w:r>
      <w:r>
        <w:rPr>
          <w:spacing w:val="-66"/>
        </w:rPr>
        <w:t> </w:t>
      </w:r>
      <w:r>
        <w:rPr>
          <w:spacing w:val="-66"/>
        </w:rPr>
      </w:r>
      <w:r>
        <w:rPr>
          <w:spacing w:val="-2"/>
        </w:rPr>
        <w:t>的资产或负债的初始确认有关的应纳税暂时性差异，不予确认有关的递延所得税负债。此外，对与子公司、联营企业及合营</w:t>
      </w:r>
      <w:r>
        <w:rPr>
          <w:spacing w:val="-66"/>
        </w:rPr>
        <w:t> </w:t>
      </w:r>
      <w:r>
        <w:rPr>
          <w:spacing w:val="-66"/>
        </w:rPr>
      </w:r>
      <w:r>
        <w:rPr>
          <w:spacing w:val="-2"/>
        </w:rPr>
        <w:t>企业投资相关的应纳税暂时性差异，如果本公司能够控制暂时性差异转回的时间，而且该暂时性差异在可预见的未来很可能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不会转回，也不予确认有关的递延所得税负债。除上述例外情况，本公司确认其他所有应纳税暂时性差异产生的递延所得税</w:t>
      </w:r>
      <w:r>
        <w:rPr>
          <w:spacing w:val="-65"/>
        </w:rPr>
        <w:t> </w:t>
      </w:r>
      <w:r>
        <w:rPr>
          <w:spacing w:val="-65"/>
        </w:rPr>
      </w:r>
      <w:r>
        <w:rPr/>
        <w:t>负债。 </w:t>
      </w:r>
      <w:r>
        <w:rPr>
          <w:spacing w:val="-2"/>
        </w:rPr>
        <w:t>与既不是企业合并、发生时也不影响会计利润和应纳税所得额（或可抵扣亏损）的交易中产生的资产或负债的初始确认有关</w:t>
      </w:r>
      <w:r>
        <w:rPr>
          <w:spacing w:val="-65"/>
        </w:rPr>
        <w:t> </w:t>
      </w:r>
      <w:r>
        <w:rPr>
          <w:spacing w:val="-65"/>
        </w:rPr>
      </w:r>
      <w:r>
        <w:rPr>
          <w:spacing w:val="-2"/>
        </w:rPr>
        <w:t>的可抵扣暂时性差异，不予确认有关的递延所得税资产。此外，对与子公司、联营企业及合营企业投资相关的可抵扣暂时性</w:t>
      </w:r>
      <w:r>
        <w:rPr>
          <w:spacing w:val="-66"/>
        </w:rPr>
        <w:t> </w:t>
      </w:r>
      <w:r>
        <w:rPr>
          <w:spacing w:val="-66"/>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额，不予确认有关的递延所得税资产。除上述例外情况，本公司以很可能取得用来抵扣可抵扣暂时性差异的应纳税所得额为</w:t>
      </w:r>
      <w:r>
        <w:rPr>
          <w:spacing w:val="-65"/>
        </w:rPr>
        <w:t> </w:t>
      </w:r>
      <w:r>
        <w:rPr>
          <w:spacing w:val="-65"/>
        </w:rPr>
      </w:r>
      <w:r>
        <w:rPr/>
        <w:t>限，确认其他可抵扣暂时性差异产生的递延所得税资产。 对于能够结转以后年度的可抵扣亏损和税款抵减，以很可能获得用来抵扣可抵扣亏损和税款抵减的未来应纳税所得额为限， 确认相应的递延所得税资产。 </w:t>
      </w:r>
      <w:r>
        <w:rPr>
          <w:spacing w:val="-2"/>
        </w:rPr>
        <w:t>资产负债表日，对于递延所得税资产和递延所得税负债，根据税法规定，按照预期收回相关资产或清偿相关负债期间的适用</w:t>
      </w:r>
      <w:r>
        <w:rPr>
          <w:spacing w:val="-65"/>
        </w:rPr>
        <w:t> </w:t>
      </w:r>
      <w:r>
        <w:rPr>
          <w:spacing w:val="-65"/>
        </w:rPr>
      </w:r>
      <w:r>
        <w:rPr/>
        <w:t>税率计量。</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spacing w:val="-2"/>
        </w:rPr>
        <w:t>于资产负债表日，对递延所得税资产的账面价值进行复核，如果未来很可能无法获得足够的应纳税所得额用以抵扣递延所得</w:t>
      </w:r>
      <w:r>
        <w:rPr>
          <w:spacing w:val="-64"/>
        </w:rPr>
        <w:t> </w:t>
      </w:r>
      <w:r>
        <w:rPr>
          <w:spacing w:val="-64"/>
        </w:rPr>
      </w:r>
      <w:r>
        <w:rPr/>
        <w:t>税资产的利益，则减记递延所得税资产的账面价值。在很可能获得足够的应纳税所得额时，减记的金额予以转回。</w:t>
      </w:r>
    </w:p>
    <w:p>
      <w:pPr>
        <w:pStyle w:val="BodyText"/>
        <w:spacing w:line="316" w:lineRule="auto" w:before="19"/>
        <w:ind w:right="6394"/>
        <w:jc w:val="left"/>
      </w:pPr>
      <w:r>
        <w:rPr/>
        <w:t>（3）所得税费用 所得税费用包括当期所得税和递延所得税。</w:t>
      </w:r>
    </w:p>
    <w:p>
      <w:pPr>
        <w:pStyle w:val="BodyText"/>
        <w:spacing w:line="316" w:lineRule="auto" w:before="19"/>
        <w:ind w:right="94"/>
        <w:jc w:val="left"/>
      </w:pPr>
      <w:r>
        <w:rPr>
          <w:spacing w:val="-2"/>
        </w:rPr>
        <w:t>除确认为其他综合收益或直接计入股东权益的交易和事项相关的当期所得税和递延所得税计入其他综合收益或股东权益，以</w:t>
      </w:r>
      <w:r>
        <w:rPr>
          <w:spacing w:val="-64"/>
        </w:rPr>
        <w:t> </w:t>
      </w:r>
      <w:r>
        <w:rPr>
          <w:spacing w:val="-64"/>
        </w:rPr>
      </w:r>
      <w:r>
        <w:rPr/>
        <w:t>及企业合并产生的递延所得税调整商誉的账面价值外，其余当期所得税和递延所得税费用或收益计入当期损益。</w:t>
      </w:r>
    </w:p>
    <w:p>
      <w:pPr>
        <w:pStyle w:val="BodyText"/>
        <w:spacing w:line="316" w:lineRule="auto" w:before="19"/>
        <w:ind w:right="94"/>
        <w:jc w:val="left"/>
      </w:pPr>
      <w:r>
        <w:rPr/>
        <w:t>（4）所得税的抵销 </w:t>
      </w:r>
      <w:r>
        <w:rPr>
          <w:spacing w:val="-2"/>
        </w:rPr>
        <w:t>当拥有以净额结算的法定权利，且意图以净额结算或取得资产、清偿负债同时进行时，本公司当期所得税资产及当期所得税</w:t>
      </w:r>
      <w:r>
        <w:rPr>
          <w:spacing w:val="-65"/>
        </w:rPr>
        <w:t> </w:t>
      </w:r>
      <w:r>
        <w:rPr>
          <w:spacing w:val="-65"/>
        </w:rPr>
      </w:r>
      <w:r>
        <w:rPr/>
        <w:t>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5"/>
        </w:rPr>
        <w:t> </w:t>
      </w:r>
      <w:r>
        <w:rPr>
          <w:spacing w:val="-65"/>
        </w:rPr>
      </w:r>
      <w:r>
        <w:rPr/>
        <w:t>及递延所得税负债以抵销后的净额列报。</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25</w:t>
      </w:r>
      <w:r>
        <w:rPr/>
        <w:t>、租赁</w:t>
      </w:r>
      <w:r>
        <w:rPr>
          <w:b w:val="0"/>
          <w:bCs w:val="0"/>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2"/>
        </w:rPr>
        <w:t>融资租赁为实质上转移了与资产所有权有关的全部风险和报酬的租赁，其所有权最终可能转移，也可能不转移。融资租赁以</w:t>
      </w:r>
      <w:r>
        <w:rPr>
          <w:spacing w:val="-65"/>
        </w:rPr>
        <w:t> </w:t>
      </w:r>
      <w:r>
        <w:rPr>
          <w:spacing w:val="-65"/>
        </w:rPr>
      </w:r>
      <w:r>
        <w:rPr/>
        <w:t>外的其他租赁为经营租赁。</w:t>
      </w:r>
    </w:p>
    <w:p>
      <w:pPr>
        <w:pStyle w:val="BodyText"/>
        <w:spacing w:line="316" w:lineRule="auto" w:before="19"/>
        <w:ind w:right="94"/>
        <w:jc w:val="left"/>
      </w:pPr>
      <w:r>
        <w:rPr/>
        <w:t>（1）本公司作为承租人记录经营租赁业务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6" w:lineRule="auto" w:before="19"/>
        <w:ind w:right="94"/>
        <w:jc w:val="left"/>
      </w:pPr>
      <w:r>
        <w:rPr/>
        <w:t>（2）本公司作为出租人记录经营租赁业务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26</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40" w:lineRule="auto" w:before="9"/>
        <w:rPr>
          <w:rFonts w:ascii="宋体" w:hAnsi="宋体" w:cs="宋体" w:eastAsia="宋体" w:hint="default"/>
          <w:b/>
          <w:bCs/>
          <w:sz w:val="26"/>
          <w:szCs w:val="26"/>
        </w:rPr>
      </w:pPr>
    </w:p>
    <w:p>
      <w:pPr>
        <w:pStyle w:val="BodyText"/>
        <w:spacing w:line="240" w:lineRule="auto"/>
        <w:ind w:right="94"/>
        <w:jc w:val="left"/>
      </w:pPr>
      <w:r>
        <w:rPr/>
        <w:t>√ 适用 □ 不适用</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日印</w:t>
            </w:r>
            <w:r>
              <w:rPr>
                <w:rFonts w:ascii="宋体" w:hAnsi="宋体" w:cs="宋体" w:eastAsia="宋体" w:hint="default"/>
                <w:spacing w:val="-84"/>
                <w:sz w:val="18"/>
                <w:szCs w:val="18"/>
              </w:rPr>
              <w:t>发</w:t>
            </w:r>
            <w:r>
              <w:rPr>
                <w:rFonts w:ascii="宋体" w:hAnsi="宋体" w:cs="宋体" w:eastAsia="宋体" w:hint="default"/>
                <w:sz w:val="18"/>
                <w:szCs w:val="18"/>
              </w:rPr>
              <w:t>《企业</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号——持有待售的非流</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1"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动资产</w:t>
            </w:r>
            <w:r>
              <w:rPr>
                <w:rFonts w:ascii="宋体" w:hAnsi="宋体" w:cs="宋体" w:eastAsia="宋体" w:hint="default"/>
                <w:spacing w:val="-89"/>
                <w:sz w:val="18"/>
                <w:szCs w:val="18"/>
              </w:rPr>
              <w:t>、</w:t>
            </w:r>
            <w:r>
              <w:rPr>
                <w:rFonts w:ascii="宋体" w:hAnsi="宋体" w:cs="宋体" w:eastAsia="宋体" w:hint="default"/>
                <w:sz w:val="18"/>
                <w:szCs w:val="18"/>
              </w:rPr>
              <w:t>处置组和终止经营</w:t>
            </w:r>
            <w:r>
              <w:rPr>
                <w:rFonts w:ascii="宋体" w:hAnsi="宋体" w:cs="宋体" w:eastAsia="宋体" w:hint="default"/>
                <w:spacing w:val="-89"/>
                <w:sz w:val="18"/>
                <w:szCs w:val="18"/>
              </w:rPr>
              <w:t>》</w:t>
            </w:r>
            <w:r>
              <w:rPr>
                <w:rFonts w:ascii="宋体" w:hAnsi="宋体" w:cs="宋体" w:eastAsia="宋体" w:hint="default"/>
                <w:sz w:val="18"/>
                <w:szCs w:val="18"/>
              </w:rPr>
              <w:t>的通</w:t>
            </w:r>
            <w:r>
              <w:rPr>
                <w:rFonts w:ascii="宋体" w:hAnsi="宋体" w:cs="宋体" w:eastAsia="宋体" w:hint="default"/>
                <w:spacing w:val="-87"/>
                <w:sz w:val="18"/>
                <w:szCs w:val="18"/>
              </w:rPr>
              <w:t>知</w:t>
            </w:r>
            <w:r>
              <w:rPr>
                <w:rFonts w:ascii="宋体" w:hAnsi="宋体" w:cs="宋体" w:eastAsia="宋体" w:hint="default"/>
                <w:sz w:val="18"/>
                <w:szCs w:val="18"/>
              </w:rPr>
              <w:t>（财</w:t>
            </w:r>
            <w:r>
              <w:rPr>
                <w:rFonts w:ascii="宋体" w:hAnsi="宋体" w:cs="宋体" w:eastAsia="宋体" w:hint="default"/>
                <w:sz w:val="18"/>
                <w:szCs w:val="18"/>
              </w:rPr>
              <w:t> 会〔</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89"/>
                <w:sz w:val="18"/>
                <w:szCs w:val="18"/>
              </w:rPr>
              <w:t>）</w:t>
            </w:r>
            <w:r>
              <w:rPr>
                <w:rFonts w:ascii="宋体" w:hAnsi="宋体" w:cs="宋体" w:eastAsia="宋体" w:hint="default"/>
                <w:sz w:val="18"/>
                <w:szCs w:val="18"/>
              </w:rPr>
              <w:t>，要求自</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董事会审议通过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103" w:right="100"/>
              <w:jc w:val="left"/>
              <w:rPr>
                <w:rFonts w:ascii="宋体" w:hAnsi="宋体" w:cs="宋体" w:eastAsia="宋体" w:hint="default"/>
                <w:sz w:val="18"/>
                <w:szCs w:val="18"/>
              </w:rPr>
            </w:pPr>
            <w:r>
              <w:rPr>
                <w:rFonts w:ascii="宋体" w:hAnsi="宋体" w:cs="宋体" w:eastAsia="宋体" w:hint="default"/>
                <w:spacing w:val="-15"/>
                <w:sz w:val="18"/>
                <w:szCs w:val="18"/>
              </w:rPr>
              <w:t>资产负债表新增“持有待售资产”、“持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有待售负债”项目</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日起在所有执行企业会计准则的</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企业范围内施行。</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日，财政部发布了《企</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号——政府补助》</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（修订</w:t>
            </w:r>
            <w:r>
              <w:rPr>
                <w:rFonts w:ascii="宋体" w:hAnsi="宋体" w:cs="宋体" w:eastAsia="宋体" w:hint="default"/>
                <w:spacing w:val="-89"/>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对利润表新增</w:t>
            </w:r>
            <w:r>
              <w:rPr>
                <w:rFonts w:ascii="宋体" w:hAnsi="宋体" w:cs="宋体" w:eastAsia="宋体" w:hint="default"/>
                <w:spacing w:val="-41"/>
                <w:sz w:val="18"/>
                <w:szCs w:val="18"/>
              </w:rPr>
              <w:t>的</w:t>
            </w:r>
            <w:r>
              <w:rPr>
                <w:rFonts w:ascii="宋体" w:hAnsi="宋体" w:cs="宋体" w:eastAsia="宋体" w:hint="default"/>
                <w:sz w:val="18"/>
                <w:szCs w:val="18"/>
              </w:rPr>
              <w:t>“其他收益”</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left="102" w:right="0"/>
              <w:jc w:val="left"/>
              <w:rPr>
                <w:rFonts w:ascii="宋体" w:hAnsi="宋体" w:cs="宋体" w:eastAsia="宋体" w:hint="default"/>
                <w:sz w:val="18"/>
                <w:szCs w:val="18"/>
              </w:rPr>
            </w:pPr>
            <w:r>
              <w:rPr>
                <w:rFonts w:ascii="宋体" w:hAnsi="宋体" w:cs="宋体" w:eastAsia="宋体" w:hint="default"/>
                <w:sz w:val="18"/>
                <w:szCs w:val="18"/>
              </w:rPr>
              <w:t>董事会审议通过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5"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年营业外收入减少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19,328,467.36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元、其他收益增加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19,328,467.36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p>
        </w:tc>
      </w:tr>
      <w:tr>
        <w:trPr>
          <w:trHeight w:val="315"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行项目，</w:t>
            </w:r>
            <w:r>
              <w:rPr>
                <w:rFonts w:ascii="宋体" w:hAnsi="宋体" w:cs="宋体" w:eastAsia="宋体" w:hint="default"/>
                <w:spacing w:val="1"/>
                <w:sz w:val="18"/>
                <w:szCs w:val="18"/>
              </w:rPr>
              <w:t> </w:t>
            </w:r>
            <w:r>
              <w:rPr>
                <w:rFonts w:ascii="宋体" w:hAnsi="宋体" w:cs="宋体" w:eastAsia="宋体" w:hint="default"/>
                <w:sz w:val="18"/>
                <w:szCs w:val="18"/>
              </w:rPr>
              <w:t>该准则自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91"/>
        <w:gridCol w:w="3189"/>
        <w:gridCol w:w="3189"/>
      </w:tblGrid>
      <w:tr>
        <w:trPr>
          <w:trHeight w:val="98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1"/>
              <w:ind w:left="101" w:right="101"/>
              <w:jc w:val="both"/>
              <w:rPr>
                <w:rFonts w:ascii="宋体" w:hAnsi="宋体" w:cs="宋体" w:eastAsia="宋体" w:hint="default"/>
                <w:sz w:val="18"/>
                <w:szCs w:val="18"/>
              </w:rPr>
            </w:pPr>
            <w:r>
              <w:rPr>
                <w:rFonts w:ascii="宋体" w:hAnsi="宋体" w:cs="宋体" w:eastAsia="宋体" w:hint="default"/>
                <w:spacing w:val="-6"/>
                <w:sz w:val="18"/>
                <w:szCs w:val="18"/>
              </w:rPr>
              <w:t>起施行。公司对</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日存在 </w:t>
            </w:r>
            <w:r>
              <w:rPr>
                <w:rFonts w:ascii="宋体" w:hAnsi="宋体" w:cs="宋体" w:eastAsia="宋体" w:hint="default"/>
                <w:spacing w:val="-5"/>
                <w:sz w:val="18"/>
                <w:szCs w:val="18"/>
              </w:rPr>
              <w:t>的政府补助采用未来适用法处理，无需</w:t>
            </w:r>
            <w:r>
              <w:rPr>
                <w:rFonts w:ascii="宋体" w:hAnsi="宋体" w:cs="宋体" w:eastAsia="宋体" w:hint="default"/>
                <w:sz w:val="18"/>
                <w:szCs w:val="18"/>
              </w:rPr>
              <w:t> 对可比期间的比较数据进行调整。</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31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日发布</w:t>
            </w: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净利润项新</w:t>
            </w:r>
            <w:r>
              <w:rPr>
                <w:rFonts w:ascii="宋体" w:hAnsi="宋体" w:cs="宋体" w:eastAsia="宋体" w:hint="default"/>
                <w:spacing w:val="-44"/>
                <w:sz w:val="18"/>
                <w:szCs w:val="18"/>
              </w:rPr>
              <w:t>增</w:t>
            </w:r>
            <w:r>
              <w:rPr>
                <w:rFonts w:ascii="宋体" w:hAnsi="宋体" w:cs="宋体" w:eastAsia="宋体" w:hint="default"/>
                <w:spacing w:val="-92"/>
                <w:sz w:val="18"/>
                <w:szCs w:val="18"/>
              </w:rPr>
              <w:t>“</w:t>
            </w:r>
            <w:r>
              <w:rPr>
                <w:rFonts w:ascii="宋体" w:hAnsi="宋体" w:cs="宋体" w:eastAsia="宋体" w:hint="default"/>
                <w:sz w:val="18"/>
                <w:szCs w:val="18"/>
              </w:rPr>
              <w:t>（一</w:t>
            </w:r>
            <w:r>
              <w:rPr>
                <w:rFonts w:ascii="宋体" w:hAnsi="宋体" w:cs="宋体" w:eastAsia="宋体" w:hint="default"/>
                <w:spacing w:val="-44"/>
                <w:sz w:val="18"/>
                <w:szCs w:val="18"/>
              </w:rPr>
              <w:t>）</w:t>
            </w:r>
            <w:r>
              <w:rPr>
                <w:rFonts w:ascii="宋体" w:hAnsi="宋体" w:cs="宋体" w:eastAsia="宋体" w:hint="default"/>
                <w:sz w:val="18"/>
                <w:szCs w:val="18"/>
              </w:rPr>
              <w:t>持续经营净利润”</w:t>
            </w:r>
          </w:p>
        </w:tc>
      </w:tr>
      <w:tr>
        <w:trPr>
          <w:trHeight w:val="30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pacing w:val="-84"/>
                <w:sz w:val="18"/>
                <w:szCs w:val="18"/>
              </w:rPr>
              <w:t>了</w:t>
            </w:r>
            <w:r>
              <w:rPr>
                <w:rFonts w:ascii="宋体" w:hAnsi="宋体" w:cs="宋体" w:eastAsia="宋体" w:hint="default"/>
                <w:sz w:val="18"/>
                <w:szCs w:val="18"/>
              </w:rPr>
              <w:t>《关于修订印发一般企业财务报表格</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和</w:t>
            </w:r>
            <w:r>
              <w:rPr>
                <w:rFonts w:ascii="宋体" w:hAnsi="宋体" w:cs="宋体" w:eastAsia="宋体" w:hint="default"/>
                <w:spacing w:val="-92"/>
                <w:sz w:val="18"/>
                <w:szCs w:val="18"/>
              </w:rPr>
              <w:t>“</w:t>
            </w:r>
            <w:r>
              <w:rPr>
                <w:rFonts w:ascii="宋体" w:hAnsi="宋体" w:cs="宋体" w:eastAsia="宋体" w:hint="default"/>
                <w:sz w:val="18"/>
                <w:szCs w:val="18"/>
              </w:rPr>
              <w:t>（二）终止经营净利润”行项目，</w:t>
            </w:r>
          </w:p>
        </w:tc>
      </w:tr>
      <w:tr>
        <w:trPr>
          <w:trHeight w:val="317"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式的通知</w:t>
            </w:r>
            <w:r>
              <w:rPr>
                <w:rFonts w:ascii="宋体" w:hAnsi="宋体" w:cs="宋体" w:eastAsia="宋体" w:hint="default"/>
                <w:spacing w:val="-89"/>
                <w:sz w:val="18"/>
                <w:szCs w:val="18"/>
              </w:rPr>
              <w:t>》</w:t>
            </w:r>
            <w:r>
              <w:rPr>
                <w:rFonts w:ascii="宋体" w:hAnsi="宋体" w:cs="宋体" w:eastAsia="宋体" w:hint="default"/>
                <w:spacing w:val="-29"/>
                <w:sz w:val="18"/>
                <w:szCs w:val="18"/>
              </w:rPr>
              <w:t>；</w:t>
            </w:r>
            <w:r>
              <w:rPr>
                <w:rFonts w:ascii="宋体" w:hAnsi="宋体" w:cs="宋体" w:eastAsia="宋体" w:hint="default"/>
                <w:sz w:val="18"/>
                <w:szCs w:val="18"/>
              </w:rPr>
              <w:t>净利润项新</w:t>
            </w:r>
            <w:r>
              <w:rPr>
                <w:rFonts w:ascii="宋体" w:hAnsi="宋体" w:cs="宋体" w:eastAsia="宋体" w:hint="default"/>
                <w:spacing w:val="-29"/>
                <w:sz w:val="18"/>
                <w:szCs w:val="18"/>
              </w:rPr>
              <w:t>增</w:t>
            </w:r>
            <w:r>
              <w:rPr>
                <w:rFonts w:ascii="宋体" w:hAnsi="宋体" w:cs="宋体" w:eastAsia="宋体" w:hint="default"/>
                <w:spacing w:val="-89"/>
                <w:sz w:val="18"/>
                <w:szCs w:val="18"/>
              </w:rPr>
              <w:t>“</w:t>
            </w:r>
            <w:r>
              <w:rPr>
                <w:rFonts w:ascii="宋体" w:hAnsi="宋体" w:cs="宋体" w:eastAsia="宋体" w:hint="default"/>
                <w:sz w:val="18"/>
                <w:szCs w:val="18"/>
              </w:rPr>
              <w:t>（一</w:t>
            </w:r>
            <w:r>
              <w:rPr>
                <w:rFonts w:ascii="宋体" w:hAnsi="宋体" w:cs="宋体" w:eastAsia="宋体" w:hint="default"/>
                <w:spacing w:val="-29"/>
                <w:sz w:val="18"/>
                <w:szCs w:val="18"/>
              </w:rPr>
              <w:t>）</w:t>
            </w:r>
            <w:r>
              <w:rPr>
                <w:rFonts w:ascii="宋体" w:hAnsi="宋体" w:cs="宋体" w:eastAsia="宋体" w:hint="default"/>
                <w:sz w:val="18"/>
                <w:szCs w:val="18"/>
              </w:rPr>
              <w:t>持续</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董事会审议通过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持续经营净利润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年增加</w:t>
            </w:r>
          </w:p>
        </w:tc>
      </w:tr>
      <w:tr>
        <w:trPr>
          <w:trHeight w:val="312"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经营净利润”和</w:t>
            </w:r>
            <w:r>
              <w:rPr>
                <w:rFonts w:ascii="宋体" w:hAnsi="宋体" w:cs="宋体" w:eastAsia="宋体" w:hint="default"/>
                <w:spacing w:val="-89"/>
                <w:sz w:val="18"/>
                <w:szCs w:val="18"/>
              </w:rPr>
              <w:t>“</w:t>
            </w:r>
            <w:r>
              <w:rPr>
                <w:rFonts w:ascii="宋体" w:hAnsi="宋体" w:cs="宋体" w:eastAsia="宋体" w:hint="default"/>
                <w:sz w:val="18"/>
                <w:szCs w:val="18"/>
              </w:rPr>
              <w:t>（二）终止经营净利</w:t>
            </w: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108,296,905.45 </w:t>
            </w:r>
            <w:r>
              <w:rPr>
                <w:rFonts w:ascii="宋体" w:hAnsi="宋体" w:cs="宋体" w:eastAsia="宋体" w:hint="default"/>
                <w:sz w:val="18"/>
                <w:szCs w:val="18"/>
              </w:rPr>
              <w:t>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年增加</w:t>
            </w: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润”行项目。</w:t>
            </w: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47,734,513.98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358" w:hRule="exact"/>
        </w:trPr>
        <w:tc>
          <w:tcPr>
            <w:tcW w:w="3191"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
        </w:tc>
        <w:tc>
          <w:tcPr>
            <w:tcW w:w="3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利润表新增“资产处置收益”行项目，</w:t>
            </w: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年度合并财务报表相关损益项</w:t>
            </w:r>
          </w:p>
        </w:tc>
      </w:tr>
      <w:tr>
        <w:trPr>
          <w:trHeight w:val="1556" w:hRule="exact"/>
        </w:trPr>
        <w:tc>
          <w:tcPr>
            <w:tcW w:w="31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12" w:lineRule="auto"/>
              <w:ind w:left="101" w:right="17"/>
              <w:jc w:val="both"/>
              <w:rPr>
                <w:rFonts w:ascii="宋体" w:hAnsi="宋体" w:cs="宋体" w:eastAsia="宋体" w:hint="default"/>
                <w:sz w:val="18"/>
                <w:szCs w:val="18"/>
              </w:rPr>
            </w:pPr>
            <w:r>
              <w:rPr>
                <w:rFonts w:ascii="宋体" w:hAnsi="宋体" w:cs="宋体" w:eastAsia="宋体" w:hint="default"/>
                <w:spacing w:val="-7"/>
                <w:sz w:val="18"/>
                <w:szCs w:val="18"/>
              </w:rPr>
              <w:t>公司按照《企业会计准则第</w:t>
            </w:r>
            <w:r>
              <w:rPr>
                <w:rFonts w:ascii="宋体" w:hAnsi="宋体" w:cs="宋体" w:eastAsia="宋体" w:hint="default"/>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号—财 </w:t>
            </w:r>
            <w:r>
              <w:rPr>
                <w:rFonts w:ascii="宋体" w:hAnsi="宋体" w:cs="宋体" w:eastAsia="宋体" w:hint="default"/>
                <w:spacing w:val="-5"/>
                <w:sz w:val="18"/>
                <w:szCs w:val="18"/>
              </w:rPr>
              <w:t>务报表列报》等的相关规定，利润表新</w:t>
            </w:r>
            <w:r>
              <w:rPr>
                <w:rFonts w:ascii="宋体" w:hAnsi="宋体" w:cs="宋体" w:eastAsia="宋体" w:hint="default"/>
                <w:sz w:val="18"/>
                <w:szCs w:val="18"/>
              </w:rPr>
              <w:t> </w:t>
            </w:r>
            <w:r>
              <w:rPr>
                <w:rFonts w:ascii="宋体" w:hAnsi="宋体" w:cs="宋体" w:eastAsia="宋体" w:hint="default"/>
                <w:spacing w:val="-6"/>
                <w:sz w:val="18"/>
                <w:szCs w:val="18"/>
              </w:rPr>
              <w:t>增“资产处置收益”行项目，对可比期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间的比较数据按照《通知》进行调整。</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02" w:right="0"/>
              <w:jc w:val="left"/>
              <w:rPr>
                <w:rFonts w:ascii="宋体" w:hAnsi="宋体" w:cs="宋体" w:eastAsia="宋体" w:hint="default"/>
                <w:sz w:val="18"/>
                <w:szCs w:val="18"/>
              </w:rPr>
            </w:pPr>
            <w:r>
              <w:rPr>
                <w:rFonts w:ascii="宋体" w:hAnsi="宋体" w:cs="宋体" w:eastAsia="宋体" w:hint="default"/>
                <w:sz w:val="18"/>
                <w:szCs w:val="18"/>
              </w:rPr>
              <w:t>董事会审议通过</w:t>
            </w: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目的影响为增加“资产处置收益”</w:t>
            </w:r>
          </w:p>
          <w:p>
            <w:pPr>
              <w:pStyle w:val="TableParagraph"/>
              <w:spacing w:line="300" w:lineRule="auto" w:before="76"/>
              <w:ind w:left="103" w:right="100"/>
              <w:jc w:val="left"/>
              <w:rPr>
                <w:rFonts w:ascii="宋体" w:hAnsi="宋体" w:cs="宋体" w:eastAsia="宋体" w:hint="default"/>
                <w:sz w:val="18"/>
                <w:szCs w:val="18"/>
              </w:rPr>
            </w:pPr>
            <w:r>
              <w:rPr>
                <w:rFonts w:ascii="Times New Roman" w:hAnsi="Times New Roman" w:cs="Times New Roman" w:eastAsia="Times New Roman" w:hint="default"/>
                <w:sz w:val="18"/>
                <w:szCs w:val="18"/>
              </w:rPr>
              <w:t>-235,771.42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元，同时减少“营业外支</w:t>
            </w:r>
            <w:r>
              <w:rPr>
                <w:rFonts w:ascii="宋体" w:hAnsi="宋体" w:cs="宋体" w:eastAsia="宋体" w:hint="default"/>
                <w:w w:val="99"/>
                <w:sz w:val="18"/>
                <w:szCs w:val="18"/>
              </w:rPr>
              <w:t> </w:t>
            </w:r>
            <w:r>
              <w:rPr>
                <w:rFonts w:ascii="宋体" w:hAnsi="宋体" w:cs="宋体" w:eastAsia="宋体" w:hint="default"/>
                <w:sz w:val="18"/>
                <w:szCs w:val="18"/>
              </w:rPr>
              <w:t>出”</w:t>
            </w:r>
            <w:r>
              <w:rPr>
                <w:rFonts w:ascii="Times New Roman" w:hAnsi="Times New Roman" w:cs="Times New Roman" w:eastAsia="Times New Roman" w:hint="default"/>
                <w:sz w:val="18"/>
                <w:szCs w:val="18"/>
              </w:rPr>
              <w:t>-400,545.61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元，减少“营业外收</w:t>
            </w:r>
            <w:r>
              <w:rPr>
                <w:rFonts w:ascii="宋体" w:hAnsi="宋体" w:cs="宋体" w:eastAsia="宋体" w:hint="default"/>
                <w:w w:val="99"/>
                <w:sz w:val="18"/>
                <w:szCs w:val="18"/>
              </w:rPr>
              <w:t> </w:t>
            </w:r>
            <w:r>
              <w:rPr>
                <w:rFonts w:ascii="宋体" w:hAnsi="宋体" w:cs="宋体" w:eastAsia="宋体" w:hint="default"/>
                <w:spacing w:val="-7"/>
                <w:sz w:val="18"/>
                <w:szCs w:val="18"/>
              </w:rPr>
              <w:t>入”</w:t>
            </w:r>
            <w:r>
              <w:rPr>
                <w:rFonts w:ascii="Times New Roman" w:hAnsi="Times New Roman" w:cs="Times New Roman" w:eastAsia="Times New Roman" w:hint="default"/>
                <w:spacing w:val="-7"/>
                <w:sz w:val="18"/>
                <w:szCs w:val="18"/>
              </w:rPr>
              <w:t>164,774.19</w:t>
            </w:r>
            <w:r>
              <w:rPr>
                <w:rFonts w:ascii="宋体" w:hAnsi="宋体" w:cs="宋体" w:eastAsia="宋体" w:hint="default"/>
                <w:spacing w:val="-7"/>
                <w:sz w:val="18"/>
                <w:szCs w:val="18"/>
              </w:rPr>
              <w:t>；对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年度母公司财</w:t>
            </w:r>
            <w:r>
              <w:rPr>
                <w:rFonts w:ascii="宋体" w:hAnsi="宋体" w:cs="宋体" w:eastAsia="宋体" w:hint="default"/>
                <w:w w:val="99"/>
                <w:sz w:val="18"/>
                <w:szCs w:val="18"/>
              </w:rPr>
              <w:t> </w:t>
            </w:r>
            <w:r>
              <w:rPr>
                <w:rFonts w:ascii="宋体" w:hAnsi="宋体" w:cs="宋体" w:eastAsia="宋体" w:hint="default"/>
                <w:spacing w:val="-6"/>
                <w:w w:val="99"/>
                <w:sz w:val="18"/>
                <w:szCs w:val="18"/>
              </w:rPr>
              <w:t>务报表相关损益项目的影响为增加“资</w:t>
            </w:r>
            <w:r>
              <w:rPr>
                <w:rFonts w:ascii="宋体" w:hAnsi="宋体" w:cs="宋体" w:eastAsia="宋体" w:hint="default"/>
                <w:spacing w:val="-6"/>
                <w:sz w:val="18"/>
                <w:szCs w:val="18"/>
              </w:rPr>
            </w:r>
          </w:p>
        </w:tc>
      </w:tr>
      <w:tr>
        <w:trPr>
          <w:trHeight w:val="316" w:hRule="exact"/>
        </w:trPr>
        <w:tc>
          <w:tcPr>
            <w:tcW w:w="3191"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
        </w:tc>
        <w:tc>
          <w:tcPr>
            <w:tcW w:w="31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产处置收益”</w:t>
            </w:r>
            <w:r>
              <w:rPr>
                <w:rFonts w:ascii="Times New Roman" w:hAnsi="Times New Roman" w:cs="Times New Roman" w:eastAsia="Times New Roman" w:hint="default"/>
                <w:spacing w:val="-3"/>
                <w:sz w:val="18"/>
                <w:szCs w:val="18"/>
              </w:rPr>
              <w:t>259,416.43 </w:t>
            </w:r>
            <w:r>
              <w:rPr>
                <w:rFonts w:ascii="Times New Roman" w:hAnsi="Times New Roman" w:cs="Times New Roman" w:eastAsia="Times New Roman" w:hint="default"/>
                <w:spacing w:val="20"/>
                <w:sz w:val="18"/>
                <w:szCs w:val="18"/>
              </w:rPr>
              <w:t> </w:t>
            </w:r>
            <w:r>
              <w:rPr>
                <w:rFonts w:ascii="宋体" w:hAnsi="宋体" w:cs="宋体" w:eastAsia="宋体" w:hint="default"/>
                <w:spacing w:val="-10"/>
                <w:sz w:val="18"/>
                <w:szCs w:val="18"/>
              </w:rPr>
              <w:t>元，减少“营</w:t>
            </w:r>
          </w:p>
        </w:tc>
      </w:tr>
      <w:tr>
        <w:trPr>
          <w:trHeight w:val="352" w:hRule="exact"/>
        </w:trPr>
        <w:tc>
          <w:tcPr>
            <w:tcW w:w="3191"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
        </w:tc>
        <w:tc>
          <w:tcPr>
            <w:tcW w:w="318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z w:val="18"/>
                <w:szCs w:val="18"/>
              </w:rPr>
              <w:t>业外收入”</w:t>
            </w:r>
            <w:r>
              <w:rPr>
                <w:rFonts w:ascii="Times New Roman" w:hAnsi="Times New Roman" w:cs="Times New Roman" w:eastAsia="Times New Roman" w:hint="default"/>
                <w:sz w:val="18"/>
                <w:szCs w:val="18"/>
              </w:rPr>
              <w:t>259,416.43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bl>
    <w:p>
      <w:pPr>
        <w:spacing w:line="240" w:lineRule="auto" w:before="4"/>
        <w:rPr>
          <w:rFonts w:ascii="宋体" w:hAnsi="宋体" w:cs="宋体" w:eastAsia="宋体" w:hint="default"/>
          <w:sz w:val="19"/>
          <w:szCs w:val="19"/>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4"/>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94"/>
        <w:jc w:val="left"/>
        <w:rPr>
          <w:b w:val="0"/>
          <w:bCs w:val="0"/>
        </w:rPr>
      </w:pPr>
      <w:r>
        <w:rPr>
          <w:rFonts w:ascii="Times New Roman" w:hAnsi="Times New Roman" w:cs="Times New Roman" w:eastAsia="Times New Roman" w:hint="default"/>
        </w:rPr>
        <w:t>27</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94"/>
        <w:jc w:val="left"/>
      </w:pPr>
      <w:r>
        <w:rPr>
          <w:spacing w:val="-4"/>
        </w:rPr>
        <w:t>本公司在运用会计政策过程中，由于经营活动内在的不确定性，本公司需要对无法准确计量的报表项目的账面价值进行判断、</w:t>
      </w:r>
      <w:r>
        <w:rPr>
          <w:spacing w:val="-41"/>
        </w:rPr>
        <w:t> </w:t>
      </w:r>
      <w:r>
        <w:rPr>
          <w:spacing w:val="-41"/>
        </w:rPr>
      </w:r>
      <w:r>
        <w:rPr>
          <w:spacing w:val="-2"/>
        </w:rPr>
        <w:t>估计和假设。这些判断、估计和假设是基于本公司管理层过去的历史经验，并在考虑其他相关因素的基础上做出的。这些判</w:t>
      </w:r>
      <w:r>
        <w:rPr>
          <w:spacing w:val="-66"/>
        </w:rPr>
        <w:t> </w:t>
      </w:r>
      <w:r>
        <w:rPr>
          <w:spacing w:val="-66"/>
        </w:rPr>
      </w:r>
      <w:r>
        <w:rPr>
          <w:spacing w:val="-2"/>
        </w:rPr>
        <w:t>断、估计和假设会影响收入、费用、资产和负债的报告金额以及资产负债表日或有负债的披露。然而，这些估计的不确定性</w:t>
      </w:r>
      <w:r>
        <w:rPr>
          <w:spacing w:val="-65"/>
        </w:rPr>
        <w:t> </w:t>
      </w:r>
      <w:r>
        <w:rPr>
          <w:spacing w:val="-65"/>
        </w:rPr>
      </w:r>
      <w:r>
        <w:rPr/>
        <w:t>所导致的实际结果可能与本公司管理层当前的估计存在差异，进而造成对未来受影响的资产或负债的账面金额进行重大调 整。 </w:t>
      </w:r>
      <w:r>
        <w:rPr>
          <w:spacing w:val="-2"/>
        </w:rPr>
        <w:t>本公司对前述判断、估计和假设在持续经营的基础上进行定期复核，会计估计的变更仅影响变更当期的，其影响数在变更当</w:t>
      </w:r>
      <w:r>
        <w:rPr>
          <w:spacing w:val="-65"/>
        </w:rPr>
        <w:t> </w:t>
      </w:r>
      <w:r>
        <w:rPr>
          <w:spacing w:val="-65"/>
        </w:rPr>
      </w:r>
      <w:r>
        <w:rPr/>
        <w:t>期予以确认；既影响变更当期又影响未来期间的，其影响数在变更当期和未来期间予以确认。 于资产负债表日，本公司需对财务报表项目金额进行判断、估计和假设的重要领域如下：</w:t>
      </w:r>
    </w:p>
    <w:p>
      <w:pPr>
        <w:pStyle w:val="BodyText"/>
        <w:spacing w:line="312" w:lineRule="auto" w:before="19"/>
        <w:ind w:right="94"/>
        <w:jc w:val="left"/>
      </w:pPr>
      <w:r>
        <w:rPr/>
        <w:t>（1）租赁的归类 </w:t>
      </w:r>
      <w:r>
        <w:rPr>
          <w:spacing w:val="-2"/>
        </w:rPr>
        <w:t>本公司根据《企业会计准则第21号</w:t>
      </w:r>
      <w:r>
        <w:rPr>
          <w:rFonts w:ascii="Times New Roman" w:hAnsi="Times New Roman" w:cs="Times New Roman" w:eastAsia="Times New Roman" w:hint="default"/>
          <w:spacing w:val="-2"/>
        </w:rPr>
        <w:t>——</w:t>
      </w:r>
      <w:r>
        <w:rPr>
          <w:spacing w:val="-2"/>
        </w:rPr>
        <w:t>租赁》的规定，将租赁归类为经营租赁和融资租赁，在进行归类时，管理层需要对是</w:t>
      </w:r>
      <w:r>
        <w:rPr>
          <w:spacing w:val="-65"/>
        </w:rPr>
        <w:t> </w:t>
      </w:r>
      <w:r>
        <w:rPr>
          <w:spacing w:val="-65"/>
        </w:rPr>
      </w:r>
      <w:r>
        <w:rPr>
          <w:spacing w:val="-2"/>
        </w:rPr>
        <w:t>否已将与租出资产所有权有关的全部风险和报酬实质上转移给承租人，或者本公司是否已经实质上承担与租入资产所有权有</w:t>
      </w:r>
      <w:r>
        <w:rPr>
          <w:spacing w:val="-64"/>
        </w:rPr>
        <w:t> </w:t>
      </w:r>
      <w:r>
        <w:rPr>
          <w:spacing w:val="-64"/>
        </w:rPr>
      </w:r>
      <w:r>
        <w:rPr/>
        <w:t>关的全部风险和报酬，作出分析和判断。</w:t>
      </w:r>
    </w:p>
    <w:p>
      <w:pPr>
        <w:pStyle w:val="BodyText"/>
        <w:spacing w:line="316" w:lineRule="auto" w:before="22"/>
        <w:ind w:right="94"/>
        <w:jc w:val="left"/>
      </w:pPr>
      <w:r>
        <w:rPr/>
        <w:t>（2）坏账准备计提 </w:t>
      </w:r>
      <w:r>
        <w:rPr>
          <w:spacing w:val="-2"/>
        </w:rPr>
        <w:t>本公司根据应收款项的会计政策，采用备抵法核算坏账损失。应收款项减值是基于评估应收款项的可收回性。鉴定应收款项</w:t>
      </w:r>
      <w:r>
        <w:rPr>
          <w:spacing w:val="-65"/>
        </w:rPr>
        <w:t> </w:t>
      </w:r>
      <w:r>
        <w:rPr>
          <w:spacing w:val="-65"/>
        </w:rPr>
      </w:r>
      <w:r>
        <w:rPr>
          <w:spacing w:val="-2"/>
        </w:rPr>
        <w:t>减值要求管理层的判断和估计。实际的结果与原先估计的差异将在估计被改变的期间影响应收款项的账面价值及应收款项坏</w:t>
      </w:r>
      <w:r>
        <w:rPr>
          <w:spacing w:val="-64"/>
        </w:rPr>
        <w:t> </w:t>
      </w:r>
      <w:r>
        <w:rPr>
          <w:spacing w:val="-64"/>
        </w:rPr>
      </w:r>
      <w:r>
        <w:rPr/>
        <w:t>账准备的计提或转回。</w:t>
      </w:r>
    </w:p>
    <w:p>
      <w:pPr>
        <w:pStyle w:val="BodyText"/>
        <w:spacing w:line="316" w:lineRule="auto" w:before="19"/>
        <w:ind w:right="94"/>
        <w:jc w:val="left"/>
      </w:pPr>
      <w:r>
        <w:rPr/>
        <w:t>（3）存货跌价准备 </w:t>
      </w:r>
      <w:r>
        <w:rPr>
          <w:spacing w:val="-2"/>
        </w:rPr>
        <w:t>本公司根据存货会计政策，按照成本与可变现净值孰低计量，对成本高于可变现净值及陈旧和滞销的存货，计提存货跌价准</w:t>
      </w:r>
      <w:r>
        <w:rPr>
          <w:spacing w:val="-65"/>
        </w:rPr>
        <w:t> </w:t>
      </w:r>
      <w:r>
        <w:rPr>
          <w:spacing w:val="-65"/>
        </w:rPr>
      </w:r>
      <w:r>
        <w:rPr>
          <w:spacing w:val="-2"/>
        </w:rPr>
        <w:t>备。存货减值至可变现净值是基于评估存货的可售性及其可变现净值。鉴定存货减值要求管理层在取得确凿证据，并且考虑</w:t>
      </w:r>
      <w:r>
        <w:rPr>
          <w:spacing w:val="-65"/>
        </w:rPr>
        <w:t> </w:t>
      </w:r>
      <w:r>
        <w:rPr>
          <w:spacing w:val="-65"/>
        </w:rPr>
      </w:r>
      <w:r>
        <w:rPr>
          <w:spacing w:val="-2"/>
        </w:rPr>
        <w:t>持有存货的目的、资产负债表日后事项的影响等因素的基础上作出判断和估计。实际的结果与原先估计的差异将在估计被改</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240" w:lineRule="auto" w:before="44"/>
        <w:ind w:right="94"/>
        <w:jc w:val="left"/>
      </w:pPr>
      <w:r>
        <w:rPr/>
        <w:t>变的期间影响存货的账面价值及存货跌价准备的计提或转回。</w:t>
      </w:r>
    </w:p>
    <w:p>
      <w:pPr>
        <w:pStyle w:val="BodyText"/>
        <w:spacing w:line="316" w:lineRule="auto" w:before="76"/>
        <w:ind w:right="94"/>
        <w:jc w:val="left"/>
      </w:pPr>
      <w:r>
        <w:rPr/>
        <w:t>（4）长期资产减值准备 本公司于资产负债表日对除金融资产之外的非流动资产判断是否存在可能发生减值的迹象。对使用寿命不确定的无形资产，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6"/>
        </w:rPr>
        <w:t> </w:t>
      </w:r>
      <w:r>
        <w:rPr>
          <w:spacing w:val="-66"/>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5"/>
        </w:rPr>
        <w:t> </w:t>
      </w:r>
      <w:r>
        <w:rPr>
          <w:spacing w:val="-65"/>
        </w:rPr>
      </w:r>
      <w:r>
        <w:rPr>
          <w:spacing w:val="-2"/>
        </w:rPr>
        <w:t>重大判断。本公司在估计可收回金额时会采用所有能够获得的相关资料，包括根据合理和可支持的假设所作出有关产量、售</w:t>
      </w:r>
      <w:r>
        <w:rPr>
          <w:spacing w:val="-65"/>
        </w:rPr>
        <w:t> </w:t>
      </w:r>
      <w:r>
        <w:rPr>
          <w:spacing w:val="-65"/>
        </w:rPr>
      </w:r>
      <w:r>
        <w:rPr/>
        <w:t>价和相关经营成本的预测。 </w:t>
      </w:r>
      <w:r>
        <w:rPr>
          <w:spacing w:val="-2"/>
        </w:rPr>
        <w:t>本公司至少每年测试商誉是否发生减值。这要求对分配了商誉的资产组或者资产组组合的未来现金流量的现值进行预计。对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未来现金流量的现值进行预计时，本公司需要预计未来资产组或者资产组组合产生的现金流量，同时选择恰当的折现率确定</w:t>
      </w:r>
      <w:r>
        <w:rPr>
          <w:spacing w:val="-64"/>
        </w:rPr>
        <w:t> </w:t>
      </w:r>
      <w:r>
        <w:rPr>
          <w:spacing w:val="-64"/>
        </w:rPr>
      </w:r>
      <w:r>
        <w:rPr/>
        <w:t>未来现金流量的现值。</w:t>
      </w:r>
    </w:p>
    <w:p>
      <w:pPr>
        <w:pStyle w:val="BodyText"/>
        <w:spacing w:line="316" w:lineRule="auto" w:before="19"/>
        <w:ind w:right="94"/>
        <w:jc w:val="left"/>
      </w:pPr>
      <w:r>
        <w:rPr/>
        <w:t>（5）折旧和摊销 </w:t>
      </w:r>
      <w:r>
        <w:rPr>
          <w:spacing w:val="-2"/>
        </w:rPr>
        <w:t>本公司对投资性房地产、固定资产和无形资产在考虑其残值后，在使用寿命内按直线法计提折旧和摊销。本公司定期复核使</w:t>
      </w:r>
      <w:r>
        <w:rPr>
          <w:spacing w:val="-65"/>
        </w:rPr>
        <w:t> </w:t>
      </w:r>
      <w:r>
        <w:rPr>
          <w:spacing w:val="-65"/>
        </w:rPr>
      </w:r>
      <w:r>
        <w:rPr>
          <w:spacing w:val="-2"/>
        </w:rPr>
        <w:t>用寿命，以决定将计入每个报告期的折旧和摊销费用数额。使用寿命是本公司根据对同类资产的以往经验并结合预期的技术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316" w:lineRule="auto" w:before="19"/>
        <w:ind w:right="184"/>
        <w:jc w:val="left"/>
      </w:pPr>
      <w:r>
        <w:rPr/>
        <w:t>（6）开发支出 确定资本化的金额时，本公司管理层需要作出有关资产的预计未来现金流量、适用的折现率以及预计受益期间的假设。 </w:t>
      </w:r>
      <w:r>
        <w:rPr>
          <w:spacing w:val="-2"/>
        </w:rPr>
        <w:t>2017年12月31日本公司自行开发的钻孔数码成像探测仪分析系统、煤矿井下安全运输系统、煤矿综采工作面乳化液全自动配</w:t>
      </w:r>
      <w:r>
        <w:rPr>
          <w:spacing w:val="-60"/>
        </w:rPr>
        <w:t> </w:t>
      </w:r>
      <w:r>
        <w:rPr>
          <w:spacing w:val="-60"/>
        </w:rPr>
      </w:r>
      <w:r>
        <w:rPr/>
        <w:t>液装置及乳化液高压自动反冲洗过滤站装置、矿用智能集成供液系统等无形资产无形资产在资产负债表中的余额为人民币 57,237,688.38元。本公司管理层认为该业务的前景和目前的发展良好，市场对以该无形资产生产的产品的反应也证实了管</w:t>
      </w:r>
      <w:r>
        <w:rPr/>
        <w:t> </w:t>
      </w:r>
      <w:r>
        <w:rPr>
          <w:spacing w:val="-2"/>
        </w:rPr>
        <w:t>理层之前对这一项目预期收入的估计。但是日益增加的竞争也使得管理层重新考虑对市场份额和有关产品的预计毛利等方面</w:t>
      </w:r>
      <w:r>
        <w:rPr>
          <w:spacing w:val="-64"/>
        </w:rPr>
        <w:t> </w:t>
      </w:r>
      <w:r>
        <w:rPr>
          <w:spacing w:val="-64"/>
        </w:rPr>
      </w:r>
      <w:r>
        <w:rPr/>
        <w:t>的假设。经过全面的检视后，本公司管理层认为即使在产品回报率出现下调的情况下，仍可以全额收回36,625,175.19元无</w:t>
      </w:r>
      <w:r>
        <w:rPr/>
        <w:t> </w:t>
      </w:r>
      <w:r>
        <w:rPr>
          <w:spacing w:val="-2"/>
        </w:rPr>
        <w:t>形资产账面价值。本公司将继续密切检视有关情况，一旦有迹象表明需要调整相关会计估计的假设，本公司将在有关迹象发</w:t>
      </w:r>
      <w:r>
        <w:rPr>
          <w:spacing w:val="-65"/>
        </w:rPr>
        <w:t> </w:t>
      </w:r>
      <w:r>
        <w:rPr>
          <w:spacing w:val="-65"/>
        </w:rPr>
      </w:r>
      <w:r>
        <w:rPr/>
        <w:t>生的期间作出调整。</w:t>
      </w:r>
    </w:p>
    <w:p>
      <w:pPr>
        <w:pStyle w:val="BodyText"/>
        <w:spacing w:line="316" w:lineRule="auto" w:before="19"/>
        <w:ind w:right="94"/>
        <w:jc w:val="left"/>
      </w:pPr>
      <w:r>
        <w:rPr/>
        <w:t>（7）递延所得税资产 </w:t>
      </w:r>
      <w:r>
        <w:rPr>
          <w:spacing w:val="-2"/>
        </w:rPr>
        <w:t>在很有可能有足够的应纳税利润来抵扣亏损的限度内，本公司就所有未利用的税务亏损确认递延所得税资产。这需要本公司</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6" w:lineRule="auto" w:before="19"/>
        <w:ind w:right="94"/>
        <w:jc w:val="left"/>
      </w:pPr>
      <w:r>
        <w:rPr/>
        <w:t>（8）所得税 </w:t>
      </w:r>
      <w:r>
        <w:rPr>
          <w:spacing w:val="-2"/>
        </w:rPr>
        <w:t>本公司在正常的经营活动中，有部分交易其最终的税务处理和计算存在一定的不确定性。部分项目是否能够在税前列支需要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67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0"/>
              <w:ind w:left="102" w:right="102"/>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的税率计算销项 </w:t>
            </w:r>
            <w:r>
              <w:rPr>
                <w:rFonts w:ascii="宋体" w:hAnsi="宋体" w:cs="宋体" w:eastAsia="宋体" w:hint="default"/>
                <w:spacing w:val="-6"/>
                <w:sz w:val="18"/>
                <w:szCs w:val="18"/>
              </w:rPr>
              <w:t>税，并按扣除当期允许抵扣的进项税额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footerReference w:type="default" r:id="rId38"/>
          <w:pgSz w:w="11910" w:h="16840"/>
          <w:pgMar w:footer="1013" w:header="907" w:top="1100" w:bottom="1200" w:left="1020" w:right="940"/>
          <w:pgNumType w:start="12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后的差额计缴增值税。</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pStyle w:val="BodyText"/>
        <w:spacing w:line="240" w:lineRule="auto" w:before="51"/>
        <w:ind w:right="94"/>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尤洛卡精准信息工程股份有限公司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尤洛卡（山东）环境工程有限公司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尤洛卡（上海）国际贸易有限公司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尤洛卡（北京）产业信息技术研究院有限公司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北京富华宇祺信息技术有限公司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上海富华软件有限公司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成都富华宇祺通讯有限公司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泰安宇祺通讯技术有限公司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25.00%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富优（北京）数据软件有限公司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本年免税</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长春师凯科技产业有限责任公司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长春继珩精密光学技术有限公司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4"/>
        <w:rPr>
          <w:rFonts w:ascii="宋体" w:hAnsi="宋体" w:cs="宋体" w:eastAsia="宋体" w:hint="default"/>
          <w:sz w:val="19"/>
          <w:szCs w:val="19"/>
        </w:rPr>
      </w:pPr>
    </w:p>
    <w:p>
      <w:pPr>
        <w:pStyle w:val="Heading4"/>
        <w:spacing w:line="240" w:lineRule="auto" w:before="34"/>
        <w:ind w:right="94"/>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t>（1）根据财政部、国家税务总局关于软件产品增值税政策的通知（财税（2000）25号、财税（2011）100号）的相关规定， </w:t>
      </w:r>
      <w:r>
        <w:rPr>
          <w:spacing w:val="-2"/>
        </w:rPr>
        <w:t>本公司子公司尤洛卡（山东）环境工程有限公司、尤洛卡（北京）产业信息技术研究院有限公司、北京富华宇祺信息技术有</w:t>
      </w:r>
      <w:r>
        <w:rPr>
          <w:spacing w:val="-66"/>
        </w:rPr>
        <w:t> </w:t>
      </w:r>
      <w:r>
        <w:rPr>
          <w:spacing w:val="-66"/>
        </w:rPr>
      </w:r>
      <w:r>
        <w:rPr>
          <w:spacing w:val="-2"/>
        </w:rPr>
        <w:t>限公司、上海富华软件有限公司、富优（北京）数据软件有限公司享受“增值税实际税负超过3%的部分执行即征即退”的政</w:t>
      </w:r>
      <w:r>
        <w:rPr>
          <w:spacing w:val="-65"/>
        </w:rPr>
        <w:t> </w:t>
      </w:r>
      <w:r>
        <w:rPr>
          <w:spacing w:val="-65"/>
        </w:rPr>
      </w:r>
      <w:r>
        <w:rPr/>
        <w:t>策。</w:t>
      </w:r>
    </w:p>
    <w:p>
      <w:pPr>
        <w:pStyle w:val="BodyText"/>
        <w:spacing w:line="316" w:lineRule="auto" w:before="19"/>
        <w:ind w:right="184"/>
        <w:jc w:val="left"/>
      </w:pPr>
      <w:r>
        <w:rPr/>
        <w:t>（2）本公司于2014年通过高新技术企业复审，将连续三年（2014年至2016年）继续享受国家关于高新技术企业的相关优惠 政策，并按15%的税率缴纳企业所得税。</w:t>
      </w:r>
    </w:p>
    <w:p>
      <w:pPr>
        <w:pStyle w:val="BodyText"/>
        <w:spacing w:line="316" w:lineRule="auto" w:before="19"/>
        <w:ind w:right="94"/>
        <w:jc w:val="left"/>
      </w:pPr>
      <w:r>
        <w:rPr>
          <w:spacing w:val="-2"/>
        </w:rPr>
        <w:t>（3）本公司2017年通过高新技术企业复审，证书编号GR2017137001560，将连续三年（2017年至2019年）继续享受国家关于</w:t>
      </w:r>
      <w:r>
        <w:rPr>
          <w:spacing w:val="-50"/>
        </w:rPr>
        <w:t> </w:t>
      </w:r>
      <w:r>
        <w:rPr>
          <w:spacing w:val="-50"/>
        </w:rPr>
      </w:r>
      <w:r>
        <w:rPr/>
        <w:t>高新技术企业的相关优惠政策，并按15%的税率缴纳企业所得税。</w:t>
      </w:r>
    </w:p>
    <w:p>
      <w:pPr>
        <w:pStyle w:val="BodyText"/>
        <w:spacing w:line="316" w:lineRule="auto" w:before="19"/>
        <w:ind w:right="184"/>
        <w:jc w:val="left"/>
      </w:pPr>
      <w:r>
        <w:rPr/>
        <w:t>（4）本公司子公司尤洛卡（山东）环境工程有限公司于2016年通过高新技术企业复审，证书编号GR201637000308，将连续 三年（2016年至2018年）继续享受国家关于高新技术企业的相关优惠政策，并按15%的税率缴纳企业所得税。</w:t>
      </w:r>
    </w:p>
    <w:p>
      <w:pPr>
        <w:pStyle w:val="BodyText"/>
        <w:spacing w:line="316" w:lineRule="auto" w:before="19"/>
        <w:ind w:right="184"/>
        <w:jc w:val="left"/>
      </w:pPr>
      <w:r>
        <w:rPr/>
        <w:t>（5）本公司子公司北京富华宇祺信息技术有限公司2014年通过高新技术企业复审，将连续三年（2014年至2016年）继续享 受国家关于高新技术企业的相关优惠政策，并按15%的税率缴纳企业所得税。</w:t>
      </w:r>
    </w:p>
    <w:p>
      <w:pPr>
        <w:pStyle w:val="BodyText"/>
        <w:spacing w:line="240" w:lineRule="auto" w:before="19"/>
        <w:ind w:right="94"/>
        <w:jc w:val="left"/>
      </w:pPr>
      <w:r>
        <w:rPr/>
        <w:t>（6）本公司子公司北京富华宇祺信息技术有限公司2017年通过高新技术企业复审，证书编号GR201711004119，将连续三年</w:t>
      </w:r>
    </w:p>
    <w:p>
      <w:pPr>
        <w:pStyle w:val="BodyText"/>
        <w:spacing w:line="240" w:lineRule="auto" w:before="76"/>
        <w:ind w:right="94"/>
        <w:jc w:val="left"/>
      </w:pPr>
      <w:r>
        <w:rPr/>
        <w:t>（2017年至2019年）继续享受国家关于高新技术企业的相关优惠政策，并按15%的税率缴纳企业所得税。</w:t>
      </w:r>
    </w:p>
    <w:p>
      <w:pPr>
        <w:pStyle w:val="BodyText"/>
        <w:spacing w:line="316" w:lineRule="auto" w:before="76"/>
        <w:ind w:right="184"/>
        <w:jc w:val="left"/>
      </w:pPr>
      <w:r>
        <w:rPr/>
        <w:t>（7）本公司子公司尤洛卡（北京）产业信息技术研究院有限公司根据财税【2012】27号文享受“第一年和第二年免征企业 所得税、第三年至第五年减半征收企业所得税”的政策，即自首个获利年度起，2013年至2014年免缴企业所得税，自2015 年至2017年减半缴纳企业所得税，本年度减半缴纳企业所得税。</w:t>
      </w:r>
    </w:p>
    <w:p>
      <w:pPr>
        <w:pStyle w:val="BodyText"/>
        <w:spacing w:line="316" w:lineRule="auto" w:before="19"/>
        <w:ind w:right="94"/>
        <w:jc w:val="left"/>
      </w:pPr>
      <w:r>
        <w:rPr/>
        <w:t>（8）本公司子公司北京富华宇祺信息技术有限公司的全资子公司上海富华软件有限公司于2015年5月6日取得上海市浦东新 区地方税务局关于企业所得税优惠事先备案结果通知书，根据财税【2012】27号文享受“第一年和第二年免征企业所得税、</w:t>
      </w:r>
    </w:p>
    <w:p>
      <w:pPr>
        <w:spacing w:after="0" w:line="316" w:lineRule="auto"/>
        <w:jc w:val="left"/>
        <w:sectPr>
          <w:pgSz w:w="11910" w:h="16840"/>
          <w:pgMar w:header="907" w:footer="1013" w:top="1100" w:bottom="1200" w:left="1020" w:right="940"/>
        </w:sectPr>
      </w:pPr>
    </w:p>
    <w:p>
      <w:pPr>
        <w:spacing w:line="240" w:lineRule="auto" w:before="13"/>
        <w:rPr>
          <w:rFonts w:ascii="宋体" w:hAnsi="宋体" w:cs="宋体" w:eastAsia="宋体" w:hint="default"/>
          <w:sz w:val="22"/>
          <w:szCs w:val="22"/>
        </w:rPr>
      </w:pPr>
    </w:p>
    <w:p>
      <w:pPr>
        <w:pStyle w:val="BodyText"/>
        <w:spacing w:line="316" w:lineRule="auto" w:before="44"/>
        <w:ind w:right="94"/>
        <w:jc w:val="left"/>
      </w:pPr>
      <w:r>
        <w:rPr/>
        <w:t>第三年至第五年减半征收企业所得税”的政策，即自首个获利年度起，2014年至2015年免缴企业所得税，自2016年至2018 年减半缴纳企业所得税，本年度适用12.5%的税率。 </w:t>
      </w:r>
      <w:r>
        <w:rPr>
          <w:spacing w:val="-3"/>
        </w:rPr>
        <w:t>注：根据《关于软件和集成电路产业企业所得税优惠政策有关问题的通知》（财税【2016】49号文）规定，享受财税〔2012〕</w:t>
      </w:r>
      <w:r>
        <w:rPr>
          <w:spacing w:val="-88"/>
        </w:rPr>
        <w:t> </w:t>
      </w:r>
      <w:r>
        <w:rPr>
          <w:spacing w:val="-88"/>
        </w:rPr>
      </w:r>
      <w:r>
        <w:rPr>
          <w:spacing w:val="-2"/>
        </w:rPr>
        <w:t>27号文件规定的税收优惠政策的软件、集成电路企业，每年汇算清缴时应按照《国家税务总局关于发布〈企业所得税优惠政</w:t>
      </w:r>
      <w:r>
        <w:rPr>
          <w:spacing w:val="-65"/>
        </w:rPr>
        <w:t> </w:t>
      </w:r>
      <w:r>
        <w:rPr>
          <w:spacing w:val="-65"/>
        </w:rPr>
      </w:r>
      <w:r>
        <w:rPr>
          <w:spacing w:val="-2"/>
        </w:rPr>
        <w:t>策事项办理办法〉的公告》（国家税务总局公告2015年第76号）规定向税务机关备案，同时提交《享受企业所得税优惠政策</w:t>
      </w:r>
      <w:r>
        <w:rPr>
          <w:spacing w:val="-68"/>
        </w:rPr>
        <w:t> </w:t>
      </w:r>
      <w:r>
        <w:rPr>
          <w:spacing w:val="-68"/>
        </w:rPr>
      </w:r>
      <w:r>
        <w:rPr/>
        <w:t>的软件和集成电路企业备案资料明细表》规定的备案资料，公司管理层认为尤洛卡（北京）产业信息技术研究院有限公司、 上海富华软件有限公司2017年度符合软件和集成电路产业企业所得税优惠政策的相关要求，2017年度按12.5%的税率计算缴</w:t>
      </w:r>
      <w:r>
        <w:rPr/>
        <w:t> 纳企业所得税。</w:t>
      </w:r>
    </w:p>
    <w:p>
      <w:pPr>
        <w:pStyle w:val="BodyText"/>
        <w:spacing w:line="316" w:lineRule="auto" w:before="19"/>
        <w:ind w:right="184"/>
        <w:jc w:val="left"/>
      </w:pPr>
      <w:r>
        <w:rPr/>
        <w:t>（9）本公司子公司北京富华宇祺信息技术有限公司的全资子公司富优（北京）数据软件有限公司根据财税【2012】27号文 </w:t>
      </w:r>
      <w:r>
        <w:rPr>
          <w:spacing w:val="-5"/>
        </w:rPr>
        <w:t>享受“第一年和第二年免征企业所得税、第三年至第五年减半征收企业所得税”的政策，即自首个获利年度起，2016年至2017</w:t>
      </w:r>
      <w:r>
        <w:rPr>
          <w:spacing w:val="-60"/>
        </w:rPr>
        <w:t> </w:t>
      </w:r>
      <w:r>
        <w:rPr>
          <w:spacing w:val="-60"/>
        </w:rPr>
      </w:r>
      <w:r>
        <w:rPr/>
        <w:t>年免缴企业所得税，自2018年至2020年减半缴纳企业所得税，本年度适用零税率。</w:t>
      </w:r>
      <w:r>
        <w:rPr/>
        <w:t> </w:t>
      </w:r>
      <w:r>
        <w:rPr>
          <w:spacing w:val="-2"/>
        </w:rPr>
        <w:t>根据《关于软件和集成电路产业企业所得税优惠政策有关问题的通知》（财税【2016】49号文）规定，享受财税〔2012〕27</w:t>
      </w:r>
      <w:r>
        <w:rPr>
          <w:spacing w:val="-63"/>
        </w:rPr>
        <w:t> </w:t>
      </w:r>
      <w:r>
        <w:rPr>
          <w:spacing w:val="-63"/>
        </w:rPr>
      </w:r>
      <w:r>
        <w:rPr>
          <w:spacing w:val="-2"/>
        </w:rPr>
        <w:t>号文件规定的税收优惠政策的软件、集成电路企业，每年汇算清缴时应按照《国家税务总局关于发布〈企业所得税优惠政策</w:t>
      </w:r>
      <w:r>
        <w:rPr>
          <w:spacing w:val="-66"/>
        </w:rPr>
        <w:t> </w:t>
      </w:r>
      <w:r>
        <w:rPr>
          <w:spacing w:val="-66"/>
        </w:rPr>
      </w:r>
      <w:r>
        <w:rPr>
          <w:spacing w:val="-2"/>
        </w:rPr>
        <w:t>事项办理办法〉的公告》（国家税务总局公告2015年第76号）规定向税务机关备案，同时提交《享受企业所得税优惠政策的</w:t>
      </w:r>
      <w:r>
        <w:rPr>
          <w:spacing w:val="-68"/>
        </w:rPr>
        <w:t> </w:t>
      </w:r>
      <w:r>
        <w:rPr>
          <w:spacing w:val="-68"/>
        </w:rPr>
      </w:r>
      <w:r>
        <w:rPr>
          <w:spacing w:val="-2"/>
        </w:rPr>
        <w:t>软件和集成电路企业备案资料明细表》规定的备案资料，公司管理层认为2017年度符合软件和集成电路产业企业所得税优惠</w:t>
      </w:r>
      <w:r>
        <w:rPr>
          <w:spacing w:val="-62"/>
        </w:rPr>
        <w:t> </w:t>
      </w:r>
      <w:r>
        <w:rPr>
          <w:spacing w:val="-62"/>
        </w:rPr>
      </w:r>
      <w:r>
        <w:rPr/>
        <w:t>政策的相关要求，2017年度按零税率计算缴纳企业所得税。</w:t>
      </w:r>
    </w:p>
    <w:p>
      <w:pPr>
        <w:pStyle w:val="BodyText"/>
        <w:spacing w:line="316" w:lineRule="auto" w:before="19"/>
        <w:ind w:right="192"/>
        <w:jc w:val="left"/>
      </w:pPr>
      <w:r>
        <w:rPr>
          <w:spacing w:val="-2"/>
        </w:rPr>
        <w:t>（10）本公司子公司长春师凯科技产业有限责任公司2015年通过高新技术企业复审，证书编号：GR201522000029，资格有效</w:t>
      </w:r>
      <w:r>
        <w:rPr>
          <w:spacing w:val="-56"/>
        </w:rPr>
        <w:t> </w:t>
      </w:r>
      <w:r>
        <w:rPr>
          <w:spacing w:val="-56"/>
        </w:rPr>
      </w:r>
      <w:r>
        <w:rPr/>
        <w:t>期3年，企业所得税优惠期为2015年-2017年。</w:t>
      </w:r>
    </w:p>
    <w:p>
      <w:pPr>
        <w:pStyle w:val="BodyText"/>
        <w:spacing w:line="316" w:lineRule="auto" w:before="19"/>
        <w:ind w:right="94"/>
        <w:jc w:val="left"/>
      </w:pPr>
      <w:r>
        <w:rPr/>
        <w:t>（11）本公司子公司长春师凯科技产业有限责任公司根据财政部、国家税务总局有关文件，军品合同享受免征增值税政策， 对已征收入库的应予免征增值税税款，可抵减纳税人以后月份应缴纳的增值税税款或者办理税款退款。</w:t>
      </w:r>
    </w:p>
    <w:p>
      <w:pPr>
        <w:spacing w:line="240" w:lineRule="auto" w:before="9"/>
        <w:rPr>
          <w:rFonts w:ascii="宋体" w:hAnsi="宋体" w:cs="宋体" w:eastAsia="宋体" w:hint="default"/>
          <w:sz w:val="20"/>
          <w:szCs w:val="20"/>
        </w:rPr>
      </w:pPr>
    </w:p>
    <w:p>
      <w:pPr>
        <w:pStyle w:val="Heading2"/>
        <w:spacing w:line="240" w:lineRule="auto"/>
        <w:ind w:right="94"/>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56,292.92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25,519.05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291,565,878.44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341,754,405.97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2,710,500.00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22,375,559.00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294,332,671.36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364,155,484.02</w:t>
            </w:r>
          </w:p>
        </w:tc>
      </w:tr>
    </w:tbl>
    <w:p>
      <w:pPr>
        <w:pStyle w:val="BodyText"/>
        <w:spacing w:line="240" w:lineRule="auto" w:before="49"/>
        <w:ind w:right="94"/>
        <w:jc w:val="left"/>
      </w:pPr>
      <w:r>
        <w:rPr/>
        <w:t>其他说明</w:t>
      </w:r>
    </w:p>
    <w:p>
      <w:pPr>
        <w:pStyle w:val="BodyText"/>
        <w:spacing w:line="240" w:lineRule="auto" w:before="117"/>
        <w:ind w:right="94"/>
        <w:jc w:val="left"/>
      </w:pPr>
      <w:r>
        <w:rPr/>
        <w:t>（1）其他货币资金年末余额2,710,500.00元，系本公司为保证合同的履行向银行存入的履约保函金。</w:t>
      </w:r>
    </w:p>
    <w:p>
      <w:pPr>
        <w:pStyle w:val="BodyText"/>
        <w:spacing w:line="316" w:lineRule="auto" w:before="76"/>
        <w:ind w:right="184"/>
        <w:jc w:val="left"/>
      </w:pPr>
      <w:r>
        <w:rPr/>
        <w:t>（2）其他货币资金年初余额22,375,559.00元，其中21,751,059.00元系本公司向银行申请开具银行承兑汇票所存入的保证 金存款；624,500.00元系本公司为保证合同的履行向银行存入的履约保函金。</w:t>
      </w:r>
    </w:p>
    <w:p>
      <w:pPr>
        <w:pStyle w:val="BodyText"/>
        <w:spacing w:line="316" w:lineRule="auto" w:before="19"/>
        <w:ind w:right="184"/>
        <w:jc w:val="left"/>
      </w:pPr>
      <w:r>
        <w:rPr/>
        <w:t>（3）于2016年12月31日，本公司的所有权受到限制的银行存款系本公司以人民币5,778,000.00元银行定期存单为质押存入 的履约保函金。</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）应收票据分类列示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after="0" w:line="240" w:lineRule="auto"/>
        <w:jc w:val="right"/>
        <w:sectPr>
          <w:footerReference w:type="default" r:id="rId39"/>
          <w:pgSz w:w="11910" w:h="16840"/>
          <w:pgMar w:footer="1013" w:header="907" w:top="1100" w:bottom="1200" w:left="1020" w:right="940"/>
          <w:pgNumType w:start="122"/>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26,148,635.69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16,195,248.20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96,392,478.75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105,933,095.23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122,541,114.44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122,128,343.43</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13,494,850.57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13,795,338.20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27,290,188.77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386,69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0,088.7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59,716,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882.81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326,97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3,205.9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298,2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88,39</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53,885,</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897.58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244,402,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498.04</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386,69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0,088.7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59,716,</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882.81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15.44</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326,97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3,205.9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298,2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88,39</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5.62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53,885,</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897.58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18.07%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244,402,</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498.04</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3" w:top="1100" w:bottom="1200" w:left="1020" w:right="1020"/>
        </w:sectPr>
      </w:pPr>
    </w:p>
    <w:p>
      <w:pPr>
        <w:pStyle w:val="BodyText"/>
        <w:spacing w:line="240" w:lineRule="auto" w:before="50"/>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250,988,425.22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12,549,421.27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r>
      <w:tr>
        <w:trPr>
          <w:trHeight w:val="400"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250,988,425.22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12,549,421.27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2"/>
        <w:gridCol w:w="2392"/>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84,259,147.14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8,425,914.71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18,144,242.28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5,443,272.68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33,298,274.15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33,298,274.15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16,068,207.94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16,068,207.94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11,472,624.61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11,472,624.61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5,757,441.60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5,757,441.60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386,690,088.79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59,716,882.81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414"/>
        <w:jc w:val="left"/>
      </w:pPr>
      <w:r>
        <w:rPr/>
        <w:t>确定该组合依据的说明： 组合中，采用余额百分比法计提坏账准备的应收账款：</w:t>
      </w:r>
    </w:p>
    <w:p>
      <w:pPr>
        <w:pStyle w:val="BodyText"/>
        <w:spacing w:line="360" w:lineRule="auto" w:before="25"/>
        <w:ind w:right="5774"/>
        <w:jc w:val="left"/>
      </w:pPr>
      <w:r>
        <w:rPr/>
        <w:t>□ 适用 √ 不适用 组合中，采用其他方法计提坏账准备的应收账款：</w:t>
      </w:r>
    </w:p>
    <w:p>
      <w:pPr>
        <w:spacing w:line="240" w:lineRule="auto" w:before="2"/>
        <w:rPr>
          <w:rFonts w:ascii="宋体" w:hAnsi="宋体" w:cs="宋体" w:eastAsia="宋体" w:hint="default"/>
          <w:sz w:val="20"/>
          <w:szCs w:val="20"/>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7" w:footer="1013" w:top="1100" w:bottom="1200" w:left="1020" w:right="1020"/>
        </w:sectPr>
      </w:pPr>
    </w:p>
    <w:p>
      <w:pPr>
        <w:pStyle w:val="BodyText"/>
        <w:spacing w:line="340" w:lineRule="auto" w:before="44"/>
        <w:ind w:right="-8"/>
        <w:jc w:val="left"/>
      </w:pPr>
      <w:r>
        <w:rPr/>
        <w:t>本期计提坏账准备金额</w:t>
      </w:r>
      <w:r>
        <w:rPr>
          <w:spacing w:val="-47"/>
        </w:rPr>
        <w:t> </w:t>
      </w:r>
      <w:r>
        <w:rPr>
          <w:rFonts w:ascii="Times New Roman" w:hAnsi="Times New Roman" w:cs="Times New Roman" w:eastAsia="Times New Roman" w:hint="default"/>
        </w:rPr>
        <w:t>5,830,985.23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6413" w:space="2416"/>
            <w:col w:w="1041"/>
          </w:cols>
        </w:sectPr>
      </w:pP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59"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5"/>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674"/>
        <w:jc w:val="left"/>
      </w:pPr>
      <w:r>
        <w:rPr/>
        <w:t>公司是否需要遵守特殊行业的披露要求 否</w:t>
      </w:r>
    </w:p>
    <w:p>
      <w:pPr>
        <w:pStyle w:val="BodyText"/>
        <w:spacing w:line="316" w:lineRule="auto" w:before="27"/>
        <w:ind w:right="194"/>
        <w:jc w:val="left"/>
      </w:pPr>
      <w:r>
        <w:rPr/>
        <w:t>本公司本年按欠款方归集的年末余额前五名应收账款汇总金额为164,980,198.60元，占应收账款年末余额合计数的比例为 42.66%，相应计提的坏账准备年末余额汇总金额为9,425,719.28元。</w:t>
      </w:r>
    </w:p>
    <w:p>
      <w:pPr>
        <w:spacing w:line="240" w:lineRule="auto" w:before="6"/>
        <w:rPr>
          <w:rFonts w:ascii="宋体" w:hAnsi="宋体" w:cs="宋体" w:eastAsia="宋体" w:hint="default"/>
          <w:sz w:val="22"/>
          <w:szCs w:val="22"/>
        </w:rPr>
      </w:pPr>
    </w:p>
    <w:p>
      <w:pPr>
        <w:pStyle w:val="Heading4"/>
        <w:spacing w:line="240" w:lineRule="auto"/>
        <w:ind w:right="157"/>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11,681,965.49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17,266,299.05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58.40%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9,170,650.80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43.98%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6" w:right="0"/>
              <w:jc w:val="left"/>
              <w:rPr>
                <w:rFonts w:ascii="Times New Roman" w:hAnsi="Times New Roman" w:cs="Times New Roman" w:eastAsia="Times New Roman" w:hint="default"/>
                <w:sz w:val="18"/>
                <w:szCs w:val="18"/>
              </w:rPr>
            </w:pPr>
            <w:r>
              <w:rPr>
                <w:rFonts w:ascii="Times New Roman"/>
                <w:sz w:val="18"/>
              </w:rPr>
              <w:t>12,297,915.15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41.60%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20,852,616.29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29,564,214.20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57"/>
        <w:jc w:val="left"/>
      </w:pP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type w:val="continuous"/>
          <w:pgSz w:w="11910" w:h="16840"/>
          <w:pgMar w:top="1100" w:bottom="28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381"/>
        <w:jc w:val="left"/>
      </w:pPr>
      <w:r>
        <w:rPr/>
        <w:t>本公司按预付对象归集的年末余额前五名预付账款汇总金额为</w:t>
      </w:r>
      <w:r>
        <w:rPr>
          <w:spacing w:val="-48"/>
        </w:rPr>
        <w:t> </w:t>
      </w:r>
      <w:r>
        <w:rPr/>
        <w:t>12,542,600.00</w:t>
      </w:r>
      <w:r>
        <w:rPr>
          <w:spacing w:val="-49"/>
        </w:rPr>
        <w:t> </w:t>
      </w:r>
      <w:r>
        <w:rPr/>
        <w:t>元，占预付账款年末余额合计数的比例为</w:t>
      </w:r>
      <w:r>
        <w:rPr/>
        <w:t> 60.15%。</w:t>
      </w:r>
    </w:p>
    <w:p>
      <w:pPr>
        <w:pStyle w:val="BodyText"/>
        <w:spacing w:line="240" w:lineRule="auto" w:before="59"/>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90"/>
        <w:gridCol w:w="3190"/>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467,863.15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187,141.93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往来借款利息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183,749.55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467,863.15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370,891.48</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38,329,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764.64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1,279,3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83.03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37,050,</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381.61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33" w:right="0"/>
              <w:jc w:val="center"/>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5,057</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975,068</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24,339,9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89.31</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38,329,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764.64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1,279,3</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83.03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3.34%</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37,050,</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381.61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3" w:right="0"/>
              <w:jc w:val="center"/>
              <w:rPr>
                <w:rFonts w:ascii="Times New Roman" w:hAnsi="Times New Roman" w:cs="Times New Roman" w:eastAsia="Times New Roman" w:hint="default"/>
                <w:sz w:val="18"/>
                <w:szCs w:val="18"/>
              </w:rPr>
            </w:pPr>
            <w:r>
              <w:rPr>
                <w:rFonts w:ascii="Times New Roman"/>
                <w:sz w:val="18"/>
              </w:rPr>
              <w:t>25,31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5,057</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975,068</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24,339,9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89.31</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20"/>
        </w:sectPr>
      </w:pPr>
    </w:p>
    <w:p>
      <w:pPr>
        <w:pStyle w:val="BodyText"/>
        <w:spacing w:line="240" w:lineRule="auto" w:before="51"/>
        <w:ind w:right="-20"/>
        <w:jc w:val="left"/>
      </w:pPr>
      <w:r>
        <w:rPr/>
        <w:t>期末单项金额重大并单项计提坏账准备的其他应收款：</w:t>
      </w:r>
    </w:p>
    <w:p>
      <w:pPr>
        <w:pStyle w:val="BodyText"/>
        <w:spacing w:line="360" w:lineRule="auto" w:before="115"/>
        <w:ind w:right="160"/>
        <w:jc w:val="left"/>
      </w:pPr>
      <w:r>
        <w:rPr/>
        <w:t>□ 适用 √ 不适用 组合中，按账龄分析法计提坏账准备的其他应收款：</w:t>
      </w:r>
    </w:p>
    <w:p>
      <w:pPr>
        <w:pStyle w:val="BodyText"/>
        <w:spacing w:line="240" w:lineRule="auto" w:before="27"/>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4433" w:space="4396"/>
            <w:col w:w="1041"/>
          </w:cols>
        </w:sectPr>
      </w:pP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0"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5,130,329.69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256,516.49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5,130,329.69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256,516.49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1,036,139.35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103,613.94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350,341.74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105,102.52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814,150.18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814,150.18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655,106.54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655,106.54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104,915.00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104,915.00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54,128.54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54,128.54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7,330,960.86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1,279,383.03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234"/>
        <w:jc w:val="left"/>
      </w:pPr>
      <w:r>
        <w:rPr/>
        <w:t>确定该组合依据的说明： 组合中，采用余额百分比法计提坏账准备的其他应收款：</w:t>
      </w:r>
    </w:p>
    <w:p>
      <w:pPr>
        <w:pStyle w:val="BodyText"/>
        <w:spacing w:line="360" w:lineRule="auto" w:before="25"/>
        <w:ind w:right="5594"/>
        <w:jc w:val="left"/>
      </w:pPr>
      <w:r>
        <w:rPr/>
        <w:t>□ 适用 √ 不适用 组合中，采用其他方法计提坏账准备的其他应收款：</w:t>
      </w:r>
    </w:p>
    <w:p>
      <w:pPr>
        <w:pStyle w:val="BodyText"/>
        <w:spacing w:line="240" w:lineRule="auto" w:before="27"/>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3" w:top="1100" w:bottom="1200" w:left="1020" w:right="102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304,314.59</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6279" w:space="2551"/>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8"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1,761,433.05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3,720,972.06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4,222,308.68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1,592,340.26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185,796.00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2,300,235.36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30,998,803.78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16,988,889.09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1,161,423.13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712,620.98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38,329,764.64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25,315,057.75</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71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162" w:right="160"/>
              <w:jc w:val="left"/>
              <w:rPr>
                <w:rFonts w:ascii="宋体" w:hAnsi="宋体" w:cs="宋体" w:eastAsia="宋体" w:hint="default"/>
                <w:sz w:val="18"/>
                <w:szCs w:val="18"/>
              </w:rPr>
            </w:pPr>
            <w:r>
              <w:rPr>
                <w:rFonts w:ascii="宋体" w:hAnsi="宋体" w:cs="宋体" w:eastAsia="宋体" w:hint="default"/>
                <w:sz w:val="18"/>
                <w:szCs w:val="18"/>
              </w:rPr>
              <w:t>占其他应收款期 末余额合计数的</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1" w:right="16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bl>
    <w:p>
      <w:pPr>
        <w:spacing w:after="0" w:line="316" w:lineRule="auto"/>
        <w:jc w:val="left"/>
        <w:rPr>
          <w:rFonts w:ascii="宋体" w:hAnsi="宋体" w:cs="宋体" w:eastAsia="宋体"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5"/>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长春市高新区国 税局、地税局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218"/>
              <w:jc w:val="left"/>
              <w:rPr>
                <w:rFonts w:ascii="宋体" w:hAnsi="宋体" w:cs="宋体" w:eastAsia="宋体" w:hint="default"/>
                <w:sz w:val="18"/>
                <w:szCs w:val="18"/>
              </w:rPr>
            </w:pPr>
            <w:r>
              <w:rPr>
                <w:rFonts w:ascii="宋体" w:hAnsi="宋体" w:cs="宋体" w:eastAsia="宋体" w:hint="default"/>
                <w:sz w:val="18"/>
                <w:szCs w:val="18"/>
              </w:rPr>
              <w:t>增值税退税款及 附加税退税款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26,847,174.54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70.04%</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北京市国家税务 局第三直属税务 分局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2,164,957.26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5.65%</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left"/>
              <w:rPr>
                <w:rFonts w:ascii="宋体" w:hAnsi="宋体" w:cs="宋体" w:eastAsia="宋体" w:hint="default"/>
                <w:sz w:val="18"/>
                <w:szCs w:val="18"/>
              </w:rPr>
            </w:pPr>
            <w:r>
              <w:rPr>
                <w:rFonts w:ascii="宋体" w:hAnsi="宋体" w:cs="宋体" w:eastAsia="宋体" w:hint="default"/>
                <w:sz w:val="18"/>
                <w:szCs w:val="18"/>
              </w:rPr>
              <w:t>义马煤业集团股 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1,860,920.00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93,046.00</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220"/>
              <w:jc w:val="both"/>
              <w:rPr>
                <w:rFonts w:ascii="宋体" w:hAnsi="宋体" w:cs="宋体" w:eastAsia="宋体" w:hint="default"/>
                <w:sz w:val="18"/>
                <w:szCs w:val="18"/>
              </w:rPr>
            </w:pPr>
            <w:r>
              <w:rPr>
                <w:rFonts w:ascii="宋体" w:hAnsi="宋体" w:cs="宋体" w:eastAsia="宋体" w:hint="default"/>
                <w:sz w:val="18"/>
                <w:szCs w:val="18"/>
              </w:rPr>
              <w:t>北京海淀区国家 税务局第七税务 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1,005,216.96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2.62%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20"/>
              <w:jc w:val="both"/>
              <w:rPr>
                <w:rFonts w:ascii="宋体" w:hAnsi="宋体" w:cs="宋体" w:eastAsia="宋体" w:hint="default"/>
                <w:sz w:val="18"/>
                <w:szCs w:val="18"/>
              </w:rPr>
            </w:pPr>
            <w:r>
              <w:rPr>
                <w:rFonts w:ascii="宋体" w:hAnsi="宋体" w:cs="宋体" w:eastAsia="宋体" w:hint="default"/>
                <w:sz w:val="18"/>
                <w:szCs w:val="18"/>
              </w:rPr>
              <w:t>上海市浦东新区 国家税务局第十 五税务所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增值税退税款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577,010.71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1.51%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32,455,279.47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84.68%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93,046.00</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3" w:right="142"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r>
        <w:trPr>
          <w:trHeight w:val="357" w:hRule="exact"/>
        </w:trPr>
        <w:tc>
          <w:tcPr>
            <w:tcW w:w="1912"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根据财政部、国家税</w:t>
            </w:r>
          </w:p>
        </w:tc>
      </w:tr>
      <w:tr>
        <w:trPr>
          <w:trHeight w:val="624"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358"/>
              <w:jc w:val="left"/>
              <w:rPr>
                <w:rFonts w:ascii="宋体" w:hAnsi="宋体" w:cs="宋体" w:eastAsia="宋体" w:hint="default"/>
                <w:sz w:val="18"/>
                <w:szCs w:val="18"/>
              </w:rPr>
            </w:pPr>
            <w:r>
              <w:rPr>
                <w:rFonts w:ascii="宋体" w:hAnsi="宋体" w:cs="宋体" w:eastAsia="宋体" w:hint="default"/>
                <w:sz w:val="18"/>
                <w:szCs w:val="18"/>
              </w:rPr>
              <w:t>长春市高新区国税 局、地税局</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79"/>
              <w:jc w:val="left"/>
              <w:rPr>
                <w:rFonts w:ascii="宋体" w:hAnsi="宋体" w:cs="宋体" w:eastAsia="宋体" w:hint="default"/>
                <w:sz w:val="18"/>
                <w:szCs w:val="18"/>
              </w:rPr>
            </w:pPr>
            <w:r>
              <w:rPr>
                <w:rFonts w:ascii="宋体" w:hAnsi="宋体" w:cs="宋体" w:eastAsia="宋体" w:hint="default"/>
                <w:sz w:val="18"/>
                <w:szCs w:val="18"/>
              </w:rPr>
              <w:t>增值税及附加税返还 款</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26,847,174.54</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80"/>
              <w:jc w:val="left"/>
              <w:rPr>
                <w:rFonts w:ascii="宋体" w:hAnsi="宋体" w:cs="宋体" w:eastAsia="宋体" w:hint="default"/>
                <w:sz w:val="18"/>
                <w:szCs w:val="18"/>
              </w:rPr>
            </w:pPr>
            <w:r>
              <w:rPr>
                <w:rFonts w:ascii="宋体" w:hAnsi="宋体" w:cs="宋体" w:eastAsia="宋体" w:hint="default"/>
                <w:sz w:val="18"/>
                <w:szCs w:val="18"/>
              </w:rPr>
              <w:t>务总局有关文件，军 品合同享受免征增值</w:t>
            </w:r>
          </w:p>
        </w:tc>
      </w:tr>
      <w:tr>
        <w:trPr>
          <w:trHeight w:val="357" w:hRule="exact"/>
        </w:trPr>
        <w:tc>
          <w:tcPr>
            <w:tcW w:w="1912"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税政策；不定期返还</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8"/>
              <w:jc w:val="left"/>
              <w:rPr>
                <w:rFonts w:ascii="宋体" w:hAnsi="宋体" w:cs="宋体" w:eastAsia="宋体" w:hint="default"/>
                <w:sz w:val="18"/>
                <w:szCs w:val="18"/>
              </w:rPr>
            </w:pPr>
            <w:r>
              <w:rPr>
                <w:rFonts w:ascii="宋体" w:hAnsi="宋体" w:cs="宋体" w:eastAsia="宋体" w:hint="default"/>
                <w:sz w:val="18"/>
                <w:szCs w:val="18"/>
              </w:rPr>
              <w:t>北京市国家税务局第 三直属税务分局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2,164,957.26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207.85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78"/>
              <w:jc w:val="left"/>
              <w:rPr>
                <w:rFonts w:ascii="宋体" w:hAnsi="宋体" w:cs="宋体" w:eastAsia="宋体" w:hint="default"/>
                <w:sz w:val="18"/>
                <w:szCs w:val="18"/>
              </w:rPr>
            </w:pPr>
            <w:r>
              <w:rPr>
                <w:rFonts w:ascii="宋体" w:hAnsi="宋体" w:cs="宋体" w:eastAsia="宋体" w:hint="default"/>
                <w:sz w:val="18"/>
                <w:szCs w:val="18"/>
              </w:rPr>
              <w:t>北京海淀区国家税务 局第七税务所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1,005,216.96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月已全 部收到</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1" w:right="178"/>
              <w:jc w:val="left"/>
              <w:rPr>
                <w:rFonts w:ascii="宋体" w:hAnsi="宋体" w:cs="宋体" w:eastAsia="宋体" w:hint="default"/>
                <w:sz w:val="18"/>
                <w:szCs w:val="18"/>
              </w:rPr>
            </w:pPr>
            <w:r>
              <w:rPr>
                <w:rFonts w:ascii="宋体" w:hAnsi="宋体" w:cs="宋体" w:eastAsia="宋体" w:hint="default"/>
                <w:sz w:val="18"/>
                <w:szCs w:val="18"/>
              </w:rPr>
              <w:t>上海市浦东新区国家 税务局第十五税务所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577,010.71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月已全 部收到</w:t>
            </w:r>
          </w:p>
        </w:tc>
      </w:tr>
      <w:tr>
        <w:trPr>
          <w:trHeight w:val="357"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北京市丰台区国家税</w:t>
            </w: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务局第五税务所（富</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335,042.60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年第二季度</w:t>
            </w:r>
          </w:p>
        </w:tc>
      </w:tr>
      <w:tr>
        <w:trPr>
          <w:trHeight w:val="352"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优）</w:t>
            </w: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9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北京市丰台区国家税</w:t>
            </w: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务局第五税务所（北</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增值税返还款</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69,401.71</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年第二季度</w:t>
            </w:r>
          </w:p>
        </w:tc>
      </w:tr>
      <w:tr>
        <w:trPr>
          <w:trHeight w:val="352" w:hRule="exact"/>
        </w:trPr>
        <w:tc>
          <w:tcPr>
            <w:tcW w:w="19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京富华宇祺）</w:t>
            </w: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30,998,803.78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6494"/>
        <w:jc w:val="left"/>
      </w:pPr>
      <w:r>
        <w:rPr/>
        <w:t>公司是否需要遵守房地产行业的披露要求 否</w:t>
      </w:r>
    </w:p>
    <w:p>
      <w:pPr>
        <w:spacing w:line="240" w:lineRule="auto" w:before="12"/>
        <w:rPr>
          <w:rFonts w:ascii="宋体" w:hAnsi="宋体" w:cs="宋体" w:eastAsia="宋体" w:hint="default"/>
          <w:sz w:val="19"/>
          <w:szCs w:val="19"/>
        </w:rPr>
      </w:pPr>
    </w:p>
    <w:p>
      <w:pPr>
        <w:pStyle w:val="Heading4"/>
        <w:spacing w:line="240" w:lineRule="auto"/>
        <w:ind w:right="157"/>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31,672,080.76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31,672,080.76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24,761,638.00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2"/>
                <w:sz w:val="18"/>
              </w:rPr>
              <w:t>27,011.21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24,734,626.79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14,483,887.82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14,483,887.82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14,778,862.33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14,778,862.33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24,809,557.80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169,999.30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24,639,558.50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20,268,453.07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208,956.48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20,059,496.59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23,928,472.53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23,565,740.50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20,907,664.47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20,544,932.44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1,158,917.69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1,158,917.69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62,140.47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62,140.47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96,052,916.60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532,731.33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95,520,185.27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80,778,758.34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598,699.72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80,180,058.62</w:t>
            </w:r>
          </w:p>
        </w:tc>
      </w:tr>
    </w:tbl>
    <w:p>
      <w:pPr>
        <w:pStyle w:val="BodyText"/>
        <w:spacing w:line="338" w:lineRule="auto" w:before="51"/>
        <w:ind w:right="1455"/>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号—上市公司从事种业、种植业务》的披露要求 否</w:t>
      </w:r>
    </w:p>
    <w:p>
      <w:pPr>
        <w:pStyle w:val="BodyText"/>
        <w:spacing w:line="340" w:lineRule="auto" w:before="43"/>
        <w:ind w:right="555"/>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号——上市公司从事广播电影电视业务》的披露要求 否</w:t>
      </w:r>
    </w:p>
    <w:p>
      <w:pPr>
        <w:pStyle w:val="BodyText"/>
        <w:spacing w:line="340" w:lineRule="auto" w:before="39"/>
        <w:ind w:right="735"/>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 否</w:t>
      </w:r>
    </w:p>
    <w:p>
      <w:pPr>
        <w:spacing w:line="240" w:lineRule="auto" w:before="3"/>
        <w:rPr>
          <w:rFonts w:ascii="宋体" w:hAnsi="宋体" w:cs="宋体" w:eastAsia="宋体" w:hint="default"/>
          <w:sz w:val="21"/>
          <w:szCs w:val="21"/>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2"/>
                <w:sz w:val="18"/>
              </w:rPr>
              <w:t>27,011.21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27,011.21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208,956.48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38,957.18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169,999.30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362,732.03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362,732.03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598,699.72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65,968.39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532,731.33</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不适用</w:t>
      </w:r>
    </w:p>
    <w:p>
      <w:pPr>
        <w:spacing w:after="0" w:line="240" w:lineRule="auto"/>
        <w:jc w:val="left"/>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9"/>
        <w:rPr>
          <w:rFonts w:ascii="宋体" w:hAnsi="宋体" w:cs="宋体" w:eastAsia="宋体" w:hint="default"/>
          <w:sz w:val="7"/>
          <w:szCs w:val="7"/>
        </w:rPr>
      </w:pPr>
    </w:p>
    <w:p>
      <w:pPr>
        <w:spacing w:line="416" w:lineRule="exact"/>
        <w:ind w:left="10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4pt;height:20.85pt;mso-position-horizontal-relative:char;mso-position-vertical-relative:line" coordorigin="0,0" coordsize="9588,417">
            <v:group style="position:absolute;left:13;top:13;width:4778;height:397" coordorigin="13,13" coordsize="4778,397">
              <v:shape style="position:absolute;left:13;top:13;width:4778;height:397" coordorigin="13,13" coordsize="4778,397" path="m13,13l4791,13,4791,410,13,410,13,13xe" filled="true" fillcolor="#d2d2d2" stroked="false">
                <v:path arrowok="t"/>
                <v:fill type="solid"/>
              </v:shape>
            </v:group>
            <v:group style="position:absolute;left:4796;top:13;width:4780;height:397" coordorigin="4796,13" coordsize="4780,397">
              <v:shape style="position:absolute;left:4796;top:13;width:4780;height:397" coordorigin="4796,13" coordsize="4780,397" path="m4796,13l9576,13,9576,410,4796,410,4796,13xe" filled="true" fillcolor="#d2d2d2"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5;top:412;width:9578;height:2" coordorigin="5,412" coordsize="9578,2">
              <v:shape style="position:absolute;left:5;top:412;width:9578;height:2" coordorigin="5,412" coordsize="9578,0" path="m5,412l9582,412e" filled="false" stroked="true" strokeweight=".48pt" strokecolor="#000000">
                <v:path arrowok="t"/>
              </v:shape>
            </v:group>
            <v:group style="position:absolute;left:10;top:5;width:2;height:402" coordorigin="10,5" coordsize="2,402">
              <v:shape style="position:absolute;left:10;top:5;width:2;height:402" coordorigin="10,5" coordsize="0,402" path="m10,5l10,407e" filled="false" stroked="true" strokeweight=".48pt" strokecolor="#000000">
                <v:path arrowok="t"/>
              </v:shape>
            </v:group>
            <v:group style="position:absolute;left:4793;top:5;width:2;height:402" coordorigin="4793,5" coordsize="2,402">
              <v:shape style="position:absolute;left:4793;top:5;width:2;height:402" coordorigin="4793,5" coordsize="0,402" path="m4793,5l4793,407e" filled="false" stroked="true" strokeweight=".48pt" strokecolor="#000000">
                <v:path arrowok="t"/>
              </v:shape>
            </v:group>
            <v:group style="position:absolute;left:9578;top:5;width:2;height:402" coordorigin="9578,5" coordsize="2,402">
              <v:shape style="position:absolute;left:9578;top:5;width:2;height:402" coordorigin="9578,5" coordsize="0,402" path="m9578,5l9578,407e" filled="false" stroked="true" strokeweight=".48pt" strokecolor="#000000">
                <v:path arrowok="t"/>
              </v:shape>
              <v:shape style="position:absolute;left:2221;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60" w:lineRule="auto" w:before="51"/>
        <w:ind w:right="8834"/>
        <w:jc w:val="left"/>
      </w:pPr>
      <w:r>
        <w:rPr/>
        <w:t>其他说明： 不适用</w:t>
      </w:r>
    </w:p>
    <w:p>
      <w:pPr>
        <w:spacing w:line="240" w:lineRule="auto" w:before="12"/>
        <w:rPr>
          <w:rFonts w:ascii="宋体" w:hAnsi="宋体" w:cs="宋体" w:eastAsia="宋体" w:hint="default"/>
          <w:sz w:val="19"/>
          <w:szCs w:val="19"/>
        </w:rPr>
      </w:pPr>
    </w:p>
    <w:p>
      <w:pPr>
        <w:pStyle w:val="Heading4"/>
        <w:spacing w:line="240" w:lineRule="auto"/>
        <w:ind w:right="157"/>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尚未抵扣增值税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2,908,692.50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2,614,856.54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5,142,997.95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5,142,997.95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预付房租及网络费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802,167.67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239,301.51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10,165,757.52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105,500,000.00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12,900,000.00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114,353,858.12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31,062,913.52</w:t>
            </w:r>
          </w:p>
        </w:tc>
      </w:tr>
    </w:tbl>
    <w:p>
      <w:pPr>
        <w:pStyle w:val="BodyText"/>
        <w:spacing w:line="240" w:lineRule="auto" w:before="49"/>
        <w:ind w:right="0"/>
        <w:jc w:val="left"/>
        <w:rPr>
          <w:rFonts w:ascii="Times New Roman" w:hAnsi="Times New Roman" w:cs="Times New Roman" w:eastAsia="Times New Roman" w:hint="default"/>
        </w:rPr>
      </w:pPr>
      <w:r>
        <w:rPr/>
        <w:t>其他说明</w:t>
      </w:r>
      <w:r>
        <w:rPr>
          <w:spacing w:val="-89"/>
        </w:rPr>
        <w:t>：</w:t>
      </w:r>
      <w:r>
        <w:rPr/>
        <w:t>本公司向银行申请开具的银行承兑汇票</w:t>
      </w:r>
      <w:r>
        <w:rPr>
          <w:spacing w:val="-62"/>
        </w:rPr>
        <w:t> </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元由其他流动资产—理财产品中工商银行理财</w:t>
      </w:r>
      <w:r>
        <w:rPr>
          <w:spacing w:val="1"/>
        </w:rPr>
        <w:t>•</w:t>
      </w:r>
      <w:r>
        <w:rPr/>
        <w:t>共赢</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号</w:t>
      </w:r>
      <w:r>
        <w:rPr>
          <w:spacing w:val="-6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7</w:t>
      </w:r>
    </w:p>
    <w:p>
      <w:pPr>
        <w:pStyle w:val="BodyText"/>
        <w:spacing w:line="240" w:lineRule="auto" w:before="63"/>
        <w:ind w:right="157"/>
        <w:jc w:val="left"/>
      </w:pPr>
      <w:r>
        <w:rPr/>
        <w:t>年第</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期</w:t>
      </w:r>
      <w:r>
        <w:rPr>
          <w:spacing w:val="-46"/>
        </w:rPr>
        <w:t> </w:t>
      </w:r>
      <w:r>
        <w:rPr>
          <w:rFonts w:ascii="Times New Roman" w:hAnsi="Times New Roman" w:cs="Times New Roman" w:eastAsia="Times New Roman" w:hint="default"/>
        </w:rPr>
        <w:t>A</w:t>
      </w:r>
      <w:r>
        <w:rPr>
          <w:rFonts w:ascii="Times New Roman" w:hAnsi="Times New Roman" w:cs="Times New Roman" w:eastAsia="Times New Roman" w:hint="default"/>
          <w:spacing w:val="-4"/>
        </w:rPr>
        <w:t> </w:t>
      </w:r>
      <w:r>
        <w:rPr/>
        <w:t>款</w:t>
      </w:r>
      <w:r>
        <w:rPr>
          <w:spacing w:val="-46"/>
        </w:rPr>
        <w:t> </w:t>
      </w:r>
      <w:r>
        <w:rPr>
          <w:rFonts w:ascii="Times New Roman" w:hAnsi="Times New Roman" w:cs="Times New Roman" w:eastAsia="Times New Roman" w:hint="default"/>
        </w:rPr>
        <w:t>20,000,000.00</w:t>
      </w:r>
      <w:r>
        <w:rPr>
          <w:rFonts w:ascii="Times New Roman" w:hAnsi="Times New Roman" w:cs="Times New Roman" w:eastAsia="Times New Roman" w:hint="default"/>
          <w:spacing w:val="-2"/>
        </w:rPr>
        <w:t> </w:t>
      </w:r>
      <w:r>
        <w:rPr/>
        <w:t>元作为质押物。</w:t>
      </w:r>
    </w:p>
    <w:p>
      <w:pPr>
        <w:spacing w:line="240" w:lineRule="auto" w:before="13"/>
        <w:rPr>
          <w:rFonts w:ascii="宋体" w:hAnsi="宋体" w:cs="宋体" w:eastAsia="宋体" w:hint="default"/>
          <w:sz w:val="25"/>
          <w:szCs w:val="25"/>
        </w:rPr>
      </w:pPr>
    </w:p>
    <w:p>
      <w:pPr>
        <w:pStyle w:val="Heading4"/>
        <w:spacing w:line="240" w:lineRule="auto"/>
        <w:ind w:right="157"/>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000"/>
        <w:gridCol w:w="1195"/>
        <w:gridCol w:w="1196"/>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31,200,000.0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 w:right="0"/>
              <w:jc w:val="center"/>
              <w:rPr>
                <w:rFonts w:ascii="Times New Roman" w:hAnsi="Times New Roman" w:cs="Times New Roman" w:eastAsia="Times New Roman" w:hint="default"/>
                <w:sz w:val="18"/>
                <w:szCs w:val="18"/>
              </w:rPr>
            </w:pPr>
            <w:r>
              <w:rPr>
                <w:rFonts w:ascii="Times New Roman"/>
                <w:sz w:val="18"/>
              </w:rPr>
              <w:t>31,200,000.00</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被投资</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在被投</w:t>
            </w:r>
          </w:p>
        </w:tc>
        <w:tc>
          <w:tcPr>
            <w:tcW w:w="870"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本期现</w:t>
            </w:r>
          </w:p>
        </w:tc>
      </w:tr>
      <w:tr>
        <w:trPr>
          <w:trHeight w:val="24" w:hRule="exact"/>
        </w:trPr>
        <w:tc>
          <w:tcPr>
            <w:tcW w:w="8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245"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left="159"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left="160" w:right="0"/>
              <w:jc w:val="left"/>
              <w:rPr>
                <w:rFonts w:ascii="宋体" w:hAnsi="宋体" w:cs="宋体" w:eastAsia="宋体" w:hint="default"/>
                <w:sz w:val="18"/>
                <w:szCs w:val="18"/>
              </w:rPr>
            </w:pPr>
            <w:r>
              <w:rPr>
                <w:rFonts w:ascii="宋体" w:hAnsi="宋体" w:cs="宋体" w:eastAsia="宋体" w:hint="default"/>
                <w:sz w:val="18"/>
                <w:szCs w:val="18"/>
              </w:rPr>
              <w:t>本期减</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left="159" w:right="0"/>
              <w:jc w:val="left"/>
              <w:rPr>
                <w:rFonts w:ascii="宋体" w:hAnsi="宋体" w:cs="宋体" w:eastAsia="宋体" w:hint="default"/>
                <w:sz w:val="18"/>
                <w:szCs w:val="18"/>
              </w:rPr>
            </w:pPr>
            <w:r>
              <w:rPr>
                <w:rFonts w:ascii="宋体" w:hAnsi="宋体" w:cs="宋体" w:eastAsia="宋体" w:hint="default"/>
                <w:sz w:val="18"/>
                <w:szCs w:val="18"/>
              </w:rPr>
              <w:t>本期增</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61"/>
              <w:ind w:left="160" w:right="0"/>
              <w:jc w:val="left"/>
              <w:rPr>
                <w:rFonts w:ascii="宋体" w:hAnsi="宋体" w:cs="宋体" w:eastAsia="宋体" w:hint="default"/>
                <w:sz w:val="18"/>
                <w:szCs w:val="18"/>
              </w:rPr>
            </w:pPr>
            <w:r>
              <w:rPr>
                <w:rFonts w:ascii="宋体" w:hAnsi="宋体" w:cs="宋体" w:eastAsia="宋体" w:hint="default"/>
                <w:sz w:val="18"/>
                <w:szCs w:val="18"/>
              </w:rPr>
              <w:t>本期减</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2"/>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179" w:lineRule="exact"/>
              <w:ind w:left="160" w:right="0"/>
              <w:jc w:val="left"/>
              <w:rPr>
                <w:rFonts w:ascii="宋体" w:hAnsi="宋体" w:cs="宋体" w:eastAsia="宋体" w:hint="default"/>
                <w:sz w:val="18"/>
                <w:szCs w:val="18"/>
              </w:rPr>
            </w:pPr>
            <w:r>
              <w:rPr>
                <w:rFonts w:ascii="宋体" w:hAnsi="宋体" w:cs="宋体" w:eastAsia="宋体" w:hint="default"/>
                <w:sz w:val="18"/>
                <w:szCs w:val="18"/>
              </w:rPr>
              <w:t>资单位</w:t>
            </w:r>
          </w:p>
        </w:tc>
        <w:tc>
          <w:tcPr>
            <w:tcW w:w="8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7"/>
              <w:ind w:left="159" w:right="0"/>
              <w:jc w:val="left"/>
              <w:rPr>
                <w:rFonts w:ascii="宋体" w:hAnsi="宋体" w:cs="宋体" w:eastAsia="宋体" w:hint="default"/>
                <w:sz w:val="18"/>
                <w:szCs w:val="18"/>
              </w:rPr>
            </w:pPr>
            <w:r>
              <w:rPr>
                <w:rFonts w:ascii="宋体" w:hAnsi="宋体" w:cs="宋体" w:eastAsia="宋体" w:hint="default"/>
                <w:sz w:val="18"/>
                <w:szCs w:val="18"/>
              </w:rPr>
              <w:t>金红利</w:t>
            </w:r>
          </w:p>
        </w:tc>
      </w:tr>
      <w:tr>
        <w:trPr>
          <w:trHeight w:val="312" w:hRule="exact"/>
        </w:trPr>
        <w:tc>
          <w:tcPr>
            <w:tcW w:w="863"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c>
          <w:tcPr>
            <w:tcW w:w="870" w:type="dxa"/>
            <w:vMerge/>
            <w:tcBorders>
              <w:left w:val="single" w:sz="4" w:space="0" w:color="000000"/>
              <w:bottom w:val="nil" w:sz="6" w:space="0" w:color="auto"/>
              <w:right w:val="single" w:sz="4" w:space="0" w:color="000000"/>
            </w:tcBorders>
            <w:shd w:val="clear" w:color="auto" w:fill="D2D2D2"/>
          </w:tcPr>
          <w:p>
            <w:pPr/>
          </w:p>
        </w:tc>
      </w:tr>
      <w:tr>
        <w:trPr>
          <w:trHeight w:val="246" w:hRule="exact"/>
        </w:trPr>
        <w:tc>
          <w:tcPr>
            <w:tcW w:w="863"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179" w:lineRule="exact"/>
              <w:ind w:right="0"/>
              <w:jc w:val="center"/>
              <w:rPr>
                <w:rFonts w:ascii="宋体" w:hAnsi="宋体" w:cs="宋体" w:eastAsia="宋体" w:hint="default"/>
                <w:sz w:val="18"/>
                <w:szCs w:val="18"/>
              </w:rPr>
            </w:pPr>
            <w:r>
              <w:rPr>
                <w:rFonts w:ascii="宋体" w:hAnsi="宋体" w:cs="宋体" w:eastAsia="宋体" w:hint="default"/>
                <w:sz w:val="18"/>
                <w:szCs w:val="18"/>
              </w:rPr>
              <w:t>持股比</w:t>
            </w:r>
          </w:p>
        </w:tc>
        <w:tc>
          <w:tcPr>
            <w:tcW w:w="87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7"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信尤洛</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93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09"/>
              <w:jc w:val="both"/>
              <w:rPr>
                <w:rFonts w:ascii="宋体" w:hAnsi="宋体" w:cs="宋体" w:eastAsia="宋体" w:hint="default"/>
                <w:sz w:val="18"/>
                <w:szCs w:val="18"/>
              </w:rPr>
            </w:pPr>
            <w:r>
              <w:rPr>
                <w:rFonts w:ascii="宋体" w:hAnsi="宋体" w:cs="宋体" w:eastAsia="宋体" w:hint="default"/>
                <w:sz w:val="18"/>
                <w:szCs w:val="18"/>
              </w:rPr>
              <w:t>卡股权 投资中 心合伙</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03" w:right="0"/>
              <w:jc w:val="left"/>
              <w:rPr>
                <w:rFonts w:ascii="Times New Roman" w:hAnsi="Times New Roman" w:cs="Times New Roman" w:eastAsia="Times New Roman" w:hint="default"/>
                <w:sz w:val="18"/>
                <w:szCs w:val="18"/>
              </w:rPr>
            </w:pPr>
            <w:r>
              <w:rPr>
                <w:rFonts w:ascii="Times New Roman"/>
                <w:sz w:val="18"/>
              </w:rPr>
              <w:t>39.00%</w:t>
            </w:r>
          </w:p>
        </w:tc>
        <w:tc>
          <w:tcPr>
            <w:tcW w:w="870" w:type="dxa"/>
            <w:vMerge/>
            <w:tcBorders>
              <w:left w:val="single" w:sz="4" w:space="0" w:color="000000"/>
              <w:right w:val="single" w:sz="4" w:space="0" w:color="000000"/>
            </w:tcBorders>
          </w:tcPr>
          <w:p>
            <w:pPr/>
          </w:p>
        </w:tc>
      </w:tr>
      <w:tr>
        <w:trPr>
          <w:trHeight w:val="312"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18"/>
                <w:sz w:val="18"/>
                <w:szCs w:val="18"/>
              </w:rPr>
              <w:t>企业（有</w:t>
            </w: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7"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限合伙）</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31,200,0</w:t>
            </w:r>
          </w:p>
          <w:p>
            <w:pPr>
              <w:pStyle w:val="TableParagraph"/>
              <w:spacing w:line="240" w:lineRule="auto" w:before="105"/>
              <w:ind w:left="351" w:right="0"/>
              <w:jc w:val="left"/>
              <w:rPr>
                <w:rFonts w:ascii="Times New Roman" w:hAnsi="Times New Roman" w:cs="Times New Roman" w:eastAsia="Times New Roman" w:hint="default"/>
                <w:sz w:val="18"/>
                <w:szCs w:val="18"/>
              </w:rPr>
            </w:pPr>
            <w:r>
              <w:rPr>
                <w:rFonts w:ascii="Times New Roman"/>
                <w:sz w:val="18"/>
              </w:rPr>
              <w:t>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12" w:right="120" w:hanging="89"/>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0"/>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信股权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19,897.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0.77</w:t>
            </w:r>
          </w:p>
        </w:tc>
        <w:tc>
          <w:tcPr>
            <w:tcW w:w="798" w:type="dxa"/>
            <w:vMerge/>
            <w:tcBorders>
              <w:left w:val="single" w:sz="4" w:space="0" w:color="000000"/>
              <w:right w:val="single" w:sz="4" w:space="0" w:color="000000"/>
            </w:tcBorders>
          </w:tcPr>
          <w:p>
            <w:pPr/>
          </w:p>
        </w:tc>
      </w:tr>
      <w:tr>
        <w:trPr>
          <w:trHeight w:val="355"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尤洛卡</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（山</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629"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left"/>
              <w:rPr>
                <w:rFonts w:ascii="宋体" w:hAnsi="宋体" w:cs="宋体" w:eastAsia="宋体" w:hint="default"/>
                <w:sz w:val="18"/>
                <w:szCs w:val="18"/>
              </w:rPr>
            </w:pPr>
            <w:r>
              <w:rPr>
                <w:rFonts w:ascii="宋体" w:hAnsi="宋体" w:cs="宋体" w:eastAsia="宋体" w:hint="default"/>
                <w:sz w:val="18"/>
                <w:szCs w:val="18"/>
              </w:rPr>
              <w:t>东）特 高压电</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44" w:right="0"/>
              <w:jc w:val="left"/>
              <w:rPr>
                <w:rFonts w:ascii="Times New Roman" w:hAnsi="Times New Roman" w:cs="Times New Roman" w:eastAsia="Times New Roman" w:hint="default"/>
                <w:sz w:val="18"/>
                <w:szCs w:val="18"/>
              </w:rPr>
            </w:pPr>
            <w:r>
              <w:rPr>
                <w:rFonts w:ascii="Times New Roman"/>
                <w:sz w:val="18"/>
              </w:rPr>
              <w:t>79,497.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65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41" w:right="0"/>
              <w:jc w:val="center"/>
              <w:rPr>
                <w:rFonts w:ascii="Times New Roman" w:hAnsi="Times New Roman" w:cs="Times New Roman" w:eastAsia="Times New Roman" w:hint="default"/>
                <w:sz w:val="18"/>
                <w:szCs w:val="18"/>
              </w:rPr>
            </w:pPr>
            <w:r>
              <w:rPr>
                <w:rFonts w:ascii="Times New Roman"/>
                <w:sz w:val="18"/>
              </w:rPr>
              <w:t>1,920,5</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02.35</w:t>
            </w:r>
          </w:p>
        </w:tc>
        <w:tc>
          <w:tcPr>
            <w:tcW w:w="798" w:type="dxa"/>
            <w:vMerge/>
            <w:tcBorders>
              <w:left w:val="single" w:sz="4" w:space="0" w:color="000000"/>
              <w:right w:val="single" w:sz="4" w:space="0" w:color="000000"/>
            </w:tcBorders>
          </w:tcPr>
          <w:p>
            <w:pPr/>
          </w:p>
        </w:tc>
      </w:tr>
      <w:tr>
        <w:trPr>
          <w:trHeight w:val="307"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气有限</w:t>
            </w:r>
          </w:p>
        </w:tc>
        <w:tc>
          <w:tcPr>
            <w:tcW w:w="797" w:type="dxa"/>
            <w:tcBorders>
              <w:top w:val="nil" w:sz="6" w:space="0" w:color="auto"/>
              <w:left w:val="single" w:sz="4" w:space="0" w:color="000000"/>
              <w:bottom w:val="nil" w:sz="6" w:space="0" w:color="auto"/>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-59,599</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center"/>
              <w:rPr>
                <w:rFonts w:ascii="Times New Roman" w:hAnsi="Times New Roman" w:cs="Times New Roman" w:eastAsia="Times New Roman" w:hint="default"/>
                <w:sz w:val="18"/>
                <w:szCs w:val="18"/>
              </w:rPr>
            </w:pPr>
            <w:r>
              <w:rPr>
                <w:rFonts w:ascii="Times New Roman"/>
                <w:sz w:val="18"/>
              </w:rPr>
              <w:t>2,732,6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0" w:right="0"/>
              <w:jc w:val="left"/>
              <w:rPr>
                <w:rFonts w:ascii="Times New Roman" w:hAnsi="Times New Roman" w:cs="Times New Roman" w:eastAsia="Times New Roman" w:hint="default"/>
                <w:sz w:val="18"/>
                <w:szCs w:val="18"/>
              </w:rPr>
            </w:pPr>
            <w:r>
              <w:rPr>
                <w:rFonts w:ascii="Times New Roman"/>
                <w:sz w:val="18"/>
              </w:rPr>
              <w:t>-59,599</w:t>
            </w:r>
          </w:p>
          <w:p>
            <w:pPr>
              <w:pStyle w:val="TableParagraph"/>
              <w:spacing w:line="240" w:lineRule="auto" w:before="105"/>
              <w:ind w:left="461" w:right="0"/>
              <w:jc w:val="lef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 w:right="0"/>
              <w:jc w:val="center"/>
              <w:rPr>
                <w:rFonts w:ascii="Times New Roman" w:hAnsi="Times New Roman" w:cs="Times New Roman" w:eastAsia="Times New Roman" w:hint="default"/>
                <w:sz w:val="18"/>
                <w:szCs w:val="18"/>
              </w:rPr>
            </w:pPr>
            <w:r>
              <w:rPr>
                <w:rFonts w:ascii="Times New Roman"/>
                <w:sz w:val="18"/>
              </w:rPr>
              <w:t>2,732,6</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53.12</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2"/>
        <w:ind w:right="157"/>
        <w:jc w:val="left"/>
      </w:pPr>
      <w:r>
        <w:rPr/>
        <w:t>其他说明</w:t>
      </w:r>
    </w:p>
    <w:p>
      <w:pPr>
        <w:spacing w:after="0" w:line="240" w:lineRule="auto"/>
        <w:jc w:val="left"/>
        <w:sectPr>
          <w:footerReference w:type="default" r:id="rId40"/>
          <w:pgSz w:w="11910" w:h="16840"/>
          <w:pgMar w:footer="1013" w:header="907" w:top="1100" w:bottom="1200" w:left="1020" w:right="1020"/>
          <w:pgNumType w:start="13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11</w:t>
      </w:r>
      <w:r>
        <w:rPr/>
        <w:t>、固定资产</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159"/>
              <w:jc w:val="right"/>
              <w:rPr>
                <w:rFonts w:ascii="宋体" w:hAnsi="宋体" w:cs="宋体" w:eastAsia="宋体" w:hint="default"/>
                <w:sz w:val="18"/>
                <w:szCs w:val="18"/>
              </w:rPr>
            </w:pPr>
            <w:r>
              <w:rPr>
                <w:rFonts w:ascii="宋体" w:hAnsi="宋体" w:cs="宋体" w:eastAsia="宋体" w:hint="default"/>
                <w:sz w:val="18"/>
                <w:szCs w:val="18"/>
              </w:rPr>
              <w:t>电子设备就其他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198,950,410.34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42,359,601.58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36,359,037.20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23,572,420.56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301,241,469.68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2,506,436.68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541,790.53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5,594,659.19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1,327,321.13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9,970,207.53</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-81,644.55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541,790.53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5,594,659.19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1,327,321.13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7,382,126.30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2,588,081.23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2,588,081.23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3,161,001.12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2,403,677.09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2,724,571.46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8,289,249.67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3,161,001.12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2,403,677.09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2,724,571.46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8,289,249.67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201,456,847.02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39,740,390.99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39,550,019.30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22,175,170.23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302,922,427.54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23,478,113.12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17,339,933.28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29,080,079.78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16,667,945.70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86,566,071.88</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7,298,187.49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3,827,571.67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3,845,863.08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2,078,109.13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17,049,731.37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7,298,187.49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3,827,571.67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3,845,863.08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2,078,109.13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17,049,731.37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2,448,115.15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2,283,493.24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2,581,445.31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7,313,053.70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2,448,115.15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2,283,493.24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2,581,445.31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7,313,053.70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30,776,300.61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18,719,389.80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30,642,449.62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16,164,609.52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96,302,749.55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594"/>
        <w:gridCol w:w="1594"/>
        <w:gridCol w:w="1594"/>
        <w:gridCol w:w="1594"/>
        <w:gridCol w:w="1594"/>
        <w:gridCol w:w="1594"/>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29"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 报废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170,680,546.41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21,021,001.19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8,907,569.68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6,010,560.71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206,619,677.99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6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175,472,297.22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25,019,668.30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7,278,957.42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6,904,474.86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214,675,397.80</w:t>
            </w:r>
          </w:p>
        </w:tc>
      </w:tr>
    </w:tbl>
    <w:p>
      <w:pPr>
        <w:spacing w:line="240" w:lineRule="auto" w:before="5"/>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机加工车间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35,982,765.47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仪表车间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24,193,522.26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国家工程技术研究中心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11,347,550.72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国家级技术交流中心办公楼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37,614,818.92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556,795.21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51"/>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6"/>
        <w:rPr>
          <w:rFonts w:ascii="宋体" w:hAnsi="宋体" w:cs="宋体" w:eastAsia="宋体" w:hint="default"/>
          <w:b/>
          <w:bCs/>
          <w:sz w:val="26"/>
          <w:szCs w:val="26"/>
        </w:rPr>
      </w:pPr>
    </w:p>
    <w:p>
      <w:pPr>
        <w:pStyle w:val="BodyText"/>
        <w:spacing w:line="240" w:lineRule="auto"/>
        <w:ind w:right="157"/>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号——上市公司从事互联网游戏业务》的披露要求</w:t>
      </w:r>
    </w:p>
    <w:p>
      <w:pPr>
        <w:pStyle w:val="BodyText"/>
        <w:spacing w:line="240" w:lineRule="auto" w:before="103"/>
        <w:ind w:right="157"/>
        <w:jc w:val="left"/>
      </w:pPr>
      <w:r>
        <w:rPr/>
        <w:t>□ 是 √ 否</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43,262,590.50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73,558,943.51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5,842,927.75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654,332.89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123,318,794.65</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6,504,290.87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20,281.55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6,524,572.42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20,281.55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20,281.55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w:t>
            </w:r>
            <w:r>
              <w:rPr>
                <w:rFonts w:ascii="宋体" w:hAnsi="宋体" w:cs="宋体" w:eastAsia="宋体" w:hint="default"/>
                <w:sz w:val="18"/>
                <w:szCs w:val="18"/>
              </w:rPr>
              <w:t> 部研发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6,504,290.87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6,504,290.87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firstLine="53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w:t>
            </w:r>
            <w:r>
              <w:rPr>
                <w:rFonts w:ascii="宋体" w:hAnsi="宋体" w:cs="宋体" w:eastAsia="宋体" w:hint="default"/>
                <w:sz w:val="18"/>
                <w:szCs w:val="18"/>
              </w:rPr>
              <w:t> 业合并增加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43,262,590.50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80,063,234.38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5,842,927.75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674,614.44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129,843,367.07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6,170,428.02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15,910,363.83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3,720,105.59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643,929.05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26,444,826.49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881,161.18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8,543,359.94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1,060,471.66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10,490,843.95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881,161.18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8,543,359.94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1,060,471.66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5,851.17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10,490,843.95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7,051,589.20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24,453,723.77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4,780,577.25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649,780.22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36,935,670.44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5,941,166.27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5,941,166.27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2,127,082.56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2,127,082.56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4"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2,127,082.56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2,127,082.56</w:t>
            </w:r>
          </w:p>
        </w:tc>
      </w:tr>
      <w:tr>
        <w:trPr>
          <w:trHeight w:val="400"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80"/>
        </w:sectPr>
      </w:pPr>
    </w:p>
    <w:p>
      <w:pPr>
        <w:spacing w:line="240" w:lineRule="auto" w:before="11"/>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8,068,248.83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8,068,248.83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7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36,211,001.30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47,541,261.78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1,062,350.50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24,834.22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84,839,447.80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37,092,162.48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51,707,413.41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2,122,822.16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10,403.84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90,932,801.89</w:t>
            </w:r>
          </w:p>
        </w:tc>
      </w:tr>
    </w:tbl>
    <w:p>
      <w:pPr>
        <w:pStyle w:val="BodyText"/>
        <w:spacing w:line="240" w:lineRule="auto" w:before="51"/>
        <w:ind w:right="157"/>
        <w:jc w:val="left"/>
      </w:pPr>
      <w:r>
        <w:rPr/>
        <w:t>本期末通过公司内部研发形成的无形资产占无形资产余额的比例</w:t>
      </w:r>
      <w:r>
        <w:rPr>
          <w:spacing w:val="-49"/>
        </w:rPr>
        <w:t> </w:t>
      </w:r>
      <w:r>
        <w:rPr>
          <w:rFonts w:ascii="Times New Roman" w:hAnsi="Times New Roman" w:cs="Times New Roman" w:eastAsia="Times New Roman" w:hint="default"/>
        </w:rPr>
        <w:t>44.08%</w:t>
      </w:r>
      <w:r>
        <w:rPr/>
        <w:t>。</w:t>
      </w:r>
    </w:p>
    <w:p>
      <w:pPr>
        <w:spacing w:line="240" w:lineRule="auto" w:before="13"/>
        <w:rPr>
          <w:rFonts w:ascii="宋体" w:hAnsi="宋体" w:cs="宋体" w:eastAsia="宋体" w:hint="default"/>
          <w:sz w:val="25"/>
          <w:szCs w:val="25"/>
        </w:rPr>
      </w:pPr>
    </w:p>
    <w:p>
      <w:pPr>
        <w:pStyle w:val="Heading4"/>
        <w:spacing w:line="240" w:lineRule="auto"/>
        <w:ind w:right="157"/>
        <w:jc w:val="left"/>
        <w:rPr>
          <w:b w:val="0"/>
          <w:bCs w:val="0"/>
        </w:rPr>
      </w:pPr>
      <w:r>
        <w:rPr>
          <w:rFonts w:ascii="Times New Roman" w:hAnsi="Times New Roman" w:cs="Times New Roman" w:eastAsia="Times New Roman" w:hint="default"/>
        </w:rPr>
        <w:t>13</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3"/>
        <w:gridCol w:w="1063"/>
        <w:gridCol w:w="1063"/>
        <w:gridCol w:w="1063"/>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4"/>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0"/>
              <w:ind w:left="101" w:right="229"/>
              <w:jc w:val="both"/>
              <w:rPr>
                <w:rFonts w:ascii="宋体" w:hAnsi="宋体" w:cs="宋体" w:eastAsia="宋体" w:hint="default"/>
                <w:sz w:val="18"/>
                <w:szCs w:val="18"/>
              </w:rPr>
            </w:pPr>
            <w:r>
              <w:rPr>
                <w:rFonts w:ascii="宋体" w:hAnsi="宋体" w:cs="宋体" w:eastAsia="宋体" w:hint="default"/>
                <w:sz w:val="18"/>
                <w:szCs w:val="18"/>
              </w:rPr>
              <w:t>煤矿智能 集成供液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4,946,810.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1,557,480.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6,504,290.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4"/>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4,946,810.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1,557,480.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73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6,504,290.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14</w:t>
      </w:r>
      <w:r>
        <w:rPr/>
        <w:t>、商誉</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）商誉账面原值</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长春师凯科技</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产业有限责任</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512,984,113.56</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512,984,113.56</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北京富华宇祺</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76,333,896.23</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76,333,896.23</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589,318,009.79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589,318,009.79</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7"/>
        <w:gridCol w:w="1367"/>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37" w:right="137"/>
              <w:jc w:val="center"/>
              <w:rPr>
                <w:rFonts w:ascii="宋体" w:hAnsi="宋体" w:cs="宋体" w:eastAsia="宋体" w:hint="default"/>
                <w:sz w:val="18"/>
                <w:szCs w:val="18"/>
              </w:rPr>
            </w:pPr>
            <w:r>
              <w:rPr>
                <w:rFonts w:ascii="宋体" w:hAnsi="宋体" w:cs="宋体" w:eastAsia="宋体" w:hint="default"/>
                <w:sz w:val="18"/>
                <w:szCs w:val="18"/>
              </w:rPr>
              <w:t>被投资单位名 称或形成商誉 的事项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shd w:val="clear" w:color="auto" w:fill="E0FFFF"/>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北京富华宇祺</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shd w:val="clear" w:color="auto" w:fill="E0FFFF"/>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14" w:right="0"/>
              <w:jc w:val="center"/>
              <w:rPr>
                <w:rFonts w:ascii="Times New Roman" w:hAnsi="Times New Roman" w:cs="Times New Roman" w:eastAsia="Times New Roman" w:hint="default"/>
                <w:sz w:val="18"/>
                <w:szCs w:val="18"/>
              </w:rPr>
            </w:pPr>
            <w:r>
              <w:rPr>
                <w:rFonts w:ascii="Times New Roman"/>
                <w:sz w:val="18"/>
              </w:rPr>
              <w:t>20,105,577.70</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shd w:val="clear" w:color="auto" w:fill="E0FFFF"/>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20,105,577.70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4" w:right="0"/>
              <w:jc w:val="center"/>
              <w:rPr>
                <w:rFonts w:ascii="Times New Roman" w:hAnsi="Times New Roman" w:cs="Times New Roman" w:eastAsia="Times New Roman" w:hint="default"/>
                <w:sz w:val="18"/>
                <w:szCs w:val="18"/>
              </w:rPr>
            </w:pPr>
            <w:r>
              <w:rPr>
                <w:rFonts w:ascii="Times New Roman"/>
                <w:sz w:val="18"/>
              </w:rPr>
              <w:t>20,105,577.70</w:t>
            </w:r>
          </w:p>
        </w:tc>
      </w:tr>
    </w:tbl>
    <w:p>
      <w:pPr>
        <w:pStyle w:val="BodyText"/>
        <w:spacing w:line="240" w:lineRule="auto" w:before="51"/>
        <w:ind w:right="94"/>
        <w:jc w:val="left"/>
      </w:pPr>
      <w:r>
        <w:rPr/>
        <w:t>说明商誉减值测试过程、参数及商誉减值损失的确认方法：</w:t>
      </w:r>
    </w:p>
    <w:p>
      <w:pPr>
        <w:pStyle w:val="BodyText"/>
        <w:spacing w:line="309" w:lineRule="auto" w:before="117"/>
        <w:ind w:right="94"/>
        <w:jc w:val="left"/>
      </w:pPr>
      <w:r>
        <w:rPr/>
        <w:t>（</w:t>
      </w:r>
      <w:r>
        <w:rPr>
          <w:rFonts w:ascii="Times New Roman" w:hAnsi="Times New Roman" w:cs="Times New Roman" w:eastAsia="Times New Roman" w:hint="default"/>
        </w:rPr>
        <w:t>1</w:t>
      </w:r>
      <w:r>
        <w:rPr/>
        <w:t>）本公司期末通过对长春师凯科技产业有限责任公司未来的现金流量进行预测折现，并与长春师凯科技产业有限责任公 </w:t>
      </w:r>
      <w:r>
        <w:rPr>
          <w:spacing w:val="-4"/>
        </w:rPr>
        <w:t>司可辨认净资产公允价值加上商誉相比较，净现金流量的现值大于商誉加上可辨认净资产公允价值。可判断商誉不存在减值，</w:t>
      </w:r>
      <w:r>
        <w:rPr>
          <w:spacing w:val="-41"/>
        </w:rPr>
        <w:t> </w:t>
      </w:r>
      <w:r>
        <w:rPr>
          <w:spacing w:val="-41"/>
        </w:rPr>
      </w:r>
      <w:r>
        <w:rPr/>
        <w:t>无需计提减值准备。</w:t>
      </w:r>
    </w:p>
    <w:p>
      <w:pPr>
        <w:pStyle w:val="BodyText"/>
        <w:spacing w:line="309" w:lineRule="auto" w:before="62"/>
        <w:ind w:right="192"/>
        <w:jc w:val="both"/>
      </w:pPr>
      <w:r>
        <w:rPr>
          <w:spacing w:val="-3"/>
        </w:rPr>
        <w:t>（</w:t>
      </w:r>
      <w:r>
        <w:rPr>
          <w:rFonts w:ascii="Times New Roman" w:hAnsi="Times New Roman" w:cs="Times New Roman" w:eastAsia="Times New Roman" w:hint="default"/>
          <w:spacing w:val="-3"/>
        </w:rPr>
        <w:t>2</w:t>
      </w:r>
      <w:r>
        <w:rPr>
          <w:spacing w:val="-3"/>
        </w:rPr>
        <w:t>）本公司聘请了中瑞世联资产评估（北京）有限公司对北京富华宇祺信息技术有限公司</w:t>
      </w:r>
      <w:r>
        <w:rPr>
          <w:spacing w:val="-3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日的商誉进行了 </w:t>
      </w:r>
      <w:r>
        <w:rPr>
          <w:spacing w:val="-2"/>
        </w:rPr>
        <w:t>减值测试。评估采用现金流折现，根据评估结果，本公司认为收购北京富华宇祺信息技术有限公司形成的商誉不需要计提减</w:t>
      </w:r>
      <w:r>
        <w:rPr>
          <w:spacing w:val="-65"/>
        </w:rPr>
        <w:t> </w:t>
      </w:r>
      <w:r>
        <w:rPr>
          <w:spacing w:val="-65"/>
        </w:rPr>
      </w:r>
      <w:r>
        <w:rPr/>
        <w:t>值。</w:t>
      </w:r>
    </w:p>
    <w:p>
      <w:pPr>
        <w:spacing w:line="240" w:lineRule="auto" w:before="0"/>
        <w:rPr>
          <w:rFonts w:ascii="宋体" w:hAnsi="宋体" w:cs="宋体" w:eastAsia="宋体" w:hint="default"/>
          <w:sz w:val="23"/>
          <w:szCs w:val="23"/>
        </w:rPr>
      </w:pPr>
    </w:p>
    <w:p>
      <w:pPr>
        <w:pStyle w:val="Heading4"/>
        <w:spacing w:line="240" w:lineRule="auto"/>
        <w:ind w:right="94"/>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4"/>
        <w:gridCol w:w="1596"/>
        <w:gridCol w:w="1594"/>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491,180.94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8,348.68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482,832.26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20,166.67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会籍费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1,342,955.00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29,844.00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2"/>
                <w:sz w:val="18"/>
              </w:rPr>
              <w:t>1,313,111.00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1,854,302.61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58,359.35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1,795,943.26</w:t>
            </w:r>
          </w:p>
        </w:tc>
      </w:tr>
    </w:tbl>
    <w:p>
      <w:pPr>
        <w:pStyle w:val="BodyText"/>
        <w:spacing w:line="240" w:lineRule="auto" w:before="50"/>
        <w:ind w:right="94"/>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94"/>
        <w:jc w:val="left"/>
        <w:rPr>
          <w:b w:val="0"/>
          <w:bCs w:val="0"/>
        </w:rPr>
      </w:pP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）未经抵销的递延所得税资产</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58,759,899.50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8,914,556.29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54,318,585.26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8,147,344.87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4,949,887.17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1,153,480.33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3,651,395.13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547,709.28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23,137,367.66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3,470,605.15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38,843,937.27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5,826,590.59</w:t>
            </w:r>
          </w:p>
        </w:tc>
      </w:tr>
      <w:tr>
        <w:trPr>
          <w:trHeight w:val="400"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尚未支付的职工薪酬</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1,365,823.10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198,123.47</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预提工程施工费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545,168.09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81,775.21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预提利息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1,156,565.90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173,484.89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7" w:right="0"/>
              <w:jc w:val="left"/>
              <w:rPr>
                <w:rFonts w:ascii="Times New Roman" w:hAnsi="Times New Roman" w:cs="Times New Roman" w:eastAsia="Times New Roman" w:hint="default"/>
                <w:sz w:val="18"/>
                <w:szCs w:val="18"/>
              </w:rPr>
            </w:pPr>
            <w:r>
              <w:rPr>
                <w:rFonts w:ascii="Times New Roman"/>
                <w:sz w:val="18"/>
              </w:rPr>
              <w:t>86,847,154.33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6" w:right="0"/>
              <w:jc w:val="left"/>
              <w:rPr>
                <w:rFonts w:ascii="Times New Roman" w:hAnsi="Times New Roman" w:cs="Times New Roman" w:eastAsia="Times New Roman" w:hint="default"/>
                <w:sz w:val="18"/>
                <w:szCs w:val="18"/>
              </w:rPr>
            </w:pPr>
            <w:r>
              <w:rPr>
                <w:rFonts w:ascii="Times New Roman"/>
                <w:sz w:val="18"/>
              </w:rPr>
              <w:t>13,538,641.77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99,881,474.75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14,975,028.31</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14,597,295.19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2,189,594.29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20,025,090.37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3,003,763.54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固定资产评估增值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1,886,871.48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283,030.69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2,713,288.64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406,993.30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16,484,166.67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2,472,624.98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22,738,379.01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3,410,756.84</w:t>
            </w:r>
          </w:p>
        </w:tc>
      </w:tr>
    </w:tbl>
    <w:p>
      <w:pPr>
        <w:spacing w:line="240" w:lineRule="auto" w:before="5"/>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3"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321" w:right="140"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1" w:right="139"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13,538,641.77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14,975,028.31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2,472,624.98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3,410,756.84</w:t>
            </w:r>
          </w:p>
        </w:tc>
      </w:tr>
    </w:tbl>
    <w:p>
      <w:pPr>
        <w:spacing w:line="240" w:lineRule="auto" w:before="2"/>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10,837,346.50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7,082,246.75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795,266.53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11,632,613.03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7,082,246.75</w:t>
            </w:r>
          </w:p>
        </w:tc>
      </w:tr>
    </w:tbl>
    <w:p>
      <w:pPr>
        <w:pStyle w:val="BodyText"/>
        <w:spacing w:line="316" w:lineRule="auto" w:before="49"/>
        <w:ind w:right="0"/>
        <w:jc w:val="left"/>
      </w:pPr>
      <w:r>
        <w:rPr>
          <w:spacing w:val="-2"/>
        </w:rPr>
        <w:t>注：列示由于未来能否获得足够的应纳税所得额具有不确定性，因此没有确认为递延所得税资产的可抵扣暂时性差异和可抵</w:t>
      </w:r>
      <w:r>
        <w:rPr>
          <w:spacing w:val="-64"/>
        </w:rPr>
        <w:t> </w:t>
      </w:r>
      <w:r>
        <w:rPr>
          <w:spacing w:val="-64"/>
        </w:rPr>
      </w:r>
      <w:r>
        <w:rPr/>
        <w:t>扣亏损。</w:t>
      </w:r>
    </w:p>
    <w:p>
      <w:pPr>
        <w:spacing w:line="240" w:lineRule="auto" w:before="8"/>
        <w:rPr>
          <w:rFonts w:ascii="宋体" w:hAnsi="宋体" w:cs="宋体" w:eastAsia="宋体" w:hint="default"/>
          <w:sz w:val="22"/>
          <w:szCs w:val="22"/>
        </w:rPr>
      </w:pPr>
    </w:p>
    <w:p>
      <w:pPr>
        <w:pStyle w:val="Heading4"/>
        <w:spacing w:line="240" w:lineRule="auto"/>
        <w:ind w:right="157"/>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795,266.53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795,266.53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3"/>
        <w:rPr>
          <w:rFonts w:ascii="宋体" w:hAnsi="宋体" w:cs="宋体" w:eastAsia="宋体" w:hint="default"/>
          <w:sz w:val="22"/>
          <w:szCs w:val="22"/>
        </w:rPr>
      </w:pPr>
    </w:p>
    <w:p>
      <w:pPr>
        <w:pStyle w:val="BodyText"/>
        <w:spacing w:line="357" w:lineRule="auto" w:before="44"/>
        <w:ind w:right="194"/>
        <w:jc w:val="left"/>
      </w:pPr>
      <w:r>
        <w:rPr/>
        <w:t>注：无法在资产负债表日确定全部可抵扣亏损情况的，可只填写能确定部分的金额及其到期年度，并在备注栏予以说明。 其他说明：</w:t>
      </w:r>
    </w:p>
    <w:p>
      <w:pPr>
        <w:spacing w:line="240" w:lineRule="auto" w:before="3"/>
        <w:rPr>
          <w:rFonts w:ascii="宋体" w:hAnsi="宋体" w:cs="宋体" w:eastAsia="宋体" w:hint="default"/>
          <w:sz w:val="20"/>
          <w:szCs w:val="20"/>
        </w:rPr>
      </w:pPr>
    </w:p>
    <w:p>
      <w:pPr>
        <w:pStyle w:val="Heading4"/>
        <w:spacing w:line="240" w:lineRule="auto"/>
        <w:ind w:right="157"/>
        <w:jc w:val="left"/>
        <w:rPr>
          <w:b w:val="0"/>
          <w:bCs w:val="0"/>
        </w:rPr>
      </w:pPr>
      <w:r>
        <w:rPr>
          <w:rFonts w:ascii="Times New Roman" w:hAnsi="Times New Roman" w:cs="Times New Roman" w:eastAsia="Times New Roman" w:hint="default"/>
        </w:rPr>
        <w:t>17</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656,426.99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656,426.99</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18</w:t>
      </w:r>
      <w:r>
        <w:rPr/>
        <w:t>、短期借款</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51"/>
        <w:ind w:right="157"/>
        <w:jc w:val="left"/>
      </w:pPr>
      <w:r>
        <w:rPr/>
        <w:t>短期借款分类的说明：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19</w:t>
      </w:r>
      <w:r>
        <w:rPr/>
        <w:t>、应付票据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1,239,983.17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22,799,439.45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1,239,983.17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22,799,439.45</w:t>
            </w:r>
          </w:p>
        </w:tc>
      </w:tr>
    </w:tbl>
    <w:p>
      <w:pPr>
        <w:pStyle w:val="BodyText"/>
        <w:spacing w:line="240" w:lineRule="auto" w:before="50"/>
        <w:ind w:right="157"/>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20</w:t>
      </w:r>
      <w:r>
        <w:rPr/>
        <w:t>、应付账款</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73,970,232.21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30,286,275.10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工程款、设备款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3,536,010.90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6,289,754.70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加工费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187,657.59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248,570.12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904,923.00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4,235,995.90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6" w:right="0"/>
              <w:jc w:val="left"/>
              <w:rPr>
                <w:rFonts w:ascii="Times New Roman" w:hAnsi="Times New Roman" w:cs="Times New Roman" w:eastAsia="Times New Roman" w:hint="default"/>
                <w:sz w:val="18"/>
                <w:szCs w:val="18"/>
              </w:rPr>
            </w:pPr>
            <w:r>
              <w:rPr>
                <w:rFonts w:ascii="Times New Roman"/>
                <w:sz w:val="18"/>
              </w:rPr>
              <w:t>78,598,823.70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0" w:right="0"/>
              <w:jc w:val="left"/>
              <w:rPr>
                <w:rFonts w:ascii="Times New Roman" w:hAnsi="Times New Roman" w:cs="Times New Roman" w:eastAsia="Times New Roman" w:hint="default"/>
                <w:sz w:val="18"/>
                <w:szCs w:val="18"/>
              </w:rPr>
            </w:pPr>
            <w:r>
              <w:rPr>
                <w:rFonts w:ascii="Times New Roman"/>
                <w:sz w:val="18"/>
              </w:rPr>
              <w:t>41,060,595.82</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南京未来网络产业创新有限公司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鹤壁加福实业有限公司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946,702.45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曲阜远大集团工程有限公司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693,779.88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3,650,482.33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21</w:t>
      </w:r>
      <w:r>
        <w:rPr/>
        <w:t>、预收款项</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）预收款项列示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9,866,200.34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3,324,403.70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9,866,200.34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3,324,403.70</w:t>
            </w:r>
          </w:p>
        </w:tc>
      </w:tr>
    </w:tbl>
    <w:p>
      <w:pPr>
        <w:spacing w:line="240" w:lineRule="auto" w:before="2"/>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）应付职工薪酬列示</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4,697,874.19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48,547,877.18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44,375,049.58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8,870,701.79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01" w:right="118"/>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 提存计划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69,269.39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3,672,690.15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3,629,804.94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112,154.60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18,886.20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18,886.20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4,767,143.58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52,239,453.53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48,023,740.72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8,982,856.39</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、工资、奖金、津贴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58" w:right="0"/>
              <w:jc w:val="left"/>
              <w:rPr>
                <w:rFonts w:ascii="Times New Roman" w:hAnsi="Times New Roman" w:cs="Times New Roman" w:eastAsia="Times New Roman" w:hint="default"/>
                <w:sz w:val="18"/>
                <w:szCs w:val="18"/>
              </w:rPr>
            </w:pPr>
            <w:r>
              <w:rPr>
                <w:rFonts w:ascii="Times New Roman"/>
                <w:sz w:val="18"/>
              </w:rPr>
              <w:t>4,406,817.59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42,069,731.75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37,964,782.92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62" w:right="0"/>
              <w:jc w:val="left"/>
              <w:rPr>
                <w:rFonts w:ascii="Times New Roman" w:hAnsi="Times New Roman" w:cs="Times New Roman" w:eastAsia="Times New Roman" w:hint="default"/>
                <w:sz w:val="18"/>
                <w:szCs w:val="18"/>
              </w:rPr>
            </w:pPr>
            <w:r>
              <w:rPr>
                <w:rFonts w:ascii="Times New Roman"/>
                <w:sz w:val="18"/>
              </w:rPr>
              <w:t>8,511,766.42</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3,046,253.56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3,046,253.56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40,877.43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1,880,183.46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1,853,933.08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67,127.81</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其中：医疗保险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37,278.20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1,625,172.78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1,602,106.40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60,344.58</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2" w:right="0"/>
              <w:jc w:val="left"/>
              <w:rPr>
                <w:rFonts w:ascii="宋体" w:hAnsi="宋体" w:cs="宋体" w:eastAsia="宋体" w:hint="default"/>
                <w:sz w:val="18"/>
                <w:szCs w:val="18"/>
              </w:rPr>
            </w:pPr>
            <w:r>
              <w:rPr>
                <w:rFonts w:ascii="宋体" w:hAnsi="宋体" w:cs="宋体" w:eastAsia="宋体" w:hint="default"/>
                <w:sz w:val="18"/>
                <w:szCs w:val="18"/>
              </w:rPr>
              <w:t>工伤保险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308.40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107,602.93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106,587.77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1,323.56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2" w:right="0"/>
              <w:jc w:val="left"/>
              <w:rPr>
                <w:rFonts w:ascii="宋体" w:hAnsi="宋体" w:cs="宋体" w:eastAsia="宋体" w:hint="default"/>
                <w:sz w:val="18"/>
                <w:szCs w:val="18"/>
              </w:rPr>
            </w:pPr>
            <w:r>
              <w:rPr>
                <w:rFonts w:ascii="宋体" w:hAnsi="宋体" w:cs="宋体" w:eastAsia="宋体" w:hint="default"/>
                <w:sz w:val="18"/>
                <w:szCs w:val="18"/>
              </w:rPr>
              <w:t>生育保险</w:t>
            </w:r>
          </w:p>
          <w:p>
            <w:pPr>
              <w:pStyle w:val="TableParagraph"/>
              <w:spacing w:line="240" w:lineRule="auto" w:before="76"/>
              <w:ind w:left="101"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3,290.83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167,330.03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165,161.19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5,459.67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1,330,614.00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1,330,417.00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197.00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0"/>
              <w:ind w:left="101" w:right="10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、工会经费和职工教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育经费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250,179.17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221,094.41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179,663.02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291,610.56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4,697,874.19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48,547,877.18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44,375,049.58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8,870,701.79</w:t>
            </w:r>
          </w:p>
        </w:tc>
      </w:tr>
    </w:tbl>
    <w:p>
      <w:pPr>
        <w:spacing w:line="240" w:lineRule="auto" w:before="3"/>
        <w:rPr>
          <w:rFonts w:ascii="宋体" w:hAnsi="宋体" w:cs="宋体" w:eastAsia="宋体" w:hint="default"/>
          <w:sz w:val="19"/>
          <w:szCs w:val="19"/>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66,237.00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3,541,771.57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3,499,511.73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108,496.84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3,032.39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130,918.58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130,293.21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3,657.76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69,269.39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3,672,690.15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3,629,804.94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112,154.60</w:t>
            </w:r>
          </w:p>
        </w:tc>
      </w:tr>
    </w:tbl>
    <w:p>
      <w:pPr>
        <w:pStyle w:val="BodyText"/>
        <w:spacing w:line="316" w:lineRule="auto" w:before="51"/>
        <w:ind w:right="94"/>
        <w:jc w:val="left"/>
      </w:pPr>
      <w:r>
        <w:rPr>
          <w:spacing w:val="-4"/>
        </w:rPr>
        <w:t>其他说明：本公司按规定参加由政府机构设立的养老保险、失业保险计划，根据该等计划，本公司每月向该等计划缴存费用。</w:t>
      </w:r>
      <w:r>
        <w:rPr>
          <w:spacing w:val="-43"/>
        </w:rPr>
        <w:t> </w:t>
      </w:r>
      <w:r>
        <w:rPr>
          <w:spacing w:val="-43"/>
        </w:rPr>
      </w:r>
      <w:r>
        <w:rPr/>
        <w:t>除上述每月缴存费用外，本公司不再承担进一步支付义务。相应的支出于发生时计入当期损益或相关资产的成本。</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23</w:t>
      </w:r>
      <w:r>
        <w:rPr/>
        <w:t>、应交税费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19,329,928.13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4,305,636.75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14,855,061.75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8,901,136.59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590,827.19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130,625.97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457,283.27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150,038.87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428,527.79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369,925.89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493,219.00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502,045.00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3,169,701.77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242,680.06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39,324,548.90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14,602,089.13</w:t>
            </w:r>
          </w:p>
        </w:tc>
      </w:tr>
    </w:tbl>
    <w:p>
      <w:pPr>
        <w:pStyle w:val="BodyText"/>
        <w:spacing w:line="360" w:lineRule="auto" w:before="49"/>
        <w:ind w:right="1534"/>
        <w:jc w:val="left"/>
      </w:pPr>
      <w:r>
        <w:rPr/>
        <w:t>其他说明： 应交税费—其他年末余额中包括富华宇祺分配股利代自然人股东代扣代缴的个人所得税2,807,400.00元。</w:t>
      </w:r>
    </w:p>
    <w:p>
      <w:pPr>
        <w:spacing w:after="0" w:line="360" w:lineRule="auto"/>
        <w:jc w:val="left"/>
        <w:sectPr>
          <w:pgSz w:w="11910" w:h="16840"/>
          <w:pgMar w:header="907" w:footer="1013" w:top="1100" w:bottom="1200" w:left="1020" w:right="940"/>
        </w:sectPr>
      </w:pPr>
    </w:p>
    <w:p>
      <w:pPr>
        <w:spacing w:line="240" w:lineRule="auto" w:before="10"/>
        <w:rPr>
          <w:rFonts w:ascii="宋体" w:hAnsi="宋体" w:cs="宋体" w:eastAsia="宋体" w:hint="default"/>
          <w:sz w:val="21"/>
          <w:szCs w:val="21"/>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7,091.10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13,884.24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7,091.10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13,884.24</w:t>
            </w:r>
          </w:p>
        </w:tc>
      </w:tr>
    </w:tbl>
    <w:p>
      <w:pPr>
        <w:pStyle w:val="BodyText"/>
        <w:spacing w:line="240" w:lineRule="auto" w:before="51"/>
        <w:ind w:right="157"/>
        <w:jc w:val="left"/>
      </w:pPr>
      <w:r>
        <w:rPr/>
        <w:t>重要的已逾期未支付的利息情况：</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25</w:t>
      </w:r>
      <w:r>
        <w:rPr/>
        <w:t>、其他应付款</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5,795,945.76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12,782,145.77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1,611,245.57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6,839,510.47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150,757.20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119,279.07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7,557,948.53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19,740,935.31</w:t>
            </w:r>
          </w:p>
        </w:tc>
      </w:tr>
    </w:tbl>
    <w:p>
      <w:pPr>
        <w:spacing w:line="240" w:lineRule="auto" w:before="2"/>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年的重要其他应付款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山东科技大学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995,000.00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未到期结算</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995,000.00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26</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5"/>
        <w:gridCol w:w="1197"/>
        <w:gridCol w:w="1196"/>
        <w:gridCol w:w="1196"/>
        <w:gridCol w:w="1196"/>
        <w:gridCol w:w="1196"/>
        <w:gridCol w:w="1196"/>
        <w:gridCol w:w="1196"/>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660,399,255.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8,880,000.00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8,880,000.00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669,279,255.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9"/>
        <w:ind w:right="157"/>
        <w:jc w:val="left"/>
      </w:pPr>
      <w:r>
        <w:rPr/>
        <w:t>其他说明：</w:t>
      </w:r>
    </w:p>
    <w:p>
      <w:pPr>
        <w:pStyle w:val="BodyText"/>
        <w:spacing w:line="240" w:lineRule="auto" w:before="117"/>
        <w:ind w:right="0"/>
        <w:jc w:val="left"/>
      </w:pPr>
      <w:r>
        <w:rPr/>
        <w:t>公司于</w:t>
      </w:r>
      <w:r>
        <w:rPr>
          <w:spacing w:val="1"/>
        </w:rPr>
        <w:t>2</w:t>
      </w:r>
      <w:r>
        <w:rPr>
          <w:spacing w:val="-2"/>
        </w:rPr>
        <w:t>0</w:t>
      </w:r>
      <w:r>
        <w:rPr>
          <w:spacing w:val="1"/>
        </w:rPr>
        <w:t>1</w:t>
      </w:r>
      <w:r>
        <w:rPr>
          <w:spacing w:val="-2"/>
        </w:rPr>
        <w:t>7</w:t>
      </w:r>
      <w:r>
        <w:rPr/>
        <w:t>年</w:t>
      </w:r>
      <w:r>
        <w:rPr>
          <w:spacing w:val="1"/>
        </w:rPr>
        <w:t>1</w:t>
      </w:r>
      <w:r>
        <w:rPr>
          <w:spacing w:val="-2"/>
        </w:rPr>
        <w:t>1</w:t>
      </w:r>
      <w:r>
        <w:rPr/>
        <w:t>月</w:t>
      </w:r>
      <w:r>
        <w:rPr>
          <w:spacing w:val="1"/>
        </w:rPr>
        <w:t>2</w:t>
      </w:r>
      <w:r>
        <w:rPr>
          <w:spacing w:val="-2"/>
        </w:rPr>
        <w:t>7</w:t>
      </w:r>
      <w:r>
        <w:rPr/>
        <w:t>日召开</w:t>
      </w:r>
      <w:r>
        <w:rPr>
          <w:spacing w:val="1"/>
        </w:rPr>
        <w:t>2</w:t>
      </w:r>
      <w:r>
        <w:rPr>
          <w:spacing w:val="-2"/>
        </w:rPr>
        <w:t>0</w:t>
      </w:r>
      <w:r>
        <w:rPr>
          <w:spacing w:val="1"/>
        </w:rPr>
        <w:t>1</w:t>
      </w:r>
      <w:r>
        <w:rPr>
          <w:spacing w:val="-2"/>
        </w:rPr>
        <w:t>7</w:t>
      </w:r>
      <w:r>
        <w:rPr/>
        <w:t>年第二次临时股东大会</w:t>
      </w:r>
      <w:r>
        <w:rPr>
          <w:spacing w:val="-17"/>
        </w:rPr>
        <w:t>，</w:t>
      </w:r>
      <w:r>
        <w:rPr/>
        <w:t>审议通过</w:t>
      </w:r>
      <w:r>
        <w:rPr>
          <w:spacing w:val="-15"/>
        </w:rPr>
        <w:t>了</w:t>
      </w:r>
      <w:r>
        <w:rPr/>
        <w:t>《限制性股票激励计</w:t>
      </w:r>
      <w:r>
        <w:rPr>
          <w:spacing w:val="-17"/>
        </w:rPr>
        <w:t>划</w:t>
      </w:r>
      <w:r>
        <w:rPr/>
        <w:t>（</w:t>
      </w:r>
      <w:r>
        <w:rPr>
          <w:spacing w:val="1"/>
        </w:rPr>
        <w:t>2</w:t>
      </w:r>
      <w:r>
        <w:rPr>
          <w:spacing w:val="-2"/>
        </w:rPr>
        <w:t>0</w:t>
      </w:r>
      <w:r>
        <w:rPr>
          <w:spacing w:val="1"/>
        </w:rPr>
        <w:t>1</w:t>
      </w:r>
      <w:r>
        <w:rPr>
          <w:spacing w:val="-2"/>
        </w:rPr>
        <w:t>7</w:t>
      </w:r>
      <w:r>
        <w:rPr>
          <w:spacing w:val="1"/>
        </w:rPr>
        <w:t>-</w:t>
      </w:r>
      <w:r>
        <w:rPr>
          <w:spacing w:val="-2"/>
        </w:rPr>
        <w:t>2</w:t>
      </w:r>
      <w:r>
        <w:rPr>
          <w:spacing w:val="1"/>
        </w:rPr>
        <w:t>0</w:t>
      </w:r>
      <w:r>
        <w:rPr>
          <w:spacing w:val="-2"/>
        </w:rPr>
        <w:t>19</w:t>
      </w:r>
      <w:r>
        <w:rPr>
          <w:spacing w:val="-106"/>
        </w:rPr>
        <w:t>）</w:t>
      </w:r>
      <w:r>
        <w:rPr/>
        <w:t>（草案</w:t>
      </w:r>
      <w:r>
        <w:rPr>
          <w:spacing w:val="-92"/>
        </w:rPr>
        <w:t>）</w:t>
      </w:r>
      <w:r>
        <w:rPr>
          <w:spacing w:val="-89"/>
        </w:rPr>
        <w:t>》</w:t>
      </w:r>
      <w:r>
        <w:rPr>
          <w:spacing w:val="-17"/>
        </w:rPr>
        <w:t>，</w:t>
      </w:r>
      <w:r>
        <w:rPr/>
        <w:t>于</w:t>
      </w:r>
      <w:r>
        <w:rPr>
          <w:spacing w:val="1"/>
        </w:rPr>
        <w:t>2</w:t>
      </w:r>
      <w:r>
        <w:rPr>
          <w:spacing w:val="-2"/>
        </w:rPr>
        <w:t>0</w:t>
      </w:r>
      <w:r>
        <w:rPr>
          <w:spacing w:val="1"/>
        </w:rPr>
        <w:t>1</w:t>
      </w:r>
      <w:r>
        <w:rPr/>
        <w:t>7</w:t>
      </w:r>
    </w:p>
    <w:p>
      <w:pPr>
        <w:spacing w:after="0" w:line="240" w:lineRule="auto"/>
        <w:jc w:val="left"/>
        <w:sectPr>
          <w:footerReference w:type="default" r:id="rId41"/>
          <w:pgSz w:w="11910" w:h="16840"/>
          <w:pgMar w:footer="1013" w:header="907" w:top="1100" w:bottom="1200" w:left="1020" w:right="1020"/>
          <w:pgNumType w:start="140"/>
        </w:sectPr>
      </w:pPr>
    </w:p>
    <w:p>
      <w:pPr>
        <w:spacing w:line="240" w:lineRule="auto" w:before="13"/>
        <w:rPr>
          <w:rFonts w:ascii="宋体" w:hAnsi="宋体" w:cs="宋体" w:eastAsia="宋体" w:hint="default"/>
          <w:sz w:val="22"/>
          <w:szCs w:val="22"/>
        </w:rPr>
      </w:pPr>
    </w:p>
    <w:p>
      <w:pPr>
        <w:pStyle w:val="BodyText"/>
        <w:spacing w:line="316" w:lineRule="auto" w:before="44"/>
        <w:ind w:right="104"/>
        <w:jc w:val="left"/>
      </w:pPr>
      <w:r>
        <w:rPr>
          <w:spacing w:val="-2"/>
        </w:rPr>
        <w:t>年11月29日召开第四届董事会2017年第七次会议，审议通过了《关于调整限制性股票激励计划（2017—2019）首次授予部分</w:t>
      </w:r>
      <w:r>
        <w:rPr>
          <w:spacing w:val="-58"/>
        </w:rPr>
        <w:t> </w:t>
      </w:r>
      <w:r>
        <w:rPr>
          <w:spacing w:val="-58"/>
        </w:rPr>
      </w:r>
      <w:r>
        <w:rPr>
          <w:spacing w:val="-2"/>
        </w:rPr>
        <w:t>授予数量的议案》，通过定向发行公司A股普通股向174名激励对象拟授予888.00万股限制性股票，授予价格为</w:t>
      </w:r>
      <w:r>
        <w:rPr/>
        <w:t> 4.03</w:t>
      </w:r>
      <w:r>
        <w:rPr>
          <w:spacing w:val="10"/>
        </w:rPr>
        <w:t> </w:t>
      </w:r>
      <w:r>
        <w:rPr>
          <w:spacing w:val="-1"/>
        </w:rPr>
        <w:t>元/股，</w:t>
      </w:r>
      <w:r>
        <w:rPr/>
        <w:t> 股权登记费20,759.33元，本次发行限制性股票增加股本8,880,000.00元，资本公积26,885,640.68元。</w:t>
      </w:r>
    </w:p>
    <w:p>
      <w:pPr>
        <w:spacing w:line="240" w:lineRule="auto" w:before="6"/>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27</w:t>
      </w:r>
      <w:r>
        <w:rPr/>
        <w:t>、资本公积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749,147,939.18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26,885,640.68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776,033,579.86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572,100.00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572,100.00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749,147,939.18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27,457,740.68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776,605,679.86</w:t>
            </w:r>
          </w:p>
        </w:tc>
      </w:tr>
    </w:tbl>
    <w:p>
      <w:pPr>
        <w:pStyle w:val="BodyText"/>
        <w:spacing w:line="300" w:lineRule="auto" w:before="52"/>
        <w:ind w:right="94"/>
        <w:jc w:val="left"/>
      </w:pPr>
      <w:r>
        <w:rPr>
          <w:spacing w:val="-2"/>
        </w:rPr>
        <w:t>其他说明，包括本期增减变动情况、变动原因说明：资本公积—资本溢价变动情况详见附注六、</w:t>
      </w:r>
      <w:r>
        <w:rPr>
          <w:rFonts w:ascii="Times New Roman" w:hAnsi="Times New Roman" w:cs="Times New Roman" w:eastAsia="Times New Roman" w:hint="default"/>
          <w:spacing w:val="-2"/>
        </w:rPr>
        <w:t>27</w:t>
      </w:r>
      <w:r>
        <w:rPr>
          <w:spacing w:val="-2"/>
        </w:rPr>
        <w:t>；资本公积—其他资本公</w:t>
      </w:r>
      <w:r>
        <w:rPr>
          <w:spacing w:val="-64"/>
        </w:rPr>
        <w:t> </w:t>
      </w:r>
      <w:r>
        <w:rPr>
          <w:spacing w:val="-64"/>
        </w:rPr>
      </w:r>
      <w:r>
        <w:rPr/>
        <w:t>积变动详见附注十、</w:t>
      </w:r>
      <w:r>
        <w:rPr>
          <w:rFonts w:ascii="Times New Roman" w:hAnsi="Times New Roman" w:cs="Times New Roman" w:eastAsia="Times New Roman" w:hint="default"/>
        </w:rPr>
        <w:t>2</w:t>
      </w:r>
      <w:r>
        <w:rPr/>
        <w:t>。</w:t>
      </w:r>
    </w:p>
    <w:p>
      <w:pPr>
        <w:spacing w:line="240" w:lineRule="auto" w:before="13"/>
        <w:rPr>
          <w:rFonts w:ascii="宋体" w:hAnsi="宋体" w:cs="宋体" w:eastAsia="宋体" w:hint="default"/>
          <w:sz w:val="21"/>
          <w:szCs w:val="21"/>
        </w:rPr>
      </w:pPr>
    </w:p>
    <w:p>
      <w:pPr>
        <w:pStyle w:val="Heading4"/>
        <w:spacing w:line="240" w:lineRule="auto"/>
        <w:ind w:right="94"/>
        <w:jc w:val="left"/>
        <w:rPr>
          <w:b w:val="0"/>
          <w:bCs w:val="0"/>
        </w:rPr>
      </w:pPr>
      <w:r>
        <w:rPr>
          <w:rFonts w:ascii="Times New Roman" w:hAnsi="Times New Roman" w:cs="Times New Roman" w:eastAsia="Times New Roman" w:hint="default"/>
        </w:rPr>
        <w:t>28</w:t>
      </w:r>
      <w:r>
        <w:rPr/>
        <w:t>、盈余公积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5,516,163.98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43,917,887.13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38,401,723.15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5,516,163.98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43,917,887.13</w:t>
            </w:r>
          </w:p>
        </w:tc>
      </w:tr>
    </w:tbl>
    <w:p>
      <w:pPr>
        <w:pStyle w:val="BodyText"/>
        <w:spacing w:line="319" w:lineRule="auto" w:before="50"/>
        <w:ind w:right="181"/>
        <w:jc w:val="left"/>
      </w:pPr>
      <w:r>
        <w:rPr>
          <w:spacing w:val="-2"/>
        </w:rPr>
        <w:t>盈余公积说明，包括本期增减变动情况、变动原因说明：根据《公司法》、公司章程的规定，本公司按净利润的</w:t>
      </w:r>
      <w:r>
        <w:rPr>
          <w:spacing w:val="-43"/>
        </w:rPr>
        <w:t> </w:t>
      </w:r>
      <w:r>
        <w:rPr>
          <w:rFonts w:ascii="Times New Roman" w:hAnsi="Times New Roman" w:cs="Times New Roman" w:eastAsia="Times New Roman" w:hint="default"/>
          <w:spacing w:val="-1"/>
        </w:rPr>
        <w:t>10%</w:t>
      </w:r>
      <w:r>
        <w:rPr>
          <w:spacing w:val="-1"/>
        </w:rPr>
        <w:t>提取法</w:t>
      </w:r>
      <w:r>
        <w:rPr/>
        <w:t> 定盈余公积。法定盈余公积累计额达到本公司注册资本</w:t>
      </w:r>
      <w:r>
        <w:rPr>
          <w:spacing w:val="-46"/>
        </w:rPr>
        <w:t> </w:t>
      </w:r>
      <w:r>
        <w:rPr>
          <w:rFonts w:ascii="Times New Roman" w:hAnsi="Times New Roman" w:cs="Times New Roman" w:eastAsia="Times New Roman" w:hint="default"/>
        </w:rPr>
        <w:t>50%</w:t>
      </w:r>
      <w:r>
        <w:rPr/>
        <w:t>以上的，不再提取。 本年度按照弥补以前年度亏损后的净利润提取法定盈余公积。</w:t>
      </w:r>
    </w:p>
    <w:p>
      <w:pPr>
        <w:spacing w:line="240" w:lineRule="auto" w:before="4"/>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29</w:t>
      </w:r>
      <w:r>
        <w:rPr/>
        <w:t>、未分配利润</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207,544,563.73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199,092,612.98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207,544,563.73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199,092,612.98</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101,644,074.39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29,911,896.05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5,516,163.98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66,034,774.31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21,459,945.30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237,637,699.83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207,544,563.73</w:t>
            </w:r>
          </w:p>
        </w:tc>
      </w:tr>
    </w:tbl>
    <w:p>
      <w:pPr>
        <w:pStyle w:val="BodyText"/>
        <w:spacing w:line="240" w:lineRule="auto" w:before="50"/>
        <w:ind w:right="94"/>
        <w:jc w:val="left"/>
      </w:pPr>
      <w:r>
        <w:rPr/>
        <w:t>调整期初未分配利润明细：</w:t>
      </w:r>
    </w:p>
    <w:p>
      <w:pPr>
        <w:pStyle w:val="BodyText"/>
        <w:spacing w:line="240" w:lineRule="auto" w:before="117"/>
        <w:ind w:right="94"/>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1"/>
        <w:ind w:right="94"/>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94"/>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3"/>
        <w:ind w:right="94"/>
        <w:jc w:val="left"/>
      </w:pPr>
      <w:r>
        <w:rPr>
          <w:rFonts w:ascii="Times New Roman" w:hAnsi="Times New Roman" w:cs="Times New Roman" w:eastAsia="Times New Roman" w:hint="default"/>
        </w:rPr>
        <w:t>4)</w:t>
      </w:r>
      <w:r>
        <w:rPr/>
        <w:t>、由于同一控制导致的合并范围变更，影响期初未分配利润元。</w:t>
      </w:r>
    </w:p>
    <w:p>
      <w:pPr>
        <w:spacing w:after="0" w:line="240" w:lineRule="auto"/>
        <w:jc w:val="left"/>
        <w:sectPr>
          <w:footerReference w:type="default" r:id="rId42"/>
          <w:pgSz w:w="11910" w:h="16840"/>
          <w:pgMar w:footer="1013" w:header="907" w:top="1100" w:bottom="1200" w:left="1020" w:right="940"/>
          <w:pgNumType w:start="141"/>
        </w:sectPr>
      </w:pPr>
    </w:p>
    <w:p>
      <w:pPr>
        <w:spacing w:line="240" w:lineRule="auto" w:before="13"/>
        <w:rPr>
          <w:rFonts w:ascii="宋体" w:hAnsi="宋体" w:cs="宋体" w:eastAsia="宋体" w:hint="default"/>
          <w:sz w:val="22"/>
          <w:szCs w:val="22"/>
        </w:rPr>
      </w:pPr>
    </w:p>
    <w:p>
      <w:pPr>
        <w:pStyle w:val="BodyText"/>
        <w:spacing w:line="240" w:lineRule="auto" w:before="44"/>
        <w:ind w:right="157"/>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157"/>
        <w:jc w:val="left"/>
        <w:rPr>
          <w:b w:val="0"/>
          <w:bCs w:val="0"/>
        </w:rPr>
      </w:pPr>
      <w:r>
        <w:rPr>
          <w:rFonts w:ascii="Times New Roman" w:hAnsi="Times New Roman" w:cs="Times New Roman" w:eastAsia="Times New Roman" w:hint="default"/>
        </w:rPr>
        <w:t>30</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415,019,175.49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196,512,406.68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224,584,234.85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103,860,353.26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7,892,542.45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3,773,484.91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5,774,044.60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3,417,161.83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422,911,717.94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200,285,891.59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230,358,279.45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107,277,515.09</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31</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2,467,598.62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821,542.02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1,094,368.66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405,478.40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1,979,784.26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1,102,172.43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2,174,961.00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1,538,070.25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634,405.45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106,892.65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251,317.32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2"/>
              <w:jc w:val="right"/>
              <w:rPr>
                <w:rFonts w:ascii="Times New Roman" w:hAnsi="Times New Roman" w:cs="Times New Roman" w:eastAsia="Times New Roman" w:hint="default"/>
                <w:sz w:val="18"/>
                <w:szCs w:val="18"/>
              </w:rPr>
            </w:pPr>
            <w:r>
              <w:rPr>
                <w:rFonts w:ascii="Times New Roman"/>
                <w:spacing w:val="-1"/>
                <w:sz w:val="18"/>
              </w:rPr>
              <w:t>729,579.13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270,318.97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92,419.24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46,185.52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9,173,116.36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4,541,977.56</w:t>
            </w:r>
          </w:p>
        </w:tc>
      </w:tr>
    </w:tbl>
    <w:p>
      <w:pPr>
        <w:pStyle w:val="BodyText"/>
        <w:spacing w:line="240" w:lineRule="auto" w:before="49"/>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32</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9,121,444.84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11,806,972.90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1,924,962.41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2,920,847.35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7,229,478.24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4,852,191.23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市场推广宣传费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4,371,955.57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1,859,440.00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1,634,169.25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1,682,561.57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1,598,350.01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1,241,092.68</w:t>
            </w:r>
          </w:p>
        </w:tc>
      </w:tr>
      <w:tr>
        <w:trPr>
          <w:trHeight w:val="400"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786,392.55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635,557.70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1,017,995.65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289,014.64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2,197,019.63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2,083,119.48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29,881,768.15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27,370,797.55</w:t>
            </w:r>
          </w:p>
        </w:tc>
      </w:tr>
    </w:tbl>
    <w:p>
      <w:pPr>
        <w:pStyle w:val="BodyText"/>
        <w:spacing w:line="240" w:lineRule="auto" w:before="51"/>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33</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14,720,460.38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10,879,206.38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30,146,220.83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18,090,562.88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6,470,369.27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6,063,133.15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聘请中介机构服务费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2,414,763.28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4,061,447.62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1,306,568.90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3,155,647.31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264,943.57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1,442,766.47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2,358,031.27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1,031,396.07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962,200.04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896,013.47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10,450,788.07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7,920,110.42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1,509,617.12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658,778.70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7,343,929.77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4,432,445.27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77,947,892.50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58,631,507.74</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786,148.69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404,217.66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7,213,603.42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5,855,737.69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银行手续费等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72,725.21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81,929.02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-6,354,729.52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-5,369,591.01</w:t>
            </w:r>
          </w:p>
        </w:tc>
      </w:tr>
    </w:tbl>
    <w:p>
      <w:pPr>
        <w:pStyle w:val="BodyText"/>
        <w:spacing w:line="240" w:lineRule="auto" w:before="50"/>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0"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6,135,299.82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-14,449,407.99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362,732.03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2,127,082.56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5,941,166.27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8,262,382.38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-8,145,509.69</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36</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460"/>
        <w:gridCol w:w="3190"/>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-59,599.80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12,252.92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3,612,849.86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3.84</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3,553,250.06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12,256.76</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37</w:t>
      </w:r>
      <w:r>
        <w:rPr/>
        <w:t>、资产处置收益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164,774.19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259,416.43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-400,545.61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-235,771.42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259,416.43</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38</w:t>
      </w:r>
      <w:r>
        <w:rPr/>
        <w:t>、其他收益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增值税及附加税返还款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41" w:right="0"/>
              <w:jc w:val="left"/>
              <w:rPr>
                <w:rFonts w:ascii="Times New Roman" w:hAnsi="Times New Roman" w:cs="Times New Roman" w:eastAsia="Times New Roman" w:hint="default"/>
                <w:sz w:val="18"/>
                <w:szCs w:val="18"/>
              </w:rPr>
            </w:pPr>
            <w:r>
              <w:rPr>
                <w:rFonts w:ascii="Times New Roman"/>
                <w:sz w:val="18"/>
              </w:rPr>
              <w:t>19,328,467.36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2,692.10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1,478,266.00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9,215,415.64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1,478,266.00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276,900.91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46,684.97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276,900.91</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1,755,166.91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9,264,792.71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1,755,166.91</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3"/>
        <w:rPr>
          <w:rFonts w:ascii="宋体" w:hAnsi="宋体" w:cs="宋体" w:eastAsia="宋体" w:hint="default"/>
          <w:sz w:val="22"/>
          <w:szCs w:val="22"/>
        </w:rPr>
      </w:pPr>
    </w:p>
    <w:p>
      <w:pPr>
        <w:pStyle w:val="BodyText"/>
        <w:spacing w:line="240" w:lineRule="auto" w:before="44"/>
        <w:ind w:right="157"/>
        <w:jc w:val="left"/>
      </w:pPr>
      <w:r>
        <w:rPr/>
        <w:t>计入当期损益的政府补助：</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026"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5" w:right="165"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46" w:right="165" w:hanging="180"/>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40" w:right="141" w:firstLine="2"/>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研究开发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泰安高新 技术产业 开发区财 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817,600.00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1650"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科技创新 发展资金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泰安高新 技术产业 开发区管 理委员会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z w:val="18"/>
                <w:szCs w:val="18"/>
              </w:rPr>
              <w:t>因研究开 </w:t>
            </w: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因研究开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科技创新 发展资金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上海市浦 东新区财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pacing w:val="-1"/>
                <w:sz w:val="18"/>
              </w:rPr>
              <w:t>100,000.00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因研究开</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科技创新 发展资金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上海市科 学技术委 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101"/>
              <w:jc w:val="left"/>
              <w:rPr>
                <w:rFonts w:ascii="宋体" w:hAnsi="宋体" w:cs="宋体" w:eastAsia="宋体" w:hint="default"/>
                <w:sz w:val="18"/>
                <w:szCs w:val="18"/>
              </w:rPr>
            </w:pPr>
            <w:r>
              <w:rPr>
                <w:rFonts w:ascii="宋体" w:hAnsi="宋体" w:cs="宋体" w:eastAsia="宋体" w:hint="default"/>
                <w:spacing w:val="-11"/>
                <w:sz w:val="18"/>
                <w:szCs w:val="18"/>
              </w:rPr>
              <w:t>发、技术更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新及改造 等获得的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9"/>
              <w:jc w:val="right"/>
              <w:rPr>
                <w:rFonts w:ascii="Times New Roman" w:hAnsi="Times New Roman" w:cs="Times New Roman" w:eastAsia="Times New Roman" w:hint="default"/>
                <w:sz w:val="18"/>
                <w:szCs w:val="18"/>
              </w:rPr>
            </w:pPr>
            <w:r>
              <w:rPr>
                <w:rFonts w:ascii="Times New Roman"/>
                <w:spacing w:val="-1"/>
                <w:sz w:val="18"/>
              </w:rPr>
              <w:t>25,000.00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1" w:right="231"/>
              <w:jc w:val="both"/>
              <w:rPr>
                <w:rFonts w:ascii="宋体" w:hAnsi="宋体" w:cs="宋体" w:eastAsia="宋体" w:hint="default"/>
                <w:sz w:val="18"/>
                <w:szCs w:val="18"/>
              </w:rPr>
            </w:pPr>
            <w:r>
              <w:rPr>
                <w:rFonts w:ascii="宋体" w:hAnsi="宋体" w:cs="宋体" w:eastAsia="宋体" w:hint="default"/>
                <w:sz w:val="18"/>
                <w:szCs w:val="18"/>
              </w:rPr>
              <w:t>品牌建设 和创新资 金</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泰安高新 技术产业 开发区财 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250,000.00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7"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065"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因符合地</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29"/>
              <w:jc w:val="center"/>
              <w:rPr>
                <w:rFonts w:ascii="宋体" w:hAnsi="宋体" w:cs="宋体" w:eastAsia="宋体" w:hint="default"/>
                <w:sz w:val="18"/>
                <w:szCs w:val="18"/>
              </w:rPr>
            </w:pPr>
            <w:r>
              <w:rPr>
                <w:rFonts w:ascii="宋体" w:hAnsi="宋体" w:cs="宋体" w:eastAsia="宋体" w:hint="default"/>
                <w:sz w:val="18"/>
                <w:szCs w:val="18"/>
              </w:rPr>
              <w:t>贷款补助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2" w:right="228"/>
              <w:jc w:val="both"/>
              <w:rPr>
                <w:rFonts w:ascii="宋体" w:hAnsi="宋体" w:cs="宋体" w:eastAsia="宋体" w:hint="default"/>
                <w:sz w:val="18"/>
                <w:szCs w:val="18"/>
              </w:rPr>
            </w:pPr>
            <w:r>
              <w:rPr>
                <w:rFonts w:ascii="宋体" w:hAnsi="宋体" w:cs="宋体" w:eastAsia="宋体" w:hint="default"/>
                <w:sz w:val="18"/>
                <w:szCs w:val="18"/>
              </w:rPr>
              <w:t>北京中关 村科技融 资担保有 限公司</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2" w:right="228"/>
              <w:jc w:val="both"/>
              <w:rPr>
                <w:rFonts w:ascii="宋体" w:hAnsi="宋体" w:cs="宋体" w:eastAsia="宋体" w:hint="default"/>
                <w:sz w:val="18"/>
                <w:szCs w:val="18"/>
              </w:rPr>
            </w:pPr>
            <w:r>
              <w:rPr>
                <w:rFonts w:ascii="宋体" w:hAnsi="宋体" w:cs="宋体" w:eastAsia="宋体" w:hint="default"/>
                <w:sz w:val="18"/>
                <w:szCs w:val="18"/>
              </w:rPr>
              <w:t>方政府招 商引资等 地方性扶 持政策而 获得的补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93,666.00</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356" w:hRule="exact"/>
        </w:trPr>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助</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984" w:hRule="exact"/>
        </w:trPr>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1" w:right="231"/>
              <w:jc w:val="left"/>
              <w:rPr>
                <w:rFonts w:ascii="宋体" w:hAnsi="宋体" w:cs="宋体" w:eastAsia="宋体" w:hint="default"/>
                <w:sz w:val="18"/>
                <w:szCs w:val="18"/>
              </w:rPr>
            </w:pPr>
            <w:r>
              <w:rPr>
                <w:rFonts w:ascii="宋体" w:hAnsi="宋体" w:cs="宋体" w:eastAsia="宋体" w:hint="default"/>
                <w:sz w:val="18"/>
                <w:szCs w:val="18"/>
              </w:rPr>
              <w:t>参展费用 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both"/>
              <w:rPr>
                <w:rFonts w:ascii="宋体" w:hAnsi="宋体" w:cs="宋体" w:eastAsia="宋体" w:hint="default"/>
                <w:sz w:val="18"/>
                <w:szCs w:val="18"/>
              </w:rPr>
            </w:pPr>
            <w:r>
              <w:rPr>
                <w:rFonts w:ascii="宋体" w:hAnsi="宋体" w:cs="宋体" w:eastAsia="宋体" w:hint="default"/>
                <w:sz w:val="18"/>
                <w:szCs w:val="18"/>
              </w:rPr>
              <w:t>泰安高新 技术产业 开发区财</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2"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0"/>
              <w:ind w:right="101"/>
              <w:jc w:val="right"/>
              <w:rPr>
                <w:rFonts w:ascii="Times New Roman" w:hAnsi="Times New Roman" w:cs="Times New Roman" w:eastAsia="Times New Roman" w:hint="default"/>
                <w:sz w:val="18"/>
                <w:szCs w:val="18"/>
              </w:rPr>
            </w:pPr>
            <w:r>
              <w:rPr>
                <w:rFonts w:ascii="Times New Roman"/>
                <w:spacing w:val="-1"/>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6" w:lineRule="auto"/>
              <w:ind w:left="103"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spacing w:after="0" w:line="316" w:lineRule="auto"/>
        <w:jc w:val="left"/>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5"/>
        <w:gridCol w:w="1063"/>
        <w:gridCol w:w="1063"/>
        <w:gridCol w:w="1063"/>
        <w:gridCol w:w="1063"/>
        <w:gridCol w:w="1063"/>
        <w:gridCol w:w="1063"/>
        <w:gridCol w:w="1063"/>
        <w:gridCol w:w="1063"/>
      </w:tblGrid>
      <w:tr>
        <w:trPr>
          <w:trHeight w:val="1298" w:hRule="exact"/>
        </w:trPr>
        <w:tc>
          <w:tcPr>
            <w:tcW w:w="106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2" w:right="0"/>
              <w:jc w:val="left"/>
              <w:rPr>
                <w:rFonts w:ascii="宋体" w:hAnsi="宋体" w:cs="宋体" w:eastAsia="宋体" w:hint="default"/>
                <w:sz w:val="18"/>
                <w:szCs w:val="18"/>
              </w:rPr>
            </w:pPr>
            <w:r>
              <w:rPr>
                <w:rFonts w:ascii="宋体" w:hAnsi="宋体" w:cs="宋体" w:eastAsia="宋体" w:hint="default"/>
                <w:sz w:val="18"/>
                <w:szCs w:val="18"/>
              </w:rPr>
              <w:t>政局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2" w:right="228"/>
              <w:jc w:val="both"/>
              <w:rPr>
                <w:rFonts w:ascii="宋体" w:hAnsi="宋体" w:cs="宋体" w:eastAsia="宋体" w:hint="default"/>
                <w:sz w:val="18"/>
                <w:szCs w:val="18"/>
              </w:rPr>
            </w:pPr>
            <w:r>
              <w:rPr>
                <w:rFonts w:ascii="宋体" w:hAnsi="宋体" w:cs="宋体" w:eastAsia="宋体" w:hint="default"/>
                <w:sz w:val="18"/>
                <w:szCs w:val="18"/>
              </w:rPr>
              <w:t>地方性扶 持政策而 获得的补 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1,478,266.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8" w:hanging="989"/>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1,692,440.54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2,802,772.77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1,692,440.54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380,355.67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627,013.29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380,355.67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2,072,796.21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3,629,786.06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2,072,796.21</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）所得税费用表</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17,248,553.05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7,028,383.54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498,254.68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-2,804,635.47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17,746,807.73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4,223,748.07</w:t>
            </w:r>
          </w:p>
        </w:tc>
      </w:tr>
    </w:tbl>
    <w:p>
      <w:pPr>
        <w:spacing w:line="240" w:lineRule="auto" w:before="2"/>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126,043,713.18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18,906,556.97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-1,774,184.12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1,016,940.83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8,939.97</w:t>
            </w:r>
          </w:p>
        </w:tc>
      </w:tr>
      <w:tr>
        <w:trPr>
          <w:trHeight w:val="400"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295,867.80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79"/>
        <w:gridCol w:w="4789"/>
      </w:tblGrid>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1,072,303.67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-68,813.43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-2,243,928.73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因转回递延所得税资产对所得税费用的影响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Arial" w:hAnsi="Arial" w:cs="Arial" w:eastAsia="Arial" w:hint="default"/>
                <w:sz w:val="18"/>
                <w:szCs w:val="18"/>
              </w:rPr>
            </w:pPr>
            <w:r>
              <w:rPr>
                <w:rFonts w:ascii="Arial"/>
                <w:spacing w:val="-1"/>
                <w:sz w:val="18"/>
              </w:rPr>
              <w:t>533,124.77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17,746,807.73</w:t>
            </w:r>
          </w:p>
        </w:tc>
      </w:tr>
    </w:tbl>
    <w:p>
      <w:pPr>
        <w:pStyle w:val="BodyText"/>
        <w:spacing w:line="240" w:lineRule="auto" w:before="51"/>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42</w:t>
      </w:r>
      <w:r>
        <w:rPr/>
        <w:t>、现金流量表项目</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6,932,882.20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5,484,846.21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1,478,266.00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2,254,000.00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2,094,570.80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8,487,734.07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823,463.42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592,152.69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6,402,500.00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4,518,803.87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36,181,113.96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22,250,486.29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52,999,846.93</w:t>
            </w:r>
          </w:p>
        </w:tc>
      </w:tr>
    </w:tbl>
    <w:p>
      <w:pPr>
        <w:pStyle w:val="BodyText"/>
        <w:spacing w:line="360" w:lineRule="auto" w:before="49"/>
        <w:ind w:right="6494"/>
        <w:jc w:val="left"/>
      </w:pPr>
      <w:r>
        <w:rPr/>
        <w:t>收到的其他与经营活动有关的现金说明： 不适用</w:t>
      </w:r>
    </w:p>
    <w:p>
      <w:pPr>
        <w:spacing w:line="240" w:lineRule="auto" w:before="2"/>
        <w:rPr>
          <w:rFonts w:ascii="宋体" w:hAnsi="宋体" w:cs="宋体" w:eastAsia="宋体" w:hint="default"/>
          <w:sz w:val="20"/>
          <w:szCs w:val="20"/>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13,074,618.74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12,682,298.00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9,508,013.45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6"/>
              <w:jc w:val="right"/>
              <w:rPr>
                <w:rFonts w:ascii="Times New Roman" w:hAnsi="Times New Roman" w:cs="Times New Roman" w:eastAsia="Times New Roman" w:hint="default"/>
                <w:sz w:val="18"/>
                <w:szCs w:val="18"/>
              </w:rPr>
            </w:pPr>
            <w:r>
              <w:rPr>
                <w:rFonts w:ascii="Times New Roman"/>
                <w:spacing w:val="-1"/>
                <w:sz w:val="18"/>
              </w:rPr>
              <w:t>6,972,045.11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1,098,727.54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1,932,981.60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4,297,205.89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855,081.73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1,234,779.11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973,976.35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3,010,130.01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1,710,237.42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2,572,106.57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1,194,069.48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14,584,668.08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5,762,497.92</w:t>
            </w:r>
          </w:p>
        </w:tc>
      </w:tr>
      <w:tr>
        <w:trPr>
          <w:trHeight w:val="40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4,004,454.53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1,664,749.95</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履约保函金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2,710,500.00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6,402,500.00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10,270,399.41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6,505,038.80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66,365,603.33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46,655,476.36</w:t>
            </w:r>
          </w:p>
        </w:tc>
      </w:tr>
    </w:tbl>
    <w:p>
      <w:pPr>
        <w:pStyle w:val="BodyText"/>
        <w:spacing w:line="360" w:lineRule="auto" w:before="51"/>
        <w:ind w:right="6494"/>
        <w:jc w:val="left"/>
      </w:pPr>
      <w:r>
        <w:rPr/>
        <w:t>支付的其他与经营活动有关的现金说明： 不适用</w:t>
      </w:r>
    </w:p>
    <w:p>
      <w:pPr>
        <w:spacing w:line="240" w:lineRule="auto" w:before="12"/>
        <w:rPr>
          <w:rFonts w:ascii="宋体" w:hAnsi="宋体" w:cs="宋体" w:eastAsia="宋体" w:hint="default"/>
          <w:sz w:val="19"/>
          <w:szCs w:val="19"/>
        </w:rPr>
      </w:pPr>
    </w:p>
    <w:p>
      <w:pPr>
        <w:pStyle w:val="Heading4"/>
        <w:spacing w:line="240" w:lineRule="auto"/>
        <w:ind w:right="157"/>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10,165,757.52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往来借款利息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914,709.30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771,065.76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11,080,466.82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771,065.76</w:t>
            </w:r>
          </w:p>
        </w:tc>
      </w:tr>
    </w:tbl>
    <w:p>
      <w:pPr>
        <w:pStyle w:val="BodyText"/>
        <w:spacing w:line="357" w:lineRule="auto" w:before="52"/>
        <w:ind w:right="6494"/>
        <w:jc w:val="left"/>
      </w:pPr>
      <w:r>
        <w:rPr/>
        <w:t>收到的其他与投资活动有关的现金说明： 不适用</w:t>
      </w:r>
    </w:p>
    <w:p>
      <w:pPr>
        <w:spacing w:line="240" w:lineRule="auto" w:before="3"/>
        <w:rPr>
          <w:rFonts w:ascii="宋体" w:hAnsi="宋体" w:cs="宋体" w:eastAsia="宋体" w:hint="default"/>
          <w:sz w:val="20"/>
          <w:szCs w:val="20"/>
        </w:rPr>
      </w:pPr>
    </w:p>
    <w:p>
      <w:pPr>
        <w:pStyle w:val="Heading4"/>
        <w:spacing w:line="240" w:lineRule="auto"/>
        <w:ind w:right="157"/>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21,751,059.00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9,005,272.04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21,751,059.00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9,005,272.04</w:t>
            </w:r>
          </w:p>
        </w:tc>
      </w:tr>
    </w:tbl>
    <w:p>
      <w:pPr>
        <w:pStyle w:val="BodyText"/>
        <w:spacing w:line="240" w:lineRule="auto" w:before="51"/>
        <w:ind w:right="157"/>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3"/>
        <w:gridCol w:w="318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21,751,059.00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并购重组中介费用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30,551,059.00</w:t>
            </w:r>
          </w:p>
        </w:tc>
      </w:tr>
    </w:tbl>
    <w:p>
      <w:pPr>
        <w:pStyle w:val="BodyText"/>
        <w:spacing w:line="240" w:lineRule="auto" w:before="51"/>
        <w:ind w:right="157"/>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43</w:t>
      </w:r>
      <w:r>
        <w:rPr/>
        <w:t>、现金流量表补充资料</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0"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108,296,905.45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47,734,513.98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8,196,413.99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-8,910,260.92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 生物资产折旧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17,049,731.37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15,767,157.15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10,490,843.95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7,920,110.42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58,359.35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60,192.68</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 产的损失（收益以“－”号填列）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235,771.42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-259,416.43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452,131.86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404,217.66</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-3,553,250.06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-12,256.76</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递延所得税资产减少（增加以“－”号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1,436,386.54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-2,450,588.07</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递延所得税负债增加（减少以“－”号 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-938,131.86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-354,047.40</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-15,274,158.26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4,541,784.01</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3"/>
              <w:jc w:val="left"/>
              <w:rPr>
                <w:rFonts w:ascii="宋体" w:hAnsi="宋体" w:cs="宋体" w:eastAsia="宋体" w:hint="default"/>
                <w:sz w:val="18"/>
                <w:szCs w:val="18"/>
              </w:rPr>
            </w:pPr>
            <w:r>
              <w:rPr>
                <w:rFonts w:ascii="宋体" w:hAnsi="宋体" w:cs="宋体" w:eastAsia="宋体" w:hint="default"/>
                <w:sz w:val="18"/>
                <w:szCs w:val="18"/>
              </w:rPr>
              <w:t>经营性应收项目的减少（增加以“－”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-124,974,605.21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31,928,550.02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 w:right="153"/>
              <w:jc w:val="left"/>
              <w:rPr>
                <w:rFonts w:ascii="宋体" w:hAnsi="宋体" w:cs="宋体" w:eastAsia="宋体" w:hint="default"/>
                <w:sz w:val="18"/>
                <w:szCs w:val="18"/>
              </w:rPr>
            </w:pPr>
            <w:r>
              <w:rPr>
                <w:rFonts w:ascii="宋体" w:hAnsi="宋体" w:cs="宋体" w:eastAsia="宋体" w:hint="default"/>
                <w:sz w:val="18"/>
                <w:szCs w:val="18"/>
              </w:rPr>
              <w:t>经营性应付项目的增加（减少以“－” 号填列）</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68,374,806.50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1,938,645.08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69,851,205.04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98,308,601.42</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01" w:right="10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动：</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527"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291,622,171.36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336,001,925.02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336,001,925.02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219,130,864.64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-44,379,753.66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116,871,060.38</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291,622,171.36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336,001,925.02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56,292.92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25,519.05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291,565,878.44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335,976,405.97</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291,622,171.36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336,001,925.02</w:t>
            </w:r>
          </w:p>
        </w:tc>
      </w:tr>
    </w:tbl>
    <w:p>
      <w:pPr>
        <w:pStyle w:val="BodyText"/>
        <w:spacing w:line="240" w:lineRule="auto" w:before="50"/>
        <w:ind w:right="157"/>
        <w:jc w:val="left"/>
      </w:pPr>
      <w:r>
        <w:rPr/>
        <w:t>其他说明：</w:t>
      </w:r>
    </w:p>
    <w:p>
      <w:pPr>
        <w:spacing w:after="0" w:line="240" w:lineRule="auto"/>
        <w:jc w:val="left"/>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right="157"/>
        <w:jc w:val="left"/>
      </w:pPr>
      <w:r>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2,710,500.00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履约保函金，详见附注六、</w:t>
            </w:r>
            <w:r>
              <w:rPr>
                <w:rFonts w:ascii="Times New Roman" w:hAnsi="Times New Roman" w:cs="Times New Roman" w:eastAsia="Times New Roman" w:hint="default"/>
                <w:sz w:val="18"/>
                <w:szCs w:val="18"/>
              </w:rPr>
              <w:t>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承兑汇票保证金，详见附注六、</w:t>
            </w:r>
            <w:r>
              <w:rPr>
                <w:rFonts w:ascii="Times New Roman" w:hAnsi="Times New Roman" w:cs="Times New Roman" w:eastAsia="Times New Roman" w:hint="default"/>
                <w:sz w:val="18"/>
                <w:szCs w:val="18"/>
              </w:rPr>
              <w:t>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22,710,500.00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157"/>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157"/>
        <w:jc w:val="left"/>
        <w:rPr>
          <w:b w:val="0"/>
          <w:bCs w:val="0"/>
        </w:rPr>
      </w:pPr>
      <w:r>
        <w:rPr/>
        <w:t>八、在其他主体中的权益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）企业集团的构成</w:t>
      </w:r>
      <w:r>
        <w:rPr>
          <w:rFonts w:ascii="宋体" w:hAnsi="宋体" w:cs="宋体" w:eastAsia="宋体" w:hint="default"/>
          <w:sz w:val="21"/>
          <w:szCs w:val="21"/>
        </w:rPr>
      </w:r>
    </w:p>
    <w:p>
      <w:pPr>
        <w:spacing w:line="240" w:lineRule="auto" w:before="8"/>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356"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矿山深部地压</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尤洛卡（山东）</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监测仪器、防</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环境工程有限</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治设备及材料</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07"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pacing w:val="-3"/>
                <w:sz w:val="18"/>
                <w:szCs w:val="18"/>
              </w:rPr>
              <w:t>的研发、生产、</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销售等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从事货物及技</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3"/>
                <w:sz w:val="18"/>
                <w:szCs w:val="18"/>
              </w:rPr>
              <w:t>尤洛卡（上海）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国际贸易有限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z w:val="18"/>
                <w:szCs w:val="18"/>
              </w:rPr>
              <w:t>术的进出口业 </w:t>
            </w:r>
            <w:r>
              <w:rPr>
                <w:rFonts w:ascii="宋体" w:hAnsi="宋体" w:cs="宋体" w:eastAsia="宋体" w:hint="default"/>
                <w:spacing w:val="-3"/>
                <w:sz w:val="18"/>
                <w:szCs w:val="18"/>
              </w:rPr>
              <w:t>务，转口贸易，</w:t>
            </w:r>
            <w:r>
              <w:rPr>
                <w:rFonts w:ascii="宋体" w:hAnsi="宋体" w:cs="宋体" w:eastAsia="宋体" w:hint="default"/>
                <w:sz w:val="18"/>
                <w:szCs w:val="18"/>
              </w:rPr>
              <w:t> 保税区内企业 间的贸易及贸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易代理等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1371"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工程和技术研</w:t>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pacing w:val="-3"/>
                <w:sz w:val="18"/>
                <w:szCs w:val="18"/>
              </w:rPr>
              <w:t>尤洛卡（北京）</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究与实验发</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77"/>
              <w:jc w:val="left"/>
              <w:rPr>
                <w:rFonts w:ascii="宋体" w:hAnsi="宋体" w:cs="宋体" w:eastAsia="宋体" w:hint="default"/>
                <w:sz w:val="18"/>
                <w:szCs w:val="18"/>
              </w:rPr>
            </w:pPr>
            <w:r>
              <w:rPr>
                <w:rFonts w:ascii="宋体" w:hAnsi="宋体" w:cs="宋体" w:eastAsia="宋体" w:hint="default"/>
                <w:sz w:val="18"/>
                <w:szCs w:val="18"/>
              </w:rPr>
              <w:t>产业信息技术 研究院有限公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3" w:right="11"/>
              <w:jc w:val="left"/>
              <w:rPr>
                <w:rFonts w:ascii="宋体" w:hAnsi="宋体" w:cs="宋体" w:eastAsia="宋体" w:hint="default"/>
                <w:sz w:val="18"/>
                <w:szCs w:val="18"/>
              </w:rPr>
            </w:pPr>
            <w:r>
              <w:rPr>
                <w:rFonts w:ascii="宋体" w:hAnsi="宋体" w:cs="宋体" w:eastAsia="宋体" w:hint="default"/>
                <w:spacing w:val="-3"/>
                <w:sz w:val="18"/>
                <w:szCs w:val="18"/>
              </w:rPr>
              <w:t>展；技术开发、</w:t>
            </w:r>
            <w:r>
              <w:rPr>
                <w:rFonts w:ascii="宋体" w:hAnsi="宋体" w:cs="宋体" w:eastAsia="宋体" w:hint="default"/>
                <w:sz w:val="18"/>
                <w:szCs w:val="18"/>
              </w:rPr>
              <w:t> 技术服务、技</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直接投资</w:t>
            </w:r>
          </w:p>
        </w:tc>
      </w:tr>
      <w:tr>
        <w:trPr>
          <w:trHeight w:val="312" w:hRule="exact"/>
        </w:trPr>
        <w:tc>
          <w:tcPr>
            <w:tcW w:w="1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术咨询、技术</w:t>
            </w:r>
          </w:p>
        </w:tc>
        <w:tc>
          <w:tcPr>
            <w:tcW w:w="1367" w:type="dxa"/>
            <w:tcBorders>
              <w:top w:val="nil" w:sz="6" w:space="0" w:color="auto"/>
              <w:left w:val="single" w:sz="4" w:space="0" w:color="000000"/>
              <w:bottom w:val="nil" w:sz="6" w:space="0" w:color="auto"/>
              <w:right w:val="single" w:sz="4" w:space="0" w:color="000000"/>
            </w:tcBorders>
          </w:tcPr>
          <w:p>
            <w:pPr/>
          </w:p>
        </w:tc>
        <w:tc>
          <w:tcPr>
            <w:tcW w:w="1366"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9" w:hRule="exact"/>
        </w:trPr>
        <w:tc>
          <w:tcPr>
            <w:tcW w:w="1371"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推广；等</w:t>
            </w: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北京富华宇祺 信息技术有限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9"/>
              <w:ind w:left="103" w:right="172"/>
              <w:jc w:val="both"/>
              <w:rPr>
                <w:rFonts w:ascii="宋体" w:hAnsi="宋体" w:cs="宋体" w:eastAsia="宋体" w:hint="default"/>
                <w:sz w:val="18"/>
                <w:szCs w:val="18"/>
              </w:rPr>
            </w:pPr>
            <w:r>
              <w:rPr>
                <w:rFonts w:ascii="宋体" w:hAnsi="宋体" w:cs="宋体" w:eastAsia="宋体" w:hint="default"/>
                <w:sz w:val="18"/>
                <w:szCs w:val="18"/>
              </w:rPr>
              <w:t>从事加工矿用 无源光网络设 备；生产经营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53.21%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spacing w:after="0" w:line="316" w:lineRule="auto"/>
        <w:jc w:val="left"/>
        <w:rPr>
          <w:rFonts w:ascii="宋体" w:hAnsi="宋体" w:cs="宋体" w:eastAsia="宋体" w:hint="default"/>
          <w:sz w:val="18"/>
          <w:szCs w:val="18"/>
        </w:rPr>
        <w:sectPr>
          <w:footerReference w:type="default" r:id="rId43"/>
          <w:pgSz w:w="11910" w:h="16840"/>
          <w:pgMar w:footer="1013" w:header="907" w:top="1100" w:bottom="1200" w:left="1020" w:right="1020"/>
          <w:pgNumType w:start="150"/>
        </w:sectPr>
      </w:pPr>
    </w:p>
    <w:p>
      <w:pPr>
        <w:spacing w:line="240" w:lineRule="auto" w:before="6"/>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674"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03" w:right="172"/>
              <w:jc w:val="left"/>
              <w:rPr>
                <w:rFonts w:ascii="宋体" w:hAnsi="宋体" w:cs="宋体" w:eastAsia="宋体" w:hint="default"/>
                <w:sz w:val="18"/>
                <w:szCs w:val="18"/>
              </w:rPr>
            </w:pPr>
            <w:r>
              <w:rPr>
                <w:rFonts w:ascii="宋体" w:hAnsi="宋体" w:cs="宋体" w:eastAsia="宋体" w:hint="default"/>
                <w:sz w:val="18"/>
                <w:szCs w:val="18"/>
              </w:rPr>
              <w:t>矿用通讯产品 等</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77"/>
              <w:jc w:val="both"/>
              <w:rPr>
                <w:rFonts w:ascii="宋体" w:hAnsi="宋体" w:cs="宋体" w:eastAsia="宋体" w:hint="default"/>
                <w:sz w:val="18"/>
                <w:szCs w:val="18"/>
              </w:rPr>
            </w:pPr>
            <w:r>
              <w:rPr>
                <w:rFonts w:ascii="宋体" w:hAnsi="宋体" w:cs="宋体" w:eastAsia="宋体" w:hint="default"/>
                <w:sz w:val="18"/>
                <w:szCs w:val="18"/>
              </w:rPr>
              <w:t>长春师凯科技 产业有限责任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2"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军工产品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2" w:right="171"/>
              <w:jc w:val="left"/>
              <w:rPr>
                <w:rFonts w:ascii="宋体" w:hAnsi="宋体" w:cs="宋体" w:eastAsia="宋体" w:hint="default"/>
                <w:sz w:val="18"/>
                <w:szCs w:val="18"/>
              </w:rPr>
            </w:pPr>
            <w:r>
              <w:rPr>
                <w:rFonts w:ascii="宋体" w:hAnsi="宋体" w:cs="宋体" w:eastAsia="宋体" w:hint="default"/>
                <w:sz w:val="18"/>
                <w:szCs w:val="18"/>
              </w:rPr>
              <w:t>非同一控制下 企业合并</w:t>
            </w:r>
          </w:p>
        </w:tc>
      </w:tr>
    </w:tbl>
    <w:p>
      <w:pPr>
        <w:pStyle w:val="BodyText"/>
        <w:spacing w:line="357" w:lineRule="auto" w:before="51"/>
        <w:ind w:right="181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674"/>
        <w:jc w:val="left"/>
      </w:pPr>
      <w:r>
        <w:rPr/>
        <w:t>确定公司是代理人还是委托人的依据： 其他说明：</w:t>
      </w:r>
    </w:p>
    <w:p>
      <w:pPr>
        <w:spacing w:line="240" w:lineRule="auto" w:before="3"/>
        <w:rPr>
          <w:rFonts w:ascii="宋体" w:hAnsi="宋体" w:cs="宋体" w:eastAsia="宋体" w:hint="default"/>
          <w:sz w:val="20"/>
          <w:szCs w:val="20"/>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83" w:right="139"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502" w:right="139" w:hanging="360"/>
              <w:jc w:val="left"/>
              <w:rPr>
                <w:rFonts w:ascii="宋体" w:hAnsi="宋体" w:cs="宋体" w:eastAsia="宋体" w:hint="default"/>
                <w:sz w:val="18"/>
                <w:szCs w:val="18"/>
              </w:rPr>
            </w:pPr>
            <w:r>
              <w:rPr>
                <w:rFonts w:ascii="宋体" w:hAnsi="宋体" w:cs="宋体" w:eastAsia="宋体" w:hint="default"/>
                <w:sz w:val="18"/>
                <w:szCs w:val="18"/>
              </w:rPr>
              <w:t>本期向少数股东宣告 分派的股利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1" w:right="139" w:hanging="720"/>
              <w:jc w:val="left"/>
              <w:rPr>
                <w:rFonts w:ascii="宋体" w:hAnsi="宋体" w:cs="宋体" w:eastAsia="宋体" w:hint="default"/>
                <w:sz w:val="18"/>
                <w:szCs w:val="18"/>
              </w:rPr>
            </w:pPr>
            <w:r>
              <w:rPr>
                <w:rFonts w:ascii="宋体" w:hAnsi="宋体" w:cs="宋体" w:eastAsia="宋体" w:hint="default"/>
                <w:sz w:val="18"/>
                <w:szCs w:val="18"/>
              </w:rPr>
              <w:t>期末少数股东权益余 额</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82"/>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5" w:right="0"/>
              <w:jc w:val="left"/>
              <w:rPr>
                <w:rFonts w:ascii="Times New Roman" w:hAnsi="Times New Roman" w:cs="Times New Roman" w:eastAsia="Times New Roman" w:hint="default"/>
                <w:sz w:val="18"/>
                <w:szCs w:val="18"/>
              </w:rPr>
            </w:pPr>
            <w:r>
              <w:rPr>
                <w:rFonts w:ascii="Times New Roman"/>
                <w:sz w:val="18"/>
              </w:rPr>
              <w:t>46.79%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6,652,831.06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6" w:right="0"/>
              <w:jc w:val="left"/>
              <w:rPr>
                <w:rFonts w:ascii="Times New Roman" w:hAnsi="Times New Roman" w:cs="Times New Roman" w:eastAsia="Times New Roman" w:hint="default"/>
                <w:sz w:val="18"/>
                <w:szCs w:val="18"/>
              </w:rPr>
            </w:pPr>
            <w:r>
              <w:rPr>
                <w:rFonts w:ascii="Times New Roman"/>
                <w:sz w:val="18"/>
              </w:rPr>
              <w:t>14,037,000.00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42,196,520.31</w:t>
            </w:r>
          </w:p>
        </w:tc>
      </w:tr>
    </w:tbl>
    <w:p>
      <w:pPr>
        <w:pStyle w:val="BodyText"/>
        <w:spacing w:line="360" w:lineRule="auto" w:before="50"/>
        <w:ind w:right="541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157"/>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6"/>
        <w:gridCol w:w="736"/>
        <w:gridCol w:w="736"/>
        <w:gridCol w:w="736"/>
        <w:gridCol w:w="736"/>
        <w:gridCol w:w="735"/>
        <w:gridCol w:w="735"/>
        <w:gridCol w:w="735"/>
        <w:gridCol w:w="735"/>
        <w:gridCol w:w="735"/>
        <w:gridCol w:w="737"/>
        <w:gridCol w:w="736"/>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183" w:right="180"/>
              <w:jc w:val="both"/>
              <w:rPr>
                <w:rFonts w:ascii="宋体" w:hAnsi="宋体" w:cs="宋体" w:eastAsia="宋体" w:hint="default"/>
                <w:sz w:val="18"/>
                <w:szCs w:val="18"/>
              </w:rPr>
            </w:pPr>
            <w:r>
              <w:rPr>
                <w:rFonts w:ascii="宋体" w:hAnsi="宋体" w:cs="宋体" w:eastAsia="宋体" w:hint="default"/>
                <w:sz w:val="18"/>
                <w:szCs w:val="18"/>
              </w:rPr>
              <w:t>子公 司名 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6"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1"/>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3"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82"/>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1" w:right="181"/>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1" w:right="182"/>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3"/>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1" w:right="182"/>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1"/>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5"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富华</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941"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62"/>
              <w:jc w:val="both"/>
              <w:rPr>
                <w:rFonts w:ascii="宋体" w:hAnsi="宋体" w:cs="宋体" w:eastAsia="宋体" w:hint="default"/>
                <w:sz w:val="18"/>
                <w:szCs w:val="18"/>
              </w:rPr>
            </w:pPr>
            <w:r>
              <w:rPr>
                <w:rFonts w:ascii="宋体" w:hAnsi="宋体" w:cs="宋体" w:eastAsia="宋体" w:hint="default"/>
                <w:sz w:val="18"/>
                <w:szCs w:val="18"/>
              </w:rPr>
              <w:t>宇祺 信息 技术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239,76</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4,691.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6,117,</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686.25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8" w:right="0"/>
              <w:jc w:val="left"/>
              <w:rPr>
                <w:rFonts w:ascii="Times New Roman" w:hAnsi="Times New Roman" w:cs="Times New Roman" w:eastAsia="Times New Roman" w:hint="default"/>
                <w:sz w:val="18"/>
                <w:szCs w:val="18"/>
              </w:rPr>
            </w:pPr>
            <w:r>
              <w:rPr>
                <w:rFonts w:ascii="Times New Roman"/>
                <w:sz w:val="18"/>
              </w:rPr>
              <w:t>245,88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2,377.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74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156,60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92</w:t>
            </w: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156,60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2,600.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92</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6" w:right="0"/>
              <w:jc w:val="left"/>
              <w:rPr>
                <w:rFonts w:ascii="Times New Roman" w:hAnsi="Times New Roman" w:cs="Times New Roman" w:eastAsia="Times New Roman" w:hint="default"/>
                <w:sz w:val="18"/>
                <w:szCs w:val="18"/>
              </w:rPr>
            </w:pPr>
            <w:r>
              <w:rPr>
                <w:rFonts w:ascii="Times New Roman"/>
                <w:sz w:val="18"/>
              </w:rPr>
              <w:t>237,62</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0,501.</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38</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4,527,</w:t>
            </w:r>
          </w:p>
          <w:p>
            <w:pPr>
              <w:pStyle w:val="TableParagraph"/>
              <w:spacing w:line="240" w:lineRule="auto" w:before="105"/>
              <w:ind w:left="128" w:right="0"/>
              <w:jc w:val="left"/>
              <w:rPr>
                <w:rFonts w:ascii="Times New Roman" w:hAnsi="Times New Roman" w:cs="Times New Roman" w:eastAsia="Times New Roman" w:hint="default"/>
                <w:sz w:val="18"/>
                <w:szCs w:val="18"/>
              </w:rPr>
            </w:pPr>
            <w:r>
              <w:rPr>
                <w:rFonts w:ascii="Times New Roman"/>
                <w:sz w:val="18"/>
              </w:rPr>
              <w:t>932.89</w:t>
            </w:r>
          </w:p>
        </w:tc>
        <w:tc>
          <w:tcPr>
            <w:tcW w:w="7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242,14</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8,434.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27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137,99</w:t>
            </w:r>
          </w:p>
          <w:p>
            <w:pPr>
              <w:pStyle w:val="TableParagraph"/>
              <w:spacing w:line="240" w:lineRule="auto" w:before="105"/>
              <w:ind w:left="175" w:right="0"/>
              <w:jc w:val="left"/>
              <w:rPr>
                <w:rFonts w:ascii="Times New Roman" w:hAnsi="Times New Roman" w:cs="Times New Roman" w:eastAsia="Times New Roman" w:hint="default"/>
                <w:sz w:val="18"/>
                <w:szCs w:val="18"/>
              </w:rPr>
            </w:pPr>
            <w:r>
              <w:rPr>
                <w:rFonts w:ascii="Times New Roman"/>
                <w:sz w:val="18"/>
              </w:rPr>
              <w:t>0,144.</w:t>
            </w:r>
          </w:p>
          <w:p>
            <w:pPr>
              <w:pStyle w:val="TableParagraph"/>
              <w:spacing w:line="240" w:lineRule="auto" w:before="105"/>
              <w:ind w:left="443" w:right="0"/>
              <w:jc w:val="left"/>
              <w:rPr>
                <w:rFonts w:ascii="Times New Roman" w:hAnsi="Times New Roman" w:cs="Times New Roman" w:eastAsia="Times New Roman" w:hint="default"/>
                <w:sz w:val="18"/>
                <w:szCs w:val="18"/>
              </w:rPr>
            </w:pPr>
            <w:r>
              <w:rPr>
                <w:rFonts w:ascii="Times New Roman"/>
                <w:sz w:val="18"/>
              </w:rPr>
              <w:t>49</w:t>
            </w: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127" w:right="0"/>
              <w:jc w:val="left"/>
              <w:rPr>
                <w:rFonts w:ascii="Times New Roman" w:hAnsi="Times New Roman" w:cs="Times New Roman" w:eastAsia="Times New Roman" w:hint="default"/>
                <w:sz w:val="18"/>
                <w:szCs w:val="18"/>
              </w:rPr>
            </w:pPr>
            <w:r>
              <w:rPr>
                <w:rFonts w:ascii="Times New Roman"/>
                <w:sz w:val="18"/>
              </w:rPr>
              <w:t>137,99</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0,144.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49</w:t>
            </w:r>
          </w:p>
        </w:tc>
      </w:tr>
      <w:tr>
        <w:trPr>
          <w:trHeight w:val="307"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5" w:type="dxa"/>
            <w:vMerge/>
            <w:tcBorders>
              <w:left w:val="single" w:sz="4" w:space="0" w:color="000000"/>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5"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5"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49"/>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435" w:right="165" w:hanging="272"/>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7" w:right="165"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8" w:right="165"/>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6" w:right="16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6" w:right="167"/>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37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北京富华</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center"/>
              <w:rPr>
                <w:rFonts w:ascii="Times New Roman" w:hAnsi="Times New Roman" w:cs="Times New Roman" w:eastAsia="Times New Roman" w:hint="default"/>
                <w:sz w:val="18"/>
                <w:szCs w:val="18"/>
              </w:rPr>
            </w:pPr>
            <w:r>
              <w:rPr>
                <w:rFonts w:ascii="Times New Roman"/>
                <w:sz w:val="18"/>
              </w:rPr>
              <w:t>153,326,34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center"/>
              <w:rPr>
                <w:rFonts w:ascii="Times New Roman" w:hAnsi="Times New Roman" w:cs="Times New Roman" w:eastAsia="Times New Roman" w:hint="default"/>
                <w:sz w:val="18"/>
                <w:szCs w:val="18"/>
              </w:rPr>
            </w:pPr>
            <w:r>
              <w:rPr>
                <w:rFonts w:ascii="Times New Roman"/>
                <w:sz w:val="18"/>
              </w:rPr>
              <w:t>15,121,487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1" w:right="0"/>
              <w:jc w:val="left"/>
              <w:rPr>
                <w:rFonts w:ascii="Times New Roman" w:hAnsi="Times New Roman" w:cs="Times New Roman" w:eastAsia="Times New Roman" w:hint="default"/>
                <w:sz w:val="18"/>
                <w:szCs w:val="18"/>
              </w:rPr>
            </w:pPr>
            <w:r>
              <w:rPr>
                <w:rFonts w:ascii="Times New Roman"/>
                <w:sz w:val="18"/>
              </w:rPr>
              <w:t>15,121,487</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3" w:right="0"/>
              <w:jc w:val="left"/>
              <w:rPr>
                <w:rFonts w:ascii="Times New Roman" w:hAnsi="Times New Roman" w:cs="Times New Roman" w:eastAsia="Times New Roman" w:hint="default"/>
                <w:sz w:val="18"/>
                <w:szCs w:val="18"/>
              </w:rPr>
            </w:pPr>
            <w:r>
              <w:rPr>
                <w:rFonts w:ascii="Times New Roman"/>
                <w:sz w:val="18"/>
              </w:rPr>
              <w:t>-20,540,65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138,794,30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 w:right="0"/>
              <w:jc w:val="center"/>
              <w:rPr>
                <w:rFonts w:ascii="Times New Roman" w:hAnsi="Times New Roman" w:cs="Times New Roman" w:eastAsia="Times New Roman" w:hint="default"/>
                <w:sz w:val="18"/>
                <w:szCs w:val="18"/>
              </w:rPr>
            </w:pPr>
            <w:r>
              <w:rPr>
                <w:rFonts w:ascii="Times New Roman"/>
                <w:sz w:val="18"/>
              </w:rPr>
              <w:t>38,993,653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0" w:right="0"/>
              <w:jc w:val="left"/>
              <w:rPr>
                <w:rFonts w:ascii="Times New Roman" w:hAnsi="Times New Roman" w:cs="Times New Roman" w:eastAsia="Times New Roman" w:hint="default"/>
                <w:sz w:val="18"/>
                <w:szCs w:val="18"/>
              </w:rPr>
            </w:pPr>
            <w:r>
              <w:rPr>
                <w:rFonts w:ascii="Times New Roman"/>
                <w:sz w:val="18"/>
              </w:rPr>
              <w:t>38,993,653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8" w:right="0"/>
              <w:jc w:val="left"/>
              <w:rPr>
                <w:rFonts w:ascii="Times New Roman" w:hAnsi="Times New Roman" w:cs="Times New Roman" w:eastAsia="Times New Roman" w:hint="default"/>
                <w:sz w:val="18"/>
                <w:szCs w:val="18"/>
              </w:rPr>
            </w:pPr>
            <w:r>
              <w:rPr>
                <w:rFonts w:ascii="Times New Roman"/>
                <w:sz w:val="18"/>
              </w:rPr>
              <w:t>5,214,255.</w:t>
            </w:r>
          </w:p>
        </w:tc>
      </w:tr>
    </w:tbl>
    <w:p>
      <w:pPr>
        <w:spacing w:after="0" w:line="240" w:lineRule="auto"/>
        <w:jc w:val="lef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061"/>
        <w:gridCol w:w="1061"/>
        <w:gridCol w:w="1062"/>
        <w:gridCol w:w="1065"/>
        <w:gridCol w:w="1065"/>
        <w:gridCol w:w="1063"/>
        <w:gridCol w:w="1063"/>
        <w:gridCol w:w="1063"/>
        <w:gridCol w:w="1066"/>
      </w:tblGrid>
      <w:tr>
        <w:trPr>
          <w:trHeight w:val="322"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101" w:right="0"/>
              <w:jc w:val="left"/>
              <w:rPr>
                <w:rFonts w:ascii="宋体" w:hAnsi="宋体" w:cs="宋体" w:eastAsia="宋体" w:hint="default"/>
                <w:sz w:val="18"/>
                <w:szCs w:val="18"/>
              </w:rPr>
            </w:pPr>
            <w:r>
              <w:rPr>
                <w:rFonts w:ascii="宋体" w:hAnsi="宋体" w:cs="宋体" w:eastAsia="宋体" w:hint="default"/>
                <w:sz w:val="18"/>
                <w:szCs w:val="18"/>
              </w:rPr>
              <w:t>宇祺信息</w:t>
            </w:r>
          </w:p>
        </w:tc>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632" w:right="0"/>
              <w:jc w:val="left"/>
              <w:rPr>
                <w:rFonts w:ascii="Times New Roman" w:hAnsi="Times New Roman" w:cs="Times New Roman" w:eastAsia="Times New Roman" w:hint="default"/>
                <w:sz w:val="18"/>
                <w:szCs w:val="18"/>
              </w:rPr>
            </w:pPr>
            <w:r>
              <w:rPr>
                <w:rFonts w:ascii="Times New Roman"/>
                <w:sz w:val="18"/>
              </w:rPr>
              <w:t>0.78</w:t>
            </w:r>
          </w:p>
        </w:tc>
        <w:tc>
          <w:tcPr>
            <w:tcW w:w="10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.04</w:t>
            </w:r>
          </w:p>
        </w:tc>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.04</w:t>
            </w:r>
          </w:p>
        </w:tc>
        <w:tc>
          <w:tcPr>
            <w:tcW w:w="106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636" w:right="0"/>
              <w:jc w:val="left"/>
              <w:rPr>
                <w:rFonts w:ascii="Times New Roman" w:hAnsi="Times New Roman" w:cs="Times New Roman" w:eastAsia="Times New Roman" w:hint="default"/>
                <w:sz w:val="18"/>
                <w:szCs w:val="18"/>
              </w:rPr>
            </w:pPr>
            <w:r>
              <w:rPr>
                <w:rFonts w:ascii="Times New Roman"/>
                <w:sz w:val="18"/>
              </w:rPr>
              <w:t>8.58</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634" w:right="0"/>
              <w:jc w:val="left"/>
              <w:rPr>
                <w:rFonts w:ascii="Times New Roman" w:hAnsi="Times New Roman" w:cs="Times New Roman" w:eastAsia="Times New Roman" w:hint="default"/>
                <w:sz w:val="18"/>
                <w:szCs w:val="18"/>
              </w:rPr>
            </w:pPr>
            <w:r>
              <w:rPr>
                <w:rFonts w:ascii="Times New Roman"/>
                <w:sz w:val="18"/>
              </w:rPr>
              <w:t>8.10</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.90</w:t>
            </w: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1"/>
              <w:jc w:val="right"/>
              <w:rPr>
                <w:rFonts w:ascii="Times New Roman" w:hAnsi="Times New Roman" w:cs="Times New Roman" w:eastAsia="Times New Roman" w:hint="default"/>
                <w:sz w:val="18"/>
                <w:szCs w:val="18"/>
              </w:rPr>
            </w:pPr>
            <w:r>
              <w:rPr>
                <w:rFonts w:ascii="Times New Roman"/>
                <w:spacing w:val="-1"/>
                <w:sz w:val="18"/>
              </w:rPr>
              <w:t>.90</w:t>
            </w:r>
          </w:p>
        </w:tc>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99"/>
              <w:jc w:val="right"/>
              <w:rPr>
                <w:rFonts w:ascii="Times New Roman" w:hAnsi="Times New Roman" w:cs="Times New Roman" w:eastAsia="Times New Roman" w:hint="default"/>
                <w:sz w:val="18"/>
                <w:szCs w:val="18"/>
              </w:rPr>
            </w:pPr>
            <w:r>
              <w:rPr>
                <w:rFonts w:ascii="Times New Roman"/>
                <w:sz w:val="18"/>
              </w:rPr>
              <w:t>25</w:t>
            </w:r>
          </w:p>
        </w:tc>
      </w:tr>
      <w:tr>
        <w:trPr>
          <w:trHeight w:val="308"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1" w:right="0"/>
              <w:jc w:val="left"/>
              <w:rPr>
                <w:rFonts w:ascii="宋体" w:hAnsi="宋体" w:cs="宋体" w:eastAsia="宋体" w:hint="default"/>
                <w:sz w:val="18"/>
                <w:szCs w:val="18"/>
              </w:rPr>
            </w:pPr>
            <w:r>
              <w:rPr>
                <w:rFonts w:ascii="宋体" w:hAnsi="宋体" w:cs="宋体" w:eastAsia="宋体" w:hint="default"/>
                <w:sz w:val="18"/>
                <w:szCs w:val="18"/>
              </w:rPr>
              <w:t>技术有限</w:t>
            </w:r>
          </w:p>
        </w:tc>
        <w:tc>
          <w:tcPr>
            <w:tcW w:w="1061"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065"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5"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）重要的合营企业或联营企业</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71"/>
        <w:gridCol w:w="1367"/>
        <w:gridCol w:w="1367"/>
        <w:gridCol w:w="1367"/>
        <w:gridCol w:w="1367"/>
        <w:gridCol w:w="1366"/>
        <w:gridCol w:w="1366"/>
      </w:tblGrid>
      <w:tr>
        <w:trPr>
          <w:trHeight w:val="402" w:hRule="exact"/>
        </w:trPr>
        <w:tc>
          <w:tcPr>
            <w:tcW w:w="13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0"/>
              <w:ind w:left="138" w:right="0"/>
              <w:jc w:val="left"/>
              <w:rPr>
                <w:rFonts w:ascii="宋体" w:hAnsi="宋体" w:cs="宋体" w:eastAsia="宋体" w:hint="default"/>
                <w:sz w:val="18"/>
                <w:szCs w:val="18"/>
              </w:rPr>
            </w:pPr>
            <w:r>
              <w:rPr>
                <w:rFonts w:ascii="宋体" w:hAnsi="宋体" w:cs="宋体" w:eastAsia="宋体" w:hint="default"/>
                <w:sz w:val="18"/>
                <w:szCs w:val="18"/>
              </w:rPr>
              <w:t>对合营企业或</w:t>
            </w:r>
          </w:p>
        </w:tc>
      </w:tr>
      <w:tr>
        <w:trPr>
          <w:trHeight w:val="579" w:hRule="exact"/>
        </w:trPr>
        <w:tc>
          <w:tcPr>
            <w:tcW w:w="13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229" w:right="0" w:hanging="89"/>
              <w:jc w:val="left"/>
              <w:rPr>
                <w:rFonts w:ascii="宋体" w:hAnsi="宋体" w:cs="宋体" w:eastAsia="宋体" w:hint="default"/>
                <w:sz w:val="18"/>
                <w:szCs w:val="18"/>
              </w:rPr>
            </w:pPr>
            <w:r>
              <w:rPr>
                <w:rFonts w:ascii="宋体" w:hAnsi="宋体" w:cs="宋体" w:eastAsia="宋体" w:hint="default"/>
                <w:sz w:val="18"/>
                <w:szCs w:val="18"/>
              </w:rPr>
              <w:t>合营企业或联</w:t>
            </w:r>
          </w:p>
          <w:p>
            <w:pPr>
              <w:pStyle w:val="TableParagraph"/>
              <w:spacing w:line="240" w:lineRule="auto" w:before="76"/>
              <w:ind w:left="229" w:right="0"/>
              <w:jc w:val="left"/>
              <w:rPr>
                <w:rFonts w:ascii="宋体" w:hAnsi="宋体" w:cs="宋体" w:eastAsia="宋体" w:hint="default"/>
                <w:sz w:val="18"/>
                <w:szCs w:val="18"/>
              </w:rPr>
            </w:pPr>
            <w:r>
              <w:rPr>
                <w:rFonts w:ascii="宋体" w:hAnsi="宋体" w:cs="宋体" w:eastAsia="宋体" w:hint="default"/>
                <w:sz w:val="18"/>
                <w:szCs w:val="18"/>
              </w:rPr>
              <w:t>营企业名称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228"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21"/>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01" w:lineRule="exact"/>
              <w:ind w:left="138" w:right="0"/>
              <w:jc w:val="left"/>
              <w:rPr>
                <w:rFonts w:ascii="宋体" w:hAnsi="宋体" w:cs="宋体" w:eastAsia="宋体" w:hint="default"/>
                <w:sz w:val="18"/>
                <w:szCs w:val="18"/>
              </w:rPr>
            </w:pPr>
            <w:r>
              <w:rPr>
                <w:rFonts w:ascii="宋体" w:hAnsi="宋体" w:cs="宋体" w:eastAsia="宋体" w:hint="default"/>
                <w:sz w:val="18"/>
                <w:szCs w:val="18"/>
              </w:rPr>
              <w:t>联营企业投资</w:t>
            </w:r>
          </w:p>
          <w:p>
            <w:pPr>
              <w:pStyle w:val="TableParagraph"/>
              <w:spacing w:line="240" w:lineRule="auto" w:before="76"/>
              <w:ind w:left="138" w:right="0"/>
              <w:jc w:val="left"/>
              <w:rPr>
                <w:rFonts w:ascii="宋体" w:hAnsi="宋体" w:cs="宋体" w:eastAsia="宋体" w:hint="default"/>
                <w:sz w:val="18"/>
                <w:szCs w:val="18"/>
              </w:rPr>
            </w:pPr>
            <w:r>
              <w:rPr>
                <w:rFonts w:ascii="宋体" w:hAnsi="宋体" w:cs="宋体" w:eastAsia="宋体" w:hint="default"/>
                <w:sz w:val="18"/>
                <w:szCs w:val="18"/>
              </w:rPr>
              <w:t>的会计处理方</w:t>
            </w:r>
          </w:p>
        </w:tc>
      </w:tr>
      <w:tr>
        <w:trPr>
          <w:trHeight w:val="357" w:hRule="exact"/>
        </w:trPr>
        <w:tc>
          <w:tcPr>
            <w:tcW w:w="13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法</w:t>
            </w:r>
          </w:p>
        </w:tc>
      </w:tr>
      <w:tr>
        <w:trPr>
          <w:trHeight w:val="102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77"/>
              <w:jc w:val="both"/>
              <w:rPr>
                <w:rFonts w:ascii="宋体" w:hAnsi="宋体" w:cs="宋体" w:eastAsia="宋体" w:hint="default"/>
                <w:sz w:val="18"/>
                <w:szCs w:val="18"/>
              </w:rPr>
            </w:pPr>
            <w:r>
              <w:rPr>
                <w:rFonts w:ascii="宋体" w:hAnsi="宋体" w:cs="宋体" w:eastAsia="宋体" w:hint="default"/>
                <w:sz w:val="18"/>
                <w:szCs w:val="18"/>
              </w:rPr>
              <w:t>西安鲁信股权 投资管理有限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121"/>
              <w:jc w:val="left"/>
              <w:rPr>
                <w:rFonts w:ascii="宋体" w:hAnsi="宋体" w:cs="宋体" w:eastAsia="宋体" w:hint="default"/>
                <w:sz w:val="18"/>
                <w:szCs w:val="18"/>
              </w:rPr>
            </w:pPr>
            <w:r>
              <w:rPr>
                <w:rFonts w:ascii="宋体" w:hAnsi="宋体" w:cs="宋体" w:eastAsia="宋体" w:hint="default"/>
                <w:sz w:val="18"/>
                <w:szCs w:val="18"/>
              </w:rPr>
              <w:t>股权投资</w:t>
            </w:r>
            <w:r>
              <w:rPr>
                <w:rFonts w:ascii="Times New Roman" w:hAnsi="Times New Roman" w:cs="Times New Roman" w:eastAsia="Times New Roman" w:hint="default"/>
                <w:sz w:val="18"/>
                <w:szCs w:val="18"/>
              </w:rPr>
              <w:t>;</w:t>
            </w:r>
            <w:r>
              <w:rPr>
                <w:rFonts w:ascii="宋体" w:hAnsi="宋体" w:cs="宋体" w:eastAsia="宋体" w:hint="default"/>
                <w:sz w:val="18"/>
                <w:szCs w:val="18"/>
              </w:rPr>
              <w:t>投资 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699" w:right="0"/>
              <w:jc w:val="left"/>
              <w:rPr>
                <w:rFonts w:ascii="Times New Roman" w:hAnsi="Times New Roman" w:cs="Times New Roman" w:eastAsia="Times New Roman" w:hint="default"/>
                <w:sz w:val="18"/>
                <w:szCs w:val="18"/>
              </w:rPr>
            </w:pPr>
            <w:r>
              <w:rPr>
                <w:rFonts w:ascii="Times New Roman"/>
                <w:sz w:val="18"/>
              </w:rPr>
              <w:t>39.00%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33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101" w:right="11"/>
              <w:jc w:val="left"/>
              <w:rPr>
                <w:rFonts w:ascii="宋体" w:hAnsi="宋体" w:cs="宋体" w:eastAsia="宋体" w:hint="default"/>
                <w:sz w:val="18"/>
                <w:szCs w:val="18"/>
              </w:rPr>
            </w:pPr>
            <w:r>
              <w:rPr>
                <w:rFonts w:ascii="宋体" w:hAnsi="宋体" w:cs="宋体" w:eastAsia="宋体" w:hint="default"/>
                <w:spacing w:val="-3"/>
                <w:sz w:val="18"/>
                <w:szCs w:val="18"/>
              </w:rPr>
              <w:t>尤洛卡（山东）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特高压电气有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泰安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1"/>
              <w:jc w:val="left"/>
              <w:rPr>
                <w:rFonts w:ascii="宋体" w:hAnsi="宋体" w:cs="宋体" w:eastAsia="宋体" w:hint="default"/>
                <w:sz w:val="18"/>
                <w:szCs w:val="18"/>
              </w:rPr>
            </w:pPr>
            <w:r>
              <w:rPr>
                <w:rFonts w:ascii="宋体" w:hAnsi="宋体" w:cs="宋体" w:eastAsia="宋体" w:hint="default"/>
                <w:sz w:val="18"/>
                <w:szCs w:val="18"/>
              </w:rPr>
              <w:t>特高压开关精 </w:t>
            </w:r>
            <w:r>
              <w:rPr>
                <w:rFonts w:ascii="宋体" w:hAnsi="宋体" w:cs="宋体" w:eastAsia="宋体" w:hint="default"/>
                <w:spacing w:val="-3"/>
                <w:sz w:val="18"/>
                <w:szCs w:val="18"/>
              </w:rPr>
              <w:t>密铸件、壳体、</w:t>
            </w:r>
            <w:r>
              <w:rPr>
                <w:rFonts w:ascii="宋体" w:hAnsi="宋体" w:cs="宋体" w:eastAsia="宋体" w:hint="default"/>
                <w:sz w:val="18"/>
                <w:szCs w:val="18"/>
              </w:rPr>
              <w:t> 铝螺旋管的生 产及销售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57"/>
        <w:jc w:val="left"/>
      </w:pPr>
      <w:r>
        <w:rPr/>
        <w:t>在合营企业或联营企业的持股比例不同于表决权比例的说明：</w:t>
      </w:r>
    </w:p>
    <w:p>
      <w:pPr>
        <w:pStyle w:val="BodyText"/>
        <w:spacing w:line="240" w:lineRule="auto" w:before="117"/>
        <w:ind w:right="157"/>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）不重要的合营企业和联营企业的汇总财务信息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2,732,653.12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792,252.92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-59,599.80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12,252.92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-59,599.80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12,252.92</w:t>
            </w:r>
          </w:p>
        </w:tc>
      </w:tr>
    </w:tbl>
    <w:p>
      <w:pPr>
        <w:pStyle w:val="BodyText"/>
        <w:spacing w:line="240" w:lineRule="auto" w:before="50"/>
        <w:ind w:right="0"/>
        <w:jc w:val="both"/>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九、与金融工具相关的风险</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
        <w:jc w:val="both"/>
      </w:pPr>
      <w:r>
        <w:rPr/>
        <w:t>本公司的主要金融工具包括股权投资、借款、应收账款、应付账款等，各项金融工具的详细情况说明见本附注六.18相关项 </w:t>
      </w:r>
      <w:r>
        <w:rPr>
          <w:spacing w:val="-2"/>
        </w:rPr>
        <w:t>目。与这些金融工具有关的风险，以及本公司为降低这些风险所采取的风险管理政策如下所述。本公司管理层对这些风险敞</w:t>
      </w:r>
      <w:r>
        <w:rPr>
          <w:spacing w:val="-65"/>
        </w:rPr>
        <w:t> </w:t>
      </w:r>
      <w:r>
        <w:rPr>
          <w:spacing w:val="-65"/>
        </w:rPr>
      </w:r>
      <w:r>
        <w:rPr/>
        <w:t>口进行管理和监控以确保将上述风险控制在限定的范围之内。</w:t>
      </w:r>
    </w:p>
    <w:p>
      <w:pPr>
        <w:spacing w:after="0" w:line="316" w:lineRule="auto"/>
        <w:jc w:val="both"/>
        <w:sectPr>
          <w:pgSz w:w="11910" w:h="16840"/>
          <w:pgMar w:header="907" w:footer="1013" w:top="1100" w:bottom="1200" w:left="1020" w:right="1020"/>
        </w:sectPr>
      </w:pPr>
    </w:p>
    <w:p>
      <w:pPr>
        <w:spacing w:line="240" w:lineRule="auto" w:before="13"/>
        <w:rPr>
          <w:rFonts w:ascii="宋体" w:hAnsi="宋体" w:cs="宋体" w:eastAsia="宋体" w:hint="default"/>
          <w:sz w:val="22"/>
          <w:szCs w:val="22"/>
        </w:rPr>
      </w:pPr>
    </w:p>
    <w:p>
      <w:pPr>
        <w:pStyle w:val="BodyText"/>
        <w:spacing w:line="316" w:lineRule="auto" w:before="44"/>
        <w:ind w:right="0"/>
        <w:jc w:val="left"/>
      </w:pPr>
      <w:r>
        <w:rPr>
          <w:spacing w:val="-2"/>
        </w:rPr>
        <w:t>本公司采用敏感性分析技术分析风险变量的合理、可能变化对当期损益或股东权益可能产生的影响。由于任何风险变量很少</w:t>
      </w:r>
      <w:r>
        <w:rPr>
          <w:spacing w:val="-64"/>
        </w:rPr>
        <w:t> </w:t>
      </w:r>
      <w:r>
        <w:rPr>
          <w:spacing w:val="-64"/>
        </w:rPr>
      </w:r>
      <w:r>
        <w:rPr>
          <w:spacing w:val="-2"/>
        </w:rPr>
        <w:t>孤立地发生变化，而变量之间存在的相关性对某一风险变量的变化的最终影响金额将产生重大作用，因此下述内容是在假设</w:t>
      </w:r>
      <w:r>
        <w:rPr>
          <w:spacing w:val="-64"/>
        </w:rPr>
        <w:t> </w:t>
      </w:r>
      <w:r>
        <w:rPr>
          <w:spacing w:val="-64"/>
        </w:rPr>
      </w:r>
      <w:r>
        <w:rPr/>
        <w:t>每一变量的变化是在独立的情况下进行的。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股东及其其他权益投资者的利益最大化。基于该风险管理目标，本公司风险管理的基本策略是确定和分析本公司所面临的各</w:t>
      </w:r>
      <w:r>
        <w:rPr>
          <w:spacing w:val="-64"/>
        </w:rPr>
        <w:t> </w:t>
      </w:r>
      <w:r>
        <w:rPr>
          <w:spacing w:val="-64"/>
        </w:rPr>
      </w:r>
      <w:r>
        <w:rPr/>
        <w:t>种风险，建立适当的风险承受底线和进行风险管理，并及时可靠地对各种风险进行监督，将风险控制在限定的范围之内。 1、信用风险</w:t>
      </w:r>
    </w:p>
    <w:p>
      <w:pPr>
        <w:pStyle w:val="BodyText"/>
        <w:spacing w:line="316" w:lineRule="auto" w:before="19"/>
        <w:ind w:right="0"/>
        <w:jc w:val="left"/>
      </w:pPr>
      <w:r>
        <w:rPr>
          <w:spacing w:val="-2"/>
        </w:rPr>
        <w:t>2017年12月31日，可能引起本公司财务损失的最大信用风险敞口主要来自于合同另一方未能履行义务而导致本公司金融资产</w:t>
      </w:r>
      <w:r>
        <w:rPr>
          <w:spacing w:val="-60"/>
        </w:rPr>
        <w:t> </w:t>
      </w:r>
      <w:r>
        <w:rPr>
          <w:spacing w:val="-60"/>
        </w:rPr>
      </w:r>
      <w:r>
        <w:rPr/>
        <w:t>产生的损失以及本公司承担的财务担保，具体包括： </w:t>
      </w:r>
      <w:r>
        <w:rPr>
          <w:spacing w:val="-2"/>
        </w:rPr>
        <w:t>为降低信用风险，本公司成立了一个小组负责确定信用额度、进行信用审批，并执行其他监控程序以确保采取必要的措施回</w:t>
      </w:r>
      <w:r>
        <w:rPr>
          <w:spacing w:val="-65"/>
        </w:rPr>
        <w:t> </w:t>
      </w:r>
      <w:r>
        <w:rPr>
          <w:spacing w:val="-65"/>
        </w:rPr>
      </w:r>
      <w:r>
        <w:rPr>
          <w:spacing w:val="-2"/>
        </w:rPr>
        <w:t>收过期债权。此外，本公司于每个资产负债表日审核每一单项应收款的回收情况，以确保就无法回收的款项计提充分的坏账</w:t>
      </w:r>
      <w:r>
        <w:rPr>
          <w:spacing w:val="-65"/>
        </w:rPr>
        <w:t> </w:t>
      </w:r>
      <w:r>
        <w:rPr>
          <w:spacing w:val="-65"/>
        </w:rPr>
      </w:r>
      <w:r>
        <w:rPr/>
        <w:t>准备。因此，本公司管理层认为本公司所承担的信用风险已经大为降低。 本公司的流动资金存放在信用评级较高的银行，故流动资金的信用风险较低。</w:t>
      </w:r>
    </w:p>
    <w:p>
      <w:pPr>
        <w:pStyle w:val="BodyText"/>
        <w:spacing w:line="316" w:lineRule="auto" w:before="19"/>
        <w:ind w:right="0"/>
        <w:jc w:val="left"/>
      </w:pPr>
      <w:r>
        <w:rPr/>
        <w:t>2、流动风险 </w:t>
      </w:r>
      <w:r>
        <w:rPr>
          <w:spacing w:val="-2"/>
        </w:rPr>
        <w:t>管理流动风险时，本公司保持管理层认为充分的现金及现金等价物并对其进行监控，以满足本公司经营需要，并降低现金流</w:t>
      </w:r>
      <w:r>
        <w:rPr>
          <w:spacing w:val="-65"/>
        </w:rPr>
        <w:t> </w:t>
      </w:r>
      <w:r>
        <w:rPr>
          <w:spacing w:val="-65"/>
        </w:rPr>
      </w:r>
      <w:r>
        <w:rPr/>
        <w:t>量波动的影响。本公司管理层对银行借款的使用情况进行监控并确保遵守借款协议。</w:t>
      </w:r>
    </w:p>
    <w:p>
      <w:pPr>
        <w:spacing w:line="240" w:lineRule="auto" w:before="9"/>
        <w:rPr>
          <w:rFonts w:ascii="宋体" w:hAnsi="宋体" w:cs="宋体" w:eastAsia="宋体" w:hint="default"/>
          <w:sz w:val="20"/>
          <w:szCs w:val="20"/>
        </w:rPr>
      </w:pPr>
    </w:p>
    <w:p>
      <w:pPr>
        <w:pStyle w:val="Heading2"/>
        <w:spacing w:line="240" w:lineRule="auto"/>
        <w:ind w:right="157"/>
        <w:jc w:val="left"/>
        <w:rPr>
          <w:b w:val="0"/>
          <w:bCs w:val="0"/>
        </w:rPr>
      </w:pPr>
      <w:r>
        <w:rPr/>
        <w:t>十、关联方及关联交易</w:t>
      </w:r>
      <w:r>
        <w:rPr>
          <w:b w:val="0"/>
          <w:bCs w:val="0"/>
        </w:rPr>
      </w:r>
    </w:p>
    <w:p>
      <w:pPr>
        <w:spacing w:line="240" w:lineRule="auto" w:before="9"/>
        <w:rPr>
          <w:rFonts w:ascii="宋体" w:hAnsi="宋体" w:cs="宋体" w:eastAsia="宋体" w:hint="default"/>
          <w:b/>
          <w:bCs/>
          <w:sz w:val="24"/>
          <w:szCs w:val="24"/>
        </w:rPr>
      </w:pPr>
    </w:p>
    <w:p>
      <w:pPr>
        <w:spacing w:line="544" w:lineRule="auto" w:before="0"/>
        <w:ind w:left="112" w:right="28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4"/>
          <w:sz w:val="18"/>
          <w:szCs w:val="18"/>
        </w:rPr>
        <w:t>本企业子公司的情况详见附注七、</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、在子公司中的权益。。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40" w:lineRule="auto" w:before="51"/>
        <w:ind w:right="1274"/>
        <w:jc w:val="left"/>
      </w:pPr>
      <w:r>
        <w:rPr>
          <w:spacing w:val="-3"/>
        </w:rPr>
        <w:t>本企业重要的合营或联营企业详见附注七、</w:t>
      </w:r>
      <w:r>
        <w:rPr>
          <w:rFonts w:ascii="Times New Roman" w:hAnsi="Times New Roman" w:cs="Times New Roman" w:eastAsia="Times New Roman" w:hint="default"/>
          <w:spacing w:val="-3"/>
        </w:rPr>
        <w:t>2</w:t>
      </w:r>
      <w:r>
        <w:rPr>
          <w:spacing w:val="-3"/>
        </w:rPr>
        <w:t>、在合营企业或联营企业中的权益。。</w:t>
      </w:r>
      <w:r>
        <w:rPr>
          <w:spacing w:val="-70"/>
        </w:rPr>
        <w:t> </w:t>
      </w:r>
      <w:r>
        <w:rPr>
          <w:spacing w:val="-70"/>
        </w:rPr>
      </w:r>
      <w:r>
        <w:rPr/>
        <w:t>本期与本公司发生关联方交易，或前期与本公司发生关联方交易形成余额的其他合营或联营企业情况如下：</w:t>
      </w: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尤洛卡（山东）特高压电气有限公司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本公司的全资子公司尤洛卡（山东）环境工程有限公司持</w:t>
            </w:r>
          </w:p>
          <w:p>
            <w:pPr>
              <w:pStyle w:val="TableParagraph"/>
              <w:spacing w:line="240" w:lineRule="auto" w:before="7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宋体" w:hAnsi="宋体" w:cs="宋体" w:eastAsia="宋体" w:hint="default"/>
                <w:sz w:val="18"/>
                <w:szCs w:val="18"/>
              </w:rPr>
              <w:t>股权</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重要子公司股东、总经理，持本公司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0.78%</w:t>
            </w:r>
            <w:r>
              <w:rPr>
                <w:rFonts w:ascii="宋体" w:hAnsi="宋体" w:cs="宋体" w:eastAsia="宋体" w:hint="default"/>
                <w:sz w:val="18"/>
                <w:szCs w:val="18"/>
              </w:rPr>
              <w:t>的股份</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李巍屹</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公司董事、全资子公司总经理，持本公司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7.42%</w:t>
            </w:r>
            <w:r>
              <w:rPr>
                <w:rFonts w:ascii="宋体" w:hAnsi="宋体" w:cs="宋体" w:eastAsia="宋体" w:hint="default"/>
                <w:sz w:val="18"/>
                <w:szCs w:val="18"/>
              </w:rPr>
              <w:t>的股份</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李巍岩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公司董事、全资子公司副总经理，持本公司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2.51%</w:t>
            </w:r>
            <w:r>
              <w:rPr>
                <w:rFonts w:ascii="宋体" w:hAnsi="宋体" w:cs="宋体" w:eastAsia="宋体" w:hint="default"/>
                <w:sz w:val="18"/>
                <w:szCs w:val="18"/>
              </w:rPr>
              <w:t>的股份</w:t>
            </w:r>
          </w:p>
        </w:tc>
      </w:tr>
    </w:tbl>
    <w:p>
      <w:pPr>
        <w:pStyle w:val="BodyText"/>
        <w:spacing w:line="240" w:lineRule="auto" w:before="51"/>
        <w:ind w:right="157"/>
        <w:jc w:val="left"/>
      </w:pPr>
      <w:r>
        <w:rPr/>
        <w:t>其他说明</w:t>
      </w:r>
    </w:p>
    <w:p>
      <w:pPr>
        <w:spacing w:after="0" w:line="240" w:lineRule="auto"/>
        <w:jc w:val="left"/>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）关联租赁情况</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right="157"/>
        <w:jc w:val="left"/>
      </w:pPr>
      <w:r>
        <w:rPr/>
        <w:t>本公司作为出租方：</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14"/>
              <w:jc w:val="left"/>
              <w:rPr>
                <w:rFonts w:ascii="宋体" w:hAnsi="宋体" w:cs="宋体" w:eastAsia="宋体" w:hint="default"/>
                <w:sz w:val="18"/>
                <w:szCs w:val="18"/>
              </w:rPr>
            </w:pPr>
            <w:r>
              <w:rPr>
                <w:rFonts w:ascii="宋体" w:hAnsi="宋体" w:cs="宋体" w:eastAsia="宋体" w:hint="default"/>
                <w:sz w:val="18"/>
                <w:szCs w:val="18"/>
              </w:rPr>
              <w:t>尤洛卡（山东）特高压电气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71" w:right="0"/>
              <w:jc w:val="left"/>
              <w:rPr>
                <w:rFonts w:ascii="Times New Roman" w:hAnsi="Times New Roman" w:cs="Times New Roman" w:eastAsia="Times New Roman" w:hint="default"/>
                <w:sz w:val="18"/>
                <w:szCs w:val="18"/>
              </w:rPr>
            </w:pPr>
            <w:r>
              <w:rPr>
                <w:rFonts w:ascii="Times New Roman"/>
                <w:sz w:val="18"/>
              </w:rPr>
              <w:t>261,378.38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57"/>
        <w:jc w:val="left"/>
      </w:pPr>
      <w:r>
        <w:rPr/>
        <w:t>本公司作为承租方：</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pStyle w:val="BodyText"/>
        <w:spacing w:line="240" w:lineRule="auto" w:before="49"/>
        <w:ind w:right="157"/>
        <w:jc w:val="left"/>
      </w:pPr>
      <w:r>
        <w:rPr/>
        <w:t>关联租赁情况说明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本公司作为担保方</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r>
        <w:trPr>
          <w:trHeight w:val="495" w:hRule="exact"/>
        </w:trPr>
        <w:tc>
          <w:tcPr>
            <w:tcW w:w="1913"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0"/>
              <w:ind w:left="103" w:right="0"/>
              <w:jc w:val="left"/>
              <w:rPr>
                <w:rFonts w:ascii="宋体" w:hAnsi="宋体" w:cs="宋体" w:eastAsia="宋体" w:hint="default"/>
                <w:sz w:val="18"/>
                <w:szCs w:val="18"/>
              </w:rPr>
            </w:pPr>
            <w:r>
              <w:rPr>
                <w:rFonts w:ascii="宋体" w:hAnsi="宋体" w:cs="宋体" w:eastAsia="宋体" w:hint="default"/>
                <w:sz w:val="18"/>
                <w:szCs w:val="18"/>
              </w:rPr>
              <w:t>富华宇祺在《技术开</w:t>
            </w:r>
          </w:p>
        </w:tc>
        <w:tc>
          <w:tcPr>
            <w:tcW w:w="1914" w:type="dxa"/>
            <w:tcBorders>
              <w:top w:val="single" w:sz="4" w:space="0" w:color="000000"/>
              <w:left w:val="single" w:sz="4" w:space="0" w:color="000000"/>
              <w:bottom w:val="nil" w:sz="6" w:space="0" w:color="auto"/>
              <w:right w:val="single" w:sz="4" w:space="0" w:color="000000"/>
            </w:tcBorders>
          </w:tcPr>
          <w:p>
            <w:pPr/>
          </w:p>
        </w:tc>
      </w:tr>
      <w:tr>
        <w:trPr>
          <w:trHeight w:val="805" w:hRule="exact"/>
        </w:trPr>
        <w:tc>
          <w:tcPr>
            <w:tcW w:w="1913" w:type="dxa"/>
            <w:tcBorders>
              <w:top w:val="nil" w:sz="6" w:space="0" w:color="auto"/>
              <w:left w:val="single" w:sz="4" w:space="0" w:color="000000"/>
              <w:bottom w:val="nil" w:sz="6" w:space="0" w:color="auto"/>
              <w:right w:val="single" w:sz="4" w:space="0" w:color="000000"/>
            </w:tcBorders>
          </w:tcPr>
          <w:p>
            <w:pPr>
              <w:pStyle w:val="TableParagraph"/>
              <w:spacing w:line="316" w:lineRule="auto" w:before="49"/>
              <w:ind w:left="101" w:right="179"/>
              <w:jc w:val="left"/>
              <w:rPr>
                <w:rFonts w:ascii="宋体" w:hAnsi="宋体" w:cs="宋体" w:eastAsia="宋体" w:hint="default"/>
                <w:sz w:val="18"/>
                <w:szCs w:val="18"/>
              </w:rPr>
            </w:pPr>
            <w:r>
              <w:rPr>
                <w:rFonts w:ascii="宋体" w:hAnsi="宋体" w:cs="宋体" w:eastAsia="宋体" w:hint="default"/>
                <w:sz w:val="18"/>
                <w:szCs w:val="18"/>
              </w:rPr>
              <w:t>北京富华宇祺信息技 术有限公司</w:t>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51" w:right="0"/>
              <w:jc w:val="left"/>
              <w:rPr>
                <w:rFonts w:ascii="Arial" w:hAnsi="Arial" w:cs="Arial" w:eastAsia="Arial" w:hint="default"/>
                <w:sz w:val="18"/>
                <w:szCs w:val="18"/>
              </w:rPr>
            </w:pPr>
            <w:r>
              <w:rPr>
                <w:rFonts w:ascii="Arial"/>
                <w:sz w:val="18"/>
              </w:rPr>
              <w:t>21,019,300.00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405" w:lineRule="auto" w:before="61"/>
              <w:ind w:left="103" w:right="179"/>
              <w:jc w:val="left"/>
              <w:rPr>
                <w:rFonts w:ascii="宋体" w:hAnsi="宋体" w:cs="宋体" w:eastAsia="宋体" w:hint="default"/>
                <w:sz w:val="18"/>
                <w:szCs w:val="18"/>
              </w:rPr>
            </w:pPr>
            <w:r>
              <w:rPr>
                <w:rFonts w:ascii="宋体" w:hAnsi="宋体" w:cs="宋体" w:eastAsia="宋体" w:hint="default"/>
                <w:sz w:val="18"/>
                <w:szCs w:val="18"/>
              </w:rPr>
              <w:t>发（委托）合同》项 下的义务履行完毕之</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913"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日止</w:t>
            </w:r>
          </w:p>
        </w:tc>
        <w:tc>
          <w:tcPr>
            <w:tcW w:w="1914"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157"/>
        <w:jc w:val="left"/>
      </w:pPr>
      <w:r>
        <w:rPr/>
        <w:t>本公司作为被担保方</w:t>
      </w:r>
    </w:p>
    <w:p>
      <w:pPr>
        <w:pStyle w:val="BodyText"/>
        <w:spacing w:line="240" w:lineRule="auto" w:before="115"/>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3"/>
        <w:gridCol w:w="1915"/>
        <w:gridCol w:w="1914"/>
        <w:gridCol w:w="1914"/>
        <w:gridCol w:w="1914"/>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862" w:right="139"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49"/>
        <w:ind w:right="157"/>
        <w:jc w:val="left"/>
      </w:pPr>
      <w:r>
        <w:rPr/>
        <w:t>关联担保情况说明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关键管理人员报酬</w:t>
            </w:r>
            <w:r>
              <w:rPr>
                <w:rFonts w:ascii="Times New Roman" w:hAnsi="Times New Roman" w:cs="Times New Roman" w:eastAsia="Times New Roman" w:hint="default"/>
                <w:sz w:val="18"/>
                <w:szCs w:val="18"/>
              </w:rPr>
              <w:t>-</w:t>
            </w:r>
            <w:r>
              <w:rPr>
                <w:rFonts w:ascii="宋体" w:hAnsi="宋体" w:cs="宋体" w:eastAsia="宋体" w:hint="default"/>
                <w:sz w:val="18"/>
                <w:szCs w:val="18"/>
              </w:rPr>
              <w:t>货币形式的薪酬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2,850,207.00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2,482,390.04</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101" w:right="134"/>
              <w:jc w:val="left"/>
              <w:rPr>
                <w:rFonts w:ascii="宋体" w:hAnsi="宋体" w:cs="宋体" w:eastAsia="宋体" w:hint="default"/>
                <w:sz w:val="18"/>
                <w:szCs w:val="18"/>
              </w:rPr>
            </w:pPr>
            <w:r>
              <w:rPr>
                <w:rFonts w:ascii="宋体" w:hAnsi="宋体" w:cs="宋体" w:eastAsia="宋体" w:hint="default"/>
                <w:sz w:val="18"/>
                <w:szCs w:val="18"/>
              </w:rPr>
              <w:t>关键管理人员报酬</w:t>
            </w:r>
            <w:r>
              <w:rPr>
                <w:rFonts w:ascii="Times New Roman" w:hAnsi="Times New Roman" w:cs="Times New Roman" w:eastAsia="Times New Roman" w:hint="default"/>
                <w:sz w:val="18"/>
                <w:szCs w:val="18"/>
              </w:rPr>
              <w:t>-</w:t>
            </w:r>
            <w:r>
              <w:rPr>
                <w:rFonts w:ascii="宋体" w:hAnsi="宋体" w:cs="宋体" w:eastAsia="宋体" w:hint="default"/>
                <w:sz w:val="18"/>
                <w:szCs w:val="18"/>
              </w:rPr>
              <w:t>股权激励—限制性 股票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4,191,200.00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157"/>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5"/>
        <w:gridCol w:w="1594"/>
        <w:gridCol w:w="1594"/>
        <w:gridCol w:w="1594"/>
        <w:gridCol w:w="1594"/>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7" w:hRule="exact"/>
        </w:trPr>
        <w:tc>
          <w:tcPr>
            <w:tcW w:w="1595"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pacing w:val="-8"/>
                <w:sz w:val="18"/>
                <w:szCs w:val="18"/>
              </w:rPr>
              <w:t>尤洛卡（山东）特</w:t>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r>
      <w:tr>
        <w:trPr>
          <w:trHeight w:val="317" w:hRule="exact"/>
        </w:trPr>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高压电气有限公</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761" w:right="0"/>
              <w:jc w:val="left"/>
              <w:rPr>
                <w:rFonts w:ascii="Times New Roman" w:hAnsi="Times New Roman" w:cs="Times New Roman" w:eastAsia="Times New Roman" w:hint="default"/>
                <w:sz w:val="18"/>
                <w:szCs w:val="18"/>
              </w:rPr>
            </w:pPr>
            <w:r>
              <w:rPr>
                <w:rFonts w:ascii="Times New Roman"/>
                <w:sz w:val="18"/>
              </w:rPr>
              <w:t>24,049.03</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left="850" w:right="0"/>
              <w:jc w:val="left"/>
              <w:rPr>
                <w:rFonts w:ascii="Times New Roman" w:hAnsi="Times New Roman" w:cs="Times New Roman" w:eastAsia="Times New Roman" w:hint="default"/>
                <w:sz w:val="18"/>
                <w:szCs w:val="18"/>
              </w:rPr>
            </w:pPr>
            <w:r>
              <w:rPr>
                <w:rFonts w:ascii="Times New Roman"/>
                <w:sz w:val="18"/>
              </w:rPr>
              <w:t>1,202.45</w:t>
            </w: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53" w:hRule="exact"/>
        </w:trPr>
        <w:tc>
          <w:tcPr>
            <w:tcW w:w="1595"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4,653,390.40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田斌</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337,370.80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57"/>
        <w:jc w:val="left"/>
        <w:rPr>
          <w:b w:val="0"/>
          <w:bCs w:val="0"/>
        </w:rPr>
      </w:pPr>
      <w:r>
        <w:rPr/>
        <w:t>十一、股份支付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 适用 □ 不适用</w:t>
      </w:r>
    </w:p>
    <w:p>
      <w:pPr>
        <w:pStyle w:val="BodyText"/>
        <w:spacing w:line="240" w:lineRule="auto" w:before="117"/>
        <w:ind w:left="0" w:right="11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454"/>
        <w:gridCol w:w="4114"/>
      </w:tblGrid>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35,786,400.00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5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58" w:hRule="exact"/>
        </w:trPr>
        <w:tc>
          <w:tcPr>
            <w:tcW w:w="5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公司限制性股票激励计划本期授予激励对象的授</w:t>
            </w:r>
          </w:p>
        </w:tc>
      </w:tr>
      <w:tr>
        <w:trPr>
          <w:trHeight w:val="316"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予日为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29  </w:t>
            </w:r>
            <w:r>
              <w:rPr>
                <w:rFonts w:ascii="宋体" w:hAnsi="宋体" w:cs="宋体" w:eastAsia="宋体" w:hint="default"/>
                <w:sz w:val="18"/>
                <w:szCs w:val="18"/>
              </w:rPr>
              <w:t>日，授予数量</w:t>
            </w:r>
            <w:r>
              <w:rPr>
                <w:rFonts w:ascii="宋体" w:hAnsi="宋体" w:cs="宋体" w:eastAsia="宋体" w:hint="default"/>
                <w:spacing w:val="-12"/>
                <w:sz w:val="18"/>
                <w:szCs w:val="18"/>
              </w:rPr>
              <w:t> </w:t>
            </w:r>
            <w:r>
              <w:rPr>
                <w:rFonts w:ascii="Times New Roman" w:hAnsi="Times New Roman" w:cs="Times New Roman" w:eastAsia="Times New Roman" w:hint="default"/>
                <w:sz w:val="18"/>
                <w:szCs w:val="18"/>
              </w:rPr>
              <w:t>888.00</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宋体" w:hAnsi="宋体" w:cs="宋体" w:eastAsia="宋体" w:hint="default"/>
                <w:spacing w:val="-5"/>
                <w:sz w:val="18"/>
                <w:szCs w:val="18"/>
              </w:rPr>
              <w:t>万股，授予价格为 </w:t>
            </w:r>
            <w:r>
              <w:rPr>
                <w:rFonts w:ascii="Times New Roman" w:hAnsi="Times New Roman" w:cs="Times New Roman" w:eastAsia="Times New Roman" w:hint="default"/>
                <w:sz w:val="18"/>
                <w:szCs w:val="18"/>
              </w:rPr>
              <w:t>4.03 </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股，本次限制性股票计</w:t>
            </w:r>
          </w:p>
        </w:tc>
      </w:tr>
      <w:tr>
        <w:trPr>
          <w:trHeight w:val="620"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300" w:lineRule="auto" w:before="6"/>
              <w:ind w:left="103" w:right="130"/>
              <w:jc w:val="left"/>
              <w:rPr>
                <w:rFonts w:ascii="宋体" w:hAnsi="宋体" w:cs="宋体" w:eastAsia="宋体" w:hint="default"/>
                <w:sz w:val="18"/>
                <w:szCs w:val="18"/>
              </w:rPr>
            </w:pPr>
            <w:r>
              <w:rPr>
                <w:rFonts w:ascii="宋体" w:hAnsi="宋体" w:cs="宋体" w:eastAsia="宋体" w:hint="default"/>
                <w:sz w:val="18"/>
                <w:szCs w:val="18"/>
              </w:rPr>
              <w:t>划的有效期为自限制性股票授予日起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年，若达 到计划规定的解锁条件，激励对象分三次申请解</w:t>
            </w:r>
          </w:p>
        </w:tc>
      </w:tr>
      <w:tr>
        <w:trPr>
          <w:trHeight w:val="316"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pacing w:val="-3"/>
                <w:sz w:val="18"/>
                <w:szCs w:val="18"/>
              </w:rPr>
              <w:t>锁，分别自首次授予日起 </w:t>
            </w:r>
            <w:r>
              <w:rPr>
                <w:rFonts w:ascii="Times New Roman" w:hAnsi="Times New Roman" w:cs="Times New Roman" w:eastAsia="Times New Roman" w:hint="default"/>
                <w:sz w:val="18"/>
                <w:szCs w:val="18"/>
              </w:rPr>
              <w:t>12  </w:t>
            </w:r>
            <w:r>
              <w:rPr>
                <w:rFonts w:ascii="宋体" w:hAnsi="宋体" w:cs="宋体" w:eastAsia="宋体" w:hint="default"/>
                <w:spacing w:val="-6"/>
                <w:sz w:val="18"/>
                <w:szCs w:val="18"/>
              </w:rPr>
              <w:t>个月后、</w:t>
            </w:r>
            <w:r>
              <w:rPr>
                <w:rFonts w:ascii="Times New Roman" w:hAnsi="Times New Roman" w:cs="Times New Roman" w:eastAsia="Times New Roman" w:hint="default"/>
                <w:spacing w:val="-6"/>
                <w:sz w:val="18"/>
                <w:szCs w:val="18"/>
              </w:rPr>
              <w:t>24 </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个月后、</w:t>
            </w:r>
          </w:p>
        </w:tc>
      </w:tr>
      <w:tr>
        <w:trPr>
          <w:trHeight w:val="312" w:hRule="exact"/>
        </w:trPr>
        <w:tc>
          <w:tcPr>
            <w:tcW w:w="5454" w:type="dxa"/>
            <w:tcBorders>
              <w:top w:val="nil" w:sz="6" w:space="0" w:color="auto"/>
              <w:left w:val="single" w:sz="4" w:space="0" w:color="000000"/>
              <w:bottom w:val="nil" w:sz="6" w:space="0" w:color="auto"/>
              <w:right w:val="single" w:sz="4" w:space="0" w:color="000000"/>
            </w:tcBorders>
            <w:shd w:val="clear" w:color="auto" w:fill="D2D2D2"/>
          </w:tcPr>
          <w:p>
            <w:pPr/>
          </w:p>
        </w:tc>
        <w:tc>
          <w:tcPr>
            <w:tcW w:w="411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个月后各申请解锁授予限制性股票总量的</w:t>
            </w:r>
          </w:p>
        </w:tc>
      </w:tr>
      <w:tr>
        <w:trPr>
          <w:trHeight w:val="352" w:hRule="exact"/>
        </w:trPr>
        <w:tc>
          <w:tcPr>
            <w:tcW w:w="5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41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40%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bl>
    <w:p>
      <w:pPr>
        <w:pStyle w:val="BodyText"/>
        <w:spacing w:line="240" w:lineRule="auto" w:before="50"/>
        <w:ind w:right="157"/>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 适用 □ 不适用</w:t>
      </w:r>
    </w:p>
    <w:p>
      <w:pPr>
        <w:pStyle w:val="BodyText"/>
        <w:spacing w:line="240" w:lineRule="auto" w:before="115"/>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根据布莱克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斯科尔模型来计算期权的理论价值。</w:t>
            </w:r>
          </w:p>
        </w:tc>
      </w:tr>
      <w:tr>
        <w:trPr>
          <w:trHeight w:val="1024"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1"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3" w:right="149"/>
              <w:jc w:val="both"/>
              <w:rPr>
                <w:rFonts w:ascii="宋体" w:hAnsi="宋体" w:cs="宋体" w:eastAsia="宋体" w:hint="default"/>
                <w:sz w:val="18"/>
                <w:szCs w:val="18"/>
              </w:rPr>
            </w:pPr>
            <w:r>
              <w:rPr>
                <w:rFonts w:ascii="宋体" w:hAnsi="宋体" w:cs="宋体" w:eastAsia="宋体" w:hint="default"/>
                <w:sz w:val="18"/>
                <w:szCs w:val="18"/>
              </w:rPr>
              <w:t>根据最新取得的可行权职工人数变动情况进行统计，业 绩考核目标预计能达到可行权条件，故预计可行权权益 工具数量的最佳估计为 </w:t>
            </w:r>
            <w:r>
              <w:rPr>
                <w:rFonts w:ascii="Times New Roman" w:hAnsi="Times New Roman" w:cs="Times New Roman" w:eastAsia="Times New Roman" w:hint="default"/>
                <w:sz w:val="18"/>
                <w:szCs w:val="18"/>
              </w:rPr>
              <w:t>888.00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万股。</w:t>
            </w:r>
          </w:p>
        </w:tc>
      </w:tr>
    </w:tbl>
    <w:p>
      <w:pPr>
        <w:spacing w:after="0" w:line="316" w:lineRule="auto"/>
        <w:jc w:val="both"/>
        <w:rPr>
          <w:rFonts w:ascii="宋体" w:hAnsi="宋体" w:cs="宋体" w:eastAsia="宋体" w:hint="default"/>
          <w:sz w:val="18"/>
          <w:szCs w:val="18"/>
        </w:rPr>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9,054,100.00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572,100.00</w:t>
            </w:r>
          </w:p>
        </w:tc>
      </w:tr>
    </w:tbl>
    <w:p>
      <w:pPr>
        <w:pStyle w:val="BodyText"/>
        <w:spacing w:line="240" w:lineRule="auto" w:before="51"/>
        <w:ind w:right="94"/>
        <w:jc w:val="left"/>
      </w:pPr>
      <w:r>
        <w:rPr/>
        <w:t>其他说明</w:t>
      </w:r>
    </w:p>
    <w:p>
      <w:pPr>
        <w:spacing w:line="602" w:lineRule="exact" w:before="126"/>
        <w:ind w:left="112" w:right="7404" w:firstLine="0"/>
        <w:jc w:val="left"/>
        <w:rPr>
          <w:rFonts w:ascii="宋体" w:hAnsi="宋体" w:cs="宋体" w:eastAsia="宋体" w:hint="default"/>
          <w:sz w:val="18"/>
          <w:szCs w:val="18"/>
        </w:rPr>
      </w:pPr>
      <w:r>
        <w:rPr>
          <w:rFonts w:ascii="宋体" w:hAnsi="宋体" w:cs="宋体" w:eastAsia="宋体" w:hint="default"/>
          <w:b/>
          <w:bCs/>
          <w:sz w:val="24"/>
          <w:szCs w:val="24"/>
        </w:rPr>
        <w:t>十二、承诺及或有事项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316" w:lineRule="auto" w:before="19"/>
        <w:ind w:right="89"/>
        <w:jc w:val="left"/>
      </w:pPr>
      <w:r>
        <w:rPr/>
        <w:t>为促进公司在交通通信业务、军工通信业务及能源通信业务业务上的发展，公司以自有资金人民币 7,000.00</w:t>
      </w:r>
      <w:r>
        <w:rPr>
          <w:spacing w:val="-56"/>
        </w:rPr>
        <w:t> </w:t>
      </w:r>
      <w:r>
        <w:rPr/>
        <w:t>万元对控股子</w:t>
      </w:r>
      <w:r>
        <w:rPr/>
        <w:t> 公司北京富华宇祺信息技术有限公司（ 以下简称“ 富华宇祺"）增资。增资完成后，</w:t>
      </w:r>
      <w:r>
        <w:rPr>
          <w:spacing w:val="-3"/>
        </w:rPr>
        <w:t> </w:t>
      </w:r>
      <w:r>
        <w:rPr/>
        <w:t>富华宇祺的注册资本将由人民币</w:t>
      </w:r>
      <w:r>
        <w:rPr/>
        <w:t> </w:t>
      </w:r>
      <w:r>
        <w:rPr>
          <w:spacing w:val="-1"/>
        </w:rPr>
        <w:t>2,000.00</w:t>
      </w:r>
      <w:r>
        <w:rPr>
          <w:spacing w:val="8"/>
        </w:rPr>
        <w:t> </w:t>
      </w:r>
      <w:r>
        <w:rPr/>
        <w:t>万元增至人民币</w:t>
      </w:r>
      <w:r>
        <w:rPr>
          <w:spacing w:val="6"/>
        </w:rPr>
        <w:t> </w:t>
      </w:r>
      <w:r>
        <w:rPr>
          <w:spacing w:val="-1"/>
        </w:rPr>
        <w:t>2,598.2906</w:t>
      </w:r>
      <w:r>
        <w:rPr>
          <w:spacing w:val="8"/>
        </w:rPr>
        <w:t> </w:t>
      </w:r>
      <w:r>
        <w:rPr>
          <w:spacing w:val="-11"/>
        </w:rPr>
        <w:t>万元，公司持有其</w:t>
      </w:r>
      <w:r>
        <w:rPr>
          <w:spacing w:val="9"/>
        </w:rPr>
        <w:t> </w:t>
      </w:r>
      <w:r>
        <w:rPr>
          <w:spacing w:val="-1"/>
        </w:rPr>
        <w:t>63.99%的股权，少数股东田斌等五人持有富华宇祺</w:t>
      </w:r>
      <w:r>
        <w:rPr>
          <w:spacing w:val="9"/>
        </w:rPr>
        <w:t> </w:t>
      </w:r>
      <w:r>
        <w:rPr>
          <w:spacing w:val="-1"/>
        </w:rPr>
        <w:t>36.01%股权，</w:t>
      </w:r>
      <w:r>
        <w:rPr>
          <w:spacing w:val="-88"/>
        </w:rPr>
        <w:t> </w:t>
      </w:r>
      <w:r>
        <w:rPr>
          <w:spacing w:val="-88"/>
        </w:rPr>
      </w:r>
      <w:r>
        <w:rPr/>
        <w:t>田斌等人放弃本次增资享有的优先认购权。</w:t>
      </w:r>
      <w:r>
        <w:rPr>
          <w:spacing w:val="-15"/>
        </w:rPr>
        <w:t> </w:t>
      </w:r>
      <w:r>
        <w:rPr>
          <w:spacing w:val="-2"/>
        </w:rPr>
        <w:t>本次增资款主要是用于补充富华宇祺生产流动资金，提升富华宇祺的资本实力，</w:t>
      </w:r>
      <w:r>
        <w:rPr>
          <w:spacing w:val="-86"/>
        </w:rPr>
        <w:t> </w:t>
      </w:r>
      <w:r>
        <w:rPr>
          <w:spacing w:val="-86"/>
        </w:rPr>
      </w:r>
      <w:r>
        <w:rPr/>
        <w:t>扩大生产规模，进一步开拓通信业务，为公司带来利润增长点。2017年11月8日召开的第四届董事会2017年第六次会议审议</w:t>
      </w:r>
      <w:r>
        <w:rPr/>
        <w:t> 通过《 </w:t>
      </w:r>
      <w:r>
        <w:rPr>
          <w:spacing w:val="-4"/>
        </w:rPr>
        <w:t>关于对控股子公司北京富华宇祺信息技术有限公司增资的议案》。</w:t>
      </w:r>
      <w:r>
        <w:rPr>
          <w:spacing w:val="-65"/>
        </w:rPr>
        <w:t> </w:t>
      </w:r>
      <w:r>
        <w:rPr>
          <w:spacing w:val="-65"/>
        </w:rPr>
      </w:r>
      <w:r>
        <w:rPr/>
        <w:t>2018年3月31日本公司向富华宇祺支付投资款7,000.00万元。</w:t>
      </w:r>
    </w:p>
    <w:p>
      <w:pPr>
        <w:spacing w:line="240" w:lineRule="auto" w:before="11"/>
        <w:rPr>
          <w:rFonts w:ascii="宋体" w:hAnsi="宋体" w:cs="宋体" w:eastAsia="宋体" w:hint="default"/>
          <w:sz w:val="20"/>
          <w:szCs w:val="20"/>
        </w:rPr>
      </w:pPr>
    </w:p>
    <w:p>
      <w:pPr>
        <w:pStyle w:val="Heading2"/>
        <w:spacing w:line="240" w:lineRule="auto"/>
        <w:ind w:right="94"/>
        <w:jc w:val="left"/>
        <w:rPr>
          <w:b w:val="0"/>
          <w:bCs w:val="0"/>
        </w:rPr>
      </w:pPr>
      <w:r>
        <w:rPr/>
        <w:t>十三、资产负债表日后事项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66,927,925.50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2"/>
        <w:rPr>
          <w:rFonts w:ascii="宋体" w:hAnsi="宋体" w:cs="宋体" w:eastAsia="宋体" w:hint="default"/>
          <w:sz w:val="18"/>
          <w:szCs w:val="18"/>
        </w:rPr>
      </w:pPr>
    </w:p>
    <w:p>
      <w:pPr>
        <w:pStyle w:val="Heading2"/>
        <w:spacing w:line="240" w:lineRule="auto" w:before="26"/>
        <w:ind w:right="94"/>
        <w:jc w:val="left"/>
        <w:rPr>
          <w:b w:val="0"/>
          <w:bCs w:val="0"/>
        </w:rPr>
      </w:pPr>
      <w:r>
        <w:rPr/>
        <w:t>十四、其他重要事项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4"/>
        <w:jc w:val="left"/>
        <w:rPr>
          <w:b w:val="0"/>
          <w:bCs w:val="0"/>
        </w:rPr>
      </w:pPr>
      <w:r>
        <w:rPr>
          <w:rFonts w:ascii="Times New Roman" w:hAnsi="Times New Roman" w:cs="Times New Roman" w:eastAsia="Times New Roman" w:hint="default"/>
        </w:rPr>
        <w:t>1</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84"/>
        <w:jc w:val="left"/>
      </w:pPr>
      <w:r>
        <w:rPr>
          <w:spacing w:val="-2"/>
        </w:rPr>
        <w:t>根据公司与长春师凯科技产业有限责任公司（简称“师凯科技”）各股东签署的《利润补偿协议》及补充协议，交易对方李</w:t>
      </w:r>
      <w:r>
        <w:rPr>
          <w:spacing w:val="-71"/>
        </w:rPr>
        <w:t> </w:t>
      </w:r>
      <w:r>
        <w:rPr>
          <w:spacing w:val="-71"/>
        </w:rPr>
      </w:r>
      <w:r>
        <w:rPr>
          <w:spacing w:val="-2"/>
        </w:rPr>
        <w:t>巍屹等人承诺：师凯科技2015年至2018年实现的净利润合计不低于26,900万元，其中2015年度、2016年度、2017年度和2018</w:t>
      </w:r>
      <w:r>
        <w:rPr>
          <w:spacing w:val="-49"/>
        </w:rPr>
        <w:t> </w:t>
      </w:r>
      <w:r>
        <w:rPr>
          <w:spacing w:val="-49"/>
        </w:rPr>
      </w:r>
      <w:r>
        <w:rPr/>
        <w:t>年度分别计划实现5,000万元、6,000万元、7,300万元和8,600万元以上。</w:t>
      </w:r>
      <w:r>
        <w:rPr/>
        <w:t> </w:t>
      </w:r>
      <w:r>
        <w:rPr>
          <w:spacing w:val="-2"/>
        </w:rPr>
        <w:t>业绩承诺期满之后，如标的公司累计实现的净利润数低于承诺期合计承诺净利润数，则交易对方应以连带责任方式承担补偿</w:t>
      </w:r>
      <w:r>
        <w:rPr>
          <w:spacing w:val="-64"/>
        </w:rPr>
        <w:t> </w:t>
      </w:r>
      <w:r>
        <w:rPr>
          <w:spacing w:val="-64"/>
        </w:rPr>
      </w:r>
      <w:r>
        <w:rPr>
          <w:spacing w:val="-2"/>
        </w:rPr>
        <w:t>责任，交易对方内部各自应承担的补偿金额按其各自转让标的资产的股权比例确定。交易对方应先以股份补偿方式补偿上市</w:t>
      </w:r>
      <w:r>
        <w:rPr>
          <w:spacing w:val="-64"/>
        </w:rPr>
        <w:t> </w:t>
      </w:r>
      <w:r>
        <w:rPr>
          <w:spacing w:val="-64"/>
        </w:rPr>
      </w:r>
      <w:r>
        <w:rPr>
          <w:spacing w:val="-2"/>
        </w:rPr>
        <w:t>公司，承诺期满由上市公司按一次性回购应补偿股份并注销的原则执行，股份补偿方式不足以补偿上市公司的，应以现金方</w:t>
      </w:r>
      <w:r>
        <w:rPr>
          <w:spacing w:val="-65"/>
        </w:rPr>
        <w:t> </w:t>
      </w:r>
      <w:r>
        <w:rPr>
          <w:spacing w:val="-65"/>
        </w:rPr>
      </w:r>
      <w:r>
        <w:rPr/>
        <w:t>式补足。 </w:t>
      </w:r>
      <w:r>
        <w:rPr>
          <w:spacing w:val="-2"/>
        </w:rPr>
        <w:t>如师凯科技在全部承诺年度内累计实现的扣除非经常损益后归属于母公司的净利润超过全部承诺年度业绩承诺金额总和，则</w:t>
      </w:r>
      <w:r>
        <w:rPr>
          <w:spacing w:val="-64"/>
        </w:rPr>
        <w:t> </w:t>
      </w:r>
      <w:r>
        <w:rPr>
          <w:spacing w:val="-64"/>
        </w:rPr>
      </w:r>
      <w:r>
        <w:rPr/>
        <w:t>上市公司应在承诺期满结束并经合格审计机构对标的公司审计后，按照累计实现净利润超出承诺净利润总和部分的30%金额</w:t>
      </w:r>
    </w:p>
    <w:p>
      <w:pPr>
        <w:pStyle w:val="BodyText"/>
        <w:spacing w:line="316" w:lineRule="auto" w:before="19"/>
        <w:ind w:right="94"/>
        <w:jc w:val="left"/>
      </w:pPr>
      <w:r>
        <w:rPr>
          <w:spacing w:val="-2"/>
        </w:rPr>
        <w:t>（但不超过本次重组交易作价的20%，即1.5亿元）作为奖励对价支付给资产转让方中届时仍在师凯科技任职的人员及公司高</w:t>
      </w:r>
      <w:r>
        <w:rPr>
          <w:spacing w:val="-61"/>
        </w:rPr>
        <w:t> </w:t>
      </w:r>
      <w:r>
        <w:rPr>
          <w:spacing w:val="-61"/>
        </w:rPr>
      </w:r>
      <w:r>
        <w:rPr/>
        <w:t>管和核心技术人员，具体分配方法由双方另行约定。</w:t>
      </w:r>
    </w:p>
    <w:p>
      <w:pPr>
        <w:spacing w:after="0" w:line="316" w:lineRule="auto"/>
        <w:jc w:val="left"/>
        <w:sectPr>
          <w:pgSz w:w="11910" w:h="16840"/>
          <w:pgMar w:header="907" w:footer="1013" w:top="1100" w:bottom="1200" w:left="1020" w:right="940"/>
        </w:sectPr>
      </w:pPr>
    </w:p>
    <w:p>
      <w:pPr>
        <w:spacing w:line="240" w:lineRule="auto" w:before="9"/>
        <w:rPr>
          <w:rFonts w:ascii="宋体" w:hAnsi="宋体" w:cs="宋体" w:eastAsia="宋体" w:hint="default"/>
          <w:sz w:val="20"/>
          <w:szCs w:val="20"/>
        </w:rPr>
      </w:pPr>
    </w:p>
    <w:p>
      <w:pPr>
        <w:pStyle w:val="Heading2"/>
        <w:spacing w:line="240" w:lineRule="auto" w:before="26"/>
        <w:ind w:right="157"/>
        <w:jc w:val="left"/>
        <w:rPr>
          <w:b w:val="0"/>
          <w:bCs w:val="0"/>
        </w:rPr>
      </w:pPr>
      <w:r>
        <w:rPr/>
        <w:t>十五、母公司财务报表主要项目注释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spacing w:before="0"/>
        <w:ind w:left="112" w:right="15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130,25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9,445.9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35,633,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748.29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27.36</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94,625,</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697.64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36" w:right="0"/>
              <w:jc w:val="lef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38,435,</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063.89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101,778,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055.47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130,25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9,445.9</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35,633,</w:t>
            </w:r>
          </w:p>
          <w:p>
            <w:pPr>
              <w:pStyle w:val="TableParagraph"/>
              <w:spacing w:line="240" w:lineRule="auto" w:before="105"/>
              <w:ind w:left="154" w:right="0"/>
              <w:jc w:val="left"/>
              <w:rPr>
                <w:rFonts w:ascii="Times New Roman" w:hAnsi="Times New Roman" w:cs="Times New Roman" w:eastAsia="Times New Roman" w:hint="default"/>
                <w:sz w:val="18"/>
                <w:szCs w:val="18"/>
              </w:rPr>
            </w:pPr>
            <w:r>
              <w:rPr>
                <w:rFonts w:ascii="Times New Roman"/>
                <w:sz w:val="18"/>
              </w:rPr>
              <w:t>748.29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27.36</w:t>
            </w:r>
          </w:p>
          <w:p>
            <w:pPr>
              <w:pStyle w:val="TableParagraph"/>
              <w:spacing w:line="240" w:lineRule="auto" w:before="105"/>
              <w:ind w:left="50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94,625,</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697.64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left"/>
              <w:rPr>
                <w:rFonts w:ascii="Times New Roman" w:hAnsi="Times New Roman" w:cs="Times New Roman" w:eastAsia="Times New Roman" w:hint="default"/>
                <w:sz w:val="18"/>
                <w:szCs w:val="18"/>
              </w:rPr>
            </w:pPr>
            <w:r>
              <w:rPr>
                <w:rFonts w:ascii="Times New Roman"/>
                <w:sz w:val="18"/>
              </w:rPr>
              <w:t>140,2</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13,11</w:t>
            </w:r>
          </w:p>
          <w:p>
            <w:pPr>
              <w:pStyle w:val="TableParagraph"/>
              <w:spacing w:line="240" w:lineRule="auto" w:before="105"/>
              <w:ind w:left="225" w:right="0"/>
              <w:jc w:val="left"/>
              <w:rPr>
                <w:rFonts w:ascii="Times New Roman" w:hAnsi="Times New Roman" w:cs="Times New Roman" w:eastAsia="Times New Roman" w:hint="default"/>
                <w:sz w:val="18"/>
                <w:szCs w:val="18"/>
              </w:rPr>
            </w:pPr>
            <w:r>
              <w:rPr>
                <w:rFonts w:ascii="Times New Roman"/>
                <w:sz w:val="18"/>
              </w:rPr>
              <w:t>9.36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38,435,</w:t>
            </w:r>
          </w:p>
          <w:p>
            <w:pPr>
              <w:pStyle w:val="TableParagraph"/>
              <w:spacing w:line="240" w:lineRule="auto" w:before="105"/>
              <w:ind w:left="204" w:right="0"/>
              <w:jc w:val="left"/>
              <w:rPr>
                <w:rFonts w:ascii="Times New Roman" w:hAnsi="Times New Roman" w:cs="Times New Roman" w:eastAsia="Times New Roman" w:hint="default"/>
                <w:sz w:val="18"/>
                <w:szCs w:val="18"/>
              </w:rPr>
            </w:pPr>
            <w:r>
              <w:rPr>
                <w:rFonts w:ascii="Times New Roman"/>
                <w:sz w:val="18"/>
              </w:rPr>
              <w:t>063.89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27.41%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101,778,</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055.47</w:t>
            </w:r>
          </w:p>
        </w:tc>
      </w:tr>
    </w:tbl>
    <w:p>
      <w:pPr>
        <w:spacing w:after="0" w:line="240" w:lineRule="auto"/>
        <w:jc w:val="center"/>
        <w:rPr>
          <w:rFonts w:ascii="Times New Roman" w:hAnsi="Times New Roman" w:cs="Times New Roman" w:eastAsia="Times New Roman" w:hint="default"/>
          <w:sz w:val="18"/>
          <w:szCs w:val="18"/>
        </w:rPr>
        <w:sectPr>
          <w:pgSz w:w="11910" w:h="16840"/>
          <w:pgMar w:header="907" w:footer="1013" w:top="1100" w:bottom="1200" w:left="1020" w:right="1020"/>
        </w:sectPr>
      </w:pPr>
    </w:p>
    <w:p>
      <w:pPr>
        <w:pStyle w:val="BodyText"/>
        <w:spacing w:line="240" w:lineRule="auto" w:before="50"/>
        <w:ind w:right="-20"/>
        <w:jc w:val="left"/>
      </w:pPr>
      <w:r>
        <w:rPr/>
        <w:t>期末单项金额重大并单项计提坏账准备的应收账款：</w:t>
      </w:r>
    </w:p>
    <w:p>
      <w:pPr>
        <w:pStyle w:val="BodyText"/>
        <w:spacing w:line="357" w:lineRule="auto" w:before="117"/>
        <w:ind w:right="160"/>
        <w:jc w:val="left"/>
      </w:pPr>
      <w:r>
        <w:rPr/>
        <w:t>□ 适用 √ 不适用 组合中，按账龄分析法计提坏账准备的应收账款：</w:t>
      </w:r>
    </w:p>
    <w:p>
      <w:pPr>
        <w:pStyle w:val="BodyText"/>
        <w:spacing w:line="240" w:lineRule="auto" w:before="29"/>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4253" w:space="4576"/>
            <w:col w:w="104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61,696,782.70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3,084,839.14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61,696,782.70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3,084,839.14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26,916,443.87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2,691,644.39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16,627,792.28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4,988,337.68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24,868,927.08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24,868,927.08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9,122,136.50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9,122,136.50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10,236,155.61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10,236,155.61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5,510,634.97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5,510,634.97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130,109,945.93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35,633,748.29</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0"/>
        <w:ind w:right="5414"/>
        <w:jc w:val="left"/>
      </w:pPr>
      <w:r>
        <w:rPr/>
        <w:t>确定该组合依据的说明： 组合中，采用余额百分比法计提坏账准备的应收账款：</w:t>
      </w:r>
    </w:p>
    <w:p>
      <w:pPr>
        <w:pStyle w:val="BodyText"/>
        <w:spacing w:line="360" w:lineRule="auto" w:before="25"/>
        <w:ind w:right="5774"/>
        <w:jc w:val="left"/>
      </w:pPr>
      <w:r>
        <w:rPr/>
        <w:t>□ 适用 √ 不适用 组合中，采用其他方法计提坏账准备的应收账款：</w:t>
      </w:r>
    </w:p>
    <w:p>
      <w:pPr>
        <w:spacing w:after="0" w:line="360" w:lineRule="auto"/>
        <w:jc w:val="left"/>
        <w:sectPr>
          <w:type w:val="continuous"/>
          <w:pgSz w:w="11910" w:h="16840"/>
          <w:pgMar w:top="1100" w:bottom="280" w:left="1020" w:right="1020"/>
        </w:sectPr>
      </w:pPr>
    </w:p>
    <w:p>
      <w:pPr>
        <w:spacing w:line="240" w:lineRule="auto" w:before="10"/>
        <w:rPr>
          <w:rFonts w:ascii="宋体" w:hAnsi="宋体" w:cs="宋体" w:eastAsia="宋体" w:hint="default"/>
          <w:sz w:val="21"/>
          <w:szCs w:val="21"/>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44"/>
          <w:pgSz w:w="11910" w:h="16840"/>
          <w:pgMar w:header="907" w:footer="1013" w:top="1100" w:bottom="1200" w:left="1020" w:right="940"/>
        </w:sectPr>
      </w:pPr>
    </w:p>
    <w:p>
      <w:pPr>
        <w:pStyle w:val="BodyText"/>
        <w:spacing w:line="340" w:lineRule="auto" w:before="44"/>
        <w:ind w:right="-10"/>
        <w:jc w:val="left"/>
      </w:pPr>
      <w:r>
        <w:rPr/>
        <w:t>本期计提坏账准备金额</w:t>
      </w:r>
      <w:r>
        <w:rPr>
          <w:rFonts w:ascii="Times New Roman" w:hAnsi="Times New Roman" w:cs="Times New Roman" w:eastAsia="Times New Roman" w:hint="default"/>
        </w:rPr>
        <w:t>-2,801,315.60</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940"/>
          <w:cols w:num="2" w:equalWidth="0">
            <w:col w:w="6428" w:space="2402"/>
            <w:col w:w="112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94"/>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4"/>
        <w:jc w:val="left"/>
      </w:pPr>
      <w:r>
        <w:rPr>
          <w:spacing w:val="-2"/>
        </w:rPr>
        <w:t>本公司本年按欠款方归集的年末余额前五名应收账款汇总金额41,971,576.45元，占应收账款年末余额合计数的比例32.22%，</w:t>
      </w:r>
      <w:r>
        <w:rPr>
          <w:spacing w:val="-52"/>
        </w:rPr>
        <w:t> </w:t>
      </w:r>
      <w:r>
        <w:rPr>
          <w:spacing w:val="-52"/>
        </w:rPr>
      </w:r>
      <w:r>
        <w:rPr/>
        <w:t>相应计提的坏账准备年末余额汇总金额4,656,607.76元。</w:t>
      </w:r>
    </w:p>
    <w:p>
      <w:pPr>
        <w:spacing w:line="240" w:lineRule="auto" w:before="8"/>
        <w:rPr>
          <w:rFonts w:ascii="宋体" w:hAnsi="宋体" w:cs="宋体" w:eastAsia="宋体" w:hint="default"/>
          <w:sz w:val="22"/>
          <w:szCs w:val="22"/>
        </w:rPr>
      </w:pPr>
    </w:p>
    <w:p>
      <w:pPr>
        <w:pStyle w:val="Heading4"/>
        <w:spacing w:line="240" w:lineRule="auto"/>
        <w:ind w:right="94"/>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spacing w:before="0"/>
        <w:ind w:left="112" w:right="9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7"/>
        <w:rPr>
          <w:rFonts w:ascii="宋体" w:hAnsi="宋体" w:cs="宋体" w:eastAsia="宋体" w:hint="default"/>
          <w:b/>
          <w:bCs/>
          <w:sz w:val="26"/>
          <w:szCs w:val="26"/>
        </w:rPr>
      </w:pPr>
    </w:p>
    <w:p>
      <w:pPr>
        <w:pStyle w:val="BodyText"/>
        <w:spacing w:line="240" w:lineRule="auto"/>
        <w:ind w:left="0" w:right="19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34"/>
        <w:gridCol w:w="763"/>
        <w:gridCol w:w="762"/>
        <w:gridCol w:w="762"/>
        <w:gridCol w:w="763"/>
        <w:gridCol w:w="789"/>
        <w:gridCol w:w="654"/>
        <w:gridCol w:w="762"/>
        <w:gridCol w:w="813"/>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299"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316" w:lineRule="auto"/>
              <w:ind w:left="372" w:right="188"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5" w:right="106"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9"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70" w:right="19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60"/>
              <w:jc w:val="both"/>
              <w:rPr>
                <w:rFonts w:ascii="宋体" w:hAnsi="宋体" w:cs="宋体" w:eastAsia="宋体" w:hint="default"/>
                <w:sz w:val="18"/>
                <w:szCs w:val="18"/>
              </w:rPr>
            </w:pPr>
            <w:r>
              <w:rPr>
                <w:rFonts w:ascii="宋体" w:hAnsi="宋体" w:cs="宋体" w:eastAsia="宋体" w:hint="default"/>
                <w:sz w:val="18"/>
                <w:szCs w:val="18"/>
              </w:rPr>
              <w:t>按信用风险特征 组合计提坏账准 备的其他应收款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40,262,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660.49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711,13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9.12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39,551,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521.37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center"/>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398,586</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13,312,7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26.32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40,262,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660.49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711,13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9.12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1.77%</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39,551,</w:t>
            </w:r>
          </w:p>
          <w:p>
            <w:pPr>
              <w:pStyle w:val="TableParagraph"/>
              <w:spacing w:line="240" w:lineRule="auto" w:before="105"/>
              <w:ind w:left="182" w:right="0"/>
              <w:jc w:val="left"/>
              <w:rPr>
                <w:rFonts w:ascii="Times New Roman" w:hAnsi="Times New Roman" w:cs="Times New Roman" w:eastAsia="Times New Roman" w:hint="default"/>
                <w:sz w:val="18"/>
                <w:szCs w:val="18"/>
              </w:rPr>
            </w:pPr>
            <w:r>
              <w:rPr>
                <w:rFonts w:ascii="Times New Roman"/>
                <w:sz w:val="18"/>
              </w:rPr>
              <w:t>521.37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13,71</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1,312</w:t>
            </w:r>
          </w:p>
          <w:p>
            <w:pPr>
              <w:pStyle w:val="TableParagraph"/>
              <w:spacing w:line="240" w:lineRule="auto" w:before="105"/>
              <w:ind w:left="213" w:right="0"/>
              <w:jc w:val="center"/>
              <w:rPr>
                <w:rFonts w:ascii="Times New Roman" w:hAnsi="Times New Roman" w:cs="Times New Roman" w:eastAsia="Times New Roman" w:hint="default"/>
                <w:sz w:val="18"/>
                <w:szCs w:val="18"/>
              </w:rPr>
            </w:pPr>
            <w:r>
              <w:rPr>
                <w:rFonts w:ascii="Times New Roman"/>
                <w:sz w:val="18"/>
              </w:rPr>
              <w:t>.42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398,586</w:t>
            </w:r>
          </w:p>
          <w:p>
            <w:pPr>
              <w:pStyle w:val="TableParagraph"/>
              <w:spacing w:line="240" w:lineRule="auto" w:before="105"/>
              <w:ind w:left="475" w:right="0"/>
              <w:jc w:val="lef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2.91%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13,312,7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26.32</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280" w:left="1020" w:right="940"/>
        </w:sectPr>
      </w:pPr>
    </w:p>
    <w:p>
      <w:pPr>
        <w:pStyle w:val="BodyText"/>
        <w:spacing w:line="240" w:lineRule="auto" w:before="50"/>
        <w:ind w:right="-20"/>
        <w:jc w:val="left"/>
      </w:pPr>
      <w:r>
        <w:rPr/>
        <w:t>期末单项金额重大并单项计提坏账准备的其他应收款：</w:t>
      </w:r>
    </w:p>
    <w:p>
      <w:pPr>
        <w:pStyle w:val="BodyText"/>
        <w:spacing w:line="360" w:lineRule="auto" w:before="117"/>
        <w:ind w:right="160"/>
        <w:jc w:val="left"/>
      </w:pPr>
      <w:r>
        <w:rPr/>
        <w:t>□ 适用 √ 不适用 组合中，按账龄分析法计提坏账准备的其他应收款：</w:t>
      </w:r>
    </w:p>
    <w:p>
      <w:pPr>
        <w:pStyle w:val="BodyText"/>
        <w:spacing w:line="240" w:lineRule="auto" w:before="25"/>
        <w:ind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940"/>
          <w:cols w:num="2" w:equalWidth="0">
            <w:col w:w="4433" w:space="4396"/>
            <w:col w:w="1121"/>
          </w:cols>
        </w:sectPr>
      </w:pP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2,760,286.51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138,014.33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2,760,286.51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138,014.33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594,820.08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59,482.01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0"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55,753.03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16,725.91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280" w:left="1020" w:right="94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0"/>
        <w:gridCol w:w="2390"/>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496,916.87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496,916.87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470,982.58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470,982.58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19,089.49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19,089.49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6,844.80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6,844.80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3,907,776.49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711,139.12</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5234"/>
        <w:jc w:val="left"/>
      </w:pPr>
      <w:r>
        <w:rPr/>
        <w:t>确定该组合依据的说明： 组合中，采用余额百分比法计提坏账准备的其他应收款：</w:t>
      </w:r>
    </w:p>
    <w:p>
      <w:pPr>
        <w:pStyle w:val="BodyText"/>
        <w:spacing w:line="360" w:lineRule="auto" w:before="25"/>
        <w:ind w:right="5594"/>
        <w:jc w:val="left"/>
      </w:pPr>
      <w:r>
        <w:rPr/>
        <w:t>□ 适用 √ 不适用 组合中，采用其他方法计提坏账准备的其他应收款：</w:t>
      </w:r>
    </w:p>
    <w:p>
      <w:pPr>
        <w:pStyle w:val="BodyText"/>
        <w:spacing w:line="240" w:lineRule="auto" w:before="27"/>
        <w:ind w:right="157"/>
        <w:jc w:val="left"/>
      </w:pPr>
      <w:r>
        <w:rPr/>
        <w:t>□ 适用 √ 不适用</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7" w:footer="1013" w:top="1100" w:bottom="1200" w:left="1020" w:right="1020"/>
        </w:sectPr>
      </w:pPr>
    </w:p>
    <w:p>
      <w:pPr>
        <w:pStyle w:val="BodyText"/>
        <w:spacing w:line="340" w:lineRule="auto" w:before="44"/>
        <w:ind w:right="-9"/>
        <w:jc w:val="left"/>
      </w:pPr>
      <w:r>
        <w:rPr/>
        <w:t>本期计提坏账准备金额</w:t>
      </w:r>
      <w:r>
        <w:rPr>
          <w:spacing w:val="-47"/>
        </w:rPr>
        <w:t> </w:t>
      </w:r>
      <w:r>
        <w:rPr>
          <w:rFonts w:ascii="Times New Roman" w:hAnsi="Times New Roman" w:cs="Times New Roman" w:eastAsia="Times New Roman" w:hint="default"/>
        </w:rPr>
        <w:t>312,553.02</w:t>
      </w:r>
      <w:r>
        <w:rPr>
          <w:rFonts w:ascii="Times New Roman" w:hAnsi="Times New Roman" w:cs="Times New Roman" w:eastAsia="Times New Roman" w:hint="default"/>
          <w:spacing w:val="-3"/>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2"/>
        </w:rPr>
        <w:t> </w:t>
      </w:r>
      <w:r>
        <w:rPr/>
        <w:t>元</w:t>
      </w:r>
    </w:p>
    <w:p>
      <w:pPr>
        <w:spacing w:after="0" w:line="240" w:lineRule="auto"/>
        <w:jc w:val="left"/>
        <w:sectPr>
          <w:type w:val="continuous"/>
          <w:pgSz w:w="11910" w:h="16840"/>
          <w:pgMar w:top="1100" w:bottom="280" w:left="1020" w:right="1020"/>
          <w:cols w:num="2" w:equalWidth="0">
            <w:col w:w="6279" w:space="2551"/>
            <w:col w:w="1040"/>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642,427.33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899,227.70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3,016,089.26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1,270,858.26</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36,540,680.00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11,512,037.41</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1"/>
              <w:jc w:val="right"/>
              <w:rPr>
                <w:rFonts w:ascii="Times New Roman" w:hAnsi="Times New Roman" w:cs="Times New Roman" w:eastAsia="Times New Roman" w:hint="default"/>
                <w:sz w:val="18"/>
                <w:szCs w:val="18"/>
              </w:rPr>
            </w:pPr>
            <w:r>
              <w:rPr>
                <w:rFonts w:ascii="Times New Roman"/>
                <w:spacing w:val="-1"/>
                <w:sz w:val="18"/>
              </w:rPr>
              <w:t>63,463.90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29,189.05</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40,262,660.49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13,711,312.42</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1026"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1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71" w:right="172"/>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11" w:right="172"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1" w:right="130"/>
              <w:jc w:val="left"/>
              <w:rPr>
                <w:rFonts w:ascii="宋体" w:hAnsi="宋体" w:cs="宋体" w:eastAsia="宋体" w:hint="default"/>
                <w:sz w:val="18"/>
                <w:szCs w:val="18"/>
              </w:rPr>
            </w:pPr>
            <w:r>
              <w:rPr>
                <w:rFonts w:ascii="宋体" w:hAnsi="宋体" w:cs="宋体" w:eastAsia="宋体" w:hint="default"/>
                <w:sz w:val="18"/>
                <w:szCs w:val="18"/>
              </w:rPr>
              <w:t>北京富华宇祺信息 技术有限公司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36,354,884.00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90.29%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130"/>
              <w:jc w:val="left"/>
              <w:rPr>
                <w:rFonts w:ascii="宋体" w:hAnsi="宋体" w:cs="宋体" w:eastAsia="宋体" w:hint="default"/>
                <w:sz w:val="18"/>
                <w:szCs w:val="18"/>
              </w:rPr>
            </w:pPr>
            <w:r>
              <w:rPr>
                <w:rFonts w:ascii="宋体" w:hAnsi="宋体" w:cs="宋体" w:eastAsia="宋体" w:hint="default"/>
                <w:sz w:val="18"/>
                <w:szCs w:val="18"/>
              </w:rPr>
              <w:t>义马煤业集团股份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1,860,920.00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4.62%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93,046.00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28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2"/>
        <w:gridCol w:w="1552"/>
        <w:gridCol w:w="1615"/>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魏峰培</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211,453.67</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0.53%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21,145.37</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1" w:right="130"/>
              <w:jc w:val="both"/>
              <w:rPr>
                <w:rFonts w:ascii="宋体" w:hAnsi="宋体" w:cs="宋体" w:eastAsia="宋体" w:hint="default"/>
                <w:sz w:val="18"/>
                <w:szCs w:val="18"/>
              </w:rPr>
            </w:pPr>
            <w:r>
              <w:rPr>
                <w:rFonts w:ascii="宋体" w:hAnsi="宋体" w:cs="宋体" w:eastAsia="宋体" w:hint="default"/>
                <w:sz w:val="18"/>
                <w:szCs w:val="18"/>
              </w:rPr>
              <w:t>泰安市岱岳区下港 乡茅茨舍村村民委 员会</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182,700.00</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0.45%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182,700.00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梁立东</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备用金借款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171,989.43</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z w:val="18"/>
              </w:rPr>
              <w:t>0.43%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17,198.94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38,781,947.10</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96.32%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314,090.31</w:t>
            </w:r>
          </w:p>
        </w:tc>
      </w:tr>
    </w:tbl>
    <w:p>
      <w:pPr>
        <w:spacing w:line="240" w:lineRule="auto" w:before="3"/>
        <w:rPr>
          <w:rFonts w:ascii="宋体" w:hAnsi="宋体" w:cs="宋体" w:eastAsia="宋体" w:hint="default"/>
          <w:sz w:val="19"/>
          <w:szCs w:val="19"/>
        </w:rPr>
      </w:pPr>
    </w:p>
    <w:p>
      <w:pPr>
        <w:spacing w:before="34"/>
        <w:ind w:left="112" w:right="1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8"/>
        <w:gridCol w:w="1368"/>
        <w:gridCol w:w="1367"/>
        <w:gridCol w:w="1367"/>
        <w:gridCol w:w="1367"/>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920,583,384.27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904,708,580.00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920,583,384.27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904,708,580.00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74"/>
              <w:jc w:val="left"/>
              <w:rPr>
                <w:rFonts w:ascii="宋体" w:hAnsi="宋体" w:cs="宋体" w:eastAsia="宋体" w:hint="default"/>
                <w:sz w:val="18"/>
                <w:szCs w:val="18"/>
              </w:rPr>
            </w:pPr>
            <w:r>
              <w:rPr>
                <w:rFonts w:ascii="宋体" w:hAnsi="宋体" w:cs="宋体" w:eastAsia="宋体" w:hint="default"/>
                <w:sz w:val="18"/>
                <w:szCs w:val="18"/>
              </w:rPr>
              <w:t>对联营、合营 企业投资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812,150.77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812,150.77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792,252.92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792,252.92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921,395,535.04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905,520,730.77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921,375,637.19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center"/>
              <w:rPr>
                <w:rFonts w:ascii="Times New Roman" w:hAnsi="Times New Roman" w:cs="Times New Roman" w:eastAsia="Times New Roman" w:hint="default"/>
                <w:sz w:val="18"/>
                <w:szCs w:val="18"/>
              </w:rPr>
            </w:pPr>
            <w:r>
              <w:rPr>
                <w:rFonts w:ascii="Times New Roman"/>
                <w:sz w:val="18"/>
              </w:rPr>
              <w:t>15,874,804.27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905,500,832.92</w:t>
            </w: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714"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148" w:hanging="360"/>
              <w:jc w:val="left"/>
              <w:rPr>
                <w:rFonts w:ascii="宋体" w:hAnsi="宋体" w:cs="宋体" w:eastAsia="宋体" w:hint="default"/>
                <w:sz w:val="18"/>
                <w:szCs w:val="18"/>
              </w:rPr>
            </w:pPr>
            <w:r>
              <w:rPr>
                <w:rFonts w:ascii="宋体" w:hAnsi="宋体" w:cs="宋体" w:eastAsia="宋体" w:hint="default"/>
                <w:sz w:val="18"/>
                <w:szCs w:val="18"/>
              </w:rPr>
              <w:t>本期计提减值 准备</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147"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尤洛卡（山东）</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环境工程有限</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5,000,000.00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3"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5"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尤洛卡（上海）</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国际贸易有限</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20,000,000.00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4"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7"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尤洛卡（北京）</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r>
      <w:tr>
        <w:trPr>
          <w:trHeight w:val="624"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253"/>
              <w:jc w:val="left"/>
              <w:rPr>
                <w:rFonts w:ascii="宋体" w:hAnsi="宋体" w:cs="宋体" w:eastAsia="宋体" w:hint="default"/>
                <w:sz w:val="18"/>
                <w:szCs w:val="18"/>
              </w:rPr>
            </w:pPr>
            <w:r>
              <w:rPr>
                <w:rFonts w:ascii="宋体" w:hAnsi="宋体" w:cs="宋体" w:eastAsia="宋体" w:hint="default"/>
                <w:sz w:val="18"/>
                <w:szCs w:val="18"/>
              </w:rPr>
              <w:t>产业信息技术 研究院有限公</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vMerge/>
            <w:tcBorders>
              <w:left w:val="single" w:sz="4" w:space="0" w:color="000000"/>
              <w:right w:val="single" w:sz="4" w:space="0" w:color="000000"/>
            </w:tcBorders>
          </w:tcPr>
          <w:p>
            <w:pPr/>
          </w:p>
        </w:tc>
        <w:tc>
          <w:tcPr>
            <w:tcW w:w="1389" w:type="dxa"/>
            <w:vMerge/>
            <w:tcBorders>
              <w:left w:val="single" w:sz="4" w:space="0" w:color="000000"/>
              <w:right w:val="single" w:sz="4" w:space="0" w:color="000000"/>
            </w:tcBorders>
          </w:tcPr>
          <w:p>
            <w:pPr/>
          </w:p>
        </w:tc>
      </w:tr>
      <w:tr>
        <w:trPr>
          <w:trHeight w:val="357"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r>
      <w:tr>
        <w:trPr>
          <w:trHeight w:val="355" w:hRule="exact"/>
        </w:trPr>
        <w:tc>
          <w:tcPr>
            <w:tcW w:w="14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北京富华宇祺</w:t>
            </w:r>
          </w:p>
        </w:tc>
        <w:tc>
          <w:tcPr>
            <w:tcW w:w="1336" w:type="dxa"/>
            <w:tcBorders>
              <w:top w:val="single" w:sz="4" w:space="0" w:color="000000"/>
              <w:left w:val="single" w:sz="4" w:space="0" w:color="000000"/>
              <w:bottom w:val="nil" w:sz="6" w:space="0" w:color="auto"/>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vMerge w:val="restart"/>
            <w:tcBorders>
              <w:top w:val="single" w:sz="4" w:space="0" w:color="000000"/>
              <w:left w:val="single" w:sz="4" w:space="0" w:color="000000"/>
              <w:right w:val="single" w:sz="4" w:space="0" w:color="000000"/>
            </w:tcBorders>
          </w:tcPr>
          <w:p>
            <w:pPr/>
          </w:p>
        </w:tc>
        <w:tc>
          <w:tcPr>
            <w:tcW w:w="1335" w:type="dxa"/>
            <w:tcBorders>
              <w:top w:val="single" w:sz="4" w:space="0" w:color="000000"/>
              <w:left w:val="single" w:sz="4" w:space="0" w:color="000000"/>
              <w:bottom w:val="nil" w:sz="6" w:space="0" w:color="auto"/>
              <w:right w:val="single" w:sz="4" w:space="0" w:color="000000"/>
            </w:tcBorders>
          </w:tcPr>
          <w:p>
            <w:pPr/>
          </w:p>
        </w:tc>
        <w:tc>
          <w:tcPr>
            <w:tcW w:w="1389" w:type="dxa"/>
            <w:vMerge w:val="restart"/>
            <w:tcBorders>
              <w:top w:val="single" w:sz="4" w:space="0" w:color="000000"/>
              <w:left w:val="single" w:sz="4" w:space="0" w:color="000000"/>
              <w:right w:val="single" w:sz="4" w:space="0" w:color="000000"/>
            </w:tcBorders>
          </w:tcPr>
          <w:p>
            <w:pPr/>
          </w:p>
        </w:tc>
        <w:tc>
          <w:tcPr>
            <w:tcW w:w="138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144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信息技术有限</w:t>
            </w:r>
          </w:p>
        </w:tc>
        <w:tc>
          <w:tcPr>
            <w:tcW w:w="1336"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95,583,384.27</w:t>
            </w:r>
          </w:p>
        </w:tc>
        <w:tc>
          <w:tcPr>
            <w:tcW w:w="1335" w:type="dxa"/>
            <w:vMerge/>
            <w:tcBorders>
              <w:left w:val="single" w:sz="4" w:space="0" w:color="000000"/>
              <w:right w:val="single" w:sz="4" w:space="0" w:color="000000"/>
            </w:tcBorders>
          </w:tcPr>
          <w:p>
            <w:pPr/>
          </w:p>
        </w:tc>
        <w:tc>
          <w:tcPr>
            <w:tcW w:w="1335" w:type="dxa"/>
            <w:vMerge/>
            <w:tcBorders>
              <w:left w:val="single" w:sz="4" w:space="0" w:color="000000"/>
              <w:right w:val="single" w:sz="4" w:space="0" w:color="000000"/>
            </w:tcBorders>
          </w:tcPr>
          <w:p>
            <w:pPr/>
          </w:p>
        </w:tc>
        <w:tc>
          <w:tcPr>
            <w:tcW w:w="1335"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95,583,384.27</w:t>
            </w:r>
          </w:p>
        </w:tc>
        <w:tc>
          <w:tcPr>
            <w:tcW w:w="1389" w:type="dxa"/>
            <w:vMerge/>
            <w:tcBorders>
              <w:left w:val="single" w:sz="4" w:space="0" w:color="000000"/>
              <w:right w:val="single" w:sz="4" w:space="0" w:color="000000"/>
            </w:tcBorders>
          </w:tcPr>
          <w:p>
            <w:pPr/>
          </w:p>
        </w:tc>
        <w:tc>
          <w:tcPr>
            <w:tcW w:w="1389"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15,874,804.27</w:t>
            </w:r>
          </w:p>
        </w:tc>
      </w:tr>
      <w:tr>
        <w:trPr>
          <w:trHeight w:val="354" w:hRule="exact"/>
        </w:trPr>
        <w:tc>
          <w:tcPr>
            <w:tcW w:w="144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336" w:type="dxa"/>
            <w:tcBorders>
              <w:top w:val="nil" w:sz="6" w:space="0" w:color="auto"/>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vMerge/>
            <w:tcBorders>
              <w:left w:val="single" w:sz="4" w:space="0" w:color="000000"/>
              <w:bottom w:val="single" w:sz="4" w:space="0" w:color="000000"/>
              <w:right w:val="single" w:sz="4" w:space="0" w:color="000000"/>
            </w:tcBorders>
          </w:tcPr>
          <w:p>
            <w:pPr/>
          </w:p>
        </w:tc>
        <w:tc>
          <w:tcPr>
            <w:tcW w:w="1335" w:type="dxa"/>
            <w:tcBorders>
              <w:top w:val="nil" w:sz="6" w:space="0" w:color="auto"/>
              <w:left w:val="single" w:sz="4" w:space="0" w:color="000000"/>
              <w:bottom w:val="single" w:sz="4" w:space="0" w:color="000000"/>
              <w:right w:val="single" w:sz="4" w:space="0" w:color="000000"/>
            </w:tcBorders>
          </w:tcPr>
          <w:p>
            <w:pPr/>
          </w:p>
        </w:tc>
        <w:tc>
          <w:tcPr>
            <w:tcW w:w="1389" w:type="dxa"/>
            <w:vMerge/>
            <w:tcBorders>
              <w:left w:val="single" w:sz="4" w:space="0" w:color="000000"/>
              <w:bottom w:val="single" w:sz="4" w:space="0" w:color="000000"/>
              <w:right w:val="single" w:sz="4" w:space="0" w:color="000000"/>
            </w:tcBorders>
          </w:tcPr>
          <w:p>
            <w:pPr/>
          </w:p>
        </w:tc>
        <w:tc>
          <w:tcPr>
            <w:tcW w:w="1389"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101" w:right="253"/>
              <w:jc w:val="both"/>
              <w:rPr>
                <w:rFonts w:ascii="宋体" w:hAnsi="宋体" w:cs="宋体" w:eastAsia="宋体" w:hint="default"/>
                <w:sz w:val="18"/>
                <w:szCs w:val="18"/>
              </w:rPr>
            </w:pPr>
            <w:r>
              <w:rPr>
                <w:rFonts w:ascii="宋体" w:hAnsi="宋体" w:cs="宋体" w:eastAsia="宋体" w:hint="default"/>
                <w:sz w:val="18"/>
                <w:szCs w:val="18"/>
              </w:rPr>
              <w:t>长春师凯科技 产业有限责任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750,000,000.0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750,000,000.0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18"/>
                <w:szCs w:val="18"/>
              </w:rPr>
            </w:pPr>
            <w:r>
              <w:rPr>
                <w:rFonts w:ascii="Times New Roman"/>
                <w:spacing w:val="-1"/>
                <w:sz w:val="18"/>
              </w:rPr>
              <w:t>920,583,384.2</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pacing w:val="-1"/>
                <w:sz w:val="18"/>
              </w:rPr>
              <w:t>920,583,384.2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15,874,804.27</w:t>
            </w:r>
          </w:p>
        </w:tc>
      </w:tr>
    </w:tbl>
    <w:p>
      <w:pPr>
        <w:spacing w:after="0" w:line="240" w:lineRule="auto"/>
        <w:jc w:val="right"/>
        <w:rPr>
          <w:rFonts w:ascii="Times New Roman" w:hAnsi="Times New Roman" w:cs="Times New Roman" w:eastAsia="Times New Roman" w:hint="default"/>
          <w:sz w:val="18"/>
          <w:szCs w:val="18"/>
        </w:rPr>
        <w:sectPr>
          <w:footerReference w:type="default" r:id="rId45"/>
          <w:pgSz w:w="11910" w:h="16840"/>
          <w:pgMar w:footer="1013" w:header="907" w:top="1100" w:bottom="1200" w:left="1020" w:right="1020"/>
          <w:pgNumType w:start="16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447"/>
        <w:gridCol w:w="1336"/>
        <w:gridCol w:w="1335"/>
        <w:gridCol w:w="1335"/>
        <w:gridCol w:w="1335"/>
        <w:gridCol w:w="1389"/>
        <w:gridCol w:w="1389"/>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0"/>
              <w:jc w:val="right"/>
              <w:rPr>
                <w:rFonts w:ascii="Times New Roman" w:hAnsi="Times New Roman" w:cs="Times New Roman" w:eastAsia="Times New Roman" w:hint="default"/>
                <w:sz w:val="18"/>
                <w:szCs w:val="18"/>
              </w:rPr>
            </w:pPr>
            <w:r>
              <w:rPr>
                <w:rFonts w:ascii="Times New Roman"/>
                <w:sz w:val="18"/>
              </w:rPr>
              <w:t>7</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2"/>
              <w:jc w:val="right"/>
              <w:rPr>
                <w:rFonts w:ascii="Times New Roman" w:hAnsi="Times New Roman" w:cs="Times New Roman" w:eastAsia="Times New Roman" w:hint="default"/>
                <w:sz w:val="18"/>
                <w:szCs w:val="18"/>
              </w:rPr>
            </w:pPr>
            <w:r>
              <w:rPr>
                <w:rFonts w:ascii="Times New Roman"/>
                <w:sz w:val="18"/>
              </w:rPr>
              <w:t>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1"/>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8"/>
        <w:gridCol w:w="798"/>
        <w:gridCol w:w="798"/>
        <w:gridCol w:w="798"/>
        <w:gridCol w:w="798"/>
        <w:gridCol w:w="798"/>
        <w:gridCol w:w="798"/>
        <w:gridCol w:w="798"/>
        <w:gridCol w:w="798"/>
      </w:tblGrid>
      <w:tr>
        <w:trPr>
          <w:trHeight w:val="40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338"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3" w:right="120"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2" w:right="12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4" w:right="121"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303" w:right="122" w:hanging="180"/>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121"/>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3" w:right="122"/>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3" w:right="122"/>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125" w:right="121"/>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305" w:right="12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0"/>
              <w:ind w:left="123" w:right="122"/>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59" w:hRule="exact"/>
        </w:trPr>
        <w:tc>
          <w:tcPr>
            <w:tcW w:w="7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西安鲁</w:t>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6" w:hRule="exact"/>
        </w:trPr>
        <w:tc>
          <w:tcPr>
            <w:tcW w:w="79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101" w:right="142"/>
              <w:jc w:val="both"/>
              <w:rPr>
                <w:rFonts w:ascii="宋体" w:hAnsi="宋体" w:cs="宋体" w:eastAsia="宋体" w:hint="default"/>
                <w:sz w:val="18"/>
                <w:szCs w:val="18"/>
              </w:rPr>
            </w:pPr>
            <w:r>
              <w:rPr>
                <w:rFonts w:ascii="宋体" w:hAnsi="宋体" w:cs="宋体" w:eastAsia="宋体" w:hint="default"/>
                <w:sz w:val="18"/>
                <w:szCs w:val="18"/>
              </w:rPr>
              <w:t>信股权 投资管 理有限</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19,897.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0.77</w:t>
            </w:r>
          </w:p>
        </w:tc>
        <w:tc>
          <w:tcPr>
            <w:tcW w:w="798" w:type="dxa"/>
            <w:vMerge/>
            <w:tcBorders>
              <w:left w:val="single" w:sz="4" w:space="0" w:color="000000"/>
              <w:right w:val="single" w:sz="4" w:space="0" w:color="000000"/>
            </w:tcBorders>
          </w:tcPr>
          <w:p>
            <w:pPr/>
          </w:p>
        </w:tc>
      </w:tr>
      <w:tr>
        <w:trPr>
          <w:trHeight w:val="355" w:hRule="exact"/>
        </w:trPr>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19,897.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center"/>
              <w:rPr>
                <w:rFonts w:ascii="Times New Roman" w:hAnsi="Times New Roman" w:cs="Times New Roman" w:eastAsia="Times New Roman" w:hint="default"/>
                <w:sz w:val="18"/>
                <w:szCs w:val="18"/>
              </w:rPr>
            </w:pPr>
            <w:r>
              <w:rPr>
                <w:rFonts w:ascii="Times New Roman"/>
                <w:sz w:val="18"/>
              </w:rPr>
              <w:t>792,25</w:t>
            </w:r>
          </w:p>
          <w:p>
            <w:pPr>
              <w:pStyle w:val="TableParagraph"/>
              <w:spacing w:line="240" w:lineRule="auto" w:before="105"/>
              <w:ind w:left="266" w:right="0"/>
              <w:jc w:val="center"/>
              <w:rPr>
                <w:rFonts w:ascii="Times New Roman" w:hAnsi="Times New Roman" w:cs="Times New Roman" w:eastAsia="Times New Roman" w:hint="default"/>
                <w:sz w:val="18"/>
                <w:szCs w:val="18"/>
              </w:rPr>
            </w:pPr>
            <w:r>
              <w:rPr>
                <w:rFonts w:ascii="Times New Roman"/>
                <w:sz w:val="18"/>
              </w:rPr>
              <w:t>2.92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4" w:right="0"/>
              <w:jc w:val="left"/>
              <w:rPr>
                <w:rFonts w:ascii="Times New Roman" w:hAnsi="Times New Roman" w:cs="Times New Roman" w:eastAsia="Times New Roman" w:hint="default"/>
                <w:sz w:val="18"/>
                <w:szCs w:val="18"/>
              </w:rPr>
            </w:pPr>
            <w:r>
              <w:rPr>
                <w:rFonts w:ascii="Times New Roman"/>
                <w:sz w:val="18"/>
              </w:rPr>
              <w:t>19,897.</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 w:right="0"/>
              <w:jc w:val="center"/>
              <w:rPr>
                <w:rFonts w:ascii="Times New Roman" w:hAnsi="Times New Roman" w:cs="Times New Roman" w:eastAsia="Times New Roman" w:hint="default"/>
                <w:sz w:val="18"/>
                <w:szCs w:val="18"/>
              </w:rPr>
            </w:pPr>
            <w:r>
              <w:rPr>
                <w:rFonts w:ascii="Times New Roman"/>
                <w:sz w:val="18"/>
              </w:rPr>
              <w:t>812,15</w:t>
            </w:r>
          </w:p>
          <w:p>
            <w:pPr>
              <w:pStyle w:val="TableParagraph"/>
              <w:spacing w:line="240" w:lineRule="auto" w:before="105"/>
              <w:ind w:left="267" w:right="0"/>
              <w:jc w:val="center"/>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34"/>
        <w:ind w:right="157"/>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116,793,220.69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58,623,206.21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68,763,615.90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47,588,876.52</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2,656,698.41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4,617,026.94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3,417,161.83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119,449,919.10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6" w:right="0"/>
              <w:jc w:val="left"/>
              <w:rPr>
                <w:rFonts w:ascii="Times New Roman" w:hAnsi="Times New Roman" w:cs="Times New Roman" w:eastAsia="Times New Roman" w:hint="default"/>
                <w:sz w:val="18"/>
                <w:szCs w:val="18"/>
              </w:rPr>
            </w:pPr>
            <w:r>
              <w:rPr>
                <w:rFonts w:ascii="Times New Roman"/>
                <w:sz w:val="18"/>
              </w:rPr>
              <w:t>58,623,206.21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73,380,642.84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51,006,038.35</w:t>
            </w:r>
          </w:p>
        </w:tc>
      </w:tr>
    </w:tbl>
    <w:p>
      <w:pPr>
        <w:pStyle w:val="BodyText"/>
        <w:spacing w:line="240" w:lineRule="auto" w:before="50"/>
        <w:ind w:right="157"/>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157"/>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2"/>
        <w:jc w:val="right"/>
      </w:pPr>
      <w:r>
        <w:rPr/>
        <w:t>单位：</w:t>
      </w:r>
      <w:r>
        <w:rPr>
          <w:spacing w:val="-2"/>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45,963,000.00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19,897.85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99"/>
              <w:jc w:val="right"/>
              <w:rPr>
                <w:rFonts w:ascii="Times New Roman" w:hAnsi="Times New Roman" w:cs="Times New Roman" w:eastAsia="Times New Roman" w:hint="default"/>
                <w:sz w:val="18"/>
                <w:szCs w:val="18"/>
              </w:rPr>
            </w:pPr>
            <w:r>
              <w:rPr>
                <w:rFonts w:ascii="Times New Roman"/>
                <w:spacing w:val="-1"/>
                <w:sz w:val="18"/>
              </w:rPr>
              <w:t>12,252.92</w:t>
            </w:r>
          </w:p>
        </w:tc>
      </w:tr>
      <w:tr>
        <w:trPr>
          <w:trHeight w:val="400"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3,591,785.75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7" w:footer="1013" w:top="1100" w:bottom="1200" w:left="1020" w:right="1020"/>
        </w:sectPr>
      </w:pPr>
    </w:p>
    <w:p>
      <w:pPr>
        <w:spacing w:line="240" w:lineRule="auto" w:before="6"/>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1" w:right="0"/>
              <w:jc w:val="left"/>
              <w:rPr>
                <w:rFonts w:ascii="Times New Roman" w:hAnsi="Times New Roman" w:cs="Times New Roman" w:eastAsia="Times New Roman" w:hint="default"/>
                <w:sz w:val="18"/>
                <w:szCs w:val="18"/>
              </w:rPr>
            </w:pPr>
            <w:r>
              <w:rPr>
                <w:rFonts w:ascii="Times New Roman"/>
                <w:sz w:val="18"/>
              </w:rPr>
              <w:t>49,574,683.60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7" w:right="0"/>
              <w:jc w:val="left"/>
              <w:rPr>
                <w:rFonts w:ascii="Times New Roman" w:hAnsi="Times New Roman" w:cs="Times New Roman" w:eastAsia="Times New Roman" w:hint="default"/>
                <w:sz w:val="18"/>
                <w:szCs w:val="18"/>
              </w:rPr>
            </w:pPr>
            <w:r>
              <w:rPr>
                <w:rFonts w:ascii="Times New Roman"/>
                <w:sz w:val="18"/>
              </w:rPr>
              <w:t>56,012,252.92</w:t>
            </w:r>
          </w:p>
        </w:tc>
      </w:tr>
    </w:tbl>
    <w:p>
      <w:pPr>
        <w:spacing w:line="240" w:lineRule="auto" w:before="0"/>
        <w:rPr>
          <w:rFonts w:ascii="宋体" w:hAnsi="宋体" w:cs="宋体" w:eastAsia="宋体" w:hint="default"/>
          <w:sz w:val="18"/>
          <w:szCs w:val="18"/>
        </w:rPr>
      </w:pPr>
    </w:p>
    <w:p>
      <w:pPr>
        <w:pStyle w:val="Heading2"/>
        <w:spacing w:line="240" w:lineRule="auto" w:before="26"/>
        <w:ind w:right="157"/>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157"/>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57"/>
        <w:jc w:val="left"/>
      </w:pPr>
      <w:r>
        <w:rPr/>
        <w:t>√ 适用 □ 不适用</w:t>
      </w:r>
    </w:p>
    <w:p>
      <w:pPr>
        <w:pStyle w:val="BodyText"/>
        <w:spacing w:line="240" w:lineRule="auto" w:before="117"/>
        <w:ind w:left="0" w:right="112"/>
        <w:jc w:val="right"/>
      </w:pPr>
      <w:r>
        <w:rPr/>
        <w:t>单位：</w:t>
      </w:r>
      <w:r>
        <w:rPr>
          <w:spacing w:val="-2"/>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-235,771.42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 密切相关，按照国家统一标准定额或定 量享受的政府补助除外）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1,478,266.00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-1,692,440.54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15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 保值业务外，持有交易性金融资产、交 易性金融负债产生的公允价值变动损 益，以及处置交易性金融资产、交易性 金融负债和可供出售金融资产取得的投 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3,612,849.86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15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 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-103,454.76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514,951.25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100"/>
              <w:jc w:val="right"/>
              <w:rPr>
                <w:rFonts w:ascii="Times New Roman" w:hAnsi="Times New Roman" w:cs="Times New Roman" w:eastAsia="Times New Roman" w:hint="default"/>
                <w:sz w:val="18"/>
                <w:szCs w:val="18"/>
              </w:rPr>
            </w:pPr>
            <w:r>
              <w:rPr>
                <w:rFonts w:ascii="Times New Roman"/>
                <w:spacing w:val="-1"/>
                <w:sz w:val="18"/>
              </w:rPr>
              <w:t>98,964.79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2,445,533.10</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0"/>
        <w:ind w:right="0"/>
        <w:jc w:val="left"/>
      </w:pPr>
      <w:r>
        <w:rPr>
          <w:spacing w:val="-3"/>
        </w:rPr>
        <w:t>对公司根据《公开发行证券的公司信息披露解释性公告第</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号——非经常性损益》定义界定的非经常性损益项目，以及把《公</w:t>
      </w:r>
    </w:p>
    <w:p>
      <w:pPr>
        <w:pStyle w:val="BodyText"/>
        <w:spacing w:line="300" w:lineRule="auto" w:before="63"/>
        <w:ind w:right="100"/>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号——非经常性损益》中列举的非经常性损益项目界定为经常性损益的项目，应</w:t>
      </w:r>
      <w:r>
        <w:rPr>
          <w:spacing w:val="-88"/>
        </w:rPr>
        <w:t> </w:t>
      </w:r>
      <w:r>
        <w:rPr>
          <w:spacing w:val="-88"/>
        </w:rPr>
      </w:r>
      <w:r>
        <w:rPr/>
        <w:t>说明原因。</w:t>
      </w:r>
    </w:p>
    <w:p>
      <w:pPr>
        <w:pStyle w:val="BodyText"/>
        <w:spacing w:line="240" w:lineRule="auto" w:before="70"/>
        <w:ind w:right="157"/>
        <w:jc w:val="left"/>
      </w:pPr>
      <w:r>
        <w:rPr/>
        <w:t>□ 适用 √ 不适用</w:t>
      </w:r>
    </w:p>
    <w:p>
      <w:pPr>
        <w:spacing w:line="240" w:lineRule="auto" w:before="0"/>
        <w:rPr>
          <w:rFonts w:ascii="宋体" w:hAnsi="宋体" w:cs="宋体" w:eastAsia="宋体" w:hint="default"/>
          <w:sz w:val="18"/>
          <w:szCs w:val="18"/>
        </w:rPr>
      </w:pPr>
    </w:p>
    <w:p>
      <w:pPr>
        <w:pStyle w:val="Heading4"/>
        <w:spacing w:line="240" w:lineRule="auto" w:before="118"/>
        <w:ind w:right="157"/>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877"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2D2D2"/>
          </w:tcPr>
          <w:p>
            <w:pPr/>
          </w:p>
        </w:tc>
        <w:tc>
          <w:tcPr>
            <w:tcW w:w="308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01" w:right="208"/>
              <w:jc w:val="left"/>
              <w:rPr>
                <w:rFonts w:ascii="宋体" w:hAnsi="宋体" w:cs="宋体" w:eastAsia="宋体" w:hint="default"/>
                <w:sz w:val="18"/>
                <w:szCs w:val="18"/>
              </w:rPr>
            </w:pPr>
            <w:r>
              <w:rPr>
                <w:rFonts w:ascii="宋体" w:hAnsi="宋体" w:cs="宋体" w:eastAsia="宋体" w:hint="default"/>
                <w:sz w:val="18"/>
                <w:szCs w:val="18"/>
              </w:rPr>
              <w:t>归属于公司普通股股东的净利 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0.1539</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 w:right="208"/>
              <w:jc w:val="left"/>
              <w:rPr>
                <w:rFonts w:ascii="宋体" w:hAnsi="宋体" w:cs="宋体" w:eastAsia="宋体" w:hint="default"/>
                <w:sz w:val="18"/>
                <w:szCs w:val="18"/>
              </w:rPr>
            </w:pPr>
            <w:r>
              <w:rPr>
                <w:rFonts w:ascii="宋体" w:hAnsi="宋体" w:cs="宋体" w:eastAsia="宋体" w:hint="default"/>
                <w:sz w:val="18"/>
                <w:szCs w:val="18"/>
              </w:rPr>
              <w:t>扣除非经常性损益后归属于公 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0.1502</w:t>
            </w:r>
          </w:p>
        </w:tc>
      </w:tr>
    </w:tbl>
    <w:p>
      <w:pPr>
        <w:spacing w:after="0" w:line="240" w:lineRule="auto"/>
        <w:jc w:val="right"/>
        <w:rPr>
          <w:rFonts w:ascii="Times New Roman" w:hAnsi="Times New Roman" w:cs="Times New Roman" w:eastAsia="Times New Roman" w:hint="default"/>
          <w:sz w:val="18"/>
          <w:szCs w:val="18"/>
        </w:rPr>
        <w:sectPr>
          <w:pgSz w:w="11910" w:h="16840"/>
          <w:pgMar w:header="907" w:footer="1013" w:top="1100" w:bottom="1200" w:left="102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spacing w:before="0"/>
        <w:ind w:left="3247" w:right="2118" w:firstLine="0"/>
        <w:jc w:val="left"/>
        <w:rPr>
          <w:rFonts w:ascii="宋体" w:hAnsi="宋体" w:cs="宋体" w:eastAsia="宋体" w:hint="default"/>
          <w:sz w:val="32"/>
          <w:szCs w:val="32"/>
        </w:rPr>
      </w:pPr>
      <w:r>
        <w:rPr>
          <w:rFonts w:ascii="宋体" w:hAnsi="宋体" w:cs="宋体" w:eastAsia="宋体" w:hint="default"/>
          <w:b/>
          <w:bCs/>
          <w:sz w:val="32"/>
          <w:szCs w:val="32"/>
        </w:rPr>
        <w:t>第十二节</w:t>
      </w:r>
      <w:r>
        <w:rPr>
          <w:rFonts w:ascii="宋体" w:hAnsi="宋体" w:cs="宋体" w:eastAsia="宋体" w:hint="default"/>
          <w:b/>
          <w:bCs/>
          <w:spacing w:val="-10"/>
          <w:sz w:val="32"/>
          <w:szCs w:val="32"/>
        </w:rPr>
        <w:t> </w:t>
      </w:r>
      <w:r>
        <w:rPr>
          <w:rFonts w:ascii="宋体" w:hAnsi="宋体" w:cs="宋体" w:eastAsia="宋体" w:hint="default"/>
          <w:b/>
          <w:bCs/>
          <w:sz w:val="32"/>
          <w:szCs w:val="32"/>
        </w:rPr>
        <w:t>备查文件目录</w:t>
      </w:r>
      <w:r>
        <w:rPr>
          <w:rFonts w:ascii="宋体" w:hAnsi="宋体" w:cs="宋体" w:eastAsia="宋体" w:hint="default"/>
          <w:sz w:val="32"/>
          <w:szCs w:val="32"/>
        </w:rPr>
      </w:r>
    </w:p>
    <w:p>
      <w:pPr>
        <w:spacing w:line="240" w:lineRule="auto" w:before="8"/>
        <w:rPr>
          <w:rFonts w:ascii="宋体" w:hAnsi="宋体" w:cs="宋体" w:eastAsia="宋体" w:hint="default"/>
          <w:b/>
          <w:bCs/>
          <w:sz w:val="46"/>
          <w:szCs w:val="46"/>
        </w:rPr>
      </w:pPr>
    </w:p>
    <w:p>
      <w:pPr>
        <w:spacing w:before="0"/>
        <w:ind w:left="532" w:right="2118" w:firstLine="0"/>
        <w:jc w:val="left"/>
        <w:rPr>
          <w:rFonts w:ascii="宋体" w:hAnsi="宋体" w:cs="宋体" w:eastAsia="宋体" w:hint="default"/>
          <w:sz w:val="21"/>
          <w:szCs w:val="21"/>
        </w:rPr>
      </w:pPr>
      <w:r>
        <w:rPr>
          <w:rFonts w:ascii="宋体" w:hAnsi="宋体" w:cs="宋体" w:eastAsia="宋体" w:hint="default"/>
          <w:sz w:val="21"/>
          <w:szCs w:val="21"/>
        </w:rPr>
        <w:t>1、载有公司印章、法定代表人签名的2017年度报告全文的原件；</w:t>
      </w:r>
    </w:p>
    <w:p>
      <w:pPr>
        <w:spacing w:line="240" w:lineRule="auto" w:before="10"/>
        <w:rPr>
          <w:rFonts w:ascii="宋体" w:hAnsi="宋体" w:cs="宋体" w:eastAsia="宋体" w:hint="default"/>
          <w:sz w:val="14"/>
          <w:szCs w:val="14"/>
        </w:rPr>
      </w:pPr>
    </w:p>
    <w:p>
      <w:pPr>
        <w:spacing w:before="0"/>
        <w:ind w:left="532" w:right="434" w:firstLine="0"/>
        <w:jc w:val="left"/>
        <w:rPr>
          <w:rFonts w:ascii="宋体" w:hAnsi="宋体" w:cs="宋体" w:eastAsia="宋体" w:hint="default"/>
          <w:sz w:val="21"/>
          <w:szCs w:val="21"/>
        </w:rPr>
      </w:pPr>
      <w:r>
        <w:rPr>
          <w:rFonts w:ascii="宋体" w:hAnsi="宋体" w:cs="宋体" w:eastAsia="宋体" w:hint="default"/>
          <w:sz w:val="21"/>
          <w:szCs w:val="21"/>
        </w:rPr>
        <w:t>2、载有公司负责人、主管会计工作负责人、会计机构负责人签名并盖章的财务报表；</w:t>
      </w:r>
    </w:p>
    <w:p>
      <w:pPr>
        <w:spacing w:line="240" w:lineRule="auto" w:before="10"/>
        <w:rPr>
          <w:rFonts w:ascii="宋体" w:hAnsi="宋体" w:cs="宋体" w:eastAsia="宋体" w:hint="default"/>
          <w:sz w:val="14"/>
          <w:szCs w:val="14"/>
        </w:rPr>
      </w:pPr>
    </w:p>
    <w:p>
      <w:pPr>
        <w:spacing w:before="0"/>
        <w:ind w:left="532" w:right="434" w:firstLine="0"/>
        <w:jc w:val="left"/>
        <w:rPr>
          <w:rFonts w:ascii="宋体" w:hAnsi="宋体" w:cs="宋体" w:eastAsia="宋体" w:hint="default"/>
          <w:sz w:val="21"/>
          <w:szCs w:val="21"/>
        </w:rPr>
      </w:pPr>
      <w:r>
        <w:rPr>
          <w:rFonts w:ascii="宋体" w:hAnsi="宋体" w:cs="宋体" w:eastAsia="宋体" w:hint="default"/>
          <w:sz w:val="21"/>
          <w:szCs w:val="21"/>
        </w:rPr>
        <w:t>3、报告期内在中国证监会指定网站上公开披露过的所有文件的正本及公告原稿；</w:t>
      </w:r>
    </w:p>
    <w:p>
      <w:pPr>
        <w:spacing w:line="240" w:lineRule="auto" w:before="10"/>
        <w:rPr>
          <w:rFonts w:ascii="宋体" w:hAnsi="宋体" w:cs="宋体" w:eastAsia="宋体" w:hint="default"/>
          <w:sz w:val="14"/>
          <w:szCs w:val="14"/>
        </w:rPr>
      </w:pPr>
    </w:p>
    <w:p>
      <w:pPr>
        <w:spacing w:before="0"/>
        <w:ind w:left="532" w:right="2118" w:firstLine="0"/>
        <w:jc w:val="left"/>
        <w:rPr>
          <w:rFonts w:ascii="宋体" w:hAnsi="宋体" w:cs="宋体" w:eastAsia="宋体" w:hint="default"/>
          <w:sz w:val="21"/>
          <w:szCs w:val="21"/>
        </w:rPr>
      </w:pPr>
      <w:r>
        <w:rPr>
          <w:rFonts w:ascii="宋体" w:hAnsi="宋体" w:cs="宋体" w:eastAsia="宋体" w:hint="default"/>
          <w:sz w:val="21"/>
          <w:szCs w:val="21"/>
        </w:rPr>
        <w:t>4、载有会计师事务所盖章，注册会计师签名并盖章的审计报告原件；</w:t>
      </w:r>
    </w:p>
    <w:p>
      <w:pPr>
        <w:spacing w:line="240" w:lineRule="auto" w:before="10"/>
        <w:rPr>
          <w:rFonts w:ascii="宋体" w:hAnsi="宋体" w:cs="宋体" w:eastAsia="宋体" w:hint="default"/>
          <w:sz w:val="14"/>
          <w:szCs w:val="14"/>
        </w:rPr>
      </w:pPr>
    </w:p>
    <w:p>
      <w:pPr>
        <w:spacing w:line="408" w:lineRule="auto" w:before="0"/>
        <w:ind w:left="532" w:right="4244" w:firstLine="0"/>
        <w:jc w:val="left"/>
        <w:rPr>
          <w:rFonts w:ascii="宋体" w:hAnsi="宋体" w:cs="宋体" w:eastAsia="宋体" w:hint="default"/>
          <w:sz w:val="21"/>
          <w:szCs w:val="21"/>
        </w:rPr>
      </w:pPr>
      <w:r>
        <w:rPr>
          <w:rFonts w:ascii="宋体" w:hAnsi="宋体" w:cs="宋体" w:eastAsia="宋体" w:hint="default"/>
          <w:sz w:val="21"/>
          <w:szCs w:val="21"/>
        </w:rPr>
        <w:t>5、其它相关文件。</w:t>
      </w:r>
      <w:r>
        <w:rPr>
          <w:rFonts w:ascii="宋体" w:hAnsi="宋体" w:cs="宋体" w:eastAsia="宋体" w:hint="default"/>
          <w:w w:val="99"/>
          <w:sz w:val="21"/>
          <w:szCs w:val="21"/>
        </w:rPr>
        <w:t> </w:t>
      </w:r>
      <w:r>
        <w:rPr>
          <w:rFonts w:ascii="宋体" w:hAnsi="宋体" w:cs="宋体" w:eastAsia="宋体" w:hint="default"/>
          <w:sz w:val="21"/>
          <w:szCs w:val="21"/>
        </w:rPr>
        <w:t>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tabs>
          <w:tab w:pos="8735" w:val="left" w:leader="none"/>
        </w:tabs>
        <w:spacing w:line="477" w:lineRule="auto" w:before="0"/>
        <w:ind w:left="5872" w:right="451" w:hanging="720"/>
        <w:jc w:val="left"/>
        <w:rPr>
          <w:rFonts w:ascii="宋体" w:hAnsi="宋体" w:cs="宋体" w:eastAsia="宋体" w:hint="default"/>
          <w:sz w:val="24"/>
          <w:szCs w:val="24"/>
        </w:rPr>
      </w:pPr>
      <w:r>
        <w:rPr>
          <w:rFonts w:ascii="宋体" w:hAnsi="宋体" w:cs="宋体" w:eastAsia="宋体" w:hint="default"/>
          <w:sz w:val="24"/>
          <w:szCs w:val="24"/>
        </w:rPr>
        <w:t>尤洛卡精准信息工程股份有限公司 法定代表人：</w:t>
      </w:r>
      <w:r>
        <w:rPr>
          <w:rFonts w:ascii="宋体" w:hAnsi="宋体" w:cs="宋体" w:eastAsia="宋体" w:hint="default"/>
          <w:sz w:val="24"/>
          <w:szCs w:val="24"/>
          <w:u w:val="single" w:color="000000"/>
        </w:rPr>
        <w:t>黄自伟</w:t>
        <w:tab/>
      </w:r>
      <w:r>
        <w:rPr>
          <w:rFonts w:ascii="宋体" w:hAnsi="宋体" w:cs="宋体" w:eastAsia="宋体" w:hint="default"/>
          <w:w w:val="13"/>
          <w:sz w:val="24"/>
          <w:szCs w:val="24"/>
          <w:u w:val="single" w:color="000000"/>
        </w:rPr>
        <w:t> </w:t>
      </w:r>
      <w:r>
        <w:rPr>
          <w:rFonts w:ascii="宋体" w:hAnsi="宋体" w:cs="宋体" w:eastAsia="宋体" w:hint="default"/>
          <w:sz w:val="24"/>
          <w:szCs w:val="24"/>
          <w:u w:val="single" w:color="000000"/>
        </w:rPr>
      </w:r>
      <w:r>
        <w:rPr>
          <w:rFonts w:ascii="宋体" w:hAnsi="宋体" w:cs="宋体" w:eastAsia="宋体" w:hint="default"/>
          <w:sz w:val="24"/>
          <w:szCs w:val="24"/>
        </w:rPr>
      </w:r>
    </w:p>
    <w:p>
      <w:pPr>
        <w:spacing w:before="72"/>
        <w:ind w:left="0" w:right="1291" w:firstLine="0"/>
        <w:jc w:val="right"/>
        <w:rPr>
          <w:rFonts w:ascii="宋体" w:hAnsi="宋体" w:cs="宋体" w:eastAsia="宋体" w:hint="default"/>
          <w:sz w:val="24"/>
          <w:szCs w:val="24"/>
        </w:rPr>
      </w:pPr>
      <w:r>
        <w:rPr>
          <w:rFonts w:ascii="宋体" w:hAnsi="宋体" w:cs="宋体" w:eastAsia="宋体" w:hint="default"/>
          <w:sz w:val="24"/>
          <w:szCs w:val="24"/>
        </w:rPr>
        <w:t>2018年4月22日</w:t>
      </w:r>
    </w:p>
    <w:sectPr>
      <w:pgSz w:w="11910" w:h="16840"/>
      <w:pgMar w:header="907" w:footer="1013" w:top="1100" w:bottom="1200" w:left="102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78.047974pt;width:24.7pt;height:14.65pt;mso-position-horizontal-relative:page;mso-position-vertical-relative:page;z-index:-870760" type="#_x0000_t202" filled="false" stroked="false">
          <v:textbox inset="0,0,0,0">
            <w:txbxContent>
              <w:p>
                <w:pPr>
                  <w:spacing w:before="36"/>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10</w:t>
                </w:r>
                <w:r>
                  <w:rPr/>
                  <w:fldChar w:fldCharType="end"/>
                </w:r>
                <w:r>
                  <w:rPr>
                    <w:rFonts w:ascii="Times New Roman"/>
                    <w:spacing w:val="-3"/>
                    <w:sz w:val="21"/>
                  </w:rPr>
                  <w:t> </w:t>
                </w:r>
                <w:r>
                  <w:rPr>
                    <w:rFonts w:ascii="Times New Roman"/>
                    <w:sz w:val="21"/>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496"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66</w:t>
                </w:r>
                <w:r>
                  <w:rPr/>
                  <w:fldChar w:fldCharType="end"/>
                </w:r>
                <w:r>
                  <w:rPr>
                    <w:rFonts w:ascii="Times New Roman"/>
                    <w:spacing w:val="-3"/>
                    <w:sz w:val="21"/>
                  </w:rPr>
                  <w:t> </w:t>
                </w:r>
                <w:r>
                  <w:rPr>
                    <w:rFonts w:ascii="Times New Roman"/>
                    <w:sz w:val="21"/>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47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70</w:t>
                </w:r>
                <w:r>
                  <w:rPr/>
                  <w:fldChar w:fldCharType="end"/>
                </w:r>
                <w:r>
                  <w:rPr>
                    <w:rFonts w:ascii="Times New Roman"/>
                    <w:spacing w:val="-3"/>
                    <w:sz w:val="21"/>
                  </w:rPr>
                  <w:t> </w:t>
                </w:r>
                <w:r>
                  <w:rPr>
                    <w:rFonts w:ascii="Times New Roman"/>
                    <w:sz w:val="21"/>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42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80</w:t>
                </w:r>
                <w:r>
                  <w:rPr/>
                  <w:fldChar w:fldCharType="end"/>
                </w:r>
                <w:r>
                  <w:rPr>
                    <w:rFonts w:ascii="Times New Roman"/>
                    <w:spacing w:val="-3"/>
                    <w:sz w:val="21"/>
                  </w:rPr>
                  <w:t> </w:t>
                </w:r>
                <w:r>
                  <w:rPr>
                    <w:rFonts w:ascii="Times New Roman"/>
                    <w:sz w:val="21"/>
                  </w:rPr>
                  <w:t>-</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40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89</w:t>
                </w:r>
                <w:r>
                  <w:rPr/>
                  <w:fldChar w:fldCharType="end"/>
                </w:r>
                <w:r>
                  <w:rPr>
                    <w:rFonts w:ascii="Times New Roman"/>
                    <w:spacing w:val="-3"/>
                    <w:sz w:val="21"/>
                  </w:rPr>
                  <w:t> </w:t>
                </w:r>
                <w:r>
                  <w:rPr>
                    <w:rFonts w:ascii="Times New Roman"/>
                    <w:sz w:val="21"/>
                  </w:rPr>
                  <w:t>-</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376"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90</w:t>
                </w:r>
                <w:r>
                  <w:rPr/>
                  <w:fldChar w:fldCharType="end"/>
                </w:r>
                <w:r>
                  <w:rPr>
                    <w:rFonts w:ascii="Times New Roman"/>
                    <w:spacing w:val="-3"/>
                    <w:sz w:val="21"/>
                  </w:rPr>
                  <w:t> </w:t>
                </w:r>
                <w:r>
                  <w:rPr>
                    <w:rFonts w:ascii="Times New Roman"/>
                    <w:sz w:val="21"/>
                  </w:rPr>
                  <w:t>-</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35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100</w:t>
                </w:r>
                <w:r>
                  <w:rPr/>
                  <w:fldChar w:fldCharType="end"/>
                </w:r>
                <w:r>
                  <w:rPr>
                    <w:rFonts w:ascii="Times New Roman"/>
                    <w:spacing w:val="-7"/>
                    <w:sz w:val="21"/>
                  </w:rPr>
                  <w:t> </w:t>
                </w:r>
                <w:r>
                  <w:rPr>
                    <w:rFonts w:ascii="Times New Roman"/>
                    <w:sz w:val="21"/>
                  </w:rPr>
                  <w:t>-</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328"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104</w:t>
                </w:r>
                <w:r>
                  <w:rPr/>
                  <w:fldChar w:fldCharType="end"/>
                </w:r>
                <w:r>
                  <w:rPr>
                    <w:rFonts w:ascii="Times New Roman"/>
                    <w:spacing w:val="-7"/>
                    <w:sz w:val="21"/>
                  </w:rPr>
                  <w:t> </w:t>
                </w:r>
                <w:r>
                  <w:rPr>
                    <w:rFonts w:ascii="Times New Roman"/>
                    <w:sz w:val="21"/>
                  </w:rPr>
                  <w:t>-</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99988pt;margin-top:780.241211pt;width:29.6pt;height:12.45pt;mso-position-horizontal-relative:page;mso-position-vertical-relative:page;z-index:-87030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110</w:t>
                </w:r>
                <w:r>
                  <w:rPr/>
                  <w:fldChar w:fldCharType="end"/>
                </w:r>
                <w:r>
                  <w:rPr>
                    <w:rFonts w:ascii="Times New Roman"/>
                    <w:spacing w:val="-4"/>
                    <w:sz w:val="21"/>
                  </w:rPr>
                  <w:t> </w:t>
                </w:r>
                <w:r>
                  <w:rPr>
                    <w:rFonts w:ascii="Times New Roman"/>
                    <w:sz w:val="21"/>
                  </w:rPr>
                  <w:t>-</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99988pt;margin-top:780.241211pt;width:29.6pt;height:12.45pt;mso-position-horizontal-relative:page;mso-position-vertical-relative:page;z-index:-87028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rFonts w:ascii="Times New Roman"/>
                    <w:spacing w:val="-2"/>
                    <w:sz w:val="21"/>
                  </w:rPr>
                  <w:t>114</w:t>
                </w:r>
                <w:r>
                  <w:rPr>
                    <w:rFonts w:ascii="Times New Roman"/>
                    <w:spacing w:val="-4"/>
                    <w:sz w:val="21"/>
                  </w:rPr>
                  <w:t> </w:t>
                </w:r>
                <w:r>
                  <w:rPr>
                    <w:rFonts w:ascii="Times New Roman"/>
                    <w:sz w:val="21"/>
                  </w:rPr>
                  <w:t>-</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99988pt;margin-top:780.241211pt;width:29.6pt;height:12.45pt;mso-position-horizontal-relative:page;mso-position-vertical-relative:page;z-index:-870256"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rFonts w:ascii="Times New Roman"/>
                    <w:spacing w:val="-2"/>
                    <w:sz w:val="21"/>
                  </w:rPr>
                  <w:t>115</w:t>
                </w:r>
                <w:r>
                  <w:rPr>
                    <w:rFonts w:ascii="Times New Roman"/>
                    <w:spacing w:val="-4"/>
                    <w:sz w:val="21"/>
                  </w:rPr>
                  <w:t> </w:t>
                </w:r>
                <w:r>
                  <w:rPr>
                    <w:rFonts w:ascii="Times New Roman"/>
                    <w:sz w:val="21"/>
                  </w:rPr>
                  <w:t>-</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71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20</w:t>
                </w:r>
                <w:r>
                  <w:rPr/>
                  <w:fldChar w:fldCharType="end"/>
                </w:r>
                <w:r>
                  <w:rPr>
                    <w:rFonts w:ascii="Times New Roman"/>
                    <w:spacing w:val="-3"/>
                    <w:sz w:val="21"/>
                  </w:rPr>
                  <w:t> </w:t>
                </w:r>
                <w:r>
                  <w:rPr>
                    <w:rFonts w:ascii="Times New Roman"/>
                    <w:sz w:val="21"/>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799988pt;margin-top:780.241211pt;width:29.6pt;height:12.45pt;mso-position-horizontal-relative:page;mso-position-vertical-relative:page;z-index:-87023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116</w:t>
                </w:r>
                <w:r>
                  <w:rPr/>
                  <w:fldChar w:fldCharType="end"/>
                </w:r>
                <w:r>
                  <w:rPr>
                    <w:rFonts w:ascii="Times New Roman"/>
                    <w:spacing w:val="-4"/>
                    <w:sz w:val="21"/>
                  </w:rPr>
                  <w:t> </w:t>
                </w:r>
                <w:r>
                  <w:rPr>
                    <w:rFonts w:ascii="Times New Roman"/>
                    <w:sz w:val="21"/>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208"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120</w:t>
                </w:r>
                <w:r>
                  <w:rPr/>
                  <w:fldChar w:fldCharType="end"/>
                </w:r>
                <w:r>
                  <w:rPr>
                    <w:rFonts w:ascii="Times New Roman"/>
                    <w:spacing w:val="-7"/>
                    <w:sz w:val="21"/>
                  </w:rPr>
                  <w:t> </w:t>
                </w:r>
                <w:r>
                  <w:rPr>
                    <w:rFonts w:ascii="Times New Roman"/>
                    <w:sz w:val="21"/>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18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122</w:t>
                </w:r>
                <w:r>
                  <w:rPr/>
                  <w:fldChar w:fldCharType="end"/>
                </w:r>
                <w:r>
                  <w:rPr>
                    <w:rFonts w:ascii="Times New Roman"/>
                    <w:spacing w:val="-7"/>
                    <w:sz w:val="21"/>
                  </w:rPr>
                  <w:t> </w:t>
                </w:r>
                <w:r>
                  <w:rPr>
                    <w:rFonts w:ascii="Times New Roman"/>
                    <w:sz w:val="21"/>
                  </w:rPr>
                  <w:t>-</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16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130</w:t>
                </w:r>
                <w:r>
                  <w:rPr/>
                  <w:fldChar w:fldCharType="end"/>
                </w:r>
                <w:r>
                  <w:rPr>
                    <w:rFonts w:ascii="Times New Roman"/>
                    <w:spacing w:val="-7"/>
                    <w:sz w:val="21"/>
                  </w:rPr>
                  <w:t> </w:t>
                </w:r>
                <w:r>
                  <w:rPr>
                    <w:rFonts w:ascii="Times New Roman"/>
                    <w:sz w:val="21"/>
                  </w:rPr>
                  <w:t>-</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136"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140</w:t>
                </w:r>
                <w:r>
                  <w:rPr/>
                  <w:fldChar w:fldCharType="end"/>
                </w:r>
                <w:r>
                  <w:rPr>
                    <w:rFonts w:ascii="Times New Roman"/>
                    <w:spacing w:val="-7"/>
                    <w:sz w:val="21"/>
                  </w:rPr>
                  <w:t> </w:t>
                </w:r>
                <w:r>
                  <w:rPr>
                    <w:rFonts w:ascii="Times New Roman"/>
                    <w:sz w:val="21"/>
                  </w:rPr>
                  <w:t>-</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11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141</w:t>
                </w:r>
                <w:r>
                  <w:rPr/>
                  <w:fldChar w:fldCharType="end"/>
                </w:r>
                <w:r>
                  <w:rPr>
                    <w:rFonts w:ascii="Times New Roman"/>
                    <w:spacing w:val="-7"/>
                    <w:sz w:val="21"/>
                  </w:rPr>
                  <w:t> </w:t>
                </w:r>
                <w:r>
                  <w:rPr>
                    <w:rFonts w:ascii="Times New Roman"/>
                    <w:sz w:val="21"/>
                  </w:rPr>
                  <w:t>-</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088"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150</w:t>
                </w:r>
                <w:r>
                  <w:rPr/>
                  <w:fldChar w:fldCharType="end"/>
                </w:r>
                <w:r>
                  <w:rPr>
                    <w:rFonts w:ascii="Times New Roman"/>
                    <w:spacing w:val="-7"/>
                    <w:sz w:val="21"/>
                  </w:rPr>
                  <w:t> </w:t>
                </w:r>
                <w:r>
                  <w:rPr>
                    <w:rFonts w:ascii="Times New Roman"/>
                    <w:sz w:val="21"/>
                  </w:rPr>
                  <w:t>-</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679993pt;margin-top:780.241211pt;width:29.85pt;height:12.45pt;mso-position-horizontal-relative:page;mso-position-vertical-relative:page;z-index:-87004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160</w:t>
                </w:r>
                <w:r>
                  <w:rPr/>
                  <w:fldChar w:fldCharType="end"/>
                </w:r>
                <w:r>
                  <w:rPr>
                    <w:rFonts w:ascii="Times New Roman"/>
                    <w:spacing w:val="-7"/>
                    <w:sz w:val="21"/>
                  </w:rPr>
                  <w:t> </w:t>
                </w:r>
                <w:r>
                  <w:rPr>
                    <w:rFonts w:ascii="Times New Roman"/>
                    <w:sz w:val="21"/>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688"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- 29</w:t>
                </w:r>
                <w:r>
                  <w:rPr>
                    <w:rFonts w:ascii="Times New Roman"/>
                    <w:spacing w:val="-2"/>
                    <w:sz w:val="21"/>
                  </w:rPr>
                  <w:t> </w:t>
                </w:r>
                <w:r>
                  <w:rPr>
                    <w:rFonts w:ascii="Times New Roman"/>
                    <w:sz w:val="21"/>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66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30</w:t>
                </w:r>
                <w:r>
                  <w:rPr/>
                  <w:fldChar w:fldCharType="end"/>
                </w:r>
                <w:r>
                  <w:rPr>
                    <w:rFonts w:ascii="Times New Roman"/>
                    <w:spacing w:val="-3"/>
                    <w:sz w:val="21"/>
                  </w:rPr>
                  <w:t> </w:t>
                </w:r>
                <w:r>
                  <w:rPr>
                    <w:rFonts w:ascii="Times New Roman"/>
                    <w:sz w:val="21"/>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64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40</w:t>
                </w:r>
                <w:r>
                  <w:rPr/>
                  <w:fldChar w:fldCharType="end"/>
                </w:r>
                <w:r>
                  <w:rPr>
                    <w:rFonts w:ascii="Times New Roman"/>
                    <w:spacing w:val="-3"/>
                    <w:sz w:val="21"/>
                  </w:rPr>
                  <w:t> </w:t>
                </w:r>
                <w:r>
                  <w:rPr>
                    <w:rFonts w:ascii="Times New Roman"/>
                    <w:sz w:val="21"/>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592"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50</w:t>
                </w:r>
                <w:r>
                  <w:rPr/>
                  <w:fldChar w:fldCharType="end"/>
                </w:r>
                <w:r>
                  <w:rPr>
                    <w:rFonts w:ascii="Times New Roman"/>
                    <w:spacing w:val="-3"/>
                    <w:sz w:val="21"/>
                  </w:rPr>
                  <w:t> </w:t>
                </w:r>
                <w:r>
                  <w:rPr>
                    <w:rFonts w:ascii="Times New Roman"/>
                    <w:sz w:val="21"/>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568"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51</w:t>
                </w:r>
                <w:r>
                  <w:rPr/>
                  <w:fldChar w:fldCharType="end"/>
                </w:r>
                <w:r>
                  <w:rPr>
                    <w:rFonts w:ascii="Times New Roman"/>
                    <w:spacing w:val="-3"/>
                    <w:sz w:val="21"/>
                  </w:rPr>
                  <w:t> </w:t>
                </w:r>
                <w:r>
                  <w:rPr>
                    <w:rFonts w:ascii="Times New Roman"/>
                    <w:sz w:val="21"/>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544"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w:t>
                </w:r>
                <w:r>
                  <w:rPr/>
                  <w:fldChar w:fldCharType="begin"/>
                </w:r>
                <w:r>
                  <w:rPr>
                    <w:rFonts w:ascii="Times New Roman"/>
                    <w:sz w:val="21"/>
                  </w:rPr>
                  <w:instrText> PAGE </w:instrText>
                </w:r>
                <w:r>
                  <w:rPr/>
                  <w:fldChar w:fldCharType="separate"/>
                </w:r>
                <w:r>
                  <w:rPr/>
                  <w:t>60</w:t>
                </w:r>
                <w:r>
                  <w:rPr/>
                  <w:fldChar w:fldCharType="end"/>
                </w:r>
                <w:r>
                  <w:rPr>
                    <w:rFonts w:ascii="Times New Roman"/>
                    <w:spacing w:val="-3"/>
                    <w:sz w:val="21"/>
                  </w:rPr>
                  <w:t> </w:t>
                </w:r>
                <w:r>
                  <w:rPr>
                    <w:rFonts w:ascii="Times New Roman"/>
                    <w:sz w:val="21"/>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5.320007pt;margin-top:780.241211pt;width:24.7pt;height:12.45pt;mso-position-horizontal-relative:page;mso-position-vertical-relative:page;z-index:-870520" type="#_x0000_t202" filled="false" stroked="false">
          <v:textbox inset="0,0,0,0">
            <w:txbxContent>
              <w:p>
                <w:pPr>
                  <w:spacing w:line="234" w:lineRule="exact" w:before="0"/>
                  <w:ind w:left="20" w:right="0" w:firstLine="0"/>
                  <w:jc w:val="left"/>
                  <w:rPr>
                    <w:rFonts w:ascii="Times New Roman" w:hAnsi="Times New Roman" w:cs="Times New Roman" w:eastAsia="Times New Roman" w:hint="default"/>
                    <w:sz w:val="21"/>
                    <w:szCs w:val="21"/>
                  </w:rPr>
                </w:pPr>
                <w:r>
                  <w:rPr>
                    <w:rFonts w:ascii="Times New Roman"/>
                    <w:sz w:val="21"/>
                  </w:rPr>
                  <w:t>- 65</w:t>
                </w:r>
                <w:r>
                  <w:rPr>
                    <w:rFonts w:ascii="Times New Roman"/>
                    <w:spacing w:val="-2"/>
                    <w:sz w:val="21"/>
                  </w:rPr>
                  <w:t> </w:t>
                </w:r>
                <w:r>
                  <w:rPr>
                    <w:rFonts w:ascii="Times New Roman"/>
                    <w:sz w:val="21"/>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355648pt;width:222.6pt;height:11.5pt;mso-position-horizontal-relative:page;mso-position-vertical-relative:page;z-index:-870784" type="#_x0000_t202" filled="false" stroked="false">
          <v:textbox inset="0,0,0,0">
            <w:txbxContent>
              <w:p>
                <w:pPr>
                  <w:pStyle w:val="BodyText"/>
                  <w:spacing w:line="214" w:lineRule="exact"/>
                  <w:ind w:left="20" w:right="0"/>
                  <w:jc w:val="left"/>
                </w:pPr>
                <w:r>
                  <w:rPr/>
                  <w:t>尤洛卡精准信息工程股份有限公司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70736" type="#_x0000_t202" filled="false" stroked="false">
          <v:textbox inset="0,0,0,0">
            <w:txbxContent>
              <w:p>
                <w:pPr>
                  <w:pStyle w:val="BodyText"/>
                  <w:spacing w:line="214" w:lineRule="exact"/>
                  <w:ind w:left="20" w:right="0"/>
                  <w:jc w:val="left"/>
                </w:pPr>
                <w:r>
                  <w:rPr/>
                  <w:t>尤洛卡精准信息工程股份有限公司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70616" type="#_x0000_t202" filled="false" stroked="false">
          <v:textbox inset="0,0,0,0">
            <w:txbxContent>
              <w:p>
                <w:pPr>
                  <w:pStyle w:val="BodyText"/>
                  <w:spacing w:line="214" w:lineRule="exact"/>
                  <w:ind w:left="20" w:right="0"/>
                  <w:jc w:val="left"/>
                </w:pPr>
                <w:r>
                  <w:rPr/>
                  <w:t>尤洛卡精准信息工程股份有限公司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70448" type="#_x0000_t202" filled="false" stroked="false">
          <v:textbox inset="0,0,0,0">
            <w:txbxContent>
              <w:p>
                <w:pPr>
                  <w:pStyle w:val="BodyText"/>
                  <w:spacing w:line="214" w:lineRule="exact"/>
                  <w:ind w:left="20" w:right="0"/>
                  <w:jc w:val="left"/>
                </w:pPr>
                <w:r>
                  <w:rPr/>
                  <w:t>尤洛卡精准信息工程股份有限公司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95565pt;width:222.6pt;height:11.4pt;mso-position-horizontal-relative:page;mso-position-vertical-relative:page;z-index:-870064" type="#_x0000_t202" filled="false" stroked="false">
          <v:textbox inset="0,0,0,0">
            <w:txbxContent>
              <w:p>
                <w:pPr>
                  <w:pStyle w:val="BodyText"/>
                  <w:spacing w:line="214" w:lineRule="exact"/>
                  <w:ind w:left="20" w:right="0"/>
                  <w:jc w:val="left"/>
                </w:pPr>
                <w:r>
                  <w:rPr/>
                  <w:t>尤洛卡精准信息工程股份有限公司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112"/>
    </w:pPr>
    <w:rPr>
      <w:rFonts w:ascii="宋体" w:hAnsi="宋体" w:eastAsia="宋体"/>
      <w:sz w:val="18"/>
      <w:szCs w:val="18"/>
    </w:rPr>
  </w:style>
  <w:style w:styleId="Heading1" w:type="paragraph">
    <w:name w:val="Heading 1"/>
    <w:basedOn w:val="Normal"/>
    <w:uiPriority w:val="1"/>
    <w:qFormat/>
    <w:pPr>
      <w:ind w:left="2199"/>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spacing w:before="36"/>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image" Target="media/image2.jpeg"/><Relationship Id="rId10" Type="http://schemas.openxmlformats.org/officeDocument/2006/relationships/hyperlink" Target="http://www.uroica.com.cn/" TargetMode="External"/><Relationship Id="rId11" Type="http://schemas.openxmlformats.org/officeDocument/2006/relationships/hyperlink" Target="mailto:mail@uroica.com.cn" TargetMode="External"/><Relationship Id="rId12" Type="http://schemas.openxmlformats.org/officeDocument/2006/relationships/hyperlink" Target="mailto:chw600157@163.com" TargetMode="External"/><Relationship Id="rId13" Type="http://schemas.openxmlformats.org/officeDocument/2006/relationships/hyperlink" Target="mailto:chen19341912@163.com" TargetMode="External"/><Relationship Id="rId14" Type="http://schemas.openxmlformats.org/officeDocument/2006/relationships/hyperlink" Target="http://www.cninfo.com.cn/" TargetMode="Externa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image" Target="media/image3.jpe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3.xml"/><Relationship Id="rId21" Type="http://schemas.openxmlformats.org/officeDocument/2006/relationships/footer" Target="footer6.xm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image" Target="media/image4.jpeg"/><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footer" Target="footer11.xml"/><Relationship Id="rId28" Type="http://schemas.openxmlformats.org/officeDocument/2006/relationships/header" Target="header4.xml"/><Relationship Id="rId29" Type="http://schemas.openxmlformats.org/officeDocument/2006/relationships/footer" Target="footer12.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footer" Target="footer18.xml"/><Relationship Id="rId36" Type="http://schemas.openxmlformats.org/officeDocument/2006/relationships/footer" Target="footer19.xml"/><Relationship Id="rId37" Type="http://schemas.openxmlformats.org/officeDocument/2006/relationships/footer" Target="footer20.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footer" Target="footer24.xml"/><Relationship Id="rId42" Type="http://schemas.openxmlformats.org/officeDocument/2006/relationships/footer" Target="footer25.xml"/><Relationship Id="rId43" Type="http://schemas.openxmlformats.org/officeDocument/2006/relationships/footer" Target="footer26.xml"/><Relationship Id="rId44" Type="http://schemas.openxmlformats.org/officeDocument/2006/relationships/header" Target="header5.xml"/><Relationship Id="rId45"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2020-05-02T23:51:54Z</dcterms:created>
  <dcterms:modified xsi:type="dcterms:W3CDTF">2020-05-02T23:51:54Z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WPS Office</vt:lpwstr>
  </property>
  <property fmtid="{D5CDD505-2E9C-101B-9397-08002B2CF9AE}" pid="4" name="LastSaved">
    <vt:filetime>2020-05-02T00:00:00Z</vt:filetime>
  </property>
</Properties>
</file>