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9"/>
        <w:ind w:left="93" w:right="1108" w:firstLine="0"/>
        <w:jc w:val="center"/>
        <w:rPr>
          <w:rFonts w:ascii="宋体" w:hAnsi="宋体" w:cs="宋体" w:eastAsia="宋体" w:hint="default"/>
          <w:sz w:val="36"/>
          <w:szCs w:val="36"/>
        </w:rPr>
      </w:pPr>
      <w:r>
        <w:rPr>
          <w:rFonts w:ascii="宋体" w:hAnsi="宋体" w:cs="宋体" w:eastAsia="宋体" w:hint="default"/>
          <w:b/>
          <w:bCs/>
          <w:sz w:val="36"/>
          <w:szCs w:val="36"/>
        </w:rPr>
        <w:t>尤洛卡精准信息工程股份有限公司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pStyle w:val="Heading1"/>
        <w:spacing w:line="240" w:lineRule="auto"/>
        <w:ind w:right="1113"/>
        <w:jc w:val="center"/>
        <w:rPr>
          <w:b w:val="0"/>
          <w:bCs w:val="0"/>
        </w:rPr>
      </w:pP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年年度报告</w:t>
      </w:r>
      <w:r>
        <w:rPr>
          <w:b w:val="0"/>
          <w:bCs w:val="0"/>
        </w:rPr>
      </w:r>
    </w:p>
    <w:p>
      <w:pPr>
        <w:spacing w:line="240" w:lineRule="auto" w:before="10"/>
        <w:rPr>
          <w:rFonts w:ascii="宋体" w:hAnsi="宋体" w:cs="宋体" w:eastAsia="宋体" w:hint="default"/>
          <w:b/>
          <w:bCs/>
          <w:sz w:val="29"/>
          <w:szCs w:val="29"/>
        </w:rPr>
      </w:pPr>
    </w:p>
    <w:p>
      <w:pPr>
        <w:spacing w:before="0"/>
        <w:ind w:left="93" w:right="1108" w:firstLine="0"/>
        <w:jc w:val="center"/>
        <w:rPr>
          <w:rFonts w:ascii="Times New Roman" w:hAnsi="Times New Roman" w:cs="Times New Roman" w:eastAsia="Times New Roman" w:hint="default"/>
          <w:sz w:val="22"/>
          <w:szCs w:val="22"/>
        </w:rPr>
      </w:pPr>
      <w:r>
        <w:rPr>
          <w:rFonts w:ascii="宋体" w:hAnsi="宋体" w:cs="宋体" w:eastAsia="宋体" w:hint="default"/>
          <w:b/>
          <w:bCs/>
          <w:sz w:val="22"/>
          <w:szCs w:val="22"/>
        </w:rPr>
        <w:t>公告编号：</w:t>
      </w:r>
      <w:r>
        <w:rPr>
          <w:rFonts w:ascii="Times New Roman" w:hAnsi="Times New Roman" w:cs="Times New Roman" w:eastAsia="Times New Roman" w:hint="default"/>
          <w:b/>
          <w:bCs/>
          <w:sz w:val="22"/>
          <w:szCs w:val="22"/>
        </w:rPr>
        <w:t>2019-015</w:t>
      </w:r>
      <w:r>
        <w:rPr>
          <w:rFonts w:ascii="Times New Roman" w:hAnsi="Times New Roman" w:cs="Times New Roman" w:eastAsia="Times New Roman" w:hint="default"/>
          <w:sz w:val="22"/>
          <w:szCs w:val="22"/>
        </w:rPr>
      </w: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16"/>
          <w:szCs w:val="16"/>
        </w:rPr>
      </w:pPr>
    </w:p>
    <w:p>
      <w:pPr>
        <w:spacing w:line="4941" w:lineRule="exact"/>
        <w:ind w:left="11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8"/>
          <w:sz w:val="20"/>
          <w:szCs w:val="20"/>
        </w:rPr>
        <w:drawing>
          <wp:inline distT="0" distB="0" distL="0" distR="0">
            <wp:extent cx="6445737" cy="313753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6445737" cy="3137535"/>
                    </a:xfrm>
                    <a:prstGeom prst="rect">
                      <a:avLst/>
                    </a:prstGeom>
                  </pic:spPr>
                </pic:pic>
              </a:graphicData>
            </a:graphic>
          </wp:inline>
        </w:drawing>
      </w:r>
      <w:r>
        <w:rPr>
          <w:rFonts w:ascii="Times New Roman" w:hAnsi="Times New Roman" w:cs="Times New Roman" w:eastAsia="Times New Roman" w:hint="default"/>
          <w:position w:val="-98"/>
          <w:sz w:val="20"/>
          <w:szCs w:val="20"/>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6"/>
        <w:rPr>
          <w:rFonts w:ascii="Times New Roman" w:hAnsi="Times New Roman" w:cs="Times New Roman" w:eastAsia="Times New Roman" w:hint="default"/>
          <w:b/>
          <w:bCs/>
          <w:sz w:val="19"/>
          <w:szCs w:val="19"/>
        </w:rPr>
      </w:pPr>
    </w:p>
    <w:p>
      <w:pPr>
        <w:pStyle w:val="Heading1"/>
        <w:spacing w:line="240" w:lineRule="auto"/>
        <w:ind w:right="1113"/>
        <w:jc w:val="center"/>
        <w:rPr>
          <w:b w:val="0"/>
          <w:bCs w:val="0"/>
        </w:rPr>
      </w:pP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83"/>
        </w:rPr>
        <w:t> </w:t>
      </w:r>
      <w:r>
        <w:rPr>
          <w:rFonts w:ascii="Times New Roman" w:hAnsi="Times New Roman" w:cs="Times New Roman" w:eastAsia="Times New Roman" w:hint="default"/>
        </w:rPr>
        <w:t>04</w:t>
      </w:r>
      <w:r>
        <w:rPr>
          <w:rFonts w:ascii="Times New Roman" w:hAnsi="Times New Roman" w:cs="Times New Roman" w:eastAsia="Times New Roman" w:hint="default"/>
          <w:spacing w:val="-5"/>
        </w:rPr>
        <w:t> </w:t>
      </w:r>
      <w:r>
        <w:rPr/>
        <w:t>月</w:t>
      </w:r>
      <w:r>
        <w:rPr>
          <w:b w:val="0"/>
          <w:bCs w:val="0"/>
        </w:rPr>
      </w:r>
    </w:p>
    <w:p>
      <w:pPr>
        <w:spacing w:after="0" w:line="240" w:lineRule="auto"/>
        <w:jc w:val="center"/>
        <w:sectPr>
          <w:headerReference w:type="default" r:id="rId5"/>
          <w:footerReference w:type="default" r:id="rId6"/>
          <w:type w:val="continuous"/>
          <w:pgSz w:w="11910" w:h="16840"/>
          <w:pgMar w:header="787" w:footer="504" w:top="1100" w:bottom="70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spacing w:before="0"/>
        <w:ind w:left="2764" w:right="987" w:firstLine="0"/>
        <w:jc w:val="left"/>
        <w:rPr>
          <w:rFonts w:ascii="宋体" w:hAnsi="宋体" w:cs="宋体" w:eastAsia="宋体" w:hint="default"/>
          <w:sz w:val="32"/>
          <w:szCs w:val="32"/>
        </w:rPr>
      </w:pPr>
      <w:bookmarkStart w:name="第一节 重要提示、目录和释义" w:id="1"/>
      <w:bookmarkEnd w:id="1"/>
      <w:r>
        <w:rPr/>
      </w:r>
      <w:r>
        <w:rPr>
          <w:rFonts w:ascii="宋体" w:hAnsi="宋体" w:cs="宋体" w:eastAsia="宋体" w:hint="default"/>
          <w:b/>
          <w:bCs/>
          <w:sz w:val="32"/>
          <w:szCs w:val="32"/>
        </w:rPr>
        <w:t>第一节</w:t>
      </w:r>
      <w:r>
        <w:rPr>
          <w:rFonts w:ascii="宋体" w:hAnsi="宋体" w:cs="宋体" w:eastAsia="宋体" w:hint="default"/>
          <w:b/>
          <w:bCs/>
          <w:spacing w:val="-11"/>
          <w:sz w:val="32"/>
          <w:szCs w:val="32"/>
        </w:rPr>
        <w:t> </w:t>
      </w:r>
      <w:r>
        <w:rPr>
          <w:rFonts w:ascii="宋体" w:hAnsi="宋体" w:cs="宋体" w:eastAsia="宋体" w:hint="default"/>
          <w:b/>
          <w:bCs/>
          <w:sz w:val="32"/>
          <w:szCs w:val="32"/>
        </w:rPr>
        <w:t>重要提示、目录和释义</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408" w:lineRule="auto" w:before="212"/>
        <w:ind w:left="112" w:right="112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0"/>
        <w:ind w:left="112" w:right="1130" w:firstLine="561"/>
        <w:jc w:val="both"/>
        <w:rPr>
          <w:rFonts w:ascii="宋体" w:hAnsi="宋体" w:cs="宋体" w:eastAsia="宋体" w:hint="default"/>
          <w:sz w:val="28"/>
          <w:szCs w:val="28"/>
        </w:rPr>
      </w:pPr>
      <w:r>
        <w:rPr>
          <w:rFonts w:ascii="宋体" w:hAnsi="宋体" w:cs="宋体" w:eastAsia="宋体" w:hint="default"/>
          <w:b/>
          <w:bCs/>
          <w:spacing w:val="-1"/>
          <w:sz w:val="28"/>
          <w:szCs w:val="28"/>
        </w:rPr>
        <w:t>公司负责人黄自伟、主管会计工作负责人崔保航及会计机构负责人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曹丽妮声明：保证年度报告中财务报告的真实、准确、完整。</w:t>
      </w:r>
      <w:r>
        <w:rPr>
          <w:rFonts w:ascii="宋体" w:hAnsi="宋体" w:cs="宋体" w:eastAsia="宋体" w:hint="default"/>
          <w:sz w:val="28"/>
          <w:szCs w:val="28"/>
        </w:rPr>
      </w:r>
    </w:p>
    <w:p>
      <w:pPr>
        <w:spacing w:line="475" w:lineRule="auto" w:before="148"/>
        <w:ind w:left="674" w:right="987"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本年度报告中涉及未来计划或规划等前瞻性陈述的，均不构成公司对投资</w:t>
      </w:r>
      <w:r>
        <w:rPr>
          <w:rFonts w:ascii="宋体" w:hAnsi="宋体" w:cs="宋体" w:eastAsia="宋体" w:hint="default"/>
          <w:spacing w:val="2"/>
          <w:sz w:val="28"/>
          <w:szCs w:val="28"/>
        </w:rPr>
      </w:r>
    </w:p>
    <w:p>
      <w:pPr>
        <w:spacing w:line="350" w:lineRule="exact" w:before="0"/>
        <w:ind w:left="112" w:right="987" w:firstLine="0"/>
        <w:jc w:val="left"/>
        <w:rPr>
          <w:rFonts w:ascii="宋体" w:hAnsi="宋体" w:cs="宋体" w:eastAsia="宋体" w:hint="default"/>
          <w:sz w:val="28"/>
          <w:szCs w:val="28"/>
        </w:rPr>
      </w:pPr>
      <w:r>
        <w:rPr>
          <w:rFonts w:ascii="宋体" w:hAnsi="宋体" w:cs="宋体" w:eastAsia="宋体" w:hint="default"/>
          <w:b/>
          <w:bCs/>
          <w:spacing w:val="2"/>
          <w:sz w:val="28"/>
          <w:szCs w:val="28"/>
        </w:rPr>
        <w:t>者的实质承诺，投资者及相关人士均应对此保持足够的风险认识，并且应当理</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460" w:lineRule="auto" w:before="0"/>
        <w:ind w:left="674" w:right="987" w:hanging="562"/>
        <w:jc w:val="left"/>
        <w:rPr>
          <w:rFonts w:ascii="宋体" w:hAnsi="宋体" w:cs="宋体" w:eastAsia="宋体" w:hint="default"/>
          <w:sz w:val="28"/>
          <w:szCs w:val="28"/>
        </w:rPr>
      </w:pPr>
      <w:r>
        <w:rPr>
          <w:rFonts w:ascii="宋体" w:hAnsi="宋体" w:cs="宋体" w:eastAsia="宋体" w:hint="default"/>
          <w:b/>
          <w:bCs/>
          <w:sz w:val="28"/>
          <w:szCs w:val="28"/>
        </w:rPr>
        <w:t>解计划、预测与承诺之间的差异。敬请投资者注意投资风险。</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、新业务、新产品能否尽快量产、实现规模收入的风险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近几年，公司为提高可持续性发展能力，规避单一行业依赖风险，实施业</w:t>
      </w:r>
      <w:r>
        <w:rPr>
          <w:rFonts w:ascii="宋体" w:hAnsi="宋体" w:cs="宋体" w:eastAsia="宋体" w:hint="default"/>
          <w:spacing w:val="2"/>
          <w:sz w:val="28"/>
          <w:szCs w:val="28"/>
        </w:rPr>
      </w:r>
    </w:p>
    <w:p>
      <w:pPr>
        <w:spacing w:line="408" w:lineRule="auto" w:before="0"/>
        <w:ind w:left="112" w:right="987" w:firstLine="0"/>
        <w:jc w:val="left"/>
        <w:rPr>
          <w:rFonts w:ascii="宋体" w:hAnsi="宋体" w:cs="宋体" w:eastAsia="宋体" w:hint="default"/>
          <w:sz w:val="28"/>
          <w:szCs w:val="28"/>
        </w:rPr>
      </w:pPr>
      <w:r>
        <w:rPr>
          <w:rFonts w:ascii="宋体" w:hAnsi="宋体" w:cs="宋体" w:eastAsia="宋体" w:hint="default"/>
          <w:b/>
          <w:bCs/>
          <w:spacing w:val="2"/>
          <w:sz w:val="28"/>
          <w:szCs w:val="28"/>
        </w:rPr>
        <w:t>务转型战略，由单一煤矿安全行业向军工和信息行业转型。为此投入大量的人</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力，财力，进行新技术、新产品的研发和新业务的开拓，截至报告期末，在军</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用氢能源电池、区块链、自主可控交换机及军工信息化业务等方面，取得了较</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3"/>
          <w:sz w:val="28"/>
          <w:szCs w:val="28"/>
        </w:rPr>
        <w:t>大的进展。该类新业务、新产品虽然未来市场前景广阔，但由于存在经验不足、</w:t>
      </w:r>
      <w:r>
        <w:rPr>
          <w:rFonts w:ascii="宋体" w:hAnsi="宋体" w:cs="宋体" w:eastAsia="宋体" w:hint="default"/>
          <w:b/>
          <w:bCs/>
          <w:spacing w:val="-116"/>
          <w:sz w:val="28"/>
          <w:szCs w:val="28"/>
        </w:rPr>
        <w:t> </w:t>
      </w:r>
      <w:r>
        <w:rPr>
          <w:rFonts w:ascii="宋体" w:hAnsi="宋体" w:cs="宋体" w:eastAsia="宋体" w:hint="default"/>
          <w:b/>
          <w:bCs/>
          <w:spacing w:val="-116"/>
          <w:sz w:val="28"/>
          <w:szCs w:val="28"/>
        </w:rPr>
      </w:r>
      <w:r>
        <w:rPr>
          <w:rFonts w:ascii="宋体" w:hAnsi="宋体" w:cs="宋体" w:eastAsia="宋体" w:hint="default"/>
          <w:b/>
          <w:bCs/>
          <w:spacing w:val="2"/>
          <w:sz w:val="28"/>
          <w:szCs w:val="28"/>
        </w:rPr>
        <w:t>技术可能不够成熟、市场开拓可能跟不上，加之市场客户对新产品的认可过程</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较慢等原因，在实现量产、产生规模收入，为公司贡献业绩方面可能存在一定</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的风险。</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footerReference w:type="default" r:id="rId8"/>
          <w:pgSz w:w="11910" w:h="16840"/>
          <w:pgMar w:footer="1028" w:header="787" w:top="1100" w:bottom="1220" w:left="1020" w:right="0"/>
          <w:pgNumType w:start="1"/>
        </w:sectPr>
      </w:pPr>
    </w:p>
    <w:p>
      <w:pPr>
        <w:spacing w:line="240" w:lineRule="auto" w:before="0"/>
        <w:rPr>
          <w:rFonts w:ascii="宋体" w:hAnsi="宋体" w:cs="宋体" w:eastAsia="宋体" w:hint="default"/>
          <w:b/>
          <w:bCs/>
          <w:sz w:val="20"/>
          <w:szCs w:val="20"/>
        </w:rPr>
      </w:pPr>
    </w:p>
    <w:p>
      <w:pPr>
        <w:spacing w:line="446" w:lineRule="auto" w:before="158"/>
        <w:ind w:left="674" w:right="987"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、实施集团化管理模式的风险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报告期内，随着煤矿安全类资产业务划转到矿山科技子公司，公司基本完</w:t>
      </w:r>
      <w:r>
        <w:rPr>
          <w:rFonts w:ascii="宋体" w:hAnsi="宋体" w:cs="宋体" w:eastAsia="宋体" w:hint="default"/>
          <w:spacing w:val="2"/>
          <w:sz w:val="28"/>
          <w:szCs w:val="28"/>
        </w:rPr>
      </w:r>
    </w:p>
    <w:p>
      <w:pPr>
        <w:spacing w:line="408" w:lineRule="auto" w:before="16"/>
        <w:ind w:left="112" w:right="987" w:firstLine="0"/>
        <w:jc w:val="left"/>
        <w:rPr>
          <w:rFonts w:ascii="宋体" w:hAnsi="宋体" w:cs="宋体" w:eastAsia="宋体" w:hint="default"/>
          <w:sz w:val="28"/>
          <w:szCs w:val="28"/>
        </w:rPr>
      </w:pPr>
      <w:r>
        <w:rPr>
          <w:rFonts w:ascii="宋体" w:hAnsi="宋体" w:cs="宋体" w:eastAsia="宋体" w:hint="default"/>
          <w:b/>
          <w:bCs/>
          <w:spacing w:val="2"/>
          <w:sz w:val="28"/>
          <w:szCs w:val="28"/>
        </w:rPr>
        <w:t>成了产业集团构架体系的建设，开始实施集团化管理模式。由于公司原来管理</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的行业单一，且从事管理的人员少，突然从家族式管理模式跨度到企业集团管</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理模式，从决策层到管理层再到员工，如何迅速转变理念和行为模式，将是一</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个极其关键的挑战。实施集团化管理，对整体运营管理和人才队伍建设都提出</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3"/>
          <w:sz w:val="28"/>
          <w:szCs w:val="28"/>
        </w:rPr>
        <w:t>了新的更高的要求，如何协调统一、加强管控，实现多元化经营后的协同效应，</w:t>
      </w:r>
      <w:r>
        <w:rPr>
          <w:rFonts w:ascii="宋体" w:hAnsi="宋体" w:cs="宋体" w:eastAsia="宋体" w:hint="default"/>
          <w:b/>
          <w:bCs/>
          <w:spacing w:val="-114"/>
          <w:sz w:val="28"/>
          <w:szCs w:val="28"/>
        </w:rPr>
        <w:t> </w:t>
      </w:r>
      <w:r>
        <w:rPr>
          <w:rFonts w:ascii="宋体" w:hAnsi="宋体" w:cs="宋体" w:eastAsia="宋体" w:hint="default"/>
          <w:b/>
          <w:bCs/>
          <w:spacing w:val="-114"/>
          <w:sz w:val="28"/>
          <w:szCs w:val="28"/>
        </w:rPr>
      </w:r>
      <w:r>
        <w:rPr>
          <w:rFonts w:ascii="宋体" w:hAnsi="宋体" w:cs="宋体" w:eastAsia="宋体" w:hint="default"/>
          <w:b/>
          <w:bCs/>
          <w:spacing w:val="2"/>
          <w:sz w:val="28"/>
          <w:szCs w:val="28"/>
        </w:rPr>
        <w:t>能否提高整体运营和管理效能是今后公司发展面临的重要风险因素。如果处理</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14"/>
          <w:w w:val="99"/>
          <w:sz w:val="28"/>
          <w:szCs w:val="28"/>
        </w:rPr>
        <w:t>不当，公司将有可能不会成长为一个有机协作整体划一的“战舰”，而是变成“一</w:t>
      </w:r>
      <w:r>
        <w:rPr>
          <w:rFonts w:ascii="宋体" w:hAnsi="宋体" w:cs="宋体" w:eastAsia="宋体" w:hint="default"/>
          <w:b/>
          <w:bCs/>
          <w:spacing w:val="-131"/>
          <w:w w:val="99"/>
          <w:sz w:val="28"/>
          <w:szCs w:val="28"/>
        </w:rPr>
        <w:t> </w:t>
      </w:r>
      <w:r>
        <w:rPr>
          <w:rFonts w:ascii="宋体" w:hAnsi="宋体" w:cs="宋体" w:eastAsia="宋体" w:hint="default"/>
          <w:b/>
          <w:bCs/>
          <w:spacing w:val="-131"/>
          <w:w w:val="99"/>
          <w:sz w:val="28"/>
          <w:szCs w:val="28"/>
        </w:rPr>
      </w:r>
      <w:r>
        <w:rPr>
          <w:rFonts w:ascii="宋体" w:hAnsi="宋体" w:cs="宋体" w:eastAsia="宋体" w:hint="default"/>
          <w:b/>
          <w:bCs/>
          <w:spacing w:val="-29"/>
          <w:w w:val="99"/>
          <w:sz w:val="28"/>
          <w:szCs w:val="28"/>
        </w:rPr>
        <w:t>盘散沙”。</w:t>
      </w:r>
      <w:r>
        <w:rPr>
          <w:rFonts w:ascii="宋体" w:hAnsi="宋体" w:cs="宋体" w:eastAsia="宋体" w:hint="default"/>
          <w:spacing w:val="-29"/>
          <w:sz w:val="28"/>
          <w:szCs w:val="28"/>
        </w:rPr>
      </w:r>
    </w:p>
    <w:p>
      <w:pPr>
        <w:spacing w:line="448" w:lineRule="auto" w:before="162"/>
        <w:ind w:left="674" w:right="987"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、人才风险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随着公司经营规模的不断扩大，管理半径随之增大；同时创新业务增多，</w:t>
      </w:r>
      <w:r>
        <w:rPr>
          <w:rFonts w:ascii="宋体" w:hAnsi="宋体" w:cs="宋体" w:eastAsia="宋体" w:hint="default"/>
          <w:spacing w:val="2"/>
          <w:sz w:val="28"/>
          <w:szCs w:val="28"/>
        </w:rPr>
      </w:r>
    </w:p>
    <w:p>
      <w:pPr>
        <w:spacing w:line="408" w:lineRule="auto" w:before="14"/>
        <w:ind w:left="112" w:right="1130" w:firstLine="0"/>
        <w:jc w:val="both"/>
        <w:rPr>
          <w:rFonts w:ascii="宋体" w:hAnsi="宋体" w:cs="宋体" w:eastAsia="宋体" w:hint="default"/>
          <w:sz w:val="28"/>
          <w:szCs w:val="28"/>
        </w:rPr>
      </w:pPr>
      <w:r>
        <w:rPr>
          <w:rFonts w:ascii="宋体" w:hAnsi="宋体" w:cs="宋体" w:eastAsia="宋体" w:hint="default"/>
          <w:b/>
          <w:bCs/>
          <w:spacing w:val="2"/>
          <w:sz w:val="28"/>
          <w:szCs w:val="28"/>
        </w:rPr>
        <w:t>跨行业、跨地域，凸显公司三个方面的人才严重不足：一是全局性管理人才，</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公司实施集团化管理，必须做到有机统一，有放有管，内控到位，才能达到资</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产不流失、战斗力强，效益高的局面，公司这方面人才缺乏。二是新技术、新</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业务研发人才，公司实施转型创新战略，拓展军工、信息通讯、新能源、区块</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链等新业务、新产品，这方面人才本来社会上就少，公司更是需要量大。三是</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懂专业、懂技术的营销人才，优秀的营销人才本来就少，再加上又要懂专业懂</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技术，那更是少之以少。公司业务、产品技术含量高，专业性强，要求销售过</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程中必须能给客户讲清楚，才能实现销售收入。这方面人才的引进和培养将是</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公司快速发展的关键中关键。</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pgSz w:w="11910" w:h="16840"/>
          <w:pgMar w:header="787" w:footer="1028" w:top="1100" w:bottom="1220" w:left="1020" w:right="0"/>
        </w:sectPr>
      </w:pPr>
    </w:p>
    <w:p>
      <w:pPr>
        <w:spacing w:line="240" w:lineRule="auto" w:before="0"/>
        <w:rPr>
          <w:rFonts w:ascii="宋体" w:hAnsi="宋体" w:cs="宋体" w:eastAsia="宋体" w:hint="default"/>
          <w:b/>
          <w:bCs/>
          <w:sz w:val="20"/>
          <w:szCs w:val="20"/>
        </w:rPr>
      </w:pPr>
    </w:p>
    <w:p>
      <w:pPr>
        <w:spacing w:line="446" w:lineRule="auto" w:before="158"/>
        <w:ind w:left="674" w:right="987"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、行业风险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经过去产能等措施，煤矿行业近期进入周期性复苏阶段，能否持续及持续</w:t>
      </w:r>
      <w:r>
        <w:rPr>
          <w:rFonts w:ascii="宋体" w:hAnsi="宋体" w:cs="宋体" w:eastAsia="宋体" w:hint="default"/>
          <w:spacing w:val="2"/>
          <w:sz w:val="28"/>
          <w:szCs w:val="28"/>
        </w:rPr>
      </w:r>
    </w:p>
    <w:p>
      <w:pPr>
        <w:spacing w:line="408" w:lineRule="auto" w:before="16"/>
        <w:ind w:left="112" w:right="1130" w:firstLine="0"/>
        <w:jc w:val="both"/>
        <w:rPr>
          <w:rFonts w:ascii="宋体" w:hAnsi="宋体" w:cs="宋体" w:eastAsia="宋体" w:hint="default"/>
          <w:sz w:val="28"/>
          <w:szCs w:val="28"/>
        </w:rPr>
      </w:pPr>
      <w:r>
        <w:rPr>
          <w:rFonts w:ascii="宋体" w:hAnsi="宋体" w:cs="宋体" w:eastAsia="宋体" w:hint="default"/>
          <w:b/>
          <w:bCs/>
          <w:spacing w:val="2"/>
          <w:sz w:val="28"/>
          <w:szCs w:val="28"/>
        </w:rPr>
        <w:t>多长时间，将是公司及投资者考虑的风险之一；军工行业，由于国际形势风云</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变幻，国家出台了提高军费支出等多项政策及措施予以支持，是公司军工业务</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的黄金时期。但是如果政策变化，将对公司经营构成影响。信息通讯行业，新</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技术、新产品日新月异，更新换代快，公司产品和技术必须跟上步伐，否则也</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会影响公司的生产经营。</w:t>
      </w:r>
      <w:r>
        <w:rPr>
          <w:rFonts w:ascii="宋体" w:hAnsi="宋体" w:cs="宋体" w:eastAsia="宋体" w:hint="default"/>
          <w:sz w:val="28"/>
          <w:szCs w:val="28"/>
        </w:rPr>
      </w:r>
    </w:p>
    <w:p>
      <w:pPr>
        <w:spacing w:before="162"/>
        <w:ind w:left="674" w:right="987"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2"/>
          <w:sz w:val="28"/>
          <w:szCs w:val="28"/>
        </w:rPr>
        <w:t> </w:t>
      </w:r>
      <w:r>
        <w:rPr>
          <w:rFonts w:ascii="Times New Roman" w:hAnsi="Times New Roman" w:cs="Times New Roman" w:eastAsia="Times New Roman" w:hint="default"/>
          <w:b/>
          <w:bCs/>
          <w:sz w:val="28"/>
          <w:szCs w:val="28"/>
        </w:rPr>
        <w:t>669,164,255</w:t>
      </w:r>
      <w:r>
        <w:rPr>
          <w:rFonts w:ascii="Times New Roman" w:hAnsi="Times New Roman" w:cs="Times New Roman" w:eastAsia="Times New Roman" w:hint="default"/>
          <w:b/>
          <w:bCs/>
          <w:spacing w:val="-23"/>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12" w:right="0" w:firstLine="0"/>
        <w:jc w:val="both"/>
        <w:rPr>
          <w:rFonts w:ascii="宋体" w:hAnsi="宋体" w:cs="宋体" w:eastAsia="宋体" w:hint="default"/>
          <w:sz w:val="28"/>
          <w:szCs w:val="28"/>
        </w:rPr>
      </w:pPr>
      <w:r>
        <w:rPr>
          <w:rFonts w:ascii="宋体" w:hAnsi="宋体" w:cs="宋体" w:eastAsia="宋体" w:hint="default"/>
          <w:b/>
          <w:bCs/>
          <w:spacing w:val="-1"/>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spacing w:val="-1"/>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spacing w:val="-1"/>
          <w:w w:val="99"/>
          <w:sz w:val="28"/>
          <w:szCs w:val="28"/>
        </w:rPr>
        <w:t>现金红</w:t>
      </w:r>
      <w:r>
        <w:rPr>
          <w:rFonts w:ascii="宋体" w:hAnsi="宋体" w:cs="宋体" w:eastAsia="宋体" w:hint="default"/>
          <w:b/>
          <w:bCs/>
          <w:w w:val="99"/>
          <w:sz w:val="28"/>
          <w:szCs w:val="28"/>
        </w:rPr>
        <w:t>利</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spacing w:val="-1"/>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spacing w:val="-1"/>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spacing w:val="-1"/>
          <w:w w:val="99"/>
          <w:sz w:val="28"/>
          <w:szCs w:val="28"/>
        </w:rPr>
        <w:t>以资</w:t>
      </w:r>
      <w:r>
        <w:rPr>
          <w:rFonts w:ascii="宋体" w:hAnsi="宋体" w:cs="宋体" w:eastAsia="宋体" w:hint="default"/>
          <w:b/>
          <w:bCs/>
          <w:spacing w:val="2"/>
          <w:w w:val="99"/>
          <w:sz w:val="28"/>
          <w:szCs w:val="28"/>
        </w:rPr>
        <w:t>本</w:t>
      </w:r>
      <w:r>
        <w:rPr>
          <w:rFonts w:ascii="宋体" w:hAnsi="宋体" w:cs="宋体" w:eastAsia="宋体" w:hint="default"/>
          <w:b/>
          <w:bCs/>
          <w:w w:val="99"/>
          <w:sz w:val="28"/>
          <w:szCs w:val="28"/>
        </w:rPr>
        <w:t>公</w:t>
      </w:r>
      <w:r>
        <w:rPr>
          <w:rFonts w:ascii="宋体" w:hAnsi="宋体" w:cs="宋体" w:eastAsia="宋体" w:hint="default"/>
          <w:sz w:val="28"/>
          <w:szCs w:val="28"/>
        </w:rPr>
      </w:r>
    </w:p>
    <w:p>
      <w:pPr>
        <w:spacing w:before="236"/>
        <w:ind w:left="112"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headerReference w:type="default" r:id="rId9"/>
          <w:pgSz w:w="11910" w:h="16840"/>
          <w:pgMar w:header="907" w:footer="1028"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spacing w:line="460" w:lineRule="exact" w:before="0"/>
        <w:ind w:left="5393" w:right="5570" w:firstLine="0"/>
        <w:jc w:val="center"/>
        <w:rPr>
          <w:rFonts w:ascii="宋体" w:hAnsi="宋体" w:cs="宋体" w:eastAsia="宋体" w:hint="default"/>
          <w:sz w:val="36"/>
          <w:szCs w:val="36"/>
        </w:rPr>
      </w:pPr>
      <w:r>
        <w:rPr/>
        <w:pict>
          <v:shape style="position:absolute;margin-left:14.76pt;margin-top:69.858749pt;width:580.539988pt;height:335.28pt;mso-position-horizontal-relative:page;mso-position-vertical-relative:paragraph;z-index:0" type="#_x0000_t75" stroked="false">
            <v:imagedata r:id="rId10" o:title=""/>
          </v:shape>
        </w:pict>
      </w:r>
      <w:r>
        <w:rPr>
          <w:rFonts w:ascii="宋体" w:hAnsi="宋体" w:cs="宋体" w:eastAsia="宋体" w:hint="default"/>
          <w:b/>
          <w:bCs/>
          <w:sz w:val="36"/>
          <w:szCs w:val="36"/>
        </w:rPr>
        <w:t>目录</w:t>
      </w:r>
      <w:r>
        <w:rPr>
          <w:rFonts w:ascii="宋体" w:hAnsi="宋体" w:cs="宋体" w:eastAsia="宋体" w:hint="default"/>
          <w:sz w:val="36"/>
          <w:szCs w:val="36"/>
        </w:rPr>
      </w:r>
    </w:p>
    <w:p>
      <w:pPr>
        <w:spacing w:after="0" w:line="460" w:lineRule="exact"/>
        <w:jc w:val="center"/>
        <w:rPr>
          <w:rFonts w:ascii="宋体" w:hAnsi="宋体" w:cs="宋体" w:eastAsia="宋体" w:hint="default"/>
          <w:sz w:val="36"/>
          <w:szCs w:val="36"/>
        </w:rPr>
        <w:sectPr>
          <w:pgSz w:w="11910" w:h="16840"/>
          <w:pgMar w:header="907" w:footer="1028" w:top="1100" w:bottom="1220" w:left="1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pStyle w:val="Heading1"/>
        <w:spacing w:line="240" w:lineRule="auto"/>
        <w:ind w:right="1110"/>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尤洛卡、精准信息、本公司、公司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尤洛卡精准信息工程股份有限公司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尤洛卡（北京）产业信息技术研究院有限公司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上海子公司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尤洛卡（上海）国际贸易有限公司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山东子公司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尤洛卡（山东）矿业科技有限公司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富华宇祺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师凯科技</w:t>
            </w:r>
            <w:r>
              <w:rPr>
                <w:rFonts w:ascii="Times New Roman" w:hAnsi="Times New Roman" w:cs="Times New Roman" w:eastAsia="Times New Roman" w:hint="default"/>
                <w:sz w:val="18"/>
                <w:szCs w:val="18"/>
              </w:rPr>
              <w:t>/</w:t>
            </w:r>
            <w:r>
              <w:rPr>
                <w:rFonts w:ascii="宋体" w:hAnsi="宋体" w:cs="宋体" w:eastAsia="宋体" w:hint="default"/>
                <w:sz w:val="18"/>
                <w:szCs w:val="18"/>
              </w:rPr>
              <w:t>长春师凯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长春师凯科技产业有限责任公司</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交通行业数据集成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4" w:right="100"/>
              <w:jc w:val="left"/>
              <w:rPr>
                <w:rFonts w:ascii="宋体" w:hAnsi="宋体" w:cs="宋体" w:eastAsia="宋体" w:hint="default"/>
                <w:sz w:val="18"/>
                <w:szCs w:val="18"/>
              </w:rPr>
            </w:pPr>
            <w:r>
              <w:rPr>
                <w:rFonts w:ascii="宋体" w:hAnsi="宋体" w:cs="宋体" w:eastAsia="宋体" w:hint="default"/>
                <w:sz w:val="18"/>
                <w:szCs w:val="18"/>
              </w:rPr>
              <w:t>通过结构化的综合布线系统和计算机网络技术，将各个分离的设 </w:t>
            </w:r>
            <w:r>
              <w:rPr>
                <w:rFonts w:ascii="宋体" w:hAnsi="宋体" w:cs="宋体" w:eastAsia="宋体" w:hint="default"/>
                <w:spacing w:val="-1"/>
                <w:sz w:val="18"/>
                <w:szCs w:val="18"/>
              </w:rPr>
              <w:t>备、功能和信息等集成到相互关联的、统一和协调的系统之中，使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资源达到充分共享，实现对交通行业集中、高效、便利的管理。</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导弹制导系统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4" w:right="11"/>
              <w:jc w:val="left"/>
              <w:rPr>
                <w:rFonts w:ascii="宋体" w:hAnsi="宋体" w:cs="宋体" w:eastAsia="宋体" w:hint="default"/>
                <w:sz w:val="18"/>
                <w:szCs w:val="18"/>
              </w:rPr>
            </w:pPr>
            <w:r>
              <w:rPr>
                <w:rFonts w:ascii="宋体" w:hAnsi="宋体" w:cs="宋体" w:eastAsia="宋体" w:hint="default"/>
                <w:spacing w:val="-4"/>
                <w:sz w:val="18"/>
                <w:szCs w:val="18"/>
              </w:rPr>
              <w:t>移动目标（坦克、舰艇、直升机等）进行精准打击的导弹制导系统，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包括移动式制导系统、手持式制导系统及相关备件等。</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中央军民融合发展委员会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4" w:right="11"/>
              <w:jc w:val="left"/>
              <w:rPr>
                <w:rFonts w:ascii="宋体" w:hAnsi="宋体" w:cs="宋体" w:eastAsia="宋体" w:hint="default"/>
                <w:sz w:val="18"/>
                <w:szCs w:val="18"/>
              </w:rPr>
            </w:pPr>
            <w:r>
              <w:rPr>
                <w:rFonts w:ascii="宋体" w:hAnsi="宋体" w:cs="宋体" w:eastAsia="宋体" w:hint="default"/>
                <w:sz w:val="18"/>
                <w:szCs w:val="18"/>
              </w:rPr>
              <w:t>是中央层面军民融合发展重大问题的决策和议事协调机构，统一领 </w:t>
            </w:r>
            <w:r>
              <w:rPr>
                <w:rFonts w:ascii="宋体" w:hAnsi="宋体" w:cs="宋体" w:eastAsia="宋体" w:hint="default"/>
                <w:spacing w:val="-4"/>
                <w:sz w:val="18"/>
                <w:szCs w:val="18"/>
              </w:rPr>
              <w:t>导军民融合深度发展，向中央政治局、中央政治局常务委员会负责。</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西安军民融合产业基金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4" w:right="100"/>
              <w:jc w:val="left"/>
              <w:rPr>
                <w:rFonts w:ascii="宋体" w:hAnsi="宋体" w:cs="宋体" w:eastAsia="宋体" w:hint="default"/>
                <w:sz w:val="18"/>
                <w:szCs w:val="18"/>
              </w:rPr>
            </w:pPr>
            <w:r>
              <w:rPr>
                <w:rFonts w:ascii="宋体" w:hAnsi="宋体" w:cs="宋体" w:eastAsia="宋体" w:hint="default"/>
                <w:spacing w:val="-1"/>
                <w:sz w:val="18"/>
                <w:szCs w:val="18"/>
              </w:rPr>
              <w:t>公司与鲁信创业投资集团股份有限公司、西安市创投引导基金共同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成立的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亿元的军民融合产业基金。</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4" w:right="100"/>
              <w:jc w:val="left"/>
              <w:rPr>
                <w:rFonts w:ascii="宋体" w:hAnsi="宋体" w:cs="宋体" w:eastAsia="宋体" w:hint="default"/>
                <w:sz w:val="18"/>
                <w:szCs w:val="18"/>
              </w:rPr>
            </w:pPr>
            <w:r>
              <w:rPr>
                <w:rFonts w:ascii="宋体" w:hAnsi="宋体" w:cs="宋体" w:eastAsia="宋体" w:hint="default"/>
                <w:spacing w:val="-1"/>
                <w:sz w:val="18"/>
                <w:szCs w:val="18"/>
              </w:rPr>
              <w:t>是分布式数据存储、点对点传输、共识机制、加密算法等计算机技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术的新型应用模式。</w:t>
            </w:r>
          </w:p>
        </w:tc>
      </w:tr>
    </w:tbl>
    <w:p>
      <w:pPr>
        <w:spacing w:after="0" w:line="316" w:lineRule="auto"/>
        <w:jc w:val="left"/>
        <w:rPr>
          <w:rFonts w:ascii="宋体" w:hAnsi="宋体" w:cs="宋体" w:eastAsia="宋体" w:hint="default"/>
          <w:sz w:val="18"/>
          <w:szCs w:val="18"/>
        </w:rPr>
        <w:sectPr>
          <w:pgSz w:w="11910" w:h="16840"/>
          <w:pgMar w:header="907" w:footer="1028"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before="0"/>
        <w:ind w:left="2606" w:right="987" w:firstLine="0"/>
        <w:jc w:val="left"/>
        <w:rPr>
          <w:rFonts w:ascii="宋体" w:hAnsi="宋体" w:cs="宋体" w:eastAsia="宋体" w:hint="default"/>
          <w:sz w:val="32"/>
          <w:szCs w:val="32"/>
        </w:rPr>
      </w:pPr>
      <w:bookmarkStart w:name="第二节 公司简介和主要财务指标" w:id="2"/>
      <w:bookmarkEnd w:id="2"/>
      <w:r>
        <w:rPr/>
      </w:r>
      <w:r>
        <w:rPr>
          <w:rFonts w:ascii="宋体" w:hAnsi="宋体" w:cs="宋体" w:eastAsia="宋体" w:hint="default"/>
          <w:b/>
          <w:bCs/>
          <w:sz w:val="32"/>
          <w:szCs w:val="32"/>
        </w:rPr>
        <w:t>第二节</w:t>
      </w:r>
      <w:r>
        <w:rPr>
          <w:rFonts w:ascii="宋体" w:hAnsi="宋体" w:cs="宋体" w:eastAsia="宋体" w:hint="default"/>
          <w:b/>
          <w:bCs/>
          <w:spacing w:val="-11"/>
          <w:sz w:val="32"/>
          <w:szCs w:val="32"/>
        </w:rPr>
        <w:t> </w:t>
      </w:r>
      <w:r>
        <w:rPr>
          <w:rFonts w:ascii="宋体" w:hAnsi="宋体" w:cs="宋体" w:eastAsia="宋体" w:hint="default"/>
          <w:b/>
          <w:bCs/>
          <w:sz w:val="32"/>
          <w:szCs w:val="32"/>
        </w:rPr>
        <w:t>公司简介和主要财务指标</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987"/>
        <w:jc w:val="left"/>
        <w:rPr>
          <w:b w:val="0"/>
          <w:bCs w:val="0"/>
        </w:rPr>
      </w:pPr>
      <w:bookmarkStart w:name="一、公司信息" w:id="3"/>
      <w:bookmarkEnd w:id="3"/>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精准信息</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300099</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尤洛卡精准信息工程股份有限公司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尤洛卡</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Uroica Precision Information Engineering</w:t>
            </w:r>
            <w:r>
              <w:rPr>
                <w:rFonts w:ascii="Times New Roman"/>
                <w:spacing w:val="-17"/>
                <w:sz w:val="18"/>
              </w:rPr>
              <w:t> </w:t>
            </w:r>
            <w:r>
              <w:rPr>
                <w:rFonts w:ascii="Times New Roman"/>
                <w:sz w:val="18"/>
              </w:rPr>
              <w:t>Co.,Ltd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90"/>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UPIE</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黄自伟</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山东省泰安市高新区凤祥路以西规划支路以北</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271000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山东省泰安市高新区凤祥路以西规划支路以北</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271000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1">
              <w:r>
                <w:rPr>
                  <w:rFonts w:ascii="Times New Roman"/>
                  <w:sz w:val="18"/>
                </w:rPr>
                <w:t>http://www.uroica.com.cn/</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hyperlink r:id="rId12">
              <w:r>
                <w:rPr>
                  <w:rFonts w:ascii="Times New Roman"/>
                  <w:sz w:val="18"/>
                </w:rPr>
                <w:t>mail@uroica.com.cn</w:t>
              </w:r>
            </w:hyperlink>
          </w:p>
        </w:tc>
      </w:tr>
    </w:tbl>
    <w:p>
      <w:pPr>
        <w:spacing w:line="240" w:lineRule="auto" w:before="1"/>
        <w:rPr>
          <w:rFonts w:ascii="宋体" w:hAnsi="宋体" w:cs="宋体" w:eastAsia="宋体" w:hint="default"/>
          <w:b/>
          <w:bCs/>
          <w:sz w:val="18"/>
          <w:szCs w:val="18"/>
        </w:rPr>
      </w:pPr>
    </w:p>
    <w:p>
      <w:pPr>
        <w:spacing w:before="26"/>
        <w:ind w:left="112" w:right="987" w:firstLine="0"/>
        <w:jc w:val="left"/>
        <w:rPr>
          <w:rFonts w:ascii="宋体" w:hAnsi="宋体" w:cs="宋体" w:eastAsia="宋体" w:hint="default"/>
          <w:sz w:val="24"/>
          <w:szCs w:val="24"/>
        </w:rPr>
      </w:pPr>
      <w:bookmarkStart w:name="二、联系人和联系方式" w:id="4"/>
      <w:bookmarkEnd w:id="4"/>
      <w:r>
        <w:rPr/>
      </w: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陈焕超</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95"/>
              <w:jc w:val="left"/>
              <w:rPr>
                <w:rFonts w:ascii="宋体" w:hAnsi="宋体" w:cs="宋体" w:eastAsia="宋体" w:hint="default"/>
                <w:sz w:val="18"/>
                <w:szCs w:val="18"/>
              </w:rPr>
            </w:pPr>
            <w:r>
              <w:rPr>
                <w:rFonts w:ascii="宋体" w:hAnsi="宋体" w:cs="宋体" w:eastAsia="宋体" w:hint="default"/>
                <w:sz w:val="18"/>
                <w:szCs w:val="18"/>
              </w:rPr>
              <w:t>山东省泰安市高新区凤祥路以西规划 支路以北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96"/>
              <w:jc w:val="left"/>
              <w:rPr>
                <w:rFonts w:ascii="宋体" w:hAnsi="宋体" w:cs="宋体" w:eastAsia="宋体" w:hint="default"/>
                <w:sz w:val="18"/>
                <w:szCs w:val="18"/>
              </w:rPr>
            </w:pPr>
            <w:r>
              <w:rPr>
                <w:rFonts w:ascii="宋体" w:hAnsi="宋体" w:cs="宋体" w:eastAsia="宋体" w:hint="default"/>
                <w:sz w:val="18"/>
                <w:szCs w:val="18"/>
              </w:rPr>
              <w:t>山东省泰安市高新区凤祥路以西规划 支路以北</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0538-8926155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0538-8926155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0538-8926202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0538-8926202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3">
              <w:r>
                <w:rPr>
                  <w:rFonts w:ascii="Times New Roman"/>
                  <w:sz w:val="18"/>
                </w:rPr>
                <w:t>chw600157@163.com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4">
              <w:r>
                <w:rPr>
                  <w:rFonts w:ascii="Times New Roman"/>
                  <w:sz w:val="18"/>
                </w:rPr>
                <w:t>chen19341912@163.com</w:t>
              </w:r>
            </w:hyperlink>
          </w:p>
        </w:tc>
      </w:tr>
    </w:tbl>
    <w:p>
      <w:pPr>
        <w:spacing w:line="240" w:lineRule="auto" w:before="2"/>
        <w:rPr>
          <w:rFonts w:ascii="宋体" w:hAnsi="宋体" w:cs="宋体" w:eastAsia="宋体" w:hint="default"/>
          <w:b/>
          <w:bCs/>
          <w:sz w:val="18"/>
          <w:szCs w:val="18"/>
        </w:rPr>
      </w:pPr>
    </w:p>
    <w:p>
      <w:pPr>
        <w:spacing w:before="26"/>
        <w:ind w:left="112" w:right="987" w:firstLine="0"/>
        <w:jc w:val="left"/>
        <w:rPr>
          <w:rFonts w:ascii="宋体" w:hAnsi="宋体" w:cs="宋体" w:eastAsia="宋体" w:hint="default"/>
          <w:sz w:val="24"/>
          <w:szCs w:val="24"/>
        </w:rPr>
      </w:pPr>
      <w:bookmarkStart w:name="三、信息披露及备置地点" w:id="5"/>
      <w:bookmarkEnd w:id="5"/>
      <w:r>
        <w:rPr/>
      </w: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5">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907" w:footer="1028" w:top="1100" w:bottom="1220" w:left="1020" w:right="0"/>
        </w:sectPr>
      </w:pPr>
    </w:p>
    <w:p>
      <w:pPr>
        <w:spacing w:line="240" w:lineRule="auto" w:before="9"/>
        <w:rPr>
          <w:rFonts w:ascii="宋体" w:hAnsi="宋体" w:cs="宋体" w:eastAsia="宋体" w:hint="default"/>
          <w:b/>
          <w:bCs/>
          <w:sz w:val="20"/>
          <w:szCs w:val="20"/>
        </w:rPr>
      </w:pPr>
    </w:p>
    <w:p>
      <w:pPr>
        <w:spacing w:before="26"/>
        <w:ind w:left="112" w:right="987" w:firstLine="0"/>
        <w:jc w:val="left"/>
        <w:rPr>
          <w:rFonts w:ascii="宋体" w:hAnsi="宋体" w:cs="宋体" w:eastAsia="宋体" w:hint="default"/>
          <w:sz w:val="24"/>
          <w:szCs w:val="24"/>
        </w:rPr>
      </w:pPr>
      <w:bookmarkStart w:name="四、其他有关资料" w:id="6"/>
      <w:bookmarkEnd w:id="6"/>
      <w:r>
        <w:rPr/>
      </w:r>
      <w:r>
        <w:rPr>
          <w:rFonts w:ascii="宋体" w:hAnsi="宋体" w:cs="宋体" w:eastAsia="宋体" w:hint="default"/>
          <w:b/>
          <w:bCs/>
          <w:sz w:val="24"/>
          <w:szCs w:val="24"/>
        </w:rPr>
        <w:t>四、其他有关资料</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公司聘请的会计师事务所</w:t>
      </w:r>
    </w:p>
    <w:p>
      <w:pPr>
        <w:spacing w:line="240" w:lineRule="auto" w:before="12"/>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号楼中海地产广场西塔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江涛、郭冬梅</w:t>
            </w:r>
          </w:p>
        </w:tc>
      </w:tr>
    </w:tbl>
    <w:p>
      <w:pPr>
        <w:spacing w:line="240" w:lineRule="auto" w:before="5"/>
        <w:rPr>
          <w:rFonts w:ascii="宋体" w:hAnsi="宋体" w:cs="宋体" w:eastAsia="宋体" w:hint="default"/>
          <w:sz w:val="5"/>
          <w:szCs w:val="5"/>
        </w:rPr>
      </w:pPr>
    </w:p>
    <w:p>
      <w:pPr>
        <w:spacing w:line="441" w:lineRule="auto" w:before="34"/>
        <w:ind w:left="532" w:right="3733" w:firstLine="0"/>
        <w:jc w:val="left"/>
        <w:rPr>
          <w:rFonts w:ascii="宋体" w:hAnsi="宋体" w:cs="宋体" w:eastAsia="宋体" w:hint="default"/>
          <w:sz w:val="21"/>
          <w:szCs w:val="21"/>
        </w:rPr>
      </w:pPr>
      <w:r>
        <w:rPr>
          <w:rFonts w:ascii="宋体" w:hAnsi="宋体" w:cs="宋体" w:eastAsia="宋体" w:hint="default"/>
          <w:sz w:val="21"/>
          <w:szCs w:val="21"/>
        </w:rPr>
        <w:t>公司聘请的报告期内履行持续督导职责的保荐机构：□ 适用 √</w:t>
      </w:r>
      <w:r>
        <w:rPr>
          <w:rFonts w:ascii="宋体" w:hAnsi="宋体" w:cs="宋体" w:eastAsia="宋体" w:hint="default"/>
          <w:spacing w:val="-14"/>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公司聘请的报告期内履行持续督导职责的财务顾问：□ 适用 √</w:t>
      </w:r>
      <w:r>
        <w:rPr>
          <w:rFonts w:ascii="宋体" w:hAnsi="宋体" w:cs="宋体" w:eastAsia="宋体" w:hint="default"/>
          <w:spacing w:val="-16"/>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16"/>
          <w:szCs w:val="16"/>
        </w:rPr>
      </w:pPr>
    </w:p>
    <w:p>
      <w:pPr>
        <w:spacing w:before="0"/>
        <w:ind w:left="112" w:right="987" w:firstLine="0"/>
        <w:jc w:val="left"/>
        <w:rPr>
          <w:rFonts w:ascii="宋体" w:hAnsi="宋体" w:cs="宋体" w:eastAsia="宋体" w:hint="default"/>
          <w:sz w:val="24"/>
          <w:szCs w:val="24"/>
        </w:rPr>
      </w:pPr>
      <w:bookmarkStart w:name="五、主要会计数据和财务指标" w:id="7"/>
      <w:bookmarkEnd w:id="7"/>
      <w:r>
        <w:rPr/>
      </w:r>
      <w:r>
        <w:rPr>
          <w:rFonts w:ascii="宋体" w:hAnsi="宋体" w:cs="宋体" w:eastAsia="宋体" w:hint="default"/>
          <w:b/>
          <w:bCs/>
          <w:sz w:val="24"/>
          <w:szCs w:val="24"/>
        </w:rPr>
        <w:t>五、主要会计数据和财务指标</w:t>
      </w:r>
      <w:r>
        <w:rPr>
          <w:rFonts w:ascii="宋体" w:hAnsi="宋体" w:cs="宋体" w:eastAsia="宋体" w:hint="default"/>
          <w:sz w:val="24"/>
          <w:szCs w:val="24"/>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446,156,028.97</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422,911,717.94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230,358,279.45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97,453,208.28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101,644,074.39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29,911,896.05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90,960,989.32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99,198,541.29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-8.30%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31,231,617.83</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44,816,785.80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69,851,205.04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98,308,601.42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0.1456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0.1539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0.0453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0.1456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0.1539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0.0453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5.61%</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6.09%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3.19%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3" w:right="142" w:hanging="632"/>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1,928,271,313.23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1,922,687,119.24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1,824,793,418.38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1,764,404,404.60</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1,727,440,521.82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1,655,493,481.06</w:t>
            </w:r>
          </w:p>
        </w:tc>
      </w:tr>
    </w:tbl>
    <w:p>
      <w:pPr>
        <w:spacing w:line="240" w:lineRule="auto" w:before="3"/>
        <w:rPr>
          <w:rFonts w:ascii="宋体" w:hAnsi="宋体" w:cs="宋体" w:eastAsia="宋体" w:hint="default"/>
          <w:b/>
          <w:bCs/>
          <w:sz w:val="5"/>
          <w:szCs w:val="5"/>
        </w:rPr>
      </w:pPr>
    </w:p>
    <w:p>
      <w:pPr>
        <w:spacing w:before="34"/>
        <w:ind w:left="532" w:right="987" w:firstLine="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2"/>
          <w:sz w:val="21"/>
          <w:szCs w:val="21"/>
        </w:rPr>
        <w:t> </w:t>
      </w:r>
      <w:r>
        <w:rPr>
          <w:rFonts w:ascii="宋体" w:hAnsi="宋体" w:cs="宋体" w:eastAsia="宋体" w:hint="default"/>
          <w:sz w:val="21"/>
          <w:szCs w:val="21"/>
        </w:rPr>
        <w:t>否</w:t>
      </w:r>
    </w:p>
    <w:p>
      <w:pPr>
        <w:spacing w:line="240" w:lineRule="auto" w:before="9"/>
        <w:rPr>
          <w:rFonts w:ascii="宋体" w:hAnsi="宋体" w:cs="宋体" w:eastAsia="宋体" w:hint="default"/>
          <w:sz w:val="12"/>
          <w:szCs w:val="12"/>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518;height:397" coordorigin="13,12" coordsize="4518,397">
              <v:shape style="position:absolute;left:13;top:12;width:4518;height:397" coordorigin="13,12" coordsize="4518,397" path="m13,12l4531,12,4531,409,13,409,13,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533;top:5;width:2;height:402" coordorigin="4533,5" coordsize="2,402">
              <v:shape style="position:absolute;left:4533;top:5;width:2;height:402" coordorigin="4533,5" coordsize="0,402" path="m4533,5l453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10;top:10;width:4523;height:402" type="#_x0000_t202" filled="false" stroked="false">
                <v:textbox inset="0,0,0,0">
                  <w:txbxContent>
                    <w:p>
                      <w:pPr>
                        <w:spacing w:before="55"/>
                        <w:ind w:left="106" w:right="0" w:firstLine="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xbxContent>
                </v:textbox>
                <w10:wrap type="none"/>
              </v:shape>
              <v:shape style="position:absolute;left:8975;top:130;width:49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0.1456</w:t>
                      </w:r>
                    </w:p>
                  </w:txbxContent>
                </v:textbox>
                <w10:wrap type="none"/>
              </v:shape>
            </v:group>
          </v:group>
        </w:pict>
      </w:r>
      <w:r>
        <w:rPr>
          <w:rFonts w:ascii="宋体" w:hAnsi="宋体" w:cs="宋体" w:eastAsia="宋体" w:hint="default"/>
          <w:position w:val="-7"/>
          <w:sz w:val="20"/>
          <w:szCs w:val="20"/>
        </w:rPr>
      </w:r>
    </w:p>
    <w:p>
      <w:pPr>
        <w:spacing w:line="240" w:lineRule="auto" w:before="1"/>
        <w:rPr>
          <w:rFonts w:ascii="宋体" w:hAnsi="宋体" w:cs="宋体" w:eastAsia="宋体" w:hint="default"/>
          <w:sz w:val="18"/>
          <w:szCs w:val="18"/>
        </w:rPr>
      </w:pPr>
    </w:p>
    <w:p>
      <w:pPr>
        <w:spacing w:before="26"/>
        <w:ind w:left="112" w:right="987" w:firstLine="0"/>
        <w:jc w:val="left"/>
        <w:rPr>
          <w:rFonts w:ascii="宋体" w:hAnsi="宋体" w:cs="宋体" w:eastAsia="宋体" w:hint="default"/>
          <w:sz w:val="24"/>
          <w:szCs w:val="24"/>
        </w:rPr>
      </w:pPr>
      <w:bookmarkStart w:name="六、分季度主要财务指标" w:id="8"/>
      <w:bookmarkEnd w:id="8"/>
      <w:r>
        <w:rPr/>
      </w:r>
      <w:r>
        <w:rPr>
          <w:rFonts w:ascii="宋体" w:hAnsi="宋体" w:cs="宋体" w:eastAsia="宋体" w:hint="default"/>
          <w:b/>
          <w:bCs/>
          <w:sz w:val="24"/>
          <w:szCs w:val="24"/>
        </w:rPr>
        <w:t>六、分季度主要财务指标</w:t>
      </w:r>
      <w:r>
        <w:rPr>
          <w:rFonts w:ascii="宋体" w:hAnsi="宋体" w:cs="宋体" w:eastAsia="宋体" w:hint="default"/>
          <w:sz w:val="24"/>
          <w:szCs w:val="24"/>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27,469,686.21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86,911,108.16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58,695,391.99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273,079,842.61</w:t>
            </w:r>
          </w:p>
        </w:tc>
      </w:tr>
      <w:tr>
        <w:trPr>
          <w:trHeight w:val="400"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2,912,076.33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19,199,288.32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2,176,279.01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73,165,564.62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1,724,850.33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16,491,755.93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322,236.09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72,422,146.97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-48,119,223.89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81,028,641.06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1,327,384.20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10,579,984.43</w:t>
            </w:r>
          </w:p>
        </w:tc>
      </w:tr>
    </w:tbl>
    <w:p>
      <w:pPr>
        <w:spacing w:line="240" w:lineRule="auto" w:before="4"/>
        <w:rPr>
          <w:rFonts w:ascii="宋体" w:hAnsi="宋体" w:cs="宋体" w:eastAsia="宋体" w:hint="default"/>
          <w:sz w:val="5"/>
          <w:szCs w:val="5"/>
        </w:rPr>
      </w:pPr>
    </w:p>
    <w:p>
      <w:pPr>
        <w:spacing w:before="34"/>
        <w:ind w:left="0" w:right="1132" w:firstLine="0"/>
        <w:jc w:val="right"/>
        <w:rPr>
          <w:rFonts w:ascii="宋体" w:hAnsi="宋体" w:cs="宋体" w:eastAsia="宋体" w:hint="default"/>
          <w:sz w:val="21"/>
          <w:szCs w:val="21"/>
        </w:rPr>
      </w:pPr>
      <w:r>
        <w:rPr>
          <w:rFonts w:ascii="宋体" w:hAnsi="宋体" w:cs="宋体" w:eastAsia="宋体" w:hint="default"/>
          <w:spacing w:val="-3"/>
          <w:sz w:val="21"/>
          <w:szCs w:val="21"/>
        </w:rPr>
        <w:t>上述财务指标或其加总数是否与公司已披露季度报告、半年度报告相关财务指标存在重大差异：□</w:t>
      </w:r>
      <w:r>
        <w:rPr>
          <w:rFonts w:ascii="宋体" w:hAnsi="宋体" w:cs="宋体" w:eastAsia="宋体" w:hint="default"/>
          <w:spacing w:val="-20"/>
          <w:sz w:val="21"/>
          <w:szCs w:val="21"/>
        </w:rPr>
        <w:t> </w:t>
      </w:r>
      <w:r>
        <w:rPr>
          <w:rFonts w:ascii="宋体" w:hAnsi="宋体" w:cs="宋体" w:eastAsia="宋体" w:hint="default"/>
          <w:sz w:val="21"/>
          <w:szCs w:val="21"/>
        </w:rPr>
        <w:t>是</w:t>
      </w:r>
    </w:p>
    <w:p>
      <w:pPr>
        <w:spacing w:line="240" w:lineRule="auto" w:before="10"/>
        <w:rPr>
          <w:rFonts w:ascii="宋体" w:hAnsi="宋体" w:cs="宋体" w:eastAsia="宋体" w:hint="default"/>
          <w:sz w:val="14"/>
          <w:szCs w:val="14"/>
        </w:rPr>
      </w:pPr>
    </w:p>
    <w:p>
      <w:pPr>
        <w:spacing w:before="0"/>
        <w:ind w:left="112" w:right="987" w:firstLine="0"/>
        <w:jc w:val="left"/>
        <w:rPr>
          <w:rFonts w:ascii="宋体" w:hAnsi="宋体" w:cs="宋体" w:eastAsia="宋体" w:hint="default"/>
          <w:sz w:val="21"/>
          <w:szCs w:val="21"/>
        </w:rPr>
      </w:pPr>
      <w:r>
        <w:rPr>
          <w:rFonts w:ascii="宋体" w:hAnsi="宋体" w:cs="宋体" w:eastAsia="宋体" w:hint="default"/>
          <w:sz w:val="21"/>
          <w:szCs w:val="21"/>
        </w:rPr>
        <w:t>√ 否</w:t>
      </w:r>
    </w:p>
    <w:p>
      <w:pPr>
        <w:spacing w:line="240" w:lineRule="auto" w:before="0"/>
        <w:rPr>
          <w:rFonts w:ascii="宋体" w:hAnsi="宋体" w:cs="宋体" w:eastAsia="宋体" w:hint="default"/>
          <w:sz w:val="20"/>
          <w:szCs w:val="20"/>
        </w:rPr>
      </w:pPr>
    </w:p>
    <w:p>
      <w:pPr>
        <w:spacing w:before="131"/>
        <w:ind w:left="112" w:right="987" w:firstLine="0"/>
        <w:jc w:val="left"/>
        <w:rPr>
          <w:rFonts w:ascii="宋体" w:hAnsi="宋体" w:cs="宋体" w:eastAsia="宋体" w:hint="default"/>
          <w:sz w:val="24"/>
          <w:szCs w:val="24"/>
        </w:rPr>
      </w:pPr>
      <w:bookmarkStart w:name="七、境内外会计准则下会计数据差异" w:id="9"/>
      <w:bookmarkEnd w:id="9"/>
      <w:r>
        <w:rPr/>
      </w:r>
      <w:r>
        <w:rPr>
          <w:rFonts w:ascii="宋体" w:hAnsi="宋体" w:cs="宋体" w:eastAsia="宋体" w:hint="default"/>
          <w:b/>
          <w:bCs/>
          <w:sz w:val="24"/>
          <w:szCs w:val="24"/>
        </w:rPr>
        <w:t>七、境内外会计准则下会计数据差异</w:t>
      </w:r>
      <w:r>
        <w:rPr>
          <w:rFonts w:ascii="宋体" w:hAnsi="宋体" w:cs="宋体" w:eastAsia="宋体" w:hint="default"/>
          <w:sz w:val="24"/>
          <w:szCs w:val="24"/>
        </w:rPr>
      </w:r>
    </w:p>
    <w:p>
      <w:pPr>
        <w:spacing w:line="692" w:lineRule="exact" w:before="12"/>
        <w:ind w:left="532" w:right="987" w:hanging="420"/>
        <w:jc w:val="left"/>
        <w:rPr>
          <w:rFonts w:ascii="宋体" w:hAnsi="宋体" w:cs="宋体" w:eastAsia="宋体" w:hint="default"/>
          <w:sz w:val="21"/>
          <w:szCs w:val="21"/>
        </w:rPr>
      </w:pPr>
      <w:bookmarkStart w:name="1、同时按照国际会计准则与按照中国会计准则披露的财务报告中净利润和净资产差异情况" w:id="10"/>
      <w:bookmarkEnd w:id="1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b/>
          <w:bCs/>
          <w:w w:val="99"/>
          <w:sz w:val="21"/>
          <w:szCs w:val="21"/>
        </w:rPr>
        <w:t> </w:t>
      </w:r>
      <w:r>
        <w:rPr>
          <w:rFonts w:ascii="宋体" w:hAnsi="宋体" w:cs="宋体" w:eastAsia="宋体" w:hint="default"/>
          <w:w w:val="95"/>
          <w:sz w:val="21"/>
          <w:szCs w:val="21"/>
        </w:rPr>
        <w:t>公司报告期不存在按照国际会计准则与按照中国会计准则披露的财务报告中净利润和净资产差异情</w:t>
      </w:r>
      <w:r>
        <w:rPr>
          <w:rFonts w:ascii="宋体" w:hAnsi="宋体" w:cs="宋体" w:eastAsia="宋体" w:hint="default"/>
          <w:sz w:val="21"/>
          <w:szCs w:val="21"/>
        </w:rPr>
      </w:r>
    </w:p>
    <w:p>
      <w:pPr>
        <w:spacing w:before="84"/>
        <w:ind w:left="112" w:right="987" w:firstLine="0"/>
        <w:jc w:val="left"/>
        <w:rPr>
          <w:rFonts w:ascii="宋体" w:hAnsi="宋体" w:cs="宋体" w:eastAsia="宋体" w:hint="default"/>
          <w:sz w:val="21"/>
          <w:szCs w:val="21"/>
        </w:rPr>
      </w:pPr>
      <w:r>
        <w:rPr>
          <w:rFonts w:ascii="宋体" w:hAnsi="宋体" w:cs="宋体" w:eastAsia="宋体" w:hint="default"/>
          <w:sz w:val="21"/>
          <w:szCs w:val="21"/>
        </w:rPr>
        <w:t>况。</w:t>
      </w:r>
    </w:p>
    <w:p>
      <w:pPr>
        <w:spacing w:line="670" w:lineRule="atLeast" w:before="37"/>
        <w:ind w:left="532" w:right="987" w:hanging="420"/>
        <w:jc w:val="left"/>
        <w:rPr>
          <w:rFonts w:ascii="宋体" w:hAnsi="宋体" w:cs="宋体" w:eastAsia="宋体" w:hint="default"/>
          <w:sz w:val="21"/>
          <w:szCs w:val="21"/>
        </w:rPr>
      </w:pPr>
      <w:bookmarkStart w:name="2、同时按照境外会计准则与按照中国会计准则披露的财务报告中净利润和净资产差异情况" w:id="11"/>
      <w:bookmarkEnd w:id="1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b/>
          <w:bCs/>
          <w:w w:val="99"/>
          <w:sz w:val="21"/>
          <w:szCs w:val="21"/>
        </w:rPr>
        <w:t> </w:t>
      </w:r>
      <w:r>
        <w:rPr>
          <w:rFonts w:ascii="宋体" w:hAnsi="宋体" w:cs="宋体" w:eastAsia="宋体" w:hint="default"/>
          <w:w w:val="95"/>
          <w:sz w:val="21"/>
          <w:szCs w:val="21"/>
        </w:rPr>
        <w:t>公司报告期不存在按照境外会计准则与按照中国会计准则披露的财务报告中净利润和净资产差异情</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112" w:right="987" w:firstLine="0"/>
        <w:jc w:val="left"/>
        <w:rPr>
          <w:rFonts w:ascii="宋体" w:hAnsi="宋体" w:cs="宋体" w:eastAsia="宋体" w:hint="default"/>
          <w:sz w:val="21"/>
          <w:szCs w:val="21"/>
        </w:rPr>
      </w:pPr>
      <w:r>
        <w:rPr>
          <w:rFonts w:ascii="宋体" w:hAnsi="宋体" w:cs="宋体" w:eastAsia="宋体" w:hint="default"/>
          <w:sz w:val="21"/>
          <w:szCs w:val="21"/>
        </w:rPr>
        <w:t>况。</w:t>
      </w:r>
    </w:p>
    <w:p>
      <w:pPr>
        <w:spacing w:line="240" w:lineRule="auto" w:before="0"/>
        <w:rPr>
          <w:rFonts w:ascii="宋体" w:hAnsi="宋体" w:cs="宋体" w:eastAsia="宋体" w:hint="default"/>
          <w:sz w:val="20"/>
          <w:szCs w:val="20"/>
        </w:rPr>
      </w:pPr>
    </w:p>
    <w:p>
      <w:pPr>
        <w:spacing w:before="131"/>
        <w:ind w:left="112" w:right="987" w:firstLine="0"/>
        <w:jc w:val="left"/>
        <w:rPr>
          <w:rFonts w:ascii="宋体" w:hAnsi="宋体" w:cs="宋体" w:eastAsia="宋体" w:hint="default"/>
          <w:sz w:val="24"/>
          <w:szCs w:val="24"/>
        </w:rPr>
      </w:pPr>
      <w:bookmarkStart w:name="八、非经常性损益项目及金额" w:id="12"/>
      <w:bookmarkEnd w:id="12"/>
      <w:r>
        <w:rPr/>
      </w:r>
      <w:r>
        <w:rPr>
          <w:rFonts w:ascii="宋体" w:hAnsi="宋体" w:cs="宋体" w:eastAsia="宋体" w:hint="default"/>
          <w:b/>
          <w:bCs/>
          <w:sz w:val="24"/>
          <w:szCs w:val="24"/>
        </w:rPr>
        <w:t>八、非经常性损益项目及金额</w:t>
      </w:r>
      <w:r>
        <w:rPr>
          <w:rFonts w:ascii="宋体" w:hAnsi="宋体" w:cs="宋体" w:eastAsia="宋体" w:hint="default"/>
          <w:sz w:val="24"/>
          <w:szCs w:val="24"/>
        </w:rPr>
      </w:r>
    </w:p>
    <w:p>
      <w:pPr>
        <w:spacing w:line="240" w:lineRule="auto" w:before="9"/>
        <w:rPr>
          <w:rFonts w:ascii="宋体" w:hAnsi="宋体" w:cs="宋体" w:eastAsia="宋体" w:hint="default"/>
          <w:b/>
          <w:bCs/>
          <w:sz w:val="26"/>
          <w:szCs w:val="26"/>
        </w:rPr>
      </w:pPr>
    </w:p>
    <w:p>
      <w:pPr>
        <w:pStyle w:val="BodyText"/>
        <w:spacing w:line="240" w:lineRule="auto" w:before="0"/>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240,337.41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-235,771.42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259,416.43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1,148,802.72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1,478,266.00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2,254,000.00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6,708,041.41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3,612,849.86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-2,116,836.36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-1,692,440.54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-2,800,080.67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22"/>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1,333,344.56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-103,454.76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-780,328.32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1,207,242.59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514,951.25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-139,728.31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-385,771.81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98,964.79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392,461.37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6,492,218.96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2,445,533.10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-1,319,721.78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5"/>
          <w:szCs w:val="5"/>
        </w:rPr>
      </w:pPr>
    </w:p>
    <w:p>
      <w:pPr>
        <w:spacing w:before="34"/>
        <w:ind w:left="532" w:right="987" w:firstLine="0"/>
        <w:jc w:val="left"/>
        <w:rPr>
          <w:rFonts w:ascii="宋体" w:hAnsi="宋体" w:cs="宋体" w:eastAsia="宋体" w:hint="default"/>
          <w:sz w:val="21"/>
          <w:szCs w:val="21"/>
        </w:rPr>
      </w:pPr>
      <w:r>
        <w:rPr>
          <w:rFonts w:ascii="宋体" w:hAnsi="宋体" w:cs="宋体" w:eastAsia="宋体" w:hint="default"/>
          <w:sz w:val="21"/>
          <w:szCs w:val="21"/>
        </w:rPr>
        <w:t>对公司根据《公开发行证券的公司信息披露解释性公告第</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号——非经常性损益》定义界定的非经常</w:t>
      </w:r>
    </w:p>
    <w:p>
      <w:pPr>
        <w:spacing w:line="386" w:lineRule="auto" w:before="177"/>
        <w:ind w:left="112" w:right="1130" w:firstLine="0"/>
        <w:jc w:val="left"/>
        <w:rPr>
          <w:rFonts w:ascii="宋体" w:hAnsi="宋体" w:cs="宋体" w:eastAsia="宋体" w:hint="default"/>
          <w:sz w:val="21"/>
          <w:szCs w:val="21"/>
        </w:rPr>
      </w:pPr>
      <w:r>
        <w:rPr>
          <w:rFonts w:ascii="宋体" w:hAnsi="宋体" w:cs="宋体" w:eastAsia="宋体" w:hint="default"/>
          <w:sz w:val="21"/>
          <w:szCs w:val="21"/>
        </w:rPr>
        <w:t>性损益项目，以及把《公开发行证券的公司信息披露解释性公告第</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号——非经常性损益》中列举的非经</w:t>
      </w:r>
      <w:r>
        <w:rPr>
          <w:rFonts w:ascii="宋体" w:hAnsi="宋体" w:cs="宋体" w:eastAsia="宋体" w:hint="default"/>
          <w:w w:val="99"/>
          <w:sz w:val="21"/>
          <w:szCs w:val="21"/>
        </w:rPr>
        <w:t> </w:t>
      </w:r>
      <w:r>
        <w:rPr>
          <w:rFonts w:ascii="宋体" w:hAnsi="宋体" w:cs="宋体" w:eastAsia="宋体" w:hint="default"/>
          <w:sz w:val="21"/>
          <w:szCs w:val="21"/>
        </w:rPr>
        <w:t>常性损益项目界定为经常性损益的项目，应说明原因：□ 适用 √</w:t>
      </w:r>
      <w:r>
        <w:rPr>
          <w:rFonts w:ascii="宋体" w:hAnsi="宋体" w:cs="宋体" w:eastAsia="宋体" w:hint="default"/>
          <w:spacing w:val="-16"/>
          <w:sz w:val="21"/>
          <w:szCs w:val="21"/>
        </w:rPr>
        <w:t> </w:t>
      </w:r>
      <w:r>
        <w:rPr>
          <w:rFonts w:ascii="宋体" w:hAnsi="宋体" w:cs="宋体" w:eastAsia="宋体" w:hint="default"/>
          <w:sz w:val="21"/>
          <w:szCs w:val="21"/>
        </w:rPr>
        <w:t>不适用</w:t>
      </w:r>
    </w:p>
    <w:p>
      <w:pPr>
        <w:spacing w:after="0" w:line="386" w:lineRule="auto"/>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line="386" w:lineRule="auto" w:before="34"/>
        <w:ind w:left="112" w:right="1015" w:firstLine="420"/>
        <w:jc w:val="left"/>
        <w:rPr>
          <w:rFonts w:ascii="宋体" w:hAnsi="宋体" w:cs="宋体" w:eastAsia="宋体" w:hint="default"/>
          <w:sz w:val="21"/>
          <w:szCs w:val="21"/>
        </w:rPr>
      </w:pPr>
      <w:r>
        <w:rPr>
          <w:rFonts w:ascii="宋体" w:hAnsi="宋体" w:cs="宋体" w:eastAsia="宋体" w:hint="default"/>
          <w:sz w:val="21"/>
          <w:szCs w:val="21"/>
        </w:rPr>
        <w:t>公司报告期不存在将根据《公开发行证券的公司信息披露解释性公告第</w:t>
      </w:r>
      <w:r>
        <w:rPr>
          <w:rFonts w:ascii="宋体" w:hAnsi="宋体" w:cs="宋体" w:eastAsia="宋体" w:hint="default"/>
          <w:spacing w:val="-8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3"/>
          <w:sz w:val="21"/>
          <w:szCs w:val="21"/>
        </w:rPr>
        <w:t> </w:t>
      </w:r>
      <w:r>
        <w:rPr>
          <w:rFonts w:ascii="宋体" w:hAnsi="宋体" w:cs="宋体" w:eastAsia="宋体" w:hint="default"/>
          <w:spacing w:val="-5"/>
          <w:sz w:val="21"/>
          <w:szCs w:val="21"/>
        </w:rPr>
        <w:t>号——非经常性损益》定义、</w:t>
      </w:r>
      <w:r>
        <w:rPr>
          <w:rFonts w:ascii="宋体" w:hAnsi="宋体" w:cs="宋体" w:eastAsia="宋体" w:hint="default"/>
          <w:w w:val="99"/>
          <w:sz w:val="21"/>
          <w:szCs w:val="21"/>
        </w:rPr>
        <w:t> </w:t>
      </w:r>
      <w:r>
        <w:rPr>
          <w:rFonts w:ascii="宋体" w:hAnsi="宋体" w:cs="宋体" w:eastAsia="宋体" w:hint="default"/>
          <w:sz w:val="21"/>
          <w:szCs w:val="21"/>
        </w:rPr>
        <w:t>列举的非经常性损益项目界定为经常性损益的项目的情形。</w:t>
      </w:r>
    </w:p>
    <w:p>
      <w:pPr>
        <w:spacing w:after="0" w:line="386" w:lineRule="auto"/>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3408" w:right="987" w:firstLine="0"/>
        <w:jc w:val="left"/>
        <w:rPr>
          <w:rFonts w:ascii="宋体" w:hAnsi="宋体" w:cs="宋体" w:eastAsia="宋体" w:hint="default"/>
          <w:sz w:val="32"/>
          <w:szCs w:val="32"/>
        </w:rPr>
      </w:pPr>
      <w:bookmarkStart w:name="第三节 公司业务概要" w:id="13"/>
      <w:bookmarkEnd w:id="13"/>
      <w:r>
        <w:rPr/>
      </w:r>
      <w:r>
        <w:rPr>
          <w:rFonts w:ascii="宋体" w:hAnsi="宋体" w:cs="宋体" w:eastAsia="宋体" w:hint="default"/>
          <w:b/>
          <w:bCs/>
          <w:sz w:val="32"/>
          <w:szCs w:val="32"/>
        </w:rPr>
        <w:t>第三节</w:t>
      </w:r>
      <w:r>
        <w:rPr>
          <w:rFonts w:ascii="宋体" w:hAnsi="宋体" w:cs="宋体" w:eastAsia="宋体" w:hint="default"/>
          <w:b/>
          <w:bCs/>
          <w:spacing w:val="-10"/>
          <w:sz w:val="32"/>
          <w:szCs w:val="32"/>
        </w:rPr>
        <w:t> </w:t>
      </w:r>
      <w:r>
        <w:rPr>
          <w:rFonts w:ascii="宋体" w:hAnsi="宋体" w:cs="宋体" w:eastAsia="宋体" w:hint="default"/>
          <w:b/>
          <w:bCs/>
          <w:sz w:val="32"/>
          <w:szCs w:val="32"/>
        </w:rPr>
        <w:t>公司业务概要</w:t>
      </w:r>
      <w:r>
        <w:rPr>
          <w:rFonts w:ascii="宋体" w:hAnsi="宋体" w:cs="宋体" w:eastAsia="宋体" w:hint="default"/>
          <w:sz w:val="32"/>
          <w:szCs w:val="32"/>
        </w:rPr>
      </w:r>
    </w:p>
    <w:p>
      <w:pPr>
        <w:spacing w:line="240" w:lineRule="auto" w:before="10"/>
        <w:rPr>
          <w:rFonts w:ascii="宋体" w:hAnsi="宋体" w:cs="宋体" w:eastAsia="宋体" w:hint="default"/>
          <w:b/>
          <w:bCs/>
          <w:sz w:val="38"/>
          <w:szCs w:val="38"/>
        </w:rPr>
      </w:pPr>
    </w:p>
    <w:p>
      <w:pPr>
        <w:spacing w:before="0"/>
        <w:ind w:left="112" w:right="987" w:firstLine="0"/>
        <w:jc w:val="left"/>
        <w:rPr>
          <w:rFonts w:ascii="宋体" w:hAnsi="宋体" w:cs="宋体" w:eastAsia="宋体" w:hint="default"/>
          <w:sz w:val="24"/>
          <w:szCs w:val="24"/>
        </w:rPr>
      </w:pPr>
      <w:bookmarkStart w:name="一、报告期内公司从事的主要业务" w:id="14"/>
      <w:bookmarkEnd w:id="14"/>
      <w:r>
        <w:rPr/>
      </w:r>
      <w:r>
        <w:rPr>
          <w:rFonts w:ascii="宋体" w:hAnsi="宋体" w:cs="宋体" w:eastAsia="宋体" w:hint="default"/>
          <w:b/>
          <w:bCs/>
          <w:sz w:val="24"/>
          <w:szCs w:val="24"/>
        </w:rPr>
        <w:t>一、报告期内公司从事的主要业务</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公司是否需要遵守特殊行业的披露要求：否</w:t>
      </w:r>
    </w:p>
    <w:p>
      <w:pPr>
        <w:spacing w:line="240" w:lineRule="auto" w:before="12"/>
        <w:rPr>
          <w:rFonts w:ascii="宋体" w:hAnsi="宋体" w:cs="宋体" w:eastAsia="宋体" w:hint="default"/>
          <w:sz w:val="17"/>
          <w:szCs w:val="17"/>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（一）军工业务</w:t>
      </w:r>
    </w:p>
    <w:p>
      <w:pPr>
        <w:spacing w:line="240" w:lineRule="auto" w:before="9"/>
        <w:rPr>
          <w:rFonts w:ascii="宋体" w:hAnsi="宋体" w:cs="宋体" w:eastAsia="宋体" w:hint="default"/>
          <w:sz w:val="17"/>
          <w:szCs w:val="17"/>
        </w:rPr>
      </w:pPr>
    </w:p>
    <w:p>
      <w:pPr>
        <w:spacing w:line="420" w:lineRule="auto" w:before="0"/>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、主要业务、主要产品及用途</w:t>
      </w:r>
      <w:r>
        <w:rPr>
          <w:rFonts w:ascii="宋体" w:hAnsi="宋体" w:cs="宋体" w:eastAsia="宋体" w:hint="default"/>
          <w:w w:val="99"/>
          <w:sz w:val="21"/>
          <w:szCs w:val="21"/>
        </w:rPr>
        <w:t> </w:t>
      </w:r>
      <w:r>
        <w:rPr>
          <w:rFonts w:ascii="宋体" w:hAnsi="宋体" w:cs="宋体" w:eastAsia="宋体" w:hint="default"/>
          <w:w w:val="95"/>
          <w:sz w:val="21"/>
          <w:szCs w:val="21"/>
        </w:rPr>
        <w:t>公司军工方面的业务主要是从事导弹制导系统、精密光学系统等军用产品的生产和销售。截至报告期</w:t>
      </w:r>
      <w:r>
        <w:rPr>
          <w:rFonts w:ascii="宋体" w:hAnsi="宋体" w:cs="宋体" w:eastAsia="宋体" w:hint="default"/>
          <w:sz w:val="21"/>
          <w:szCs w:val="21"/>
        </w:rPr>
      </w:r>
    </w:p>
    <w:p>
      <w:pPr>
        <w:spacing w:line="408" w:lineRule="auto" w:before="35"/>
        <w:ind w:left="112" w:right="987" w:firstLine="0"/>
        <w:jc w:val="left"/>
        <w:rPr>
          <w:rFonts w:ascii="宋体" w:hAnsi="宋体" w:cs="宋体" w:eastAsia="宋体" w:hint="default"/>
          <w:sz w:val="21"/>
          <w:szCs w:val="21"/>
        </w:rPr>
      </w:pPr>
      <w:r>
        <w:rPr>
          <w:rFonts w:ascii="宋体" w:hAnsi="宋体" w:cs="宋体" w:eastAsia="宋体" w:hint="default"/>
          <w:w w:val="95"/>
          <w:sz w:val="21"/>
          <w:szCs w:val="21"/>
        </w:rPr>
        <w:t>末，导弹制导系统方面的主要产品包括手持式导弹制导系统（用于单兵或兵组作战）和移动式导弹制导系</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pacing w:val="-2"/>
          <w:w w:val="99"/>
          <w:sz w:val="21"/>
          <w:szCs w:val="21"/>
        </w:rPr>
        <w:t>统（用于装甲车导弹作战）。精密光学系统产品主要是公司利用全球顶尖设备和技术加工的光学镜头等配</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w w:val="95"/>
          <w:sz w:val="21"/>
          <w:szCs w:val="21"/>
        </w:rPr>
        <w:t>件，用于小型卫星、远洋考察船及军用舰船和航空等方面。以上业务，主要是由公司全资控股的师凯科技</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公司承担。</w:t>
      </w:r>
    </w:p>
    <w:p>
      <w:pPr>
        <w:spacing w:before="87"/>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、主要经营模式</w:t>
      </w:r>
    </w:p>
    <w:p>
      <w:pPr>
        <w:spacing w:line="240" w:lineRule="auto" w:before="6"/>
        <w:rPr>
          <w:rFonts w:ascii="宋体" w:hAnsi="宋体" w:cs="宋体" w:eastAsia="宋体" w:hint="default"/>
          <w:sz w:val="16"/>
          <w:szCs w:val="16"/>
        </w:rPr>
      </w:pPr>
    </w:p>
    <w:p>
      <w:pPr>
        <w:spacing w:line="386" w:lineRule="auto" w:before="0"/>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）采购模式：师凯科技的产品主要为军用，我国从事军工产品的生产需要经过军方的资质认证，</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sz w:val="21"/>
          <w:szCs w:val="21"/>
        </w:rPr>
        <w:t>并进入军方合格供应商名录，师凯科技原材料根据生产需求在合格供应商范围内采购。</w:t>
      </w:r>
    </w:p>
    <w:p>
      <w:pPr>
        <w:spacing w:line="386" w:lineRule="auto" w:before="106"/>
        <w:ind w:left="112" w:right="987" w:firstLine="420"/>
        <w:jc w:val="left"/>
        <w:rPr>
          <w:rFonts w:ascii="宋体" w:hAnsi="宋体" w:cs="宋体" w:eastAsia="宋体" w:hint="default"/>
          <w:sz w:val="21"/>
          <w:szCs w:val="21"/>
        </w:rPr>
      </w:pPr>
      <w:r>
        <w:rPr>
          <w:rFonts w:ascii="宋体" w:hAnsi="宋体" w:cs="宋体" w:eastAsia="宋体" w:hint="default"/>
          <w:spacing w:val="-2"/>
          <w:w w:val="95"/>
          <w:sz w:val="21"/>
          <w:szCs w:val="21"/>
        </w:rPr>
        <w:t>（</w:t>
      </w:r>
      <w:r>
        <w:rPr>
          <w:rFonts w:ascii="Times New Roman" w:hAnsi="Times New Roman" w:cs="Times New Roman" w:eastAsia="Times New Roman" w:hint="default"/>
          <w:spacing w:val="-2"/>
          <w:w w:val="95"/>
          <w:sz w:val="21"/>
          <w:szCs w:val="21"/>
        </w:rPr>
        <w:t>2</w:t>
      </w:r>
      <w:r>
        <w:rPr>
          <w:rFonts w:ascii="宋体" w:hAnsi="宋体" w:cs="宋体" w:eastAsia="宋体" w:hint="default"/>
          <w:spacing w:val="-2"/>
          <w:w w:val="95"/>
          <w:sz w:val="21"/>
          <w:szCs w:val="21"/>
        </w:rPr>
        <w:t>）生产模式：军品需求具有计划性和定制化特征，师凯科技采取</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以销定产</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的模式，根据客户订单</w:t>
      </w:r>
      <w:r>
        <w:rPr>
          <w:rFonts w:ascii="宋体" w:hAnsi="宋体" w:cs="宋体" w:eastAsia="宋体" w:hint="default"/>
          <w:spacing w:val="-89"/>
          <w:w w:val="95"/>
          <w:sz w:val="21"/>
          <w:szCs w:val="21"/>
        </w:rPr>
        <w:t> </w:t>
      </w:r>
      <w:r>
        <w:rPr>
          <w:rFonts w:ascii="宋体" w:hAnsi="宋体" w:cs="宋体" w:eastAsia="宋体" w:hint="default"/>
          <w:spacing w:val="-89"/>
          <w:w w:val="95"/>
          <w:sz w:val="21"/>
          <w:szCs w:val="21"/>
        </w:rPr>
      </w:r>
      <w:r>
        <w:rPr>
          <w:rFonts w:ascii="宋体" w:hAnsi="宋体" w:cs="宋体" w:eastAsia="宋体" w:hint="default"/>
          <w:sz w:val="21"/>
          <w:szCs w:val="21"/>
        </w:rPr>
        <w:t>合理安排生产。</w:t>
      </w:r>
    </w:p>
    <w:p>
      <w:pPr>
        <w:spacing w:before="106"/>
        <w:ind w:left="532" w:right="9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）销售模式：师凯科技的销售采取直接向客户销售的模式。</w:t>
      </w:r>
    </w:p>
    <w:p>
      <w:pPr>
        <w:spacing w:line="240" w:lineRule="auto" w:before="6"/>
        <w:rPr>
          <w:rFonts w:ascii="宋体" w:hAnsi="宋体" w:cs="宋体" w:eastAsia="宋体" w:hint="default"/>
          <w:sz w:val="16"/>
          <w:szCs w:val="16"/>
        </w:rPr>
      </w:pPr>
    </w:p>
    <w:p>
      <w:pPr>
        <w:spacing w:line="386" w:lineRule="auto" w:before="0"/>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4</w:t>
      </w:r>
      <w:r>
        <w:rPr>
          <w:rFonts w:ascii="宋体" w:hAnsi="宋体" w:cs="宋体" w:eastAsia="宋体" w:hint="default"/>
          <w:w w:val="95"/>
          <w:sz w:val="21"/>
          <w:szCs w:val="21"/>
        </w:rPr>
        <w:t>）盈利模式：师凯科技的主营业务收入来源于其制导系统以及相关备件产品销售收入。该销售收</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sz w:val="21"/>
          <w:szCs w:val="21"/>
        </w:rPr>
        <w:t>入与生产成本、各项税费之间的差额即为师凯科技的盈利来源。</w:t>
      </w:r>
    </w:p>
    <w:p>
      <w:pPr>
        <w:spacing w:line="408" w:lineRule="auto" w:before="106"/>
        <w:ind w:left="112" w:right="1132" w:firstLine="420"/>
        <w:jc w:val="both"/>
        <w:rPr>
          <w:rFonts w:ascii="宋体" w:hAnsi="宋体" w:cs="宋体" w:eastAsia="宋体" w:hint="default"/>
          <w:sz w:val="21"/>
          <w:szCs w:val="21"/>
        </w:rPr>
      </w:pPr>
      <w:r>
        <w:rPr>
          <w:rFonts w:ascii="宋体" w:hAnsi="宋体" w:cs="宋体" w:eastAsia="宋体" w:hint="default"/>
          <w:w w:val="95"/>
          <w:sz w:val="21"/>
          <w:szCs w:val="21"/>
        </w:rPr>
        <w:t>报告期内，师凯科技在完成原有军工产品的技术改造产品更新换代的基础上，继续利用已经掌握的先</w:t>
      </w:r>
      <w:r>
        <w:rPr>
          <w:rFonts w:ascii="宋体" w:hAnsi="宋体" w:cs="宋体" w:eastAsia="宋体" w:hint="default"/>
          <w:w w:val="99"/>
          <w:sz w:val="21"/>
          <w:szCs w:val="21"/>
        </w:rPr>
        <w:t> </w:t>
      </w:r>
      <w:r>
        <w:rPr>
          <w:rFonts w:ascii="宋体" w:hAnsi="宋体" w:cs="宋体" w:eastAsia="宋体" w:hint="default"/>
          <w:w w:val="95"/>
          <w:sz w:val="21"/>
          <w:szCs w:val="21"/>
        </w:rPr>
        <w:t>进光电技术及高精度光学元器件加工技术，进行新产品的研制开发，在军品市场基础上，有序向民用方向</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进军，比如民用安防监控、天文监测及医学监测产品和服务等。</w:t>
      </w:r>
    </w:p>
    <w:p>
      <w:pPr>
        <w:spacing w:line="408" w:lineRule="auto" w:before="87"/>
        <w:ind w:left="112" w:right="987" w:firstLine="420"/>
        <w:jc w:val="left"/>
        <w:rPr>
          <w:rFonts w:ascii="宋体" w:hAnsi="宋体" w:cs="宋体" w:eastAsia="宋体" w:hint="default"/>
          <w:sz w:val="21"/>
          <w:szCs w:val="21"/>
        </w:rPr>
      </w:pPr>
      <w:r>
        <w:rPr>
          <w:rFonts w:ascii="宋体" w:hAnsi="宋体" w:cs="宋体" w:eastAsia="宋体" w:hint="default"/>
          <w:sz w:val="21"/>
          <w:szCs w:val="21"/>
        </w:rPr>
        <w:t>另外</w:t>
      </w:r>
      <w:r>
        <w:rPr>
          <w:rFonts w:ascii="宋体" w:hAnsi="宋体" w:cs="宋体" w:eastAsia="宋体" w:hint="default"/>
          <w:spacing w:val="-10"/>
          <w:sz w:val="21"/>
          <w:szCs w:val="21"/>
        </w:rPr>
        <w:t> </w:t>
      </w:r>
      <w:r>
        <w:rPr>
          <w:rFonts w:ascii="宋体" w:hAnsi="宋体" w:cs="宋体" w:eastAsia="宋体" w:hint="default"/>
          <w:sz w:val="21"/>
          <w:szCs w:val="21"/>
        </w:rPr>
        <w:t>富华宇祺与师凯科技两公司紧密合作，优势互补，在军工信息化产品和技术开发方面，根据客</w:t>
      </w:r>
      <w:r>
        <w:rPr>
          <w:rFonts w:ascii="宋体" w:hAnsi="宋体" w:cs="宋体" w:eastAsia="宋体" w:hint="default"/>
          <w:w w:val="99"/>
          <w:sz w:val="21"/>
          <w:szCs w:val="21"/>
        </w:rPr>
        <w:t> </w:t>
      </w:r>
      <w:r>
        <w:rPr>
          <w:rFonts w:ascii="宋体" w:hAnsi="宋体" w:cs="宋体" w:eastAsia="宋体" w:hint="default"/>
          <w:w w:val="95"/>
          <w:sz w:val="21"/>
          <w:szCs w:val="21"/>
        </w:rPr>
        <w:t>户需求进行定制化产品的开发，已经与多家军工单位有项目立项，同时在自主可控交换机及氢能源电池等</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产品上取得较大进展。为公司军工业务产品及服务多样化发展，降低对单一军工产品依赖，进一步做大做</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强军工业务奠定了基础。</w:t>
      </w:r>
    </w:p>
    <w:p>
      <w:pPr>
        <w:spacing w:before="84"/>
        <w:ind w:left="532" w:right="987" w:firstLine="0"/>
        <w:jc w:val="left"/>
        <w:rPr>
          <w:rFonts w:ascii="宋体" w:hAnsi="宋体" w:cs="宋体" w:eastAsia="宋体" w:hint="default"/>
          <w:sz w:val="21"/>
          <w:szCs w:val="21"/>
        </w:rPr>
      </w:pPr>
      <w:r>
        <w:rPr>
          <w:rFonts w:ascii="宋体" w:hAnsi="宋体" w:cs="宋体" w:eastAsia="宋体" w:hint="default"/>
          <w:sz w:val="21"/>
          <w:szCs w:val="21"/>
        </w:rPr>
        <w:t>（二）煤矿安全业务</w:t>
      </w:r>
    </w:p>
    <w:p>
      <w:pPr>
        <w:spacing w:after="0"/>
        <w:jc w:val="left"/>
        <w:rPr>
          <w:rFonts w:ascii="宋体" w:hAnsi="宋体" w:cs="宋体" w:eastAsia="宋体" w:hint="default"/>
          <w:sz w:val="21"/>
          <w:szCs w:val="21"/>
        </w:rPr>
        <w:sectPr>
          <w:footerReference w:type="default" r:id="rId16"/>
          <w:pgSz w:w="11910" w:h="16840"/>
          <w:pgMar w:footer="1028" w:header="907" w:top="1100" w:bottom="1220" w:left="1020" w:right="0"/>
          <w:pgNumType w:start="10"/>
        </w:sectPr>
      </w:pPr>
    </w:p>
    <w:p>
      <w:pPr>
        <w:spacing w:line="240" w:lineRule="auto" w:before="9"/>
        <w:rPr>
          <w:rFonts w:ascii="宋体" w:hAnsi="宋体" w:cs="宋体" w:eastAsia="宋体" w:hint="default"/>
          <w:sz w:val="27"/>
          <w:szCs w:val="27"/>
        </w:rPr>
      </w:pPr>
    </w:p>
    <w:p>
      <w:pPr>
        <w:spacing w:line="420" w:lineRule="auto" w:before="34"/>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、主要业务、主要产品及用途</w:t>
      </w:r>
      <w:r>
        <w:rPr>
          <w:rFonts w:ascii="宋体" w:hAnsi="宋体" w:cs="宋体" w:eastAsia="宋体" w:hint="default"/>
          <w:w w:val="99"/>
          <w:sz w:val="21"/>
          <w:szCs w:val="21"/>
        </w:rPr>
        <w:t> </w:t>
      </w:r>
      <w:r>
        <w:rPr>
          <w:rFonts w:ascii="宋体" w:hAnsi="宋体" w:cs="宋体" w:eastAsia="宋体" w:hint="default"/>
          <w:w w:val="95"/>
          <w:sz w:val="21"/>
          <w:szCs w:val="21"/>
        </w:rPr>
        <w:t>煤矿安全业务方面，公司是煤矿顶板安全业务的龙头企业。主要是为煤矿安全提供监控监测、井下运</w:t>
      </w:r>
      <w:r>
        <w:rPr>
          <w:rFonts w:ascii="宋体" w:hAnsi="宋体" w:cs="宋体" w:eastAsia="宋体" w:hint="default"/>
          <w:sz w:val="21"/>
          <w:szCs w:val="21"/>
        </w:rPr>
      </w:r>
    </w:p>
    <w:p>
      <w:pPr>
        <w:spacing w:line="408" w:lineRule="auto" w:before="35"/>
        <w:ind w:left="112" w:right="1132" w:firstLine="0"/>
        <w:jc w:val="both"/>
        <w:rPr>
          <w:rFonts w:ascii="宋体" w:hAnsi="宋体" w:cs="宋体" w:eastAsia="宋体" w:hint="default"/>
          <w:sz w:val="21"/>
          <w:szCs w:val="21"/>
        </w:rPr>
      </w:pPr>
      <w:r>
        <w:rPr>
          <w:rFonts w:ascii="宋体" w:hAnsi="宋体" w:cs="宋体" w:eastAsia="宋体" w:hint="default"/>
          <w:w w:val="95"/>
          <w:sz w:val="21"/>
          <w:szCs w:val="21"/>
        </w:rPr>
        <w:t>输及工程施工相关产品和技术服务等，主要产品包括煤矿顶板监测系统、蓝牙数字压力计等仪器仪表、智</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能集成供液系统、井下智能运输系统等。主要用途保障煤矿顶板、采煤机械及相关场所安全，提供安全运</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输服务等。</w:t>
      </w:r>
    </w:p>
    <w:p>
      <w:pPr>
        <w:spacing w:before="87"/>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、主要经营模式</w:t>
      </w:r>
    </w:p>
    <w:p>
      <w:pPr>
        <w:spacing w:line="240" w:lineRule="auto" w:before="6"/>
        <w:rPr>
          <w:rFonts w:ascii="宋体" w:hAnsi="宋体" w:cs="宋体" w:eastAsia="宋体" w:hint="default"/>
          <w:sz w:val="16"/>
          <w:szCs w:val="16"/>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）采购模式：有专门的采购供应部，根据生产需求在合格供应商范围内采购。</w:t>
      </w:r>
    </w:p>
    <w:p>
      <w:pPr>
        <w:spacing w:line="240" w:lineRule="auto" w:before="9"/>
        <w:rPr>
          <w:rFonts w:ascii="宋体" w:hAnsi="宋体" w:cs="宋体" w:eastAsia="宋体" w:hint="default"/>
          <w:sz w:val="16"/>
          <w:szCs w:val="16"/>
        </w:rPr>
      </w:pPr>
    </w:p>
    <w:p>
      <w:pPr>
        <w:spacing w:line="386" w:lineRule="auto" w:before="0"/>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2</w:t>
      </w:r>
      <w:r>
        <w:rPr>
          <w:rFonts w:ascii="宋体" w:hAnsi="宋体" w:cs="宋体" w:eastAsia="宋体" w:hint="default"/>
          <w:w w:val="95"/>
          <w:sz w:val="21"/>
          <w:szCs w:val="21"/>
        </w:rPr>
        <w:t>）生产模式：煤矿安全类及运输产品需求具有计划性和定制化特征，采取</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以销定产、以标定产</w:t>
      </w:r>
      <w:r>
        <w:rPr>
          <w:rFonts w:ascii="Times New Roman" w:hAnsi="Times New Roman" w:cs="Times New Roman" w:eastAsia="Times New Roman" w:hint="default"/>
          <w:w w:val="95"/>
          <w:sz w:val="21"/>
          <w:szCs w:val="21"/>
        </w:rPr>
        <w:t>”</w:t>
      </w:r>
      <w:r>
        <w:rPr>
          <w:rFonts w:ascii="Times New Roman" w:hAnsi="Times New Roman" w:cs="Times New Roman" w:eastAsia="Times New Roman" w:hint="default"/>
          <w:spacing w:val="-36"/>
          <w:w w:val="95"/>
          <w:sz w:val="21"/>
          <w:szCs w:val="21"/>
        </w:rPr>
        <w:t> </w:t>
      </w:r>
      <w:r>
        <w:rPr>
          <w:rFonts w:ascii="宋体" w:hAnsi="宋体" w:cs="宋体" w:eastAsia="宋体" w:hint="default"/>
          <w:sz w:val="21"/>
          <w:szCs w:val="21"/>
        </w:rPr>
        <w:t>的模式，根据客户订单和中标书合理安排生产。</w:t>
      </w:r>
    </w:p>
    <w:p>
      <w:pPr>
        <w:spacing w:line="386" w:lineRule="auto" w:before="106"/>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）销售模式：煤矿类产品销售主要采取向客户投标，然后进行设备销售、提供安装、技术制导服</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sz w:val="21"/>
          <w:szCs w:val="21"/>
        </w:rPr>
        <w:t>务，完成系统建设，最后实现完全销售的模式。</w:t>
      </w:r>
    </w:p>
    <w:p>
      <w:pPr>
        <w:spacing w:line="386" w:lineRule="auto" w:before="103"/>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4</w:t>
      </w:r>
      <w:r>
        <w:rPr>
          <w:rFonts w:ascii="宋体" w:hAnsi="宋体" w:cs="宋体" w:eastAsia="宋体" w:hint="default"/>
          <w:w w:val="95"/>
          <w:sz w:val="21"/>
          <w:szCs w:val="21"/>
        </w:rPr>
        <w:t>）盈利模式：主营业务收入来源于煤矿安全、运输类产品的销售及技术服务收入。该等收入与生</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sz w:val="21"/>
          <w:szCs w:val="21"/>
        </w:rPr>
        <w:t>产成本、安装费等费用之间的差额即为其盈利来源。</w:t>
      </w:r>
    </w:p>
    <w:p>
      <w:pPr>
        <w:spacing w:line="408" w:lineRule="auto" w:before="106"/>
        <w:ind w:left="112" w:right="1025" w:firstLine="420"/>
        <w:jc w:val="left"/>
        <w:rPr>
          <w:rFonts w:ascii="宋体" w:hAnsi="宋体" w:cs="宋体" w:eastAsia="宋体" w:hint="default"/>
          <w:sz w:val="21"/>
          <w:szCs w:val="21"/>
        </w:rPr>
      </w:pPr>
      <w:r>
        <w:rPr>
          <w:rFonts w:ascii="宋体" w:hAnsi="宋体" w:cs="宋体" w:eastAsia="宋体" w:hint="default"/>
          <w:sz w:val="21"/>
          <w:szCs w:val="21"/>
        </w:rPr>
        <w:t>报告期内，煤矿行业出现周期性复苏，加之国家继续重视安全生产，公司煤矿安全业务进入了较好发</w:t>
      </w:r>
      <w:r>
        <w:rPr>
          <w:rFonts w:ascii="宋体" w:hAnsi="宋体" w:cs="宋体" w:eastAsia="宋体" w:hint="default"/>
          <w:w w:val="99"/>
          <w:sz w:val="21"/>
          <w:szCs w:val="21"/>
        </w:rPr>
        <w:t> </w:t>
      </w:r>
      <w:r>
        <w:rPr>
          <w:rFonts w:ascii="宋体" w:hAnsi="宋体" w:cs="宋体" w:eastAsia="宋体" w:hint="default"/>
          <w:spacing w:val="-3"/>
          <w:sz w:val="21"/>
          <w:szCs w:val="21"/>
        </w:rPr>
        <w:t>展时期，新产品井下智能安全运输系统实现规模化销售，大大降低了成本费用，成为公司新的利润增长点。</w:t>
      </w:r>
    </w:p>
    <w:p>
      <w:pPr>
        <w:spacing w:before="87"/>
        <w:ind w:left="532" w:right="987" w:firstLine="0"/>
        <w:jc w:val="left"/>
        <w:rPr>
          <w:rFonts w:ascii="宋体" w:hAnsi="宋体" w:cs="宋体" w:eastAsia="宋体" w:hint="default"/>
          <w:sz w:val="21"/>
          <w:szCs w:val="21"/>
        </w:rPr>
      </w:pPr>
      <w:r>
        <w:rPr>
          <w:rFonts w:ascii="宋体" w:hAnsi="宋体" w:cs="宋体" w:eastAsia="宋体" w:hint="default"/>
          <w:sz w:val="21"/>
          <w:szCs w:val="21"/>
        </w:rPr>
        <w:t>（三）信息通信业务</w:t>
      </w:r>
    </w:p>
    <w:p>
      <w:pPr>
        <w:spacing w:line="240" w:lineRule="auto" w:before="9"/>
        <w:rPr>
          <w:rFonts w:ascii="宋体" w:hAnsi="宋体" w:cs="宋体" w:eastAsia="宋体" w:hint="default"/>
          <w:sz w:val="17"/>
          <w:szCs w:val="17"/>
        </w:rPr>
      </w:pPr>
    </w:p>
    <w:p>
      <w:pPr>
        <w:spacing w:line="420" w:lineRule="auto" w:before="0"/>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、主要业务、主要产品及用途</w:t>
      </w:r>
      <w:r>
        <w:rPr>
          <w:rFonts w:ascii="宋体" w:hAnsi="宋体" w:cs="宋体" w:eastAsia="宋体" w:hint="default"/>
          <w:w w:val="99"/>
          <w:sz w:val="21"/>
          <w:szCs w:val="21"/>
        </w:rPr>
        <w:t> </w:t>
      </w:r>
      <w:r>
        <w:rPr>
          <w:rFonts w:ascii="宋体" w:hAnsi="宋体" w:cs="宋体" w:eastAsia="宋体" w:hint="default"/>
          <w:w w:val="95"/>
          <w:sz w:val="21"/>
          <w:szCs w:val="21"/>
        </w:rPr>
        <w:t>报告期内，公司信息通信业务主要以轨道交通通讯业务、能源行业信息业务为主，尝试向军工信息产</w:t>
      </w:r>
      <w:r>
        <w:rPr>
          <w:rFonts w:ascii="宋体" w:hAnsi="宋体" w:cs="宋体" w:eastAsia="宋体" w:hint="default"/>
          <w:sz w:val="21"/>
          <w:szCs w:val="21"/>
        </w:rPr>
      </w:r>
    </w:p>
    <w:p>
      <w:pPr>
        <w:spacing w:line="400" w:lineRule="auto" w:before="35"/>
        <w:ind w:left="112" w:right="1135" w:firstLine="0"/>
        <w:jc w:val="both"/>
        <w:rPr>
          <w:rFonts w:ascii="宋体" w:hAnsi="宋体" w:cs="宋体" w:eastAsia="宋体" w:hint="default"/>
          <w:sz w:val="21"/>
          <w:szCs w:val="21"/>
        </w:rPr>
      </w:pPr>
      <w:r>
        <w:rPr>
          <w:rFonts w:ascii="宋体" w:hAnsi="宋体" w:cs="宋体" w:eastAsia="宋体" w:hint="default"/>
          <w:spacing w:val="-2"/>
          <w:w w:val="99"/>
          <w:sz w:val="21"/>
          <w:szCs w:val="21"/>
        </w:rPr>
        <w:t>品服务及区块链等创新业务拓展。主要产品仍为铁路综合通信系统，包括普列无线通信系统（</w:t>
      </w:r>
      <w:r>
        <w:rPr>
          <w:rFonts w:ascii="Times New Roman" w:hAnsi="Times New Roman" w:cs="Times New Roman" w:eastAsia="Times New Roman" w:hint="default"/>
          <w:spacing w:val="-2"/>
          <w:w w:val="99"/>
          <w:sz w:val="21"/>
          <w:szCs w:val="21"/>
        </w:rPr>
        <w:t>WIFI</w:t>
      </w:r>
      <w:r>
        <w:rPr>
          <w:rFonts w:ascii="宋体" w:hAnsi="宋体" w:cs="宋体" w:eastAsia="宋体" w:hint="default"/>
          <w:spacing w:val="-2"/>
          <w:w w:val="99"/>
          <w:sz w:val="21"/>
          <w:szCs w:val="21"/>
        </w:rPr>
        <w:t>）、高</w:t>
      </w:r>
      <w:r>
        <w:rPr>
          <w:rFonts w:ascii="宋体" w:hAnsi="宋体" w:cs="宋体" w:eastAsia="宋体" w:hint="default"/>
          <w:spacing w:val="-92"/>
          <w:w w:val="99"/>
          <w:sz w:val="21"/>
          <w:szCs w:val="21"/>
        </w:rPr>
        <w:t> </w:t>
      </w:r>
      <w:r>
        <w:rPr>
          <w:rFonts w:ascii="宋体" w:hAnsi="宋体" w:cs="宋体" w:eastAsia="宋体" w:hint="default"/>
          <w:spacing w:val="-92"/>
          <w:w w:val="99"/>
          <w:sz w:val="21"/>
          <w:szCs w:val="21"/>
        </w:rPr>
      </w:r>
      <w:r>
        <w:rPr>
          <w:rFonts w:ascii="宋体" w:hAnsi="宋体" w:cs="宋体" w:eastAsia="宋体" w:hint="default"/>
          <w:spacing w:val="-2"/>
          <w:w w:val="99"/>
          <w:sz w:val="21"/>
          <w:szCs w:val="21"/>
        </w:rPr>
        <w:t>铁综合通信系统（含中心及单车服务器等）、路局综合通信系统、地下无线通信系统等。其主要用途为：</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w w:val="95"/>
          <w:sz w:val="21"/>
          <w:szCs w:val="21"/>
        </w:rPr>
        <w:t>实现普通列车、高铁的无线通讯，实现铁路局的综合通讯调度、交通大数据采集分析、货运定位及矿山井</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下无线通信等。</w:t>
      </w:r>
    </w:p>
    <w:p>
      <w:pPr>
        <w:spacing w:before="93"/>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、主要经营模式</w:t>
      </w:r>
    </w:p>
    <w:p>
      <w:pPr>
        <w:spacing w:line="240" w:lineRule="auto" w:before="6"/>
        <w:rPr>
          <w:rFonts w:ascii="宋体" w:hAnsi="宋体" w:cs="宋体" w:eastAsia="宋体" w:hint="default"/>
          <w:sz w:val="16"/>
          <w:szCs w:val="16"/>
        </w:rPr>
      </w:pPr>
    </w:p>
    <w:p>
      <w:pPr>
        <w:spacing w:line="386" w:lineRule="auto" w:before="0"/>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）原材料、配件采购模式：富华宇祺的产品主要是各种通信系统，系统所需的组成部分一部分需</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sz w:val="21"/>
          <w:szCs w:val="21"/>
        </w:rPr>
        <w:t>要向大型基础通信企业采购，一部分自制。</w:t>
      </w:r>
    </w:p>
    <w:p>
      <w:pPr>
        <w:spacing w:line="386" w:lineRule="auto" w:before="106"/>
        <w:ind w:left="112" w:right="987" w:firstLine="420"/>
        <w:jc w:val="left"/>
        <w:rPr>
          <w:rFonts w:ascii="宋体" w:hAnsi="宋体" w:cs="宋体" w:eastAsia="宋体" w:hint="default"/>
          <w:sz w:val="21"/>
          <w:szCs w:val="21"/>
        </w:rPr>
      </w:pPr>
      <w:r>
        <w:rPr>
          <w:rFonts w:ascii="宋体" w:hAnsi="宋体" w:cs="宋体" w:eastAsia="宋体" w:hint="default"/>
          <w:spacing w:val="-2"/>
          <w:w w:val="95"/>
          <w:sz w:val="21"/>
          <w:szCs w:val="21"/>
        </w:rPr>
        <w:t>（</w:t>
      </w:r>
      <w:r>
        <w:rPr>
          <w:rFonts w:ascii="Times New Roman" w:hAnsi="Times New Roman" w:cs="Times New Roman" w:eastAsia="Times New Roman" w:hint="default"/>
          <w:spacing w:val="-2"/>
          <w:w w:val="95"/>
          <w:sz w:val="21"/>
          <w:szCs w:val="21"/>
        </w:rPr>
        <w:t>2</w:t>
      </w:r>
      <w:r>
        <w:rPr>
          <w:rFonts w:ascii="宋体" w:hAnsi="宋体" w:cs="宋体" w:eastAsia="宋体" w:hint="default"/>
          <w:spacing w:val="-2"/>
          <w:w w:val="95"/>
          <w:sz w:val="21"/>
          <w:szCs w:val="21"/>
        </w:rPr>
        <w:t>）生产模式：产品需求具有计划性和定制化特征，富华宇祺采取</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以销定产、以标定产</w:t>
      </w:r>
      <w:r>
        <w:rPr>
          <w:rFonts w:ascii="Times New Roman" w:hAnsi="Times New Roman" w:cs="Times New Roman" w:eastAsia="Times New Roman" w:hint="default"/>
          <w:spacing w:val="-2"/>
          <w:w w:val="95"/>
          <w:sz w:val="21"/>
          <w:szCs w:val="21"/>
        </w:rPr>
        <w:t>”</w:t>
      </w:r>
      <w:r>
        <w:rPr>
          <w:rFonts w:ascii="宋体" w:hAnsi="宋体" w:cs="宋体" w:eastAsia="宋体" w:hint="default"/>
          <w:spacing w:val="-2"/>
          <w:w w:val="95"/>
          <w:sz w:val="21"/>
          <w:szCs w:val="21"/>
        </w:rPr>
        <w:t>的模式，根</w:t>
      </w:r>
      <w:r>
        <w:rPr>
          <w:rFonts w:ascii="宋体" w:hAnsi="宋体" w:cs="宋体" w:eastAsia="宋体" w:hint="default"/>
          <w:spacing w:val="-87"/>
          <w:w w:val="95"/>
          <w:sz w:val="21"/>
          <w:szCs w:val="21"/>
        </w:rPr>
        <w:t> </w:t>
      </w:r>
      <w:r>
        <w:rPr>
          <w:rFonts w:ascii="宋体" w:hAnsi="宋体" w:cs="宋体" w:eastAsia="宋体" w:hint="default"/>
          <w:spacing w:val="-87"/>
          <w:w w:val="95"/>
          <w:sz w:val="21"/>
          <w:szCs w:val="21"/>
        </w:rPr>
      </w:r>
      <w:r>
        <w:rPr>
          <w:rFonts w:ascii="宋体" w:hAnsi="宋体" w:cs="宋体" w:eastAsia="宋体" w:hint="default"/>
          <w:sz w:val="21"/>
          <w:szCs w:val="21"/>
        </w:rPr>
        <w:t>据客户订单或标书合理安排生产。</w:t>
      </w:r>
    </w:p>
    <w:p>
      <w:pPr>
        <w:spacing w:before="106"/>
        <w:ind w:left="532" w:right="9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）销售模式：富华宇祺的销售主要采取向客户投标，然后进行设备销售、提供安装、技术服务，</w:t>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before="34"/>
        <w:ind w:left="112" w:right="987" w:firstLine="0"/>
        <w:jc w:val="left"/>
        <w:rPr>
          <w:rFonts w:ascii="宋体" w:hAnsi="宋体" w:cs="宋体" w:eastAsia="宋体" w:hint="default"/>
          <w:sz w:val="21"/>
          <w:szCs w:val="21"/>
        </w:rPr>
      </w:pPr>
      <w:r>
        <w:rPr>
          <w:rFonts w:ascii="宋体" w:hAnsi="宋体" w:cs="宋体" w:eastAsia="宋体" w:hint="default"/>
          <w:sz w:val="21"/>
          <w:szCs w:val="21"/>
        </w:rPr>
        <w:t>完成系统建设，最后实现完全销售的模式。</w:t>
      </w:r>
    </w:p>
    <w:p>
      <w:pPr>
        <w:spacing w:line="240" w:lineRule="auto" w:before="12"/>
        <w:rPr>
          <w:rFonts w:ascii="宋体" w:hAnsi="宋体" w:cs="宋体" w:eastAsia="宋体" w:hint="default"/>
          <w:sz w:val="17"/>
          <w:szCs w:val="17"/>
        </w:rPr>
      </w:pPr>
    </w:p>
    <w:p>
      <w:pPr>
        <w:spacing w:line="386" w:lineRule="auto" w:before="0"/>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4</w:t>
      </w:r>
      <w:r>
        <w:rPr>
          <w:rFonts w:ascii="宋体" w:hAnsi="宋体" w:cs="宋体" w:eastAsia="宋体" w:hint="default"/>
          <w:w w:val="95"/>
          <w:sz w:val="21"/>
          <w:szCs w:val="21"/>
        </w:rPr>
        <w:t>）盈利模式：富华宇祺的主营业务收入来源于其通信系统设备销售、安装技术服务实现收入。该</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sz w:val="21"/>
          <w:szCs w:val="21"/>
        </w:rPr>
        <w:t>等收入与设备成本、安装费用等之间的差额即为富华宇祺的盈利来源。</w:t>
      </w:r>
    </w:p>
    <w:p>
      <w:pPr>
        <w:spacing w:line="391" w:lineRule="auto" w:before="106"/>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报告期内，持续投入轨交通讯、自主可控、燃料电池相关新产品的研发和开拓，煤化工领域新增矿用</w:t>
      </w:r>
      <w:r>
        <w:rPr>
          <w:rFonts w:ascii="宋体" w:hAnsi="宋体" w:cs="宋体" w:eastAsia="宋体" w:hint="default"/>
          <w:w w:val="99"/>
          <w:sz w:val="21"/>
          <w:szCs w:val="21"/>
        </w:rPr>
        <w:t> </w:t>
      </w:r>
      <w:r>
        <w:rPr>
          <w:rFonts w:ascii="宋体" w:hAnsi="宋体" w:cs="宋体" w:eastAsia="宋体" w:hint="default"/>
          <w:spacing w:val="-3"/>
          <w:sz w:val="21"/>
          <w:szCs w:val="21"/>
        </w:rPr>
        <w:t>综合调度系统、人员在线监测系统；轨道交通领域新增高铁三层交换接入设备、高铁专列单车服务器、</w:t>
      </w:r>
      <w:r>
        <w:rPr>
          <w:rFonts w:ascii="Times New Roman" w:hAnsi="Times New Roman" w:cs="Times New Roman" w:eastAsia="Times New Roman" w:hint="default"/>
          <w:spacing w:val="-3"/>
          <w:sz w:val="21"/>
          <w:szCs w:val="21"/>
        </w:rPr>
        <w:t>160</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时速列车交换机、高铁屏显控制系统产品、地铁 </w:t>
      </w:r>
      <w:r>
        <w:rPr>
          <w:rFonts w:ascii="Times New Roman" w:hAnsi="Times New Roman" w:cs="Times New Roman" w:eastAsia="Times New Roman" w:hint="default"/>
          <w:sz w:val="21"/>
          <w:szCs w:val="21"/>
        </w:rPr>
        <w:t>SIP</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服务器、地铁列车专用网关、轨交乘务管理系统；</w:t>
      </w:r>
      <w:r>
        <w:rPr>
          <w:rFonts w:ascii="宋体" w:hAnsi="宋体" w:cs="宋体" w:eastAsia="宋体" w:hint="default"/>
          <w:w w:val="99"/>
          <w:sz w:val="21"/>
          <w:szCs w:val="21"/>
        </w:rPr>
        <w:t> </w:t>
      </w:r>
      <w:r>
        <w:rPr>
          <w:rFonts w:ascii="宋体" w:hAnsi="宋体" w:cs="宋体" w:eastAsia="宋体" w:hint="default"/>
          <w:sz w:val="21"/>
          <w:szCs w:val="21"/>
        </w:rPr>
        <w:t>军工领域开拓军事基地的信息通讯系统建设，新增自主可控交换机、</w:t>
      </w:r>
      <w:r>
        <w:rPr>
          <w:rFonts w:ascii="Times New Roman" w:hAnsi="Times New Roman" w:cs="Times New Roman" w:eastAsia="Times New Roman" w:hint="default"/>
          <w:sz w:val="21"/>
          <w:szCs w:val="21"/>
        </w:rPr>
        <w:t>9000 </w:t>
      </w:r>
      <w:r>
        <w:rPr>
          <w:rFonts w:ascii="宋体" w:hAnsi="宋体" w:cs="宋体" w:eastAsia="宋体" w:hint="default"/>
          <w:sz w:val="21"/>
          <w:szCs w:val="21"/>
        </w:rPr>
        <w:t>瓦氢能燃料电池、</w:t>
      </w:r>
      <w:r>
        <w:rPr>
          <w:rFonts w:ascii="Times New Roman" w:hAnsi="Times New Roman" w:cs="Times New Roman" w:eastAsia="Times New Roman" w:hint="default"/>
          <w:sz w:val="21"/>
          <w:szCs w:val="21"/>
        </w:rPr>
        <w:t>200</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瓦便携</w:t>
      </w:r>
      <w:r>
        <w:rPr>
          <w:rFonts w:ascii="宋体" w:hAnsi="宋体" w:cs="宋体" w:eastAsia="宋体" w:hint="default"/>
          <w:w w:val="99"/>
          <w:sz w:val="21"/>
          <w:szCs w:val="21"/>
        </w:rPr>
        <w:t> </w:t>
      </w:r>
      <w:r>
        <w:rPr>
          <w:rFonts w:ascii="宋体" w:hAnsi="宋体" w:cs="宋体" w:eastAsia="宋体" w:hint="default"/>
          <w:sz w:val="21"/>
          <w:szCs w:val="21"/>
        </w:rPr>
        <w:t>式氢能燃料电池；大数据领域新增投入基于区块链技术的运维支付平台。</w:t>
      </w:r>
    </w:p>
    <w:p>
      <w:pPr>
        <w:spacing w:line="444" w:lineRule="auto" w:before="99"/>
        <w:ind w:left="532" w:right="987" w:firstLine="0"/>
        <w:jc w:val="left"/>
        <w:rPr>
          <w:rFonts w:ascii="宋体" w:hAnsi="宋体" w:cs="宋体" w:eastAsia="宋体" w:hint="default"/>
          <w:sz w:val="21"/>
          <w:szCs w:val="21"/>
        </w:rPr>
      </w:pPr>
      <w:r>
        <w:rPr>
          <w:rFonts w:ascii="宋体" w:hAnsi="宋体" w:cs="宋体" w:eastAsia="宋体" w:hint="default"/>
          <w:sz w:val="21"/>
          <w:szCs w:val="21"/>
        </w:rPr>
        <w:t>（四）业绩驱动因素</w:t>
      </w:r>
      <w:r>
        <w:rPr>
          <w:rFonts w:ascii="宋体" w:hAnsi="宋体" w:cs="宋体" w:eastAsia="宋体" w:hint="default"/>
          <w:w w:val="99"/>
          <w:sz w:val="21"/>
          <w:szCs w:val="21"/>
        </w:rPr>
        <w:t> </w:t>
      </w:r>
      <w:r>
        <w:rPr>
          <w:rFonts w:ascii="宋体" w:hAnsi="宋体" w:cs="宋体" w:eastAsia="宋体" w:hint="default"/>
          <w:w w:val="95"/>
          <w:sz w:val="21"/>
          <w:szCs w:val="21"/>
        </w:rPr>
        <w:t>报告期内，公司军工业务板块及煤矿安全板块收入、净利润实现大幅增长；但控股子公司富华宇祺由</w:t>
      </w:r>
      <w:r>
        <w:rPr>
          <w:rFonts w:ascii="宋体" w:hAnsi="宋体" w:cs="宋体" w:eastAsia="宋体" w:hint="default"/>
          <w:sz w:val="21"/>
          <w:szCs w:val="21"/>
        </w:rPr>
      </w:r>
    </w:p>
    <w:p>
      <w:pPr>
        <w:spacing w:line="400" w:lineRule="auto" w:before="14"/>
        <w:ind w:left="112" w:right="1025" w:firstLine="0"/>
        <w:jc w:val="left"/>
        <w:rPr>
          <w:rFonts w:ascii="宋体" w:hAnsi="宋体" w:cs="宋体" w:eastAsia="宋体" w:hint="default"/>
          <w:sz w:val="21"/>
          <w:szCs w:val="21"/>
        </w:rPr>
      </w:pPr>
      <w:r>
        <w:rPr>
          <w:rFonts w:ascii="宋体" w:hAnsi="宋体" w:cs="宋体" w:eastAsia="宋体" w:hint="default"/>
          <w:sz w:val="21"/>
          <w:szCs w:val="21"/>
        </w:rPr>
        <w:t>于受铁路混改（高铁无线通讯招投标体系变化）及中兴事件影响，矿山井下通讯及轨交信息业务部分订单</w:t>
      </w:r>
      <w:r>
        <w:rPr>
          <w:rFonts w:ascii="宋体" w:hAnsi="宋体" w:cs="宋体" w:eastAsia="宋体" w:hint="default"/>
          <w:w w:val="99"/>
          <w:sz w:val="21"/>
          <w:szCs w:val="21"/>
        </w:rPr>
        <w:t> </w:t>
      </w:r>
      <w:r>
        <w:rPr>
          <w:rFonts w:ascii="宋体" w:hAnsi="宋体" w:cs="宋体" w:eastAsia="宋体" w:hint="default"/>
          <w:sz w:val="21"/>
          <w:szCs w:val="21"/>
        </w:rPr>
        <w:t>延迟或暂停，造成该类业务营业收入大幅度下滑；富华宇祺自</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年以来逐步减少或终止部分普通铁路</w:t>
      </w:r>
      <w:r>
        <w:rPr>
          <w:rFonts w:ascii="宋体" w:hAnsi="宋体" w:cs="宋体" w:eastAsia="宋体" w:hint="default"/>
          <w:w w:val="99"/>
          <w:sz w:val="21"/>
          <w:szCs w:val="21"/>
        </w:rPr>
        <w:t> </w:t>
      </w:r>
      <w:r>
        <w:rPr>
          <w:rFonts w:ascii="宋体" w:hAnsi="宋体" w:cs="宋体" w:eastAsia="宋体" w:hint="default"/>
          <w:spacing w:val="-3"/>
          <w:sz w:val="21"/>
          <w:szCs w:val="21"/>
        </w:rPr>
        <w:t>信息通信、矿山通信等工期长、回款慢、毛利率低的传统业务，转而把重点向军工、大数据等新业务转型，</w:t>
      </w:r>
      <w:r>
        <w:rPr>
          <w:rFonts w:ascii="宋体" w:hAnsi="宋体" w:cs="宋体" w:eastAsia="宋体" w:hint="default"/>
          <w:w w:val="99"/>
          <w:sz w:val="21"/>
          <w:szCs w:val="21"/>
        </w:rPr>
        <w:t> </w:t>
      </w:r>
      <w:r>
        <w:rPr>
          <w:rFonts w:ascii="宋体" w:hAnsi="宋体" w:cs="宋体" w:eastAsia="宋体" w:hint="default"/>
          <w:sz w:val="21"/>
          <w:szCs w:val="21"/>
        </w:rPr>
        <w:t>在自主可控、军用燃料电池、区块链等相关方面，增加研发投入、市场开拓费用。该类费用的投入，导致</w:t>
      </w:r>
      <w:r>
        <w:rPr>
          <w:rFonts w:ascii="宋体" w:hAnsi="宋体" w:cs="宋体" w:eastAsia="宋体" w:hint="default"/>
          <w:w w:val="99"/>
          <w:sz w:val="21"/>
          <w:szCs w:val="21"/>
        </w:rPr>
        <w:t> </w:t>
      </w:r>
      <w:r>
        <w:rPr>
          <w:rFonts w:ascii="宋体" w:hAnsi="宋体" w:cs="宋体" w:eastAsia="宋体" w:hint="default"/>
          <w:sz w:val="21"/>
          <w:szCs w:val="21"/>
        </w:rPr>
        <w:t>富华宇祺出现了所谓的</w:t>
      </w:r>
      <w:r>
        <w:rPr>
          <w:rFonts w:ascii="Times New Roman" w:hAnsi="Times New Roman" w:cs="Times New Roman" w:eastAsia="Times New Roman" w:hint="default"/>
          <w:sz w:val="21"/>
          <w:szCs w:val="21"/>
        </w:rPr>
        <w:t>“</w:t>
      </w:r>
      <w:r>
        <w:rPr>
          <w:rFonts w:ascii="宋体" w:hAnsi="宋体" w:cs="宋体" w:eastAsia="宋体" w:hint="default"/>
          <w:sz w:val="21"/>
          <w:szCs w:val="21"/>
        </w:rPr>
        <w:t>暂时转型之痛</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年形成较大亏损，另外对富华宇祺计提减值约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1865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r>
        <w:rPr>
          <w:rFonts w:ascii="宋体" w:hAnsi="宋体" w:cs="宋体" w:eastAsia="宋体" w:hint="default"/>
          <w:w w:val="99"/>
          <w:sz w:val="21"/>
          <w:szCs w:val="21"/>
        </w:rPr>
        <w:t> </w:t>
      </w:r>
      <w:r>
        <w:rPr>
          <w:rFonts w:ascii="宋体" w:hAnsi="宋体" w:cs="宋体" w:eastAsia="宋体" w:hint="default"/>
          <w:sz w:val="21"/>
          <w:szCs w:val="21"/>
        </w:rPr>
        <w:t>最终导致归属于上市公司股东的净利润比去年同期稍有下降。</w:t>
      </w:r>
    </w:p>
    <w:p>
      <w:pPr>
        <w:spacing w:before="93"/>
        <w:ind w:left="532" w:right="987" w:firstLine="0"/>
        <w:jc w:val="left"/>
        <w:rPr>
          <w:rFonts w:ascii="宋体" w:hAnsi="宋体" w:cs="宋体" w:eastAsia="宋体" w:hint="default"/>
          <w:sz w:val="21"/>
          <w:szCs w:val="21"/>
        </w:rPr>
      </w:pPr>
      <w:r>
        <w:rPr>
          <w:rFonts w:ascii="宋体" w:hAnsi="宋体" w:cs="宋体" w:eastAsia="宋体" w:hint="default"/>
          <w:sz w:val="21"/>
          <w:szCs w:val="21"/>
        </w:rPr>
        <w:t>行业发展等情况在经营情况讨论与分析中进行阐述，详见本报告第四节。</w:t>
      </w:r>
    </w:p>
    <w:p>
      <w:pPr>
        <w:spacing w:line="240" w:lineRule="auto" w:before="11"/>
        <w:rPr>
          <w:rFonts w:ascii="宋体" w:hAnsi="宋体" w:cs="宋体" w:eastAsia="宋体" w:hint="default"/>
          <w:sz w:val="29"/>
          <w:szCs w:val="29"/>
        </w:rPr>
      </w:pPr>
    </w:p>
    <w:p>
      <w:pPr>
        <w:spacing w:before="0"/>
        <w:ind w:left="112" w:right="987" w:firstLine="0"/>
        <w:jc w:val="left"/>
        <w:rPr>
          <w:rFonts w:ascii="宋体" w:hAnsi="宋体" w:cs="宋体" w:eastAsia="宋体" w:hint="default"/>
          <w:sz w:val="24"/>
          <w:szCs w:val="24"/>
        </w:rPr>
      </w:pPr>
      <w:bookmarkStart w:name="二、主要资产重大变化情况" w:id="15"/>
      <w:bookmarkEnd w:id="15"/>
      <w:r>
        <w:rPr/>
      </w:r>
      <w:r>
        <w:rPr>
          <w:rFonts w:ascii="宋体" w:hAnsi="宋体" w:cs="宋体" w:eastAsia="宋体" w:hint="default"/>
          <w:b/>
          <w:bCs/>
          <w:sz w:val="24"/>
          <w:szCs w:val="24"/>
        </w:rPr>
        <w:t>二、主要资产重大变化情况</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主要资产重大变化情况" w:id="16"/>
      <w:bookmarkEnd w:id="1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无重大</w:t>
            </w:r>
            <w:r>
              <w:rPr>
                <w:rFonts w:ascii="宋体" w:hAnsi="宋体" w:cs="宋体" w:eastAsia="宋体" w:hint="default"/>
                <w:spacing w:val="-2"/>
                <w:sz w:val="18"/>
                <w:szCs w:val="18"/>
              </w:rPr>
              <w:t> </w:t>
            </w:r>
            <w:r>
              <w:rPr>
                <w:rFonts w:ascii="宋体" w:hAnsi="宋体" w:cs="宋体" w:eastAsia="宋体" w:hint="default"/>
                <w:sz w:val="18"/>
                <w:szCs w:val="18"/>
              </w:rPr>
              <w:t>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40"/>
              <w:jc w:val="left"/>
              <w:rPr>
                <w:rFonts w:ascii="宋体" w:hAnsi="宋体" w:cs="宋体" w:eastAsia="宋体" w:hint="default"/>
                <w:sz w:val="18"/>
                <w:szCs w:val="18"/>
              </w:rPr>
            </w:pPr>
            <w:r>
              <w:rPr>
                <w:rFonts w:ascii="宋体" w:hAnsi="宋体" w:cs="宋体" w:eastAsia="宋体" w:hint="default"/>
                <w:sz w:val="18"/>
                <w:szCs w:val="18"/>
              </w:rPr>
              <w:t>其他应收账款较期初账面价值增长</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131.11%</w:t>
            </w:r>
            <w:r>
              <w:rPr>
                <w:rFonts w:ascii="宋体" w:hAnsi="宋体" w:cs="宋体" w:eastAsia="宋体" w:hint="default"/>
                <w:sz w:val="18"/>
                <w:szCs w:val="18"/>
              </w:rPr>
              <w:t>，主要原因是本报告期军工业务收入 大幅增加，相应的应收的增值税返还增加。</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其他流动资产较期初账面价值增长</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66.69%</w:t>
            </w:r>
            <w:r>
              <w:rPr>
                <w:rFonts w:ascii="宋体" w:hAnsi="宋体" w:cs="宋体" w:eastAsia="宋体" w:hint="default"/>
                <w:spacing w:val="-3"/>
                <w:sz w:val="18"/>
                <w:szCs w:val="18"/>
              </w:rPr>
              <w:t>，主要原因是主要原因本报告购买期理</w:t>
            </w:r>
            <w:r>
              <w:rPr>
                <w:rFonts w:ascii="宋体" w:hAnsi="宋体" w:cs="宋体" w:eastAsia="宋体" w:hint="default"/>
                <w:sz w:val="18"/>
                <w:szCs w:val="18"/>
              </w:rPr>
              <w:t> 财产品未到期。</w:t>
            </w:r>
          </w:p>
        </w:tc>
      </w:tr>
      <w:tr>
        <w:trPr>
          <w:trHeight w:val="68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40"/>
              <w:jc w:val="left"/>
              <w:rPr>
                <w:rFonts w:ascii="宋体" w:hAnsi="宋体" w:cs="宋体" w:eastAsia="宋体" w:hint="default"/>
                <w:sz w:val="18"/>
                <w:szCs w:val="18"/>
              </w:rPr>
            </w:pPr>
            <w:r>
              <w:rPr>
                <w:rFonts w:ascii="宋体" w:hAnsi="宋体" w:cs="宋体" w:eastAsia="宋体" w:hint="default"/>
                <w:sz w:val="18"/>
                <w:szCs w:val="18"/>
              </w:rPr>
              <w:t>可供出售金融资产较期初账面价值增长</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110.26%</w:t>
            </w:r>
            <w:r>
              <w:rPr>
                <w:rFonts w:ascii="宋体" w:hAnsi="宋体" w:cs="宋体" w:eastAsia="宋体" w:hint="default"/>
                <w:sz w:val="18"/>
                <w:szCs w:val="18"/>
              </w:rPr>
              <w:t>，主要原因本报告期支付西安鲁 信尤洛卡股权投资中心合伙企业（有限合伙）投资款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万元及山东奥扬新能</w:t>
            </w:r>
          </w:p>
        </w:tc>
      </w:tr>
    </w:tbl>
    <w:p>
      <w:pPr>
        <w:spacing w:after="0" w:line="300" w:lineRule="auto"/>
        <w:jc w:val="left"/>
        <w:rPr>
          <w:rFonts w:ascii="宋体" w:hAnsi="宋体" w:cs="宋体" w:eastAsia="宋体" w:hint="default"/>
          <w:sz w:val="18"/>
          <w:szCs w:val="18"/>
        </w:rPr>
        <w:sectPr>
          <w:pgSz w:w="11910" w:h="16840"/>
          <w:pgMar w:header="907" w:footer="1028" w:top="1100" w:bottom="1220" w:left="1020" w:right="0"/>
        </w:sectPr>
      </w:pPr>
    </w:p>
    <w:p>
      <w:pPr>
        <w:spacing w:line="240" w:lineRule="auto" w:before="1"/>
        <w:rPr>
          <w:rFonts w:ascii="宋体" w:hAnsi="宋体" w:cs="宋体" w:eastAsia="宋体" w:hint="default"/>
          <w:b/>
          <w:bCs/>
          <w:sz w:val="25"/>
          <w:szCs w:val="25"/>
        </w:rPr>
      </w:pPr>
    </w:p>
    <w:p>
      <w:pPr>
        <w:spacing w:line="37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18.850pt;mso-position-horizontal-relative:char;mso-position-vertical-relative:line" coordorigin="0,0" coordsize="9588,377">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372;width:9578;height:2" coordorigin="5,372" coordsize="9578,2">
              <v:shape style="position:absolute;left:5;top:372;width:9578;height:2" coordorigin="5,372" coordsize="9578,0" path="m5,372l9582,372e" filled="false" stroked="true" strokeweight=".48pt" strokecolor="#000000">
                <v:path arrowok="t"/>
              </v:shape>
            </v:group>
            <v:group style="position:absolute;left:10;top:5;width:2;height:362" coordorigin="10,5" coordsize="2,362">
              <v:shape style="position:absolute;left:10;top:5;width:2;height:362" coordorigin="10,5" coordsize="0,362" path="m10,5l10,367e" filled="false" stroked="true" strokeweight=".48pt" strokecolor="#000000">
                <v:path arrowok="t"/>
              </v:shape>
            </v:group>
            <v:group style="position:absolute;left:3061;top:5;width:2;height:362" coordorigin="3061,5" coordsize="2,362">
              <v:shape style="position:absolute;left:3061;top:5;width:2;height:362" coordorigin="3061,5" coordsize="0,362" path="m3061,5l3061,367e" filled="false" stroked="true" strokeweight=".48pt" strokecolor="#000000">
                <v:path arrowok="t"/>
              </v:shape>
            </v:group>
            <v:group style="position:absolute;left:9578;top:5;width:2;height:362" coordorigin="9578,5" coordsize="2,362">
              <v:shape style="position:absolute;left:9578;top:5;width:2;height:362" coordorigin="9578,5" coordsize="0,362" path="m9578,5l9578,367e" filled="false" stroked="true" strokeweight=".48pt" strokecolor="#000000">
                <v:path arrowok="t"/>
              </v:shape>
              <v:shape style="position:absolute;left:3061;top:10;width:6517;height:362" type="#_x0000_t202" filled="false" stroked="false">
                <v:textbox inset="0,0,0,0">
                  <w:txbxContent>
                    <w:p>
                      <w:pPr>
                        <w:spacing w:before="16"/>
                        <w:ind w:left="108" w:right="0" w:firstLine="0"/>
                        <w:jc w:val="left"/>
                        <w:rPr>
                          <w:rFonts w:ascii="宋体" w:hAnsi="宋体" w:cs="宋体" w:eastAsia="宋体" w:hint="default"/>
                          <w:sz w:val="18"/>
                          <w:szCs w:val="18"/>
                        </w:rPr>
                      </w:pPr>
                      <w:r>
                        <w:rPr>
                          <w:rFonts w:ascii="宋体" w:hAnsi="宋体" w:cs="宋体" w:eastAsia="宋体" w:hint="default"/>
                          <w:sz w:val="18"/>
                          <w:szCs w:val="18"/>
                        </w:rPr>
                        <w:t>源科技股份有限公司投资款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xbxContent>
                </v:textbox>
                <w10:wrap type="none"/>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b/>
          <w:bCs/>
          <w:sz w:val="19"/>
          <w:szCs w:val="19"/>
        </w:rPr>
      </w:pPr>
    </w:p>
    <w:p>
      <w:pPr>
        <w:spacing w:before="34"/>
        <w:ind w:left="112" w:right="0" w:firstLine="0"/>
        <w:jc w:val="both"/>
        <w:rPr>
          <w:rFonts w:ascii="宋体" w:hAnsi="宋体" w:cs="宋体" w:eastAsia="宋体" w:hint="default"/>
          <w:sz w:val="21"/>
          <w:szCs w:val="21"/>
        </w:rPr>
      </w:pPr>
      <w:bookmarkStart w:name="2、主要境外资产情况" w:id="17"/>
      <w:bookmarkEnd w:id="1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9"/>
          <w:szCs w:val="29"/>
        </w:rPr>
      </w:pPr>
    </w:p>
    <w:p>
      <w:pPr>
        <w:spacing w:before="0"/>
        <w:ind w:left="112" w:right="0" w:firstLine="0"/>
        <w:jc w:val="both"/>
        <w:rPr>
          <w:rFonts w:ascii="宋体" w:hAnsi="宋体" w:cs="宋体" w:eastAsia="宋体" w:hint="default"/>
          <w:sz w:val="24"/>
          <w:szCs w:val="24"/>
        </w:rPr>
      </w:pPr>
      <w:bookmarkStart w:name="三、核心竞争力分析" w:id="18"/>
      <w:bookmarkEnd w:id="18"/>
      <w:r>
        <w:rPr/>
      </w:r>
      <w:r>
        <w:rPr>
          <w:rFonts w:ascii="宋体" w:hAnsi="宋体" w:cs="宋体" w:eastAsia="宋体" w:hint="default"/>
          <w:b/>
          <w:bCs/>
          <w:sz w:val="24"/>
          <w:szCs w:val="24"/>
        </w:rPr>
        <w:t>三、核心竞争力分析</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公司是否需要遵守特殊行业的披露要求：否</w:t>
      </w:r>
    </w:p>
    <w:p>
      <w:pPr>
        <w:spacing w:line="240" w:lineRule="auto" w:before="12"/>
        <w:rPr>
          <w:rFonts w:ascii="宋体" w:hAnsi="宋体" w:cs="宋体" w:eastAsia="宋体" w:hint="default"/>
          <w:sz w:val="17"/>
          <w:szCs w:val="17"/>
        </w:rPr>
      </w:pPr>
    </w:p>
    <w:p>
      <w:pPr>
        <w:spacing w:line="417" w:lineRule="auto" w:before="0"/>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、战略定位优势</w:t>
      </w:r>
      <w:r>
        <w:rPr>
          <w:rFonts w:ascii="宋体" w:hAnsi="宋体" w:cs="宋体" w:eastAsia="宋体" w:hint="default"/>
          <w:w w:val="99"/>
          <w:sz w:val="21"/>
          <w:szCs w:val="21"/>
        </w:rPr>
        <w:t> </w:t>
      </w:r>
      <w:r>
        <w:rPr>
          <w:rFonts w:ascii="宋体" w:hAnsi="宋体" w:cs="宋体" w:eastAsia="宋体" w:hint="default"/>
          <w:w w:val="95"/>
          <w:sz w:val="21"/>
          <w:szCs w:val="21"/>
        </w:rPr>
        <w:t>公司制定了清晰的发展战略：</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三驾马车，军工为主</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。以资本市场及内部协作加强研发等手段，进一</w:t>
      </w:r>
      <w:r>
        <w:rPr>
          <w:rFonts w:ascii="宋体" w:hAnsi="宋体" w:cs="宋体" w:eastAsia="宋体" w:hint="default"/>
          <w:sz w:val="21"/>
          <w:szCs w:val="21"/>
        </w:rPr>
      </w:r>
    </w:p>
    <w:p>
      <w:pPr>
        <w:spacing w:line="408" w:lineRule="auto" w:before="5"/>
        <w:ind w:left="112" w:right="1132" w:firstLine="0"/>
        <w:jc w:val="both"/>
        <w:rPr>
          <w:rFonts w:ascii="宋体" w:hAnsi="宋体" w:cs="宋体" w:eastAsia="宋体" w:hint="default"/>
          <w:sz w:val="21"/>
          <w:szCs w:val="21"/>
        </w:rPr>
      </w:pPr>
      <w:r>
        <w:rPr>
          <w:rFonts w:ascii="宋体" w:hAnsi="宋体" w:cs="宋体" w:eastAsia="宋体" w:hint="default"/>
          <w:w w:val="95"/>
          <w:sz w:val="21"/>
          <w:szCs w:val="21"/>
        </w:rPr>
        <w:t>步做大军工业务，包括拓展军工服务范围、增加军品品种等；煤矿安全业务抓住行业复苏机会扩大生产销</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售，采取多种措施降本降费提高效益；信息通信业务，立足技术最前沿，紧盯市场变化，集中人力物力扩</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大轨道交通通讯业务范围，军事通信业务实现突破，在大数据业务方面，区块链技术的应用市场要进一步</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扩大，力争实现更大收入。总之，在当今网络通讯及大数据技术高度发达时代，全球一村，实施适度多元</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化发展战略，比之以往有了较大的可行性，能够实时控制，并且能够增加多样化收入，抵御单一行业依赖  </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风险。</w:t>
      </w:r>
    </w:p>
    <w:p>
      <w:pPr>
        <w:spacing w:line="420" w:lineRule="auto" w:before="87"/>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、产品研发与创新优势</w:t>
      </w:r>
      <w:r>
        <w:rPr>
          <w:rFonts w:ascii="宋体" w:hAnsi="宋体" w:cs="宋体" w:eastAsia="宋体" w:hint="default"/>
          <w:w w:val="99"/>
          <w:sz w:val="21"/>
          <w:szCs w:val="21"/>
        </w:rPr>
        <w:t> </w:t>
      </w:r>
      <w:r>
        <w:rPr>
          <w:rFonts w:ascii="宋体" w:hAnsi="宋体" w:cs="宋体" w:eastAsia="宋体" w:hint="default"/>
          <w:w w:val="95"/>
          <w:sz w:val="21"/>
          <w:szCs w:val="21"/>
        </w:rPr>
        <w:t>公司一直高度重视研发投入，始终坚持自主研发的科技战略，紧跟市场需求与国内、国际技术发展趋</w:t>
      </w:r>
      <w:r>
        <w:rPr>
          <w:rFonts w:ascii="宋体" w:hAnsi="宋体" w:cs="宋体" w:eastAsia="宋体" w:hint="default"/>
          <w:sz w:val="21"/>
          <w:szCs w:val="21"/>
        </w:rPr>
      </w:r>
    </w:p>
    <w:p>
      <w:pPr>
        <w:spacing w:line="408" w:lineRule="auto" w:before="35"/>
        <w:ind w:left="112" w:right="1025" w:firstLine="0"/>
        <w:jc w:val="left"/>
        <w:rPr>
          <w:rFonts w:ascii="宋体" w:hAnsi="宋体" w:cs="宋体" w:eastAsia="宋体" w:hint="default"/>
          <w:sz w:val="21"/>
          <w:szCs w:val="21"/>
        </w:rPr>
      </w:pPr>
      <w:r>
        <w:rPr>
          <w:rFonts w:ascii="宋体" w:hAnsi="宋体" w:cs="宋体" w:eastAsia="宋体" w:hint="default"/>
          <w:sz w:val="21"/>
          <w:szCs w:val="21"/>
        </w:rPr>
        <w:t>势，建立了专业的研发机构，打造了一支集应用研究与生产实践紧密结合、横跨机械精密加工、工业自动</w:t>
      </w:r>
      <w:r>
        <w:rPr>
          <w:rFonts w:ascii="宋体" w:hAnsi="宋体" w:cs="宋体" w:eastAsia="宋体" w:hint="default"/>
          <w:w w:val="99"/>
          <w:sz w:val="21"/>
          <w:szCs w:val="21"/>
        </w:rPr>
        <w:t> </w:t>
      </w:r>
      <w:r>
        <w:rPr>
          <w:rFonts w:ascii="宋体" w:hAnsi="宋体" w:cs="宋体" w:eastAsia="宋体" w:hint="default"/>
          <w:spacing w:val="-3"/>
          <w:sz w:val="21"/>
          <w:szCs w:val="21"/>
        </w:rPr>
        <w:t>化、软件工程、大数据等多专业的，具备持续创新能力的研发队伍。公司核心技术保证了产品的高稳定性、</w:t>
      </w:r>
      <w:r>
        <w:rPr>
          <w:rFonts w:ascii="宋体" w:hAnsi="宋体" w:cs="宋体" w:eastAsia="宋体" w:hint="default"/>
          <w:w w:val="99"/>
          <w:sz w:val="21"/>
          <w:szCs w:val="21"/>
        </w:rPr>
        <w:t> </w:t>
      </w:r>
      <w:r>
        <w:rPr>
          <w:rFonts w:ascii="宋体" w:hAnsi="宋体" w:cs="宋体" w:eastAsia="宋体" w:hint="default"/>
          <w:spacing w:val="-3"/>
          <w:sz w:val="21"/>
          <w:szCs w:val="21"/>
        </w:rPr>
        <w:t>高可靠性以及低成本，为客户提供高性价比的产品。公司始终坚持生产工艺持续改进，强化产品质量控制、</w:t>
      </w:r>
      <w:r>
        <w:rPr>
          <w:rFonts w:ascii="宋体" w:hAnsi="宋体" w:cs="宋体" w:eastAsia="宋体" w:hint="default"/>
          <w:w w:val="99"/>
          <w:sz w:val="21"/>
          <w:szCs w:val="21"/>
        </w:rPr>
        <w:t> </w:t>
      </w:r>
      <w:r>
        <w:rPr>
          <w:rFonts w:ascii="宋体" w:hAnsi="宋体" w:cs="宋体" w:eastAsia="宋体" w:hint="default"/>
          <w:sz w:val="21"/>
          <w:szCs w:val="21"/>
        </w:rPr>
        <w:t>优化设计结构，大力推行设备自动化，着力推动产品结构创新。公司产品以标准化设计、模块化生产，以</w:t>
      </w:r>
      <w:r>
        <w:rPr>
          <w:rFonts w:ascii="宋体" w:hAnsi="宋体" w:cs="宋体" w:eastAsia="宋体" w:hint="default"/>
          <w:w w:val="99"/>
          <w:sz w:val="21"/>
          <w:szCs w:val="21"/>
        </w:rPr>
        <w:t> </w:t>
      </w:r>
      <w:r>
        <w:rPr>
          <w:rFonts w:ascii="宋体" w:hAnsi="宋体" w:cs="宋体" w:eastAsia="宋体" w:hint="default"/>
          <w:sz w:val="21"/>
          <w:szCs w:val="21"/>
        </w:rPr>
        <w:t>管理精细化为准则、生产精益化为手段，建立了完备的质量管理体系。</w:t>
      </w:r>
    </w:p>
    <w:p>
      <w:pPr>
        <w:spacing w:line="420" w:lineRule="auto" w:before="84"/>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、行业政策优势</w:t>
      </w:r>
      <w:r>
        <w:rPr>
          <w:rFonts w:ascii="宋体" w:hAnsi="宋体" w:cs="宋体" w:eastAsia="宋体" w:hint="default"/>
          <w:w w:val="99"/>
          <w:sz w:val="21"/>
          <w:szCs w:val="21"/>
        </w:rPr>
        <w:t> </w:t>
      </w:r>
      <w:r>
        <w:rPr>
          <w:rFonts w:ascii="宋体" w:hAnsi="宋体" w:cs="宋体" w:eastAsia="宋体" w:hint="default"/>
          <w:w w:val="95"/>
          <w:sz w:val="21"/>
          <w:szCs w:val="21"/>
        </w:rPr>
        <w:t>公司经营业务主要涉及信息通信行业，军工行业及矿山安全行业。信息通信行业关系到国计民生，是</w:t>
      </w:r>
      <w:r>
        <w:rPr>
          <w:rFonts w:ascii="宋体" w:hAnsi="宋体" w:cs="宋体" w:eastAsia="宋体" w:hint="default"/>
          <w:sz w:val="21"/>
          <w:szCs w:val="21"/>
        </w:rPr>
      </w:r>
    </w:p>
    <w:p>
      <w:pPr>
        <w:spacing w:line="408" w:lineRule="auto" w:before="35"/>
        <w:ind w:left="112" w:right="1132" w:firstLine="0"/>
        <w:jc w:val="both"/>
        <w:rPr>
          <w:rFonts w:ascii="宋体" w:hAnsi="宋体" w:cs="宋体" w:eastAsia="宋体" w:hint="default"/>
          <w:sz w:val="21"/>
          <w:szCs w:val="21"/>
        </w:rPr>
      </w:pPr>
      <w:r>
        <w:rPr>
          <w:rFonts w:ascii="宋体" w:hAnsi="宋体" w:cs="宋体" w:eastAsia="宋体" w:hint="default"/>
          <w:w w:val="95"/>
          <w:sz w:val="21"/>
          <w:szCs w:val="21"/>
        </w:rPr>
        <w:t>一个日新月异、高速发展的前沿行业，有着极大的发展前景。军工行业关系到国家、民族的生死存亡，国</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w w:val="95"/>
          <w:sz w:val="21"/>
          <w:szCs w:val="21"/>
        </w:rPr>
        <w:t>家高度重视，出台多项政策予以支持，军费逐年提高；矿山安全行业关系到很多百姓家庭的幸福，政府从</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未放弃重视，安全无小事，在人财物及政策方面均给予大力支持。</w:t>
      </w:r>
    </w:p>
    <w:p>
      <w:pPr>
        <w:spacing w:line="417" w:lineRule="auto" w:before="87"/>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、市场竞争优势</w:t>
      </w:r>
      <w:r>
        <w:rPr>
          <w:rFonts w:ascii="宋体" w:hAnsi="宋体" w:cs="宋体" w:eastAsia="宋体" w:hint="default"/>
          <w:w w:val="99"/>
          <w:sz w:val="21"/>
          <w:szCs w:val="21"/>
        </w:rPr>
        <w:t> </w:t>
      </w:r>
      <w:r>
        <w:rPr>
          <w:rFonts w:ascii="宋体" w:hAnsi="宋体" w:cs="宋体" w:eastAsia="宋体" w:hint="default"/>
          <w:w w:val="95"/>
          <w:sz w:val="21"/>
          <w:szCs w:val="21"/>
        </w:rPr>
        <w:t>作为主要承担公司军工业务的师凯科技公司，系吉林省第一家纯民营军工企业，从事军工行业多年，</w:t>
      </w:r>
      <w:r>
        <w:rPr>
          <w:rFonts w:ascii="宋体" w:hAnsi="宋体" w:cs="宋体" w:eastAsia="宋体" w:hint="default"/>
          <w:sz w:val="21"/>
          <w:szCs w:val="21"/>
        </w:rPr>
      </w:r>
    </w:p>
    <w:p>
      <w:pPr>
        <w:spacing w:after="0" w:line="417" w:lineRule="auto"/>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line="408" w:lineRule="auto" w:before="34"/>
        <w:ind w:left="112" w:right="987" w:firstLine="0"/>
        <w:jc w:val="left"/>
        <w:rPr>
          <w:rFonts w:ascii="宋体" w:hAnsi="宋体" w:cs="宋体" w:eastAsia="宋体" w:hint="default"/>
          <w:sz w:val="21"/>
          <w:szCs w:val="21"/>
        </w:rPr>
      </w:pPr>
      <w:r>
        <w:rPr>
          <w:rFonts w:ascii="宋体" w:hAnsi="宋体" w:cs="宋体" w:eastAsia="宋体" w:hint="default"/>
          <w:w w:val="95"/>
          <w:sz w:val="21"/>
          <w:szCs w:val="21"/>
        </w:rPr>
        <w:t>依托与国家大军工研究所的合作，生产质量先进稳定，成熟可靠的军工产品，列装军队；师凯科技军工四</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证齐全，管理规范，深受军方信任。在研发及资质门槛方面，基于行业特点，有着一定的竞争优势和先发</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优势；尤洛卡母公司由高校矿压专家创立，系全国较早研发生产煤矿顶板安全监测防治产品的企业之一，</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w w:val="95"/>
          <w:sz w:val="21"/>
          <w:szCs w:val="21"/>
        </w:rPr>
        <w:t>市场占有率领先，具有较强的竞争力。富华宇祺公司主要人员来自中兴等大的通讯企业，立足于信息技术  </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前沿，</w:t>
      </w:r>
      <w:r>
        <w:rPr>
          <w:rFonts w:ascii="宋体" w:hAnsi="宋体" w:cs="宋体" w:eastAsia="宋体" w:hint="default"/>
          <w:spacing w:val="-10"/>
          <w:sz w:val="21"/>
          <w:szCs w:val="21"/>
        </w:rPr>
        <w:t> </w:t>
      </w:r>
      <w:r>
        <w:rPr>
          <w:rFonts w:ascii="宋体" w:hAnsi="宋体" w:cs="宋体" w:eastAsia="宋体" w:hint="default"/>
          <w:sz w:val="21"/>
          <w:szCs w:val="21"/>
        </w:rPr>
        <w:t>对新技术、新趋势消化吸收快，能够更加快速、自主的应对市场环境的变化，根据市场的需要和</w:t>
      </w:r>
      <w:r>
        <w:rPr>
          <w:rFonts w:ascii="宋体" w:hAnsi="宋体" w:cs="宋体" w:eastAsia="宋体" w:hint="default"/>
          <w:w w:val="99"/>
          <w:sz w:val="21"/>
          <w:szCs w:val="21"/>
        </w:rPr>
        <w:t> </w:t>
      </w:r>
      <w:r>
        <w:rPr>
          <w:rFonts w:ascii="宋体" w:hAnsi="宋体" w:cs="宋体" w:eastAsia="宋体" w:hint="default"/>
          <w:sz w:val="21"/>
          <w:szCs w:val="21"/>
        </w:rPr>
        <w:t>客户的需求，及时加大投入，推出新产品、开发新业务，进一步提高了公司的竞争力。</w:t>
      </w:r>
    </w:p>
    <w:p>
      <w:pPr>
        <w:spacing w:after="0" w:line="408" w:lineRule="auto"/>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2928" w:right="987" w:firstLine="0"/>
        <w:jc w:val="left"/>
        <w:rPr>
          <w:rFonts w:ascii="宋体" w:hAnsi="宋体" w:cs="宋体" w:eastAsia="宋体" w:hint="default"/>
          <w:sz w:val="32"/>
          <w:szCs w:val="32"/>
        </w:rPr>
      </w:pPr>
      <w:bookmarkStart w:name="第四节 经营情况讨论与分析" w:id="19"/>
      <w:bookmarkEnd w:id="19"/>
      <w:r>
        <w:rPr/>
      </w:r>
      <w:r>
        <w:rPr>
          <w:rFonts w:ascii="宋体" w:hAnsi="宋体" w:cs="宋体" w:eastAsia="宋体" w:hint="default"/>
          <w:b/>
          <w:bCs/>
          <w:sz w:val="32"/>
          <w:szCs w:val="32"/>
        </w:rPr>
        <w:t>第四节</w:t>
      </w:r>
      <w:r>
        <w:rPr>
          <w:rFonts w:ascii="宋体" w:hAnsi="宋体" w:cs="宋体" w:eastAsia="宋体" w:hint="default"/>
          <w:b/>
          <w:bCs/>
          <w:spacing w:val="-13"/>
          <w:sz w:val="32"/>
          <w:szCs w:val="32"/>
        </w:rPr>
        <w:t> </w:t>
      </w:r>
      <w:r>
        <w:rPr>
          <w:rFonts w:ascii="宋体" w:hAnsi="宋体" w:cs="宋体" w:eastAsia="宋体" w:hint="default"/>
          <w:b/>
          <w:bCs/>
          <w:sz w:val="32"/>
          <w:szCs w:val="32"/>
        </w:rPr>
        <w:t>经营情况讨论与分析</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before="26"/>
        <w:ind w:left="112" w:right="987" w:firstLine="0"/>
        <w:jc w:val="left"/>
        <w:rPr>
          <w:rFonts w:ascii="宋体" w:hAnsi="宋体" w:cs="宋体" w:eastAsia="宋体" w:hint="default"/>
          <w:sz w:val="24"/>
          <w:szCs w:val="24"/>
        </w:rPr>
      </w:pPr>
      <w:bookmarkStart w:name="一、概述" w:id="20"/>
      <w:bookmarkEnd w:id="20"/>
      <w:r>
        <w:rPr/>
      </w:r>
      <w:r>
        <w:rPr>
          <w:rFonts w:ascii="宋体" w:hAnsi="宋体" w:cs="宋体" w:eastAsia="宋体" w:hint="default"/>
          <w:b/>
          <w:bCs/>
          <w:sz w:val="24"/>
          <w:szCs w:val="24"/>
        </w:rPr>
        <w:t>一、概述</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line="403" w:lineRule="auto" w:before="0"/>
        <w:ind w:left="112" w:right="1132" w:firstLine="420"/>
        <w:jc w:val="both"/>
        <w:rPr>
          <w:rFonts w:ascii="宋体" w:hAnsi="宋体" w:cs="宋体" w:eastAsia="宋体" w:hint="default"/>
          <w:sz w:val="21"/>
          <w:szCs w:val="21"/>
        </w:rPr>
      </w:pPr>
      <w:r>
        <w:rPr>
          <w:rFonts w:ascii="宋体" w:hAnsi="宋体" w:cs="宋体" w:eastAsia="宋体" w:hint="default"/>
          <w:w w:val="95"/>
          <w:sz w:val="21"/>
          <w:szCs w:val="21"/>
        </w:rPr>
        <w:t>报告期内，公司立足于军工业务、煤矿安全业务、信息通信业务，巩固和强化三大业务在各自行业领</w:t>
      </w:r>
      <w:r>
        <w:rPr>
          <w:rFonts w:ascii="宋体" w:hAnsi="宋体" w:cs="宋体" w:eastAsia="宋体" w:hint="default"/>
          <w:w w:val="99"/>
          <w:sz w:val="21"/>
          <w:szCs w:val="21"/>
        </w:rPr>
        <w:t> </w:t>
      </w:r>
      <w:r>
        <w:rPr>
          <w:rFonts w:ascii="宋体" w:hAnsi="宋体" w:cs="宋体" w:eastAsia="宋体" w:hint="default"/>
          <w:w w:val="95"/>
          <w:sz w:val="21"/>
          <w:szCs w:val="21"/>
        </w:rPr>
        <w:t>域的优势和市场地位，保持公司经营业务</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三驾马车</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拉动的格局不变，加快了新产品的研发和市场推广力</w:t>
      </w:r>
      <w:r>
        <w:rPr>
          <w:rFonts w:ascii="宋体" w:hAnsi="宋体" w:cs="宋体" w:eastAsia="宋体" w:hint="default"/>
          <w:spacing w:val="60"/>
          <w:w w:val="95"/>
          <w:sz w:val="21"/>
          <w:szCs w:val="21"/>
        </w:rPr>
        <w:t> </w:t>
      </w:r>
      <w:r>
        <w:rPr>
          <w:rFonts w:ascii="宋体" w:hAnsi="宋体" w:cs="宋体" w:eastAsia="宋体" w:hint="default"/>
          <w:spacing w:val="60"/>
          <w:w w:val="95"/>
          <w:sz w:val="21"/>
          <w:szCs w:val="21"/>
        </w:rPr>
      </w:r>
      <w:r>
        <w:rPr>
          <w:rFonts w:ascii="宋体" w:hAnsi="宋体" w:cs="宋体" w:eastAsia="宋体" w:hint="default"/>
          <w:w w:val="95"/>
          <w:sz w:val="21"/>
          <w:szCs w:val="21"/>
        </w:rPr>
        <w:t>度，部分新业务、新产品实现小规模化运营和销售，取得了一定的收益。依托集团化管理，强化了各子公</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司、各业务板块深度整合及协同，推进了管理体系升级、运行效率提升、企业品牌建设、人才梯队搭建等</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各项工作，提升了公司的综合竞争力。</w:t>
      </w:r>
    </w:p>
    <w:p>
      <w:pPr>
        <w:spacing w:before="91"/>
        <w:ind w:left="532" w:right="987"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pacing w:val="-7"/>
          <w:sz w:val="21"/>
          <w:szCs w:val="21"/>
        </w:rPr>
        <w:t>年，公司实现营业收入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44615.60</w:t>
      </w:r>
      <w:r>
        <w:rPr>
          <w:rFonts w:ascii="Times New Roman" w:hAnsi="Times New Roman" w:cs="Times New Roman" w:eastAsia="Times New Roman" w:hint="default"/>
          <w:spacing w:val="-3"/>
          <w:sz w:val="21"/>
          <w:szCs w:val="21"/>
        </w:rPr>
        <w:t> </w:t>
      </w:r>
      <w:r>
        <w:rPr>
          <w:rFonts w:ascii="宋体" w:hAnsi="宋体" w:cs="宋体" w:eastAsia="宋体" w:hint="default"/>
          <w:spacing w:val="-7"/>
          <w:sz w:val="21"/>
          <w:szCs w:val="21"/>
        </w:rPr>
        <w:t>万元，比上年同期增长</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5.50%</w:t>
      </w:r>
      <w:r>
        <w:rPr>
          <w:rFonts w:ascii="宋体" w:hAnsi="宋体" w:cs="宋体" w:eastAsia="宋体" w:hint="default"/>
          <w:spacing w:val="-4"/>
          <w:sz w:val="21"/>
          <w:szCs w:val="21"/>
        </w:rPr>
        <w:t>；实现归属于母公司净利润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9745.32</w:t>
      </w:r>
    </w:p>
    <w:p>
      <w:pPr>
        <w:spacing w:line="432" w:lineRule="auto" w:before="177"/>
        <w:ind w:left="532" w:right="5095" w:hanging="420"/>
        <w:jc w:val="left"/>
        <w:rPr>
          <w:rFonts w:ascii="宋体" w:hAnsi="宋体" w:cs="宋体" w:eastAsia="宋体" w:hint="default"/>
          <w:sz w:val="21"/>
          <w:szCs w:val="21"/>
        </w:rPr>
      </w:pPr>
      <w:r>
        <w:rPr>
          <w:rFonts w:ascii="宋体" w:hAnsi="宋体" w:cs="宋体" w:eastAsia="宋体" w:hint="default"/>
          <w:sz w:val="21"/>
          <w:szCs w:val="21"/>
        </w:rPr>
        <w:t>万元，比上年同期减少</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4.12%</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w w:val="95"/>
          <w:sz w:val="21"/>
          <w:szCs w:val="21"/>
        </w:rPr>
        <w:t>报告期内，公司主要经营情况回顾如下：</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、公司军工业务板块业绩实现较大增长</w:t>
      </w:r>
    </w:p>
    <w:p>
      <w:pPr>
        <w:spacing w:line="408" w:lineRule="auto" w:before="32"/>
        <w:ind w:left="112" w:right="1132" w:firstLine="420"/>
        <w:jc w:val="both"/>
        <w:rPr>
          <w:rFonts w:ascii="宋体" w:hAnsi="宋体" w:cs="宋体" w:eastAsia="宋体" w:hint="default"/>
          <w:sz w:val="21"/>
          <w:szCs w:val="21"/>
        </w:rPr>
      </w:pPr>
      <w:r>
        <w:rPr>
          <w:rFonts w:ascii="宋体" w:hAnsi="宋体" w:cs="宋体" w:eastAsia="宋体" w:hint="default"/>
          <w:w w:val="95"/>
          <w:sz w:val="21"/>
          <w:szCs w:val="21"/>
        </w:rPr>
        <w:t>师凯科技公司是公司军工业务的主要承担者，所生产的导弹制导系统产品已经列装部队多年，具有质</w:t>
      </w:r>
      <w:r>
        <w:rPr>
          <w:rFonts w:ascii="宋体" w:hAnsi="宋体" w:cs="宋体" w:eastAsia="宋体" w:hint="default"/>
          <w:w w:val="99"/>
          <w:sz w:val="21"/>
          <w:szCs w:val="21"/>
        </w:rPr>
        <w:t> </w:t>
      </w:r>
      <w:r>
        <w:rPr>
          <w:rFonts w:ascii="宋体" w:hAnsi="宋体" w:cs="宋体" w:eastAsia="宋体" w:hint="default"/>
          <w:w w:val="95"/>
          <w:sz w:val="21"/>
          <w:szCs w:val="21"/>
        </w:rPr>
        <w:t>量稳定、成熟可靠的优势。报告期内，随着国家对军工行业的支持力度加大，公司军品订单量增加，已经</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完成技改换代定型的小型手持式制导系统继续放量，加之移动式制导系统产品需求增加，从而实现销售收</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入增长。</w:t>
      </w:r>
    </w:p>
    <w:p>
      <w:pPr>
        <w:spacing w:before="84"/>
        <w:ind w:left="532" w:right="987"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年度，师凯科技实现营业收入</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20610.69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万元，比去年同期增长</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28.65%</w:t>
      </w:r>
      <w:r>
        <w:rPr>
          <w:rFonts w:ascii="宋体" w:hAnsi="宋体" w:cs="宋体" w:eastAsia="宋体" w:hint="default"/>
          <w:sz w:val="21"/>
          <w:szCs w:val="21"/>
        </w:rPr>
        <w:t>；实现净利润</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10,112.10</w:t>
      </w:r>
    </w:p>
    <w:p>
      <w:pPr>
        <w:spacing w:line="420" w:lineRule="auto" w:before="177"/>
        <w:ind w:left="532" w:right="987" w:hanging="420"/>
        <w:jc w:val="left"/>
        <w:rPr>
          <w:rFonts w:ascii="宋体" w:hAnsi="宋体" w:cs="宋体" w:eastAsia="宋体" w:hint="default"/>
          <w:sz w:val="21"/>
          <w:szCs w:val="21"/>
        </w:rPr>
      </w:pPr>
      <w:r>
        <w:rPr>
          <w:rFonts w:ascii="宋体" w:hAnsi="宋体" w:cs="宋体" w:eastAsia="宋体" w:hint="default"/>
          <w:sz w:val="21"/>
          <w:szCs w:val="21"/>
        </w:rPr>
        <w:t>万元；较去年同期增长</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49.21%</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w w:val="95"/>
          <w:sz w:val="21"/>
          <w:szCs w:val="21"/>
        </w:rPr>
        <w:t>在军工业务方面，报告期内另一个可喜的成果是，母公司与师凯科技和富华宇祺业务协作越来越顺畅</w:t>
      </w:r>
      <w:r>
        <w:rPr>
          <w:rFonts w:ascii="宋体" w:hAnsi="宋体" w:cs="宋体" w:eastAsia="宋体" w:hint="default"/>
          <w:sz w:val="21"/>
          <w:szCs w:val="21"/>
        </w:rPr>
      </w:r>
    </w:p>
    <w:p>
      <w:pPr>
        <w:spacing w:line="408" w:lineRule="auto" w:before="35"/>
        <w:ind w:left="112" w:right="1132" w:firstLine="0"/>
        <w:jc w:val="both"/>
        <w:rPr>
          <w:rFonts w:ascii="宋体" w:hAnsi="宋体" w:cs="宋体" w:eastAsia="宋体" w:hint="default"/>
          <w:sz w:val="21"/>
          <w:szCs w:val="21"/>
        </w:rPr>
      </w:pPr>
      <w:r>
        <w:rPr>
          <w:rFonts w:ascii="宋体" w:hAnsi="宋体" w:cs="宋体" w:eastAsia="宋体" w:hint="default"/>
          <w:w w:val="95"/>
          <w:sz w:val="21"/>
          <w:szCs w:val="21"/>
        </w:rPr>
        <w:t>有序，发挥了各自优势。特别是师凯科技和富华宇祺在军民融合方面，进行市场营销、资源整合、技术产</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品开发、招投标等多方面合作，比如在军事基地通信系统建设，自主可控交换机研制、军用新能源电池等</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方面均取得了较好成效。母公司基于资金优势和精密制造优势，也对军工新产品的试制及军工项目的投标</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给予较大支持。未来，围绕军工业务，以上三方再加上公司的军工基金及所投企业，将会在更高层面、更</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w w:val="95"/>
          <w:sz w:val="21"/>
          <w:szCs w:val="21"/>
        </w:rPr>
        <w:t>大范围内进行更为高效的协同，对军工业务的发展壮大，业绩的继续增加，巩固在公司经营中主导地位奠</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定更加坚实的基础。</w:t>
      </w:r>
    </w:p>
    <w:p>
      <w:pPr>
        <w:spacing w:line="417" w:lineRule="auto" w:before="87"/>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、煤矿安全板块业务抓住行业复苏机会，提升业绩</w:t>
      </w:r>
      <w:r>
        <w:rPr>
          <w:rFonts w:ascii="宋体" w:hAnsi="宋体" w:cs="宋体" w:eastAsia="宋体" w:hint="default"/>
          <w:w w:val="99"/>
          <w:sz w:val="21"/>
          <w:szCs w:val="21"/>
        </w:rPr>
        <w:t> </w:t>
      </w:r>
      <w:r>
        <w:rPr>
          <w:rFonts w:ascii="宋体" w:hAnsi="宋体" w:cs="宋体" w:eastAsia="宋体" w:hint="default"/>
          <w:w w:val="95"/>
          <w:sz w:val="21"/>
          <w:szCs w:val="21"/>
        </w:rPr>
        <w:t>煤矿安全板块业务是公司的起家业务，生产经营较为成熟。受制于行业周期性特点，前几年经营业绩</w:t>
      </w:r>
      <w:r>
        <w:rPr>
          <w:rFonts w:ascii="宋体" w:hAnsi="宋体" w:cs="宋体" w:eastAsia="宋体" w:hint="default"/>
          <w:sz w:val="21"/>
          <w:szCs w:val="21"/>
        </w:rPr>
      </w:r>
    </w:p>
    <w:p>
      <w:pPr>
        <w:spacing w:before="37"/>
        <w:ind w:left="112" w:right="987" w:firstLine="0"/>
        <w:jc w:val="left"/>
        <w:rPr>
          <w:rFonts w:ascii="宋体" w:hAnsi="宋体" w:cs="宋体" w:eastAsia="宋体" w:hint="default"/>
          <w:sz w:val="21"/>
          <w:szCs w:val="21"/>
        </w:rPr>
      </w:pPr>
      <w:r>
        <w:rPr>
          <w:rFonts w:ascii="宋体" w:hAnsi="宋体" w:cs="宋体" w:eastAsia="宋体" w:hint="default"/>
          <w:spacing w:val="-3"/>
          <w:w w:val="95"/>
          <w:sz w:val="21"/>
          <w:szCs w:val="21"/>
        </w:rPr>
        <w:t>一直下滑。</w:t>
      </w:r>
      <w:r>
        <w:rPr>
          <w:rFonts w:ascii="Times New Roman" w:hAnsi="Times New Roman" w:cs="Times New Roman" w:eastAsia="Times New Roman" w:hint="default"/>
          <w:spacing w:val="-3"/>
          <w:w w:val="95"/>
          <w:sz w:val="21"/>
          <w:szCs w:val="21"/>
        </w:rPr>
        <w:t>2018        </w:t>
      </w:r>
      <w:r>
        <w:rPr>
          <w:rFonts w:ascii="Times New Roman" w:hAnsi="Times New Roman" w:cs="Times New Roman" w:eastAsia="Times New Roman" w:hint="default"/>
          <w:spacing w:val="41"/>
          <w:w w:val="95"/>
          <w:sz w:val="21"/>
          <w:szCs w:val="21"/>
        </w:rPr>
        <w:t> </w:t>
      </w:r>
      <w:r>
        <w:rPr>
          <w:rFonts w:ascii="宋体" w:hAnsi="宋体" w:cs="宋体" w:eastAsia="宋体" w:hint="default"/>
          <w:w w:val="95"/>
          <w:sz w:val="21"/>
          <w:szCs w:val="21"/>
        </w:rPr>
        <w:t>年随着供给侧改革和去产能的基本完成，煤炭行业逐步进入周期性复苏阶段。公司抓住当</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line="408" w:lineRule="auto" w:before="34"/>
        <w:ind w:left="112" w:right="1025" w:firstLine="0"/>
        <w:jc w:val="left"/>
        <w:rPr>
          <w:rFonts w:ascii="宋体" w:hAnsi="宋体" w:cs="宋体" w:eastAsia="宋体" w:hint="default"/>
          <w:sz w:val="21"/>
          <w:szCs w:val="21"/>
        </w:rPr>
      </w:pPr>
      <w:r>
        <w:rPr>
          <w:rFonts w:ascii="宋体" w:hAnsi="宋体" w:cs="宋体" w:eastAsia="宋体" w:hint="default"/>
          <w:spacing w:val="-3"/>
          <w:sz w:val="21"/>
          <w:szCs w:val="21"/>
        </w:rPr>
        <w:t>前行业形势好转的机遇，充分发挥在煤矿顶板安全的技术和经验优势，扩大生产和销售，进一步降本降费，</w:t>
      </w:r>
      <w:r>
        <w:rPr>
          <w:rFonts w:ascii="宋体" w:hAnsi="宋体" w:cs="宋体" w:eastAsia="宋体" w:hint="default"/>
          <w:w w:val="99"/>
          <w:sz w:val="21"/>
          <w:szCs w:val="21"/>
        </w:rPr>
        <w:t> </w:t>
      </w:r>
      <w:r>
        <w:rPr>
          <w:rFonts w:ascii="宋体" w:hAnsi="宋体" w:cs="宋体" w:eastAsia="宋体" w:hint="default"/>
          <w:sz w:val="21"/>
          <w:szCs w:val="21"/>
        </w:rPr>
        <w:t>经营业绩得以较大提升：报告期实现营业收入</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18058.64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万元；同比增长</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46.68%</w:t>
      </w:r>
      <w:r>
        <w:rPr>
          <w:rFonts w:ascii="宋体" w:hAnsi="宋体" w:cs="宋体" w:eastAsia="宋体" w:hint="default"/>
          <w:sz w:val="21"/>
          <w:szCs w:val="21"/>
        </w:rPr>
        <w:t>；实现净利润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3600.59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w:t>
      </w:r>
    </w:p>
    <w:p>
      <w:pPr>
        <w:spacing w:before="14"/>
        <w:ind w:left="112" w:right="987" w:firstLine="0"/>
        <w:jc w:val="left"/>
        <w:rPr>
          <w:rFonts w:ascii="宋体" w:hAnsi="宋体" w:cs="宋体" w:eastAsia="宋体" w:hint="default"/>
          <w:sz w:val="21"/>
          <w:szCs w:val="21"/>
        </w:rPr>
      </w:pPr>
      <w:r>
        <w:rPr>
          <w:rFonts w:ascii="宋体" w:hAnsi="宋体" w:cs="宋体" w:eastAsia="宋体" w:hint="default"/>
          <w:sz w:val="21"/>
          <w:szCs w:val="21"/>
        </w:rPr>
        <w:t>元；同比增长 </w:t>
      </w:r>
      <w:r>
        <w:rPr>
          <w:rFonts w:ascii="Times New Roman" w:hAnsi="Times New Roman" w:cs="Times New Roman" w:eastAsia="Times New Roman" w:hint="default"/>
          <w:sz w:val="21"/>
          <w:szCs w:val="21"/>
        </w:rPr>
        <w:t>17.21%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，继续保持了行业领先地位。</w:t>
      </w:r>
    </w:p>
    <w:p>
      <w:pPr>
        <w:spacing w:line="240" w:lineRule="auto" w:before="9"/>
        <w:rPr>
          <w:rFonts w:ascii="宋体" w:hAnsi="宋体" w:cs="宋体" w:eastAsia="宋体" w:hint="default"/>
          <w:sz w:val="16"/>
          <w:szCs w:val="16"/>
        </w:rPr>
      </w:pPr>
    </w:p>
    <w:p>
      <w:pPr>
        <w:spacing w:before="0"/>
        <w:ind w:left="532" w:right="98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另外，公司花费较大超募资金所投资建设的煤矿智能安全运输系统，经过几年的艰苦耕耘，在</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2017</w:t>
      </w:r>
    </w:p>
    <w:p>
      <w:pPr>
        <w:spacing w:line="420" w:lineRule="auto" w:before="177"/>
        <w:ind w:left="532" w:right="987" w:hanging="420"/>
        <w:jc w:val="left"/>
        <w:rPr>
          <w:rFonts w:ascii="宋体" w:hAnsi="宋体" w:cs="宋体" w:eastAsia="宋体" w:hint="default"/>
          <w:sz w:val="21"/>
          <w:szCs w:val="21"/>
        </w:rPr>
      </w:pPr>
      <w:r>
        <w:rPr>
          <w:rFonts w:ascii="宋体" w:hAnsi="宋体" w:cs="宋体" w:eastAsia="宋体" w:hint="default"/>
          <w:sz w:val="21"/>
          <w:szCs w:val="21"/>
        </w:rPr>
        <w:t>年基础上继续取得较多订单，全年实现营业收入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5,211.73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万元，为公司业绩做出了贡献。</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、信息通信业务板块新业务、新产品取得突破</w:t>
      </w:r>
      <w:r>
        <w:rPr>
          <w:rFonts w:ascii="宋体" w:hAnsi="宋体" w:cs="宋体" w:eastAsia="宋体" w:hint="default"/>
          <w:w w:val="99"/>
          <w:sz w:val="21"/>
          <w:szCs w:val="21"/>
        </w:rPr>
        <w:t> </w:t>
      </w:r>
      <w:r>
        <w:rPr>
          <w:rFonts w:ascii="宋体" w:hAnsi="宋体" w:cs="宋体" w:eastAsia="宋体" w:hint="default"/>
          <w:w w:val="95"/>
          <w:sz w:val="21"/>
          <w:szCs w:val="21"/>
        </w:rPr>
        <w:t>北京富华宇祺公司主要承担公司的信息通信业务板块，</w:t>
      </w:r>
      <w:r>
        <w:rPr>
          <w:rFonts w:ascii="Times New Roman" w:hAnsi="Times New Roman" w:cs="Times New Roman" w:eastAsia="Times New Roman" w:hint="default"/>
          <w:w w:val="95"/>
          <w:sz w:val="21"/>
          <w:szCs w:val="21"/>
        </w:rPr>
        <w:t>2018        </w:t>
      </w:r>
      <w:r>
        <w:rPr>
          <w:rFonts w:ascii="Times New Roman" w:hAnsi="Times New Roman" w:cs="Times New Roman" w:eastAsia="Times New Roman" w:hint="default"/>
          <w:spacing w:val="24"/>
          <w:w w:val="95"/>
          <w:sz w:val="21"/>
          <w:szCs w:val="21"/>
        </w:rPr>
        <w:t> </w:t>
      </w:r>
      <w:r>
        <w:rPr>
          <w:rFonts w:ascii="宋体" w:hAnsi="宋体" w:cs="宋体" w:eastAsia="宋体" w:hint="default"/>
          <w:spacing w:val="-3"/>
          <w:w w:val="95"/>
          <w:sz w:val="21"/>
          <w:szCs w:val="21"/>
        </w:rPr>
        <w:t>年对其来讲，是个不平凡的一年，几年来</w:t>
      </w:r>
      <w:r>
        <w:rPr>
          <w:rFonts w:ascii="宋体" w:hAnsi="宋体" w:cs="宋体" w:eastAsia="宋体" w:hint="default"/>
          <w:spacing w:val="-3"/>
          <w:sz w:val="21"/>
          <w:szCs w:val="21"/>
        </w:rPr>
      </w:r>
    </w:p>
    <w:p>
      <w:pPr>
        <w:spacing w:line="420" w:lineRule="auto" w:before="3"/>
        <w:ind w:left="532" w:right="987" w:hanging="420"/>
        <w:jc w:val="left"/>
        <w:rPr>
          <w:rFonts w:ascii="宋体" w:hAnsi="宋体" w:cs="宋体" w:eastAsia="宋体" w:hint="default"/>
          <w:sz w:val="21"/>
          <w:szCs w:val="21"/>
        </w:rPr>
      </w:pPr>
      <w:r>
        <w:rPr>
          <w:rFonts w:ascii="宋体" w:hAnsi="宋体" w:cs="宋体" w:eastAsia="宋体" w:hint="default"/>
          <w:sz w:val="21"/>
          <w:szCs w:val="21"/>
        </w:rPr>
        <w:t>首次出现亏损：全年实现营业收入</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6,570.57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万元，实现净利润</w:t>
      </w:r>
      <w:r>
        <w:rPr>
          <w:rFonts w:ascii="Times New Roman" w:hAnsi="Times New Roman" w:cs="Times New Roman" w:eastAsia="Times New Roman" w:hint="default"/>
          <w:sz w:val="21"/>
          <w:szCs w:val="21"/>
        </w:rPr>
        <w:t>-2,688.42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r>
        <w:rPr>
          <w:rFonts w:ascii="宋体" w:hAnsi="宋体" w:cs="宋体" w:eastAsia="宋体" w:hint="default"/>
          <w:w w:val="99"/>
          <w:sz w:val="21"/>
          <w:szCs w:val="21"/>
        </w:rPr>
        <w:t> 造成富华宇祺亏损的主要原因分析如下</w:t>
      </w:r>
      <w:r>
        <w:rPr>
          <w:rFonts w:ascii="宋体" w:hAnsi="宋体" w:cs="宋体" w:eastAsia="宋体" w:hint="default"/>
          <w:spacing w:val="25"/>
          <w:w w:val="99"/>
          <w:sz w:val="21"/>
          <w:szCs w:val="21"/>
        </w:rPr>
        <w:t> </w:t>
      </w:r>
      <w:r>
        <w:rPr>
          <w:rFonts w:ascii="宋体" w:hAnsi="宋体" w:cs="宋体" w:eastAsia="宋体" w:hint="default"/>
          <w:spacing w:val="-4"/>
          <w:w w:val="99"/>
          <w:sz w:val="21"/>
          <w:szCs w:val="21"/>
        </w:rPr>
        <w:t>：（</w:t>
      </w:r>
      <w:r>
        <w:rPr>
          <w:rFonts w:ascii="Times New Roman" w:hAnsi="Times New Roman" w:cs="Times New Roman" w:eastAsia="Times New Roman" w:hint="default"/>
          <w:spacing w:val="-4"/>
          <w:w w:val="99"/>
          <w:sz w:val="21"/>
          <w:szCs w:val="21"/>
        </w:rPr>
        <w:t>1</w:t>
      </w:r>
      <w:r>
        <w:rPr>
          <w:rFonts w:ascii="宋体" w:hAnsi="宋体" w:cs="宋体" w:eastAsia="宋体" w:hint="default"/>
          <w:spacing w:val="-4"/>
          <w:w w:val="99"/>
          <w:sz w:val="21"/>
          <w:szCs w:val="21"/>
        </w:rPr>
        <w:t>）由于受铁路混改（高铁无线通讯招投标体系变化）及</w:t>
      </w:r>
      <w:r>
        <w:rPr>
          <w:rFonts w:ascii="宋体" w:hAnsi="宋体" w:cs="宋体" w:eastAsia="宋体" w:hint="default"/>
          <w:spacing w:val="-4"/>
          <w:sz w:val="21"/>
          <w:szCs w:val="21"/>
        </w:rPr>
      </w:r>
    </w:p>
    <w:p>
      <w:pPr>
        <w:spacing w:before="3"/>
        <w:ind w:left="112" w:right="987" w:firstLine="0"/>
        <w:jc w:val="left"/>
        <w:rPr>
          <w:rFonts w:ascii="宋体" w:hAnsi="宋体" w:cs="宋体" w:eastAsia="宋体" w:hint="default"/>
          <w:sz w:val="21"/>
          <w:szCs w:val="21"/>
        </w:rPr>
      </w:pPr>
      <w:r>
        <w:rPr>
          <w:rFonts w:ascii="宋体" w:hAnsi="宋体" w:cs="宋体" w:eastAsia="宋体" w:hint="default"/>
          <w:sz w:val="21"/>
          <w:szCs w:val="21"/>
        </w:rPr>
        <w:t>中兴事件影响，矿山井下通讯及轨交信息业务部分订单延迟或暂停，造成该类业务营业收入大幅度下滑；</w:t>
      </w:r>
    </w:p>
    <w:p>
      <w:pPr>
        <w:spacing w:line="240" w:lineRule="auto" w:before="10"/>
        <w:rPr>
          <w:rFonts w:ascii="宋体" w:hAnsi="宋体" w:cs="宋体" w:eastAsia="宋体" w:hint="default"/>
          <w:sz w:val="14"/>
          <w:szCs w:val="14"/>
        </w:rPr>
      </w:pPr>
    </w:p>
    <w:p>
      <w:pPr>
        <w:spacing w:line="393" w:lineRule="auto" w:before="0"/>
        <w:ind w:left="112" w:right="1112" w:firstLine="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）富华宇祺决定自</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年以来逐步减少或终止部分普通铁路信息通信、矿山通信等工期长、回款慢、</w:t>
      </w:r>
      <w:r>
        <w:rPr>
          <w:rFonts w:ascii="宋体" w:hAnsi="宋体" w:cs="宋体" w:eastAsia="宋体" w:hint="default"/>
          <w:w w:val="99"/>
          <w:sz w:val="21"/>
          <w:szCs w:val="21"/>
        </w:rPr>
        <w:t> </w:t>
      </w:r>
      <w:r>
        <w:rPr>
          <w:rFonts w:ascii="宋体" w:hAnsi="宋体" w:cs="宋体" w:eastAsia="宋体" w:hint="default"/>
          <w:spacing w:val="-3"/>
          <w:w w:val="99"/>
          <w:sz w:val="21"/>
          <w:szCs w:val="21"/>
        </w:rPr>
        <w:t>毛利率低的传统业务；（</w:t>
      </w:r>
      <w:r>
        <w:rPr>
          <w:rFonts w:ascii="Times New Roman" w:hAnsi="Times New Roman" w:cs="Times New Roman" w:eastAsia="Times New Roman" w:hint="default"/>
          <w:spacing w:val="-3"/>
          <w:w w:val="99"/>
          <w:sz w:val="21"/>
          <w:szCs w:val="21"/>
        </w:rPr>
        <w:t>3</w:t>
      </w:r>
      <w:r>
        <w:rPr>
          <w:rFonts w:ascii="宋体" w:hAnsi="宋体" w:cs="宋体" w:eastAsia="宋体" w:hint="default"/>
          <w:spacing w:val="-3"/>
          <w:w w:val="99"/>
          <w:sz w:val="21"/>
          <w:szCs w:val="21"/>
        </w:rPr>
        <w:t>）富华宇祺根据公司新的发展转型战略，向军工、大数据等新业务转型，在自主</w:t>
      </w:r>
      <w:r>
        <w:rPr>
          <w:rFonts w:ascii="宋体" w:hAnsi="宋体" w:cs="宋体" w:eastAsia="宋体" w:hint="default"/>
          <w:spacing w:val="-65"/>
          <w:w w:val="99"/>
          <w:sz w:val="21"/>
          <w:szCs w:val="21"/>
        </w:rPr>
        <w:t> </w:t>
      </w:r>
      <w:r>
        <w:rPr>
          <w:rFonts w:ascii="宋体" w:hAnsi="宋体" w:cs="宋体" w:eastAsia="宋体" w:hint="default"/>
          <w:spacing w:val="-65"/>
          <w:w w:val="99"/>
          <w:sz w:val="21"/>
          <w:szCs w:val="21"/>
        </w:rPr>
      </w:r>
      <w:r>
        <w:rPr>
          <w:rFonts w:ascii="宋体" w:hAnsi="宋体" w:cs="宋体" w:eastAsia="宋体" w:hint="default"/>
          <w:w w:val="95"/>
          <w:sz w:val="21"/>
          <w:szCs w:val="21"/>
        </w:rPr>
        <w:t>可控、军用燃料电池、区块链等相关方面，增加了较大研发投入、市场开拓费用。该类费用的投入，导致</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富华宇祺出现了所谓的</w:t>
      </w:r>
      <w:r>
        <w:rPr>
          <w:rFonts w:ascii="Times New Roman" w:hAnsi="Times New Roman" w:cs="Times New Roman" w:eastAsia="Times New Roman" w:hint="default"/>
          <w:sz w:val="21"/>
          <w:szCs w:val="21"/>
        </w:rPr>
        <w:t>“</w:t>
      </w:r>
      <w:r>
        <w:rPr>
          <w:rFonts w:ascii="宋体" w:hAnsi="宋体" w:cs="宋体" w:eastAsia="宋体" w:hint="default"/>
          <w:sz w:val="21"/>
          <w:szCs w:val="21"/>
        </w:rPr>
        <w:t>暂时转型之痛</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400" w:lineRule="auto" w:before="69"/>
        <w:ind w:left="112" w:right="1025" w:firstLine="420"/>
        <w:jc w:val="left"/>
        <w:rPr>
          <w:rFonts w:ascii="宋体" w:hAnsi="宋体" w:cs="宋体" w:eastAsia="宋体" w:hint="default"/>
          <w:sz w:val="21"/>
          <w:szCs w:val="21"/>
        </w:rPr>
      </w:pPr>
      <w:r>
        <w:rPr>
          <w:rFonts w:ascii="宋体" w:hAnsi="宋体" w:cs="宋体" w:eastAsia="宋体" w:hint="default"/>
          <w:sz w:val="21"/>
          <w:szCs w:val="21"/>
        </w:rPr>
        <w:t>但是，信息业务板块</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年在新业务、新产品方面也取得了较好的成果，包括军工信息化方面，特</w:t>
      </w:r>
      <w:r>
        <w:rPr>
          <w:rFonts w:ascii="宋体" w:hAnsi="宋体" w:cs="宋体" w:eastAsia="宋体" w:hint="default"/>
          <w:w w:val="99"/>
          <w:sz w:val="21"/>
          <w:szCs w:val="21"/>
        </w:rPr>
        <w:t> </w:t>
      </w:r>
      <w:r>
        <w:rPr>
          <w:rFonts w:ascii="宋体" w:hAnsi="宋体" w:cs="宋体" w:eastAsia="宋体" w:hint="default"/>
          <w:spacing w:val="-3"/>
          <w:sz w:val="21"/>
          <w:szCs w:val="21"/>
        </w:rPr>
        <w:t>别是军事基地通信系统技术研发已经完成，并与潜在客户进行了沟通，符合要求，未来将有能力参加投标；</w:t>
      </w:r>
      <w:r>
        <w:rPr>
          <w:rFonts w:ascii="宋体" w:hAnsi="宋体" w:cs="宋体" w:eastAsia="宋体" w:hint="default"/>
          <w:w w:val="99"/>
          <w:sz w:val="21"/>
          <w:szCs w:val="21"/>
        </w:rPr>
        <w:t> </w:t>
      </w:r>
      <w:r>
        <w:rPr>
          <w:rFonts w:ascii="宋体" w:hAnsi="宋体" w:cs="宋体" w:eastAsia="宋体" w:hint="default"/>
          <w:sz w:val="21"/>
          <w:szCs w:val="21"/>
        </w:rPr>
        <w:t>区块链业务取得新的订单，正在开发新客户；氢燃料电池已经试销，并具备量产能力；高质量低成本的高</w:t>
      </w:r>
      <w:r>
        <w:rPr>
          <w:rFonts w:ascii="宋体" w:hAnsi="宋体" w:cs="宋体" w:eastAsia="宋体" w:hint="default"/>
          <w:w w:val="99"/>
          <w:sz w:val="21"/>
          <w:szCs w:val="21"/>
        </w:rPr>
        <w:t> </w:t>
      </w:r>
      <w:r>
        <w:rPr>
          <w:rFonts w:ascii="宋体" w:hAnsi="宋体" w:cs="宋体" w:eastAsia="宋体" w:hint="default"/>
          <w:sz w:val="21"/>
          <w:szCs w:val="21"/>
        </w:rPr>
        <w:t>铁屏显控制系统产品即将上车应用等。这将有利于该板块的未来发展壮大。</w:t>
      </w:r>
    </w:p>
    <w:p>
      <w:pPr>
        <w:spacing w:line="420" w:lineRule="auto" w:before="91"/>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、军民融合产业基金进展顺利，投资项目实现保值增值</w:t>
      </w:r>
      <w:r>
        <w:rPr>
          <w:rFonts w:ascii="宋体" w:hAnsi="宋体" w:cs="宋体" w:eastAsia="宋体" w:hint="default"/>
          <w:w w:val="99"/>
          <w:sz w:val="21"/>
          <w:szCs w:val="21"/>
        </w:rPr>
        <w:t> </w:t>
      </w:r>
      <w:r>
        <w:rPr>
          <w:rFonts w:ascii="宋体" w:hAnsi="宋体" w:cs="宋体" w:eastAsia="宋体" w:hint="default"/>
          <w:spacing w:val="-2"/>
          <w:w w:val="99"/>
          <w:sz w:val="21"/>
          <w:szCs w:val="21"/>
        </w:rPr>
        <w:t>公司参与设立的西安军民融合产业基金抓住</w:t>
      </w:r>
      <w:r>
        <w:rPr>
          <w:rFonts w:ascii="Times New Roman" w:hAnsi="Times New Roman" w:cs="Times New Roman" w:eastAsia="Times New Roman" w:hint="default"/>
          <w:spacing w:val="-2"/>
          <w:w w:val="99"/>
          <w:sz w:val="21"/>
          <w:szCs w:val="21"/>
        </w:rPr>
        <w:t>“</w:t>
      </w:r>
      <w:r>
        <w:rPr>
          <w:rFonts w:ascii="宋体" w:hAnsi="宋体" w:cs="宋体" w:eastAsia="宋体" w:hint="default"/>
          <w:spacing w:val="-2"/>
          <w:w w:val="99"/>
          <w:sz w:val="21"/>
          <w:szCs w:val="21"/>
        </w:rPr>
        <w:t>军民融合上升为国家战略</w:t>
      </w:r>
      <w:r>
        <w:rPr>
          <w:rFonts w:ascii="Times New Roman" w:hAnsi="Times New Roman" w:cs="Times New Roman" w:eastAsia="Times New Roman" w:hint="default"/>
          <w:spacing w:val="-2"/>
          <w:w w:val="99"/>
          <w:sz w:val="21"/>
          <w:szCs w:val="21"/>
        </w:rPr>
        <w:t>”</w:t>
      </w:r>
      <w:r>
        <w:rPr>
          <w:rFonts w:ascii="宋体" w:hAnsi="宋体" w:cs="宋体" w:eastAsia="宋体" w:hint="default"/>
          <w:spacing w:val="-2"/>
          <w:w w:val="99"/>
          <w:sz w:val="21"/>
          <w:szCs w:val="21"/>
        </w:rPr>
        <w:t>的有利时机，秉持</w:t>
      </w:r>
      <w:r>
        <w:rPr>
          <w:rFonts w:ascii="Times New Roman" w:hAnsi="Times New Roman" w:cs="Times New Roman" w:eastAsia="Times New Roman" w:hint="default"/>
          <w:spacing w:val="-2"/>
          <w:w w:val="99"/>
          <w:sz w:val="21"/>
          <w:szCs w:val="21"/>
        </w:rPr>
        <w:t>“</w:t>
      </w:r>
      <w:r>
        <w:rPr>
          <w:rFonts w:ascii="宋体" w:hAnsi="宋体" w:cs="宋体" w:eastAsia="宋体" w:hint="default"/>
          <w:spacing w:val="-2"/>
          <w:w w:val="99"/>
          <w:sz w:val="21"/>
          <w:szCs w:val="21"/>
        </w:rPr>
        <w:t>广泛建立军</w:t>
      </w:r>
      <w:r>
        <w:rPr>
          <w:rFonts w:ascii="宋体" w:hAnsi="宋体" w:cs="宋体" w:eastAsia="宋体" w:hint="default"/>
          <w:spacing w:val="-2"/>
          <w:sz w:val="21"/>
          <w:szCs w:val="21"/>
        </w:rPr>
      </w:r>
    </w:p>
    <w:p>
      <w:pPr>
        <w:spacing w:line="386" w:lineRule="auto" w:before="3"/>
        <w:ind w:left="112" w:right="1135" w:firstLine="0"/>
        <w:jc w:val="both"/>
        <w:rPr>
          <w:rFonts w:ascii="宋体" w:hAnsi="宋体" w:cs="宋体" w:eastAsia="宋体" w:hint="default"/>
          <w:sz w:val="21"/>
          <w:szCs w:val="21"/>
        </w:rPr>
      </w:pPr>
      <w:r>
        <w:rPr>
          <w:rFonts w:ascii="宋体" w:hAnsi="宋体" w:cs="宋体" w:eastAsia="宋体" w:hint="default"/>
          <w:sz w:val="21"/>
          <w:szCs w:val="21"/>
        </w:rPr>
        <w:t>工体系联系、深入参与军工院所改制、重点投资军民融合企业</w:t>
      </w:r>
      <w:r>
        <w:rPr>
          <w:rFonts w:ascii="Times New Roman" w:hAnsi="Times New Roman" w:cs="Times New Roman" w:eastAsia="Times New Roman" w:hint="default"/>
          <w:sz w:val="21"/>
          <w:szCs w:val="21"/>
        </w:rPr>
        <w:t>”</w:t>
      </w:r>
      <w:r>
        <w:rPr>
          <w:rFonts w:ascii="宋体" w:hAnsi="宋体" w:cs="宋体" w:eastAsia="宋体" w:hint="default"/>
          <w:sz w:val="21"/>
          <w:szCs w:val="21"/>
        </w:rPr>
        <w:t>的投资原则，专注于武器装备系统和军工</w:t>
      </w:r>
      <w:r>
        <w:rPr>
          <w:rFonts w:ascii="宋体" w:hAnsi="宋体" w:cs="宋体" w:eastAsia="宋体" w:hint="default"/>
          <w:w w:val="99"/>
          <w:sz w:val="21"/>
          <w:szCs w:val="21"/>
        </w:rPr>
        <w:t> </w:t>
      </w:r>
      <w:r>
        <w:rPr>
          <w:rFonts w:ascii="宋体" w:hAnsi="宋体" w:cs="宋体" w:eastAsia="宋体" w:hint="default"/>
          <w:sz w:val="21"/>
          <w:szCs w:val="21"/>
        </w:rPr>
        <w:t>信息化等领域投资，加大了对项目的考察投资力度。报告期内，完成了奥扬科技及湖滨电器等</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个项目的</w:t>
      </w:r>
    </w:p>
    <w:p>
      <w:pPr>
        <w:spacing w:line="386" w:lineRule="auto" w:before="35"/>
        <w:ind w:left="112" w:right="1136" w:firstLine="0"/>
        <w:jc w:val="both"/>
        <w:rPr>
          <w:rFonts w:ascii="宋体" w:hAnsi="宋体" w:cs="宋体" w:eastAsia="宋体" w:hint="default"/>
          <w:sz w:val="21"/>
          <w:szCs w:val="21"/>
        </w:rPr>
      </w:pPr>
      <w:r>
        <w:rPr>
          <w:rFonts w:ascii="宋体" w:hAnsi="宋体" w:cs="宋体" w:eastAsia="宋体" w:hint="default"/>
          <w:sz w:val="21"/>
          <w:szCs w:val="21"/>
        </w:rPr>
        <w:t>投资，合计完成</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个项目的投资，并对被投企业进行跟踪关注，对部分企业提供了财务、业务、资源、管</w:t>
      </w:r>
      <w:r>
        <w:rPr>
          <w:rFonts w:ascii="宋体" w:hAnsi="宋体" w:cs="宋体" w:eastAsia="宋体" w:hint="default"/>
          <w:w w:val="99"/>
          <w:sz w:val="21"/>
          <w:szCs w:val="21"/>
        </w:rPr>
        <w:t> </w:t>
      </w:r>
      <w:r>
        <w:rPr>
          <w:rFonts w:ascii="宋体" w:hAnsi="宋体" w:cs="宋体" w:eastAsia="宋体" w:hint="default"/>
          <w:sz w:val="21"/>
          <w:szCs w:val="21"/>
        </w:rPr>
        <w:t>理等方面的投后管理服务。</w:t>
      </w:r>
    </w:p>
    <w:p>
      <w:pPr>
        <w:spacing w:line="408" w:lineRule="auto" w:before="106"/>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所投项目均进展顺利，有项目实现了产品的军品装备订货，有项目引进了蚂蚁金服的战略投资，实现</w:t>
      </w:r>
      <w:r>
        <w:rPr>
          <w:rFonts w:ascii="宋体" w:hAnsi="宋体" w:cs="宋体" w:eastAsia="宋体" w:hint="default"/>
          <w:w w:val="99"/>
          <w:sz w:val="21"/>
          <w:szCs w:val="21"/>
        </w:rPr>
        <w:t> </w:t>
      </w:r>
      <w:r>
        <w:rPr>
          <w:rFonts w:ascii="宋体" w:hAnsi="宋体" w:cs="宋体" w:eastAsia="宋体" w:hint="default"/>
          <w:sz w:val="21"/>
          <w:szCs w:val="21"/>
        </w:rPr>
        <w:t>了短期内估值增加。</w:t>
      </w:r>
    </w:p>
    <w:p>
      <w:pPr>
        <w:spacing w:line="420" w:lineRule="auto" w:before="84"/>
        <w:ind w:left="532" w:right="10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、优化组织机构，实现集团化管理</w:t>
      </w:r>
      <w:r>
        <w:rPr>
          <w:rFonts w:ascii="宋体" w:hAnsi="宋体" w:cs="宋体" w:eastAsia="宋体" w:hint="default"/>
          <w:w w:val="99"/>
          <w:sz w:val="21"/>
          <w:szCs w:val="21"/>
        </w:rPr>
        <w:t> </w:t>
      </w:r>
      <w:r>
        <w:rPr>
          <w:rFonts w:ascii="宋体" w:hAnsi="宋体" w:cs="宋体" w:eastAsia="宋体" w:hint="default"/>
          <w:spacing w:val="-3"/>
          <w:sz w:val="21"/>
          <w:szCs w:val="21"/>
        </w:rPr>
        <w:t>完成上市公司传统煤矿安全业务下沉至子公司工作，实施集团化管理模式，实现公司运作的深度协同、</w:t>
      </w:r>
    </w:p>
    <w:p>
      <w:pPr>
        <w:spacing w:before="35"/>
        <w:ind w:left="112" w:right="987" w:firstLine="0"/>
        <w:jc w:val="left"/>
        <w:rPr>
          <w:rFonts w:ascii="宋体" w:hAnsi="宋体" w:cs="宋体" w:eastAsia="宋体" w:hint="default"/>
          <w:sz w:val="21"/>
          <w:szCs w:val="21"/>
        </w:rPr>
      </w:pPr>
      <w:r>
        <w:rPr>
          <w:rFonts w:ascii="宋体" w:hAnsi="宋体" w:cs="宋体" w:eastAsia="宋体" w:hint="default"/>
          <w:sz w:val="21"/>
          <w:szCs w:val="21"/>
        </w:rPr>
        <w:t>高效管控、顺畅运行。上市公司拥有</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家控股或全资子公司，一个军民融合产业基金，垂直管理效率进一</w:t>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before="34"/>
        <w:ind w:left="112" w:right="987" w:firstLine="0"/>
        <w:jc w:val="left"/>
        <w:rPr>
          <w:rFonts w:ascii="宋体" w:hAnsi="宋体" w:cs="宋体" w:eastAsia="宋体" w:hint="default"/>
          <w:sz w:val="21"/>
          <w:szCs w:val="21"/>
        </w:rPr>
      </w:pPr>
      <w:r>
        <w:rPr>
          <w:rFonts w:ascii="宋体" w:hAnsi="宋体" w:cs="宋体" w:eastAsia="宋体" w:hint="default"/>
          <w:sz w:val="21"/>
          <w:szCs w:val="21"/>
        </w:rPr>
        <w:t>步提高，有效降低因业务整合、规模扩大带来的管理风险。</w:t>
      </w:r>
    </w:p>
    <w:p>
      <w:pPr>
        <w:spacing w:line="240" w:lineRule="auto" w:before="12"/>
        <w:rPr>
          <w:rFonts w:ascii="宋体" w:hAnsi="宋体" w:cs="宋体" w:eastAsia="宋体" w:hint="default"/>
          <w:sz w:val="17"/>
          <w:szCs w:val="17"/>
        </w:rPr>
      </w:pPr>
    </w:p>
    <w:p>
      <w:pPr>
        <w:spacing w:line="386" w:lineRule="auto" w:before="0"/>
        <w:ind w:left="112" w:right="98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年，公司改选了部分董事会成员，聘任部分高级管理人员，董事长兼任总经理，为公司发展提</w:t>
      </w:r>
      <w:r>
        <w:rPr>
          <w:rFonts w:ascii="宋体" w:hAnsi="宋体" w:cs="宋体" w:eastAsia="宋体" w:hint="default"/>
          <w:w w:val="99"/>
          <w:sz w:val="21"/>
          <w:szCs w:val="21"/>
        </w:rPr>
        <w:t> </w:t>
      </w:r>
      <w:r>
        <w:rPr>
          <w:rFonts w:ascii="宋体" w:hAnsi="宋体" w:cs="宋体" w:eastAsia="宋体" w:hint="default"/>
          <w:sz w:val="21"/>
          <w:szCs w:val="21"/>
        </w:rPr>
        <w:t>供了坚强的领导基础，此举将有利于集团化管理模式的推行。</w:t>
      </w:r>
    </w:p>
    <w:p>
      <w:pPr>
        <w:spacing w:line="417" w:lineRule="auto" w:before="106"/>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、继续重视研发创新，提升公司技术实力。</w:t>
      </w:r>
      <w:r>
        <w:rPr>
          <w:rFonts w:ascii="宋体" w:hAnsi="宋体" w:cs="宋体" w:eastAsia="宋体" w:hint="default"/>
          <w:w w:val="99"/>
          <w:sz w:val="21"/>
          <w:szCs w:val="21"/>
        </w:rPr>
        <w:t> </w:t>
      </w:r>
      <w:r>
        <w:rPr>
          <w:rFonts w:ascii="宋体" w:hAnsi="宋体" w:cs="宋体" w:eastAsia="宋体" w:hint="default"/>
          <w:w w:val="95"/>
          <w:sz w:val="21"/>
          <w:szCs w:val="21"/>
        </w:rPr>
        <w:t>公司及子公司始终以技术创新为核心、自主研发为先导，高度重视对产品研发的投入和自身研发实力</w:t>
      </w:r>
      <w:r>
        <w:rPr>
          <w:rFonts w:ascii="宋体" w:hAnsi="宋体" w:cs="宋体" w:eastAsia="宋体" w:hint="default"/>
          <w:sz w:val="21"/>
          <w:szCs w:val="21"/>
        </w:rPr>
      </w:r>
    </w:p>
    <w:p>
      <w:pPr>
        <w:spacing w:line="408" w:lineRule="auto" w:before="37"/>
        <w:ind w:left="112" w:right="1025" w:firstLine="0"/>
        <w:jc w:val="left"/>
        <w:rPr>
          <w:rFonts w:ascii="宋体" w:hAnsi="宋体" w:cs="宋体" w:eastAsia="宋体" w:hint="default"/>
          <w:sz w:val="21"/>
          <w:szCs w:val="21"/>
        </w:rPr>
      </w:pPr>
      <w:r>
        <w:rPr>
          <w:rFonts w:ascii="宋体" w:hAnsi="宋体" w:cs="宋体" w:eastAsia="宋体" w:hint="default"/>
          <w:sz w:val="21"/>
          <w:szCs w:val="21"/>
        </w:rPr>
        <w:t>综合能力的提升，同时，依托院士专家工作站、博士后科研工作站、国家地方联合工程技术中心，省级工</w:t>
      </w:r>
      <w:r>
        <w:rPr>
          <w:rFonts w:ascii="宋体" w:hAnsi="宋体" w:cs="宋体" w:eastAsia="宋体" w:hint="default"/>
          <w:w w:val="99"/>
          <w:sz w:val="21"/>
          <w:szCs w:val="21"/>
        </w:rPr>
        <w:t> </w:t>
      </w:r>
      <w:r>
        <w:rPr>
          <w:rFonts w:ascii="宋体" w:hAnsi="宋体" w:cs="宋体" w:eastAsia="宋体" w:hint="default"/>
          <w:spacing w:val="-3"/>
          <w:sz w:val="21"/>
          <w:szCs w:val="21"/>
        </w:rPr>
        <w:t>程研发中心等一批高水平技术研发支撑平台，稳步推动一系列科研项目的顺利进行，强化产学研一体合作，</w:t>
      </w:r>
      <w:r>
        <w:rPr>
          <w:rFonts w:ascii="宋体" w:hAnsi="宋体" w:cs="宋体" w:eastAsia="宋体" w:hint="default"/>
          <w:w w:val="99"/>
          <w:sz w:val="21"/>
          <w:szCs w:val="21"/>
        </w:rPr>
        <w:t> </w:t>
      </w:r>
      <w:r>
        <w:rPr>
          <w:rFonts w:ascii="宋体" w:hAnsi="宋体" w:cs="宋体" w:eastAsia="宋体" w:hint="default"/>
          <w:sz w:val="21"/>
          <w:szCs w:val="21"/>
        </w:rPr>
        <w:t>继续与多处高校院所深入展开合作，为公司各产业的发展奠定坚实的基础。</w:t>
      </w:r>
    </w:p>
    <w:p>
      <w:pPr>
        <w:spacing w:before="87"/>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、完成限制性股票首次解除限售，增强公司凝聚力</w:t>
      </w:r>
    </w:p>
    <w:p>
      <w:pPr>
        <w:spacing w:line="240" w:lineRule="auto" w:before="9"/>
        <w:rPr>
          <w:rFonts w:ascii="宋体" w:hAnsi="宋体" w:cs="宋体" w:eastAsia="宋体" w:hint="default"/>
          <w:sz w:val="16"/>
          <w:szCs w:val="16"/>
        </w:rPr>
      </w:pPr>
    </w:p>
    <w:p>
      <w:pPr>
        <w:spacing w:line="400" w:lineRule="auto" w:before="0"/>
        <w:ind w:left="112" w:right="1025" w:firstLine="420"/>
        <w:jc w:val="left"/>
        <w:rPr>
          <w:rFonts w:ascii="宋体" w:hAnsi="宋体" w:cs="宋体" w:eastAsia="宋体" w:hint="default"/>
          <w:sz w:val="21"/>
          <w:szCs w:val="21"/>
        </w:rPr>
      </w:pPr>
      <w:r>
        <w:rPr>
          <w:rFonts w:ascii="宋体" w:hAnsi="宋体" w:cs="宋体" w:eastAsia="宋体" w:hint="default"/>
          <w:sz w:val="21"/>
          <w:szCs w:val="21"/>
        </w:rPr>
        <w:t>报告期内，公司完成</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名激励对象所持</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350.6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万股限制性股票办理解除限售手续，上述激励对象涵</w:t>
      </w:r>
      <w:r>
        <w:rPr>
          <w:rFonts w:ascii="宋体" w:hAnsi="宋体" w:cs="宋体" w:eastAsia="宋体" w:hint="default"/>
          <w:w w:val="99"/>
          <w:sz w:val="21"/>
          <w:szCs w:val="21"/>
        </w:rPr>
        <w:t> </w:t>
      </w:r>
      <w:r>
        <w:rPr>
          <w:rFonts w:ascii="宋体" w:hAnsi="宋体" w:cs="宋体" w:eastAsia="宋体" w:hint="default"/>
          <w:sz w:val="21"/>
          <w:szCs w:val="21"/>
        </w:rPr>
        <w:t>盖了公司部分非独立董事、高级管理人员及公司核心骨干人员。有效提升了公司人才的稳定性，激发了公</w:t>
      </w:r>
      <w:r>
        <w:rPr>
          <w:rFonts w:ascii="宋体" w:hAnsi="宋体" w:cs="宋体" w:eastAsia="宋体" w:hint="default"/>
          <w:w w:val="99"/>
          <w:sz w:val="21"/>
          <w:szCs w:val="21"/>
        </w:rPr>
        <w:t> </w:t>
      </w:r>
      <w:r>
        <w:rPr>
          <w:rFonts w:ascii="宋体" w:hAnsi="宋体" w:cs="宋体" w:eastAsia="宋体" w:hint="default"/>
          <w:spacing w:val="-3"/>
          <w:sz w:val="21"/>
          <w:szCs w:val="21"/>
        </w:rPr>
        <w:t>司管理团队和核心人才的动力和创造力，充分调动员工积极性，有利于公司吸引和保留优秀的管理、技术、</w:t>
      </w:r>
      <w:r>
        <w:rPr>
          <w:rFonts w:ascii="宋体" w:hAnsi="宋体" w:cs="宋体" w:eastAsia="宋体" w:hint="default"/>
          <w:w w:val="99"/>
          <w:sz w:val="21"/>
          <w:szCs w:val="21"/>
        </w:rPr>
        <w:t> </w:t>
      </w:r>
      <w:r>
        <w:rPr>
          <w:rFonts w:ascii="宋体" w:hAnsi="宋体" w:cs="宋体" w:eastAsia="宋体" w:hint="default"/>
          <w:sz w:val="21"/>
          <w:szCs w:val="21"/>
        </w:rPr>
        <w:t>业务人员，进一步激发公司创新活力，增强公司凝聚力。</w:t>
      </w:r>
    </w:p>
    <w:p>
      <w:pPr>
        <w:spacing w:line="240" w:lineRule="auto" w:before="2"/>
        <w:rPr>
          <w:rFonts w:ascii="宋体" w:hAnsi="宋体" w:cs="宋体" w:eastAsia="宋体" w:hint="default"/>
          <w:sz w:val="19"/>
          <w:szCs w:val="19"/>
        </w:rPr>
      </w:pPr>
    </w:p>
    <w:p>
      <w:pPr>
        <w:spacing w:before="0"/>
        <w:ind w:left="112" w:right="987" w:firstLine="0"/>
        <w:jc w:val="left"/>
        <w:rPr>
          <w:rFonts w:ascii="宋体" w:hAnsi="宋体" w:cs="宋体" w:eastAsia="宋体" w:hint="default"/>
          <w:sz w:val="24"/>
          <w:szCs w:val="24"/>
        </w:rPr>
      </w:pPr>
      <w:bookmarkStart w:name="二、主营业务分析" w:id="21"/>
      <w:bookmarkEnd w:id="21"/>
      <w:r>
        <w:rPr/>
      </w:r>
      <w:r>
        <w:rPr>
          <w:rFonts w:ascii="宋体" w:hAnsi="宋体" w:cs="宋体" w:eastAsia="宋体" w:hint="default"/>
          <w:b/>
          <w:bCs/>
          <w:sz w:val="24"/>
          <w:szCs w:val="24"/>
        </w:rPr>
        <w:t>二、主营业务分析</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概述" w:id="22"/>
      <w:bookmarkEnd w:id="2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参见“经营情况讨论与分析”中的“一、概述”相关内容。</w:t>
      </w:r>
    </w:p>
    <w:p>
      <w:pPr>
        <w:spacing w:line="240" w:lineRule="auto" w:before="0"/>
        <w:rPr>
          <w:rFonts w:ascii="宋体" w:hAnsi="宋体" w:cs="宋体" w:eastAsia="宋体" w:hint="default"/>
          <w:sz w:val="20"/>
          <w:szCs w:val="20"/>
        </w:rPr>
      </w:pPr>
    </w:p>
    <w:p>
      <w:pPr>
        <w:spacing w:before="154"/>
        <w:ind w:left="112" w:right="987" w:firstLine="0"/>
        <w:jc w:val="left"/>
        <w:rPr>
          <w:rFonts w:ascii="宋体" w:hAnsi="宋体" w:cs="宋体" w:eastAsia="宋体" w:hint="default"/>
          <w:sz w:val="21"/>
          <w:szCs w:val="21"/>
        </w:rPr>
      </w:pPr>
      <w:bookmarkStart w:name="2、收入与成本" w:id="23"/>
      <w:bookmarkEnd w:id="2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line="692" w:lineRule="exact" w:before="15"/>
        <w:ind w:left="532" w:right="5095" w:hanging="420"/>
        <w:jc w:val="left"/>
        <w:rPr>
          <w:rFonts w:ascii="宋体" w:hAnsi="宋体" w:cs="宋体" w:eastAsia="宋体" w:hint="default"/>
          <w:sz w:val="21"/>
          <w:szCs w:val="21"/>
        </w:rPr>
      </w:pPr>
      <w:bookmarkStart w:name="（1）营业收入构成" w:id="24"/>
      <w:bookmarkEnd w:id="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b/>
          <w:bCs/>
          <w:w w:val="99"/>
          <w:sz w:val="21"/>
          <w:szCs w:val="21"/>
        </w:rPr>
        <w:t> </w:t>
      </w:r>
      <w:r>
        <w:rPr>
          <w:rFonts w:ascii="宋体" w:hAnsi="宋体" w:cs="宋体" w:eastAsia="宋体" w:hint="default"/>
          <w:w w:val="95"/>
          <w:sz w:val="21"/>
          <w:szCs w:val="21"/>
        </w:rPr>
        <w:t>公司是否需要遵守光伏产业链相关业的披露要求：否</w:t>
      </w:r>
      <w:r>
        <w:rPr>
          <w:rFonts w:ascii="宋体" w:hAnsi="宋体" w:cs="宋体" w:eastAsia="宋体" w:hint="default"/>
          <w:sz w:val="21"/>
          <w:szCs w:val="21"/>
        </w:rPr>
      </w:r>
    </w:p>
    <w:p>
      <w:pPr>
        <w:spacing w:line="386" w:lineRule="auto" w:before="122"/>
        <w:ind w:left="112" w:right="1128" w:firstLine="420"/>
        <w:jc w:val="left"/>
        <w:rPr>
          <w:rFonts w:ascii="宋体" w:hAnsi="宋体" w:cs="宋体" w:eastAsia="宋体" w:hint="default"/>
          <w:sz w:val="21"/>
          <w:szCs w:val="21"/>
        </w:rPr>
      </w:pPr>
      <w:r>
        <w:rPr>
          <w:rFonts w:ascii="宋体" w:hAnsi="宋体" w:cs="宋体" w:eastAsia="宋体" w:hint="default"/>
          <w:sz w:val="21"/>
          <w:szCs w:val="21"/>
        </w:rPr>
        <w:t>公司是否需遵守《深圳证券交易所创业板行业信息披露指引第</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号——上市公司从事广播电影电视业</w:t>
      </w:r>
      <w:r>
        <w:rPr>
          <w:rFonts w:ascii="宋体" w:hAnsi="宋体" w:cs="宋体" w:eastAsia="宋体" w:hint="default"/>
          <w:w w:val="99"/>
          <w:sz w:val="21"/>
          <w:szCs w:val="21"/>
        </w:rPr>
        <w:t> </w:t>
      </w:r>
      <w:r>
        <w:rPr>
          <w:rFonts w:ascii="宋体" w:hAnsi="宋体" w:cs="宋体" w:eastAsia="宋体" w:hint="default"/>
          <w:sz w:val="21"/>
          <w:szCs w:val="21"/>
        </w:rPr>
        <w:t>务》的披露要求：否</w:t>
      </w:r>
    </w:p>
    <w:p>
      <w:pPr>
        <w:spacing w:line="386" w:lineRule="auto" w:before="106"/>
        <w:ind w:left="112" w:right="987" w:firstLine="420"/>
        <w:jc w:val="left"/>
        <w:rPr>
          <w:rFonts w:ascii="宋体" w:hAnsi="宋体" w:cs="宋体" w:eastAsia="宋体" w:hint="default"/>
          <w:sz w:val="21"/>
          <w:szCs w:val="21"/>
        </w:rPr>
      </w:pPr>
      <w:r>
        <w:rPr>
          <w:rFonts w:ascii="宋体" w:hAnsi="宋体" w:cs="宋体" w:eastAsia="宋体" w:hint="default"/>
          <w:spacing w:val="-4"/>
          <w:w w:val="99"/>
          <w:sz w:val="21"/>
          <w:szCs w:val="21"/>
        </w:rPr>
        <w:t>公司是否需遵守《深圳证券交易所创业板行业信息披露指引第</w:t>
      </w:r>
      <w:r>
        <w:rPr>
          <w:rFonts w:ascii="宋体" w:hAnsi="宋体" w:cs="宋体" w:eastAsia="宋体" w:hint="default"/>
          <w:spacing w:val="-56"/>
          <w:w w:val="99"/>
          <w:sz w:val="21"/>
          <w:szCs w:val="21"/>
        </w:rPr>
        <w:t> </w:t>
      </w:r>
      <w:r>
        <w:rPr>
          <w:rFonts w:ascii="Times New Roman" w:hAnsi="Times New Roman" w:cs="Times New Roman" w:eastAsia="Times New Roman" w:hint="default"/>
          <w:w w:val="99"/>
          <w:sz w:val="21"/>
          <w:szCs w:val="21"/>
        </w:rPr>
        <w:t>5</w:t>
      </w:r>
      <w:r>
        <w:rPr>
          <w:rFonts w:ascii="Times New Roman" w:hAnsi="Times New Roman" w:cs="Times New Roman" w:eastAsia="Times New Roman" w:hint="default"/>
          <w:spacing w:val="1"/>
          <w:w w:val="99"/>
          <w:sz w:val="21"/>
          <w:szCs w:val="21"/>
        </w:rPr>
        <w:t> </w:t>
      </w:r>
      <w:r>
        <w:rPr>
          <w:rFonts w:ascii="宋体" w:hAnsi="宋体" w:cs="宋体" w:eastAsia="宋体" w:hint="default"/>
          <w:w w:val="99"/>
          <w:sz w:val="21"/>
          <w:szCs w:val="21"/>
        </w:rPr>
        <w:t>号——上市公司从事互联网游戏业务》 </w:t>
      </w:r>
      <w:r>
        <w:rPr>
          <w:rFonts w:ascii="宋体" w:hAnsi="宋体" w:cs="宋体" w:eastAsia="宋体" w:hint="default"/>
          <w:sz w:val="21"/>
          <w:szCs w:val="21"/>
        </w:rPr>
        <w:t>的披露要求：否</w:t>
      </w:r>
    </w:p>
    <w:p>
      <w:pPr>
        <w:spacing w:line="386" w:lineRule="auto" w:before="106"/>
        <w:ind w:left="112" w:right="987" w:firstLine="420"/>
        <w:jc w:val="left"/>
        <w:rPr>
          <w:rFonts w:ascii="宋体" w:hAnsi="宋体" w:cs="宋体" w:eastAsia="宋体" w:hint="default"/>
          <w:sz w:val="21"/>
          <w:szCs w:val="21"/>
        </w:rPr>
      </w:pPr>
      <w:r>
        <w:rPr>
          <w:rFonts w:ascii="宋体" w:hAnsi="宋体" w:cs="宋体" w:eastAsia="宋体" w:hint="default"/>
          <w:sz w:val="21"/>
          <w:szCs w:val="21"/>
        </w:rPr>
        <w:t>公司是否需遵守《深圳证券交易所创业板行业信息披露指引第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号——上市公司从事</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LED</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产业链相</w:t>
      </w:r>
      <w:r>
        <w:rPr>
          <w:rFonts w:ascii="宋体" w:hAnsi="宋体" w:cs="宋体" w:eastAsia="宋体" w:hint="default"/>
          <w:w w:val="99"/>
          <w:sz w:val="21"/>
          <w:szCs w:val="21"/>
        </w:rPr>
        <w:t> </w:t>
      </w:r>
      <w:r>
        <w:rPr>
          <w:rFonts w:ascii="宋体" w:hAnsi="宋体" w:cs="宋体" w:eastAsia="宋体" w:hint="default"/>
          <w:sz w:val="21"/>
          <w:szCs w:val="21"/>
        </w:rPr>
        <w:t>关业务》的披露要求：否</w:t>
      </w:r>
    </w:p>
    <w:p>
      <w:pPr>
        <w:spacing w:before="103"/>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公司是否需遵守《深圳证券交易所创业板行业信息披露指引第</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号——上市公司从事医疗器械业务》</w:t>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before="34"/>
        <w:ind w:left="112" w:right="987" w:firstLine="0"/>
        <w:jc w:val="left"/>
        <w:rPr>
          <w:rFonts w:ascii="宋体" w:hAnsi="宋体" w:cs="宋体" w:eastAsia="宋体" w:hint="default"/>
          <w:sz w:val="21"/>
          <w:szCs w:val="21"/>
        </w:rPr>
      </w:pPr>
      <w:r>
        <w:rPr>
          <w:rFonts w:ascii="宋体" w:hAnsi="宋体" w:cs="宋体" w:eastAsia="宋体" w:hint="default"/>
          <w:sz w:val="21"/>
          <w:szCs w:val="21"/>
        </w:rPr>
        <w:t>的披露要求：否</w:t>
      </w:r>
    </w:p>
    <w:p>
      <w:pPr>
        <w:spacing w:line="240" w:lineRule="auto" w:before="12"/>
        <w:rPr>
          <w:rFonts w:ascii="宋体" w:hAnsi="宋体" w:cs="宋体" w:eastAsia="宋体" w:hint="default"/>
          <w:sz w:val="17"/>
          <w:szCs w:val="17"/>
        </w:rPr>
      </w:pPr>
    </w:p>
    <w:p>
      <w:pPr>
        <w:spacing w:line="386" w:lineRule="auto" w:before="0"/>
        <w:ind w:left="112" w:right="987" w:firstLine="420"/>
        <w:jc w:val="left"/>
        <w:rPr>
          <w:rFonts w:ascii="宋体" w:hAnsi="宋体" w:cs="宋体" w:eastAsia="宋体" w:hint="default"/>
          <w:sz w:val="21"/>
          <w:szCs w:val="21"/>
        </w:rPr>
      </w:pPr>
      <w:r>
        <w:rPr>
          <w:rFonts w:ascii="宋体" w:hAnsi="宋体" w:cs="宋体" w:eastAsia="宋体" w:hint="default"/>
          <w:sz w:val="21"/>
          <w:szCs w:val="21"/>
        </w:rPr>
        <w:t>公司是否需遵守《深圳证券交易所行业信息披露指引第</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号——上市公司从软件与信息技术服务业</w:t>
      </w:r>
      <w:r>
        <w:rPr>
          <w:rFonts w:ascii="宋体" w:hAnsi="宋体" w:cs="宋体" w:eastAsia="宋体" w:hint="default"/>
          <w:w w:val="99"/>
          <w:sz w:val="21"/>
          <w:szCs w:val="21"/>
        </w:rPr>
        <w:t> </w:t>
      </w:r>
      <w:r>
        <w:rPr>
          <w:rFonts w:ascii="宋体" w:hAnsi="宋体" w:cs="宋体" w:eastAsia="宋体" w:hint="default"/>
          <w:sz w:val="21"/>
          <w:szCs w:val="21"/>
        </w:rPr>
        <w:t>务》的披露要求：否</w:t>
      </w:r>
    </w:p>
    <w:p>
      <w:pPr>
        <w:spacing w:before="106"/>
        <w:ind w:left="93" w:right="1115" w:firstLine="0"/>
        <w:jc w:val="center"/>
        <w:rPr>
          <w:rFonts w:ascii="宋体" w:hAnsi="宋体" w:cs="宋体" w:eastAsia="宋体" w:hint="default"/>
          <w:sz w:val="21"/>
          <w:szCs w:val="21"/>
        </w:rPr>
      </w:pPr>
      <w:r>
        <w:rPr>
          <w:rFonts w:ascii="宋体" w:hAnsi="宋体" w:cs="宋体" w:eastAsia="宋体" w:hint="default"/>
          <w:sz w:val="21"/>
          <w:szCs w:val="21"/>
        </w:rPr>
        <w:t>营业收入整体情况</w:t>
      </w:r>
    </w:p>
    <w:p>
      <w:pPr>
        <w:spacing w:line="240" w:lineRule="auto" w:before="10"/>
        <w:rPr>
          <w:rFonts w:ascii="宋体" w:hAnsi="宋体" w:cs="宋体" w:eastAsia="宋体" w:hint="default"/>
          <w:sz w:val="13"/>
          <w:szCs w:val="13"/>
        </w:rPr>
      </w:pPr>
    </w:p>
    <w:p>
      <w:pPr>
        <w:pStyle w:val="BodyText"/>
        <w:spacing w:line="240" w:lineRule="auto" w:before="0"/>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9"/>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446,156,028.97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422,911,717.94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5.50%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军工行业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205,679,977.79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160,204,904.43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28.39%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煤矿安全行业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174,749,010.96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117,352,412.73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48.91%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信息通信行业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65,727,040.22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145,354,400.78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-54.78%</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军工产品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205,679,977.79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160,204,904.43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28.39%</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222"/>
              <w:jc w:val="both"/>
              <w:rPr>
                <w:rFonts w:ascii="宋体" w:hAnsi="宋体" w:cs="宋体" w:eastAsia="宋体" w:hint="default"/>
                <w:sz w:val="18"/>
                <w:szCs w:val="18"/>
              </w:rPr>
            </w:pPr>
            <w:r>
              <w:rPr>
                <w:rFonts w:ascii="宋体" w:hAnsi="宋体" w:cs="宋体" w:eastAsia="宋体" w:hint="default"/>
                <w:sz w:val="18"/>
                <w:szCs w:val="18"/>
              </w:rPr>
              <w:t>煤矿顶板安全监 测系统及相关仪 器仪表等产品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174,749,010.96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117,352,412.73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48.91%</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2"/>
              <w:jc w:val="left"/>
              <w:rPr>
                <w:rFonts w:ascii="宋体" w:hAnsi="宋体" w:cs="宋体" w:eastAsia="宋体" w:hint="default"/>
                <w:sz w:val="18"/>
                <w:szCs w:val="18"/>
              </w:rPr>
            </w:pPr>
            <w:r>
              <w:rPr>
                <w:rFonts w:ascii="宋体" w:hAnsi="宋体" w:cs="宋体" w:eastAsia="宋体" w:hint="default"/>
                <w:sz w:val="18"/>
                <w:szCs w:val="18"/>
              </w:rPr>
              <w:t>轨道交通信息化 产品及服务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65,727,040.22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145,354,400.78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-54.78%</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山东省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35,456,718.98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68,444,166.37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-48.20%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山西省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70,475,999.45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34,825,435.32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102.37%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陕西省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22,288,016.85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16,938,361.20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31.58%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12,679,222.89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4,314,852.69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193.85%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4,953,874.32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2"/>
                <w:sz w:val="18"/>
              </w:rPr>
              <w:t>1.11%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20,139,691.45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-75.40%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安徽省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19,896,767.00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8,659,778.81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129.76%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河北省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4,651,435.25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2,125,371.70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2"/>
                <w:sz w:val="18"/>
              </w:rPr>
              <w:t>118.85%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甘肃省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4,222,996.90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2,582,466.67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江苏省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112,473,160.76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66,252,904.61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69.76%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吉林省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74,104,370.82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73,412,138.86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0.94%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7,136,310.49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397,949.23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1,693.27%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215,051.24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597,008.55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-63.98%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38,927,447.02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60,455,504.80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-35.61%</w:t>
            </w:r>
          </w:p>
        </w:tc>
      </w:tr>
      <w:tr>
        <w:trPr>
          <w:trHeight w:val="4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辽宁省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2,365,382.80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29,104,273.48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-91.87%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福建省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13,516,612.06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12,820,512.80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5.43%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22,792,662.14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2"/>
                <w:sz w:val="18"/>
              </w:rPr>
              <w:t>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21,841,301.40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4.36%</w:t>
            </w:r>
          </w:p>
        </w:tc>
      </w:tr>
    </w:tbl>
    <w:p>
      <w:pPr>
        <w:spacing w:line="240" w:lineRule="auto" w:before="3"/>
        <w:rPr>
          <w:rFonts w:ascii="宋体" w:hAnsi="宋体" w:cs="宋体" w:eastAsia="宋体" w:hint="default"/>
          <w:sz w:val="19"/>
          <w:szCs w:val="19"/>
        </w:rPr>
      </w:pPr>
    </w:p>
    <w:p>
      <w:pPr>
        <w:spacing w:before="34"/>
        <w:ind w:left="112" w:right="987" w:firstLine="0"/>
        <w:jc w:val="left"/>
        <w:rPr>
          <w:rFonts w:ascii="宋体" w:hAnsi="宋体" w:cs="宋体" w:eastAsia="宋体" w:hint="default"/>
          <w:sz w:val="21"/>
          <w:szCs w:val="21"/>
        </w:rPr>
      </w:pPr>
      <w:bookmarkStart w:name="（2）占公司营业收入或营业利润10%以上的行业、产品或地区情况 " w:id="25"/>
      <w:bookmarkEnd w:id="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66"/>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公司是否需要遵守特殊行业的披露要求：否</w:t>
      </w:r>
    </w:p>
    <w:p>
      <w:pPr>
        <w:spacing w:line="240" w:lineRule="auto" w:before="5"/>
        <w:rPr>
          <w:rFonts w:ascii="宋体" w:hAnsi="宋体" w:cs="宋体" w:eastAsia="宋体" w:hint="default"/>
          <w:sz w:val="10"/>
          <w:szCs w:val="10"/>
        </w:rPr>
      </w:pPr>
    </w:p>
    <w:p>
      <w:pPr>
        <w:pStyle w:val="BodyText"/>
        <w:spacing w:line="240" w:lineRule="auto"/>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7" w:right="136"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8" w:right="137"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1" w:right="138"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军工行业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205,679,977.79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116,399,243.27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52.76%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-9.03%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煤矿安全行业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174,749,010.96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65,395,563.55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59.39%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65,727,040.22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37,202,739.55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-55.21%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0.54%</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军工产品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205,679,977.79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116,399,243.27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52.76%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-9.03%</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煤矿顶板安全 监测系统及相 关仪器仪表等 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174,749,010.96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65,395,563.55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59.39%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-2.46%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3"/>
              <w:jc w:val="left"/>
              <w:rPr>
                <w:rFonts w:ascii="宋体" w:hAnsi="宋体" w:cs="宋体" w:eastAsia="宋体" w:hint="default"/>
                <w:sz w:val="18"/>
                <w:szCs w:val="18"/>
              </w:rPr>
            </w:pPr>
            <w:r>
              <w:rPr>
                <w:rFonts w:ascii="宋体" w:hAnsi="宋体" w:cs="宋体" w:eastAsia="宋体" w:hint="default"/>
                <w:sz w:val="18"/>
                <w:szCs w:val="18"/>
              </w:rPr>
              <w:t>轨道交通信息 化产品及服务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65,727,040.22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37,202,739.55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-55.21%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0.54%</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山东省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35,456,718.98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18,008,174.33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-43.01%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-4.62%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山西省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70,475,999.45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27,757,296.56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58.35%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陕西省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22,288,016.85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11,541,352.35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2"/>
                <w:sz w:val="18"/>
              </w:rPr>
              <w:t>118.64%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-20.62%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安徽省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19,896,767.00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7,774,141.99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297.68%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-16.50%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江苏省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112,473,160.76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58,590,910.29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109.77%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-9.94%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吉林省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74,104,370.82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46,708,962.66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15.73%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38,927,447.02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19,233,790.22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-37.57%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1.55%</w:t>
            </w:r>
          </w:p>
        </w:tc>
      </w:tr>
    </w:tbl>
    <w:p>
      <w:pPr>
        <w:spacing w:line="240" w:lineRule="auto" w:before="5"/>
        <w:rPr>
          <w:rFonts w:ascii="宋体" w:hAnsi="宋体" w:cs="宋体" w:eastAsia="宋体" w:hint="default"/>
          <w:sz w:val="5"/>
          <w:szCs w:val="5"/>
        </w:rPr>
      </w:pPr>
    </w:p>
    <w:p>
      <w:pPr>
        <w:spacing w:line="386" w:lineRule="auto" w:before="34"/>
        <w:ind w:left="112" w:right="1130" w:firstLine="420"/>
        <w:jc w:val="left"/>
        <w:rPr>
          <w:rFonts w:ascii="宋体" w:hAnsi="宋体" w:cs="宋体" w:eastAsia="宋体" w:hint="default"/>
          <w:sz w:val="21"/>
          <w:szCs w:val="21"/>
        </w:rPr>
      </w:pPr>
      <w:r>
        <w:rPr>
          <w:rFonts w:ascii="宋体" w:hAnsi="宋体" w:cs="宋体" w:eastAsia="宋体" w:hint="default"/>
          <w:sz w:val="21"/>
          <w:szCs w:val="21"/>
        </w:rPr>
        <w:t>公司主营业务数据统计口径在报告期发生调整的情况下，公司最近</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年按报告期末口径调整后的主营</w:t>
      </w:r>
      <w:r>
        <w:rPr>
          <w:rFonts w:ascii="宋体" w:hAnsi="宋体" w:cs="宋体" w:eastAsia="宋体" w:hint="default"/>
          <w:w w:val="99"/>
          <w:sz w:val="21"/>
          <w:szCs w:val="21"/>
        </w:rPr>
        <w:t> </w:t>
      </w:r>
      <w:r>
        <w:rPr>
          <w:rFonts w:ascii="宋体" w:hAnsi="宋体" w:cs="宋体" w:eastAsia="宋体" w:hint="default"/>
          <w:sz w:val="21"/>
          <w:szCs w:val="21"/>
        </w:rPr>
        <w:t>业务数据：□ 适用 √</w:t>
      </w:r>
      <w:r>
        <w:rPr>
          <w:rFonts w:ascii="宋体" w:hAnsi="宋体" w:cs="宋体" w:eastAsia="宋体" w:hint="default"/>
          <w:spacing w:val="-7"/>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1"/>
          <w:szCs w:val="21"/>
        </w:rPr>
      </w:pPr>
    </w:p>
    <w:p>
      <w:pPr>
        <w:spacing w:before="0"/>
        <w:ind w:left="112" w:right="987" w:firstLine="0"/>
        <w:jc w:val="left"/>
        <w:rPr>
          <w:rFonts w:ascii="宋体" w:hAnsi="宋体" w:cs="宋体" w:eastAsia="宋体" w:hint="default"/>
          <w:sz w:val="21"/>
          <w:szCs w:val="21"/>
        </w:rPr>
      </w:pPr>
      <w:bookmarkStart w:name="（3）公司实物销售收入是否大于劳务收入 " w:id="26"/>
      <w:bookmarkEnd w:id="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2"/>
              <w:jc w:val="right"/>
              <w:rPr>
                <w:rFonts w:ascii="宋体" w:hAnsi="宋体" w:cs="宋体" w:eastAsia="宋体" w:hint="default"/>
                <w:sz w:val="18"/>
                <w:szCs w:val="18"/>
              </w:rPr>
            </w:pPr>
            <w:r>
              <w:rPr>
                <w:rFonts w:ascii="宋体" w:hAnsi="宋体" w:cs="宋体" w:eastAsia="宋体" w:hint="default"/>
                <w:sz w:val="18"/>
                <w:szCs w:val="18"/>
              </w:rPr>
              <w:t>煤矿安全行业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95" w:right="0"/>
              <w:jc w:val="left"/>
              <w:rPr>
                <w:rFonts w:ascii="Times New Roman" w:hAnsi="Times New Roman" w:cs="Times New Roman" w:eastAsia="Times New Roman" w:hint="default"/>
                <w:sz w:val="18"/>
                <w:szCs w:val="18"/>
              </w:rPr>
            </w:pPr>
            <w:r>
              <w:rPr>
                <w:rFonts w:ascii="Times New Roman"/>
                <w:sz w:val="18"/>
              </w:rPr>
              <w:t>745,654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895" w:right="0"/>
              <w:jc w:val="left"/>
              <w:rPr>
                <w:rFonts w:ascii="Times New Roman" w:hAnsi="Times New Roman" w:cs="Times New Roman" w:eastAsia="Times New Roman" w:hint="default"/>
                <w:sz w:val="18"/>
                <w:szCs w:val="18"/>
              </w:rPr>
            </w:pPr>
            <w:r>
              <w:rPr>
                <w:rFonts w:ascii="Times New Roman"/>
                <w:sz w:val="18"/>
              </w:rPr>
              <w:t>563,101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925" w:right="0"/>
              <w:jc w:val="left"/>
              <w:rPr>
                <w:rFonts w:ascii="Times New Roman" w:hAnsi="Times New Roman" w:cs="Times New Roman" w:eastAsia="Times New Roman" w:hint="default"/>
                <w:sz w:val="18"/>
                <w:szCs w:val="18"/>
              </w:rPr>
            </w:pPr>
            <w:r>
              <w:rPr>
                <w:rFonts w:ascii="Times New Roman"/>
                <w:sz w:val="18"/>
              </w:rPr>
              <w:t>32.42%</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746,548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563,558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32.47%</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9,467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8,573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10.43%</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信息通信行业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-62.03%</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6,135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-61.82%</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21.60%</w:t>
            </w:r>
          </w:p>
        </w:tc>
      </w:tr>
    </w:tbl>
    <w:p>
      <w:pPr>
        <w:spacing w:line="240" w:lineRule="auto" w:before="5"/>
        <w:rPr>
          <w:rFonts w:ascii="宋体" w:hAnsi="宋体" w:cs="宋体" w:eastAsia="宋体" w:hint="default"/>
          <w:b/>
          <w:bCs/>
          <w:sz w:val="5"/>
          <w:szCs w:val="5"/>
        </w:rPr>
      </w:pPr>
    </w:p>
    <w:p>
      <w:pPr>
        <w:spacing w:line="386" w:lineRule="auto" w:before="34"/>
        <w:ind w:left="112" w:right="1148" w:firstLine="420"/>
        <w:jc w:val="both"/>
        <w:rPr>
          <w:rFonts w:ascii="宋体" w:hAnsi="宋体" w:cs="宋体" w:eastAsia="宋体" w:hint="default"/>
          <w:sz w:val="21"/>
          <w:szCs w:val="21"/>
        </w:rPr>
      </w:pPr>
      <w:r>
        <w:rPr>
          <w:rFonts w:ascii="宋体" w:hAnsi="宋体" w:cs="宋体" w:eastAsia="宋体" w:hint="default"/>
          <w:sz w:val="21"/>
          <w:szCs w:val="21"/>
        </w:rPr>
        <w:t>相关数据同比发生变动</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以上的原因说明：煤矿安全行业实现营业收入</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17,474.90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万元；同比增长</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48.91%</w:t>
      </w:r>
      <w:r>
        <w:rPr>
          <w:rFonts w:ascii="宋体" w:hAnsi="宋体" w:cs="宋体" w:eastAsia="宋体" w:hint="default"/>
          <w:sz w:val="21"/>
          <w:szCs w:val="21"/>
        </w:rPr>
        <w:t>；生产量和销售量实现同比增长，主要原因得益于行业复苏。信息通信行业实现营业收入</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6572.70</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万元；同比减少</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54.78%</w:t>
      </w:r>
      <w:r>
        <w:rPr>
          <w:rFonts w:ascii="宋体" w:hAnsi="宋体" w:cs="宋体" w:eastAsia="宋体" w:hint="default"/>
          <w:sz w:val="21"/>
          <w:szCs w:val="21"/>
        </w:rPr>
        <w:t>；生产量和销售量实现同比减少。</w:t>
      </w:r>
    </w:p>
    <w:p>
      <w:pPr>
        <w:spacing w:line="403" w:lineRule="auto" w:before="74"/>
        <w:ind w:left="112" w:right="1025"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：全资子公司师凯科技系军工企业，长期承担武器装备科研任务，拥有《武器装备科研生产许可</w:t>
      </w:r>
      <w:r>
        <w:rPr>
          <w:rFonts w:ascii="宋体" w:hAnsi="宋体" w:cs="宋体" w:eastAsia="宋体" w:hint="default"/>
          <w:w w:val="99"/>
          <w:sz w:val="21"/>
          <w:szCs w:val="21"/>
        </w:rPr>
        <w:t> </w:t>
      </w:r>
      <w:r>
        <w:rPr>
          <w:rFonts w:ascii="宋体" w:hAnsi="宋体" w:cs="宋体" w:eastAsia="宋体" w:hint="default"/>
          <w:spacing w:val="-13"/>
          <w:w w:val="99"/>
          <w:sz w:val="21"/>
          <w:szCs w:val="21"/>
        </w:rPr>
        <w:t>证》、《装备承制单位注册证书》、《二级保密资格单位证书》、《武器装备质量体系认证证书》等军工企业相</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spacing w:val="-3"/>
          <w:sz w:val="21"/>
          <w:szCs w:val="21"/>
        </w:rPr>
        <w:t>关资质证书。根据国家国防科技工业局等相关规定，以下相关信息豁免披露或采取脱密处理方式进行披露：</w:t>
      </w:r>
      <w:r>
        <w:rPr>
          <w:rFonts w:ascii="宋体" w:hAnsi="宋体" w:cs="宋体" w:eastAsia="宋体" w:hint="default"/>
          <w:w w:val="99"/>
          <w:sz w:val="21"/>
          <w:szCs w:val="21"/>
        </w:rPr>
        <w:t> </w:t>
      </w:r>
      <w:r>
        <w:rPr>
          <w:rFonts w:ascii="宋体" w:hAnsi="宋体" w:cs="宋体" w:eastAsia="宋体" w:hint="default"/>
          <w:sz w:val="21"/>
          <w:szCs w:val="21"/>
        </w:rPr>
        <w:t>申请豁免披露下列内容：军品生产技术、武器研制所处阶段；产能、产量、销量、单价及期初、期末库存</w:t>
      </w:r>
      <w:r>
        <w:rPr>
          <w:rFonts w:ascii="宋体" w:hAnsi="宋体" w:cs="宋体" w:eastAsia="宋体" w:hint="default"/>
          <w:w w:val="99"/>
          <w:sz w:val="21"/>
          <w:szCs w:val="21"/>
        </w:rPr>
        <w:t> </w:t>
      </w:r>
      <w:r>
        <w:rPr>
          <w:rFonts w:ascii="宋体" w:hAnsi="宋体" w:cs="宋体" w:eastAsia="宋体" w:hint="default"/>
          <w:sz w:val="21"/>
          <w:szCs w:val="21"/>
        </w:rPr>
        <w:t>数量；国家涉密政策文件。采用代称、打包或者汇总等方式，脱密处理后对外披露：军品名称、型号（含</w:t>
      </w:r>
      <w:r>
        <w:rPr>
          <w:rFonts w:ascii="宋体" w:hAnsi="宋体" w:cs="宋体" w:eastAsia="宋体" w:hint="default"/>
          <w:w w:val="99"/>
          <w:sz w:val="21"/>
          <w:szCs w:val="21"/>
        </w:rPr>
        <w:t> </w:t>
      </w:r>
      <w:r>
        <w:rPr>
          <w:rFonts w:ascii="宋体" w:hAnsi="宋体" w:cs="宋体" w:eastAsia="宋体" w:hint="default"/>
          <w:spacing w:val="-3"/>
          <w:w w:val="99"/>
          <w:sz w:val="21"/>
          <w:szCs w:val="21"/>
        </w:rPr>
        <w:t>在产品、半成品、产成品及原材料）；涉及军品的研制、销售合同；涉军客户名称。</w:t>
      </w:r>
      <w:r>
        <w:rPr>
          <w:rFonts w:ascii="宋体" w:hAnsi="宋体" w:cs="宋体" w:eastAsia="宋体" w:hint="default"/>
          <w:spacing w:val="-3"/>
          <w:sz w:val="21"/>
          <w:szCs w:val="21"/>
        </w:rPr>
      </w:r>
    </w:p>
    <w:p>
      <w:pPr>
        <w:spacing w:line="240" w:lineRule="auto" w:before="12"/>
        <w:rPr>
          <w:rFonts w:ascii="宋体" w:hAnsi="宋体" w:cs="宋体" w:eastAsia="宋体" w:hint="default"/>
          <w:sz w:val="20"/>
          <w:szCs w:val="20"/>
        </w:rPr>
      </w:pPr>
    </w:p>
    <w:p>
      <w:pPr>
        <w:spacing w:before="0"/>
        <w:ind w:left="112" w:right="987" w:firstLine="0"/>
        <w:jc w:val="left"/>
        <w:rPr>
          <w:rFonts w:ascii="宋体" w:hAnsi="宋体" w:cs="宋体" w:eastAsia="宋体" w:hint="default"/>
          <w:sz w:val="21"/>
          <w:szCs w:val="21"/>
        </w:rPr>
      </w:pPr>
      <w:bookmarkStart w:name="（4）公司已签订的重大销售合同截至本报告期的履行情况" w:id="27"/>
      <w:bookmarkEnd w:id="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54"/>
        <w:ind w:left="112" w:right="987" w:firstLine="0"/>
        <w:jc w:val="left"/>
        <w:rPr>
          <w:rFonts w:ascii="宋体" w:hAnsi="宋体" w:cs="宋体" w:eastAsia="宋体" w:hint="default"/>
          <w:sz w:val="21"/>
          <w:szCs w:val="21"/>
        </w:rPr>
      </w:pPr>
      <w:bookmarkStart w:name="（5）营业成本构成"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before="0"/>
        <w:ind w:left="0" w:right="113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3"/>
              <w:jc w:val="center"/>
              <w:rPr>
                <w:rFonts w:ascii="宋体" w:hAnsi="宋体" w:cs="宋体" w:eastAsia="宋体" w:hint="default"/>
                <w:sz w:val="18"/>
                <w:szCs w:val="18"/>
              </w:rPr>
            </w:pPr>
            <w:r>
              <w:rPr>
                <w:rFonts w:ascii="宋体" w:hAnsi="宋体" w:cs="宋体" w:eastAsia="宋体" w:hint="default"/>
                <w:sz w:val="18"/>
                <w:szCs w:val="18"/>
              </w:rPr>
              <w:t>煤矿安全行业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42,171,990.33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23,052,934.23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11.51%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82.94%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3"/>
              <w:jc w:val="center"/>
              <w:rPr>
                <w:rFonts w:ascii="宋体" w:hAnsi="宋体" w:cs="宋体" w:eastAsia="宋体" w:hint="default"/>
                <w:sz w:val="18"/>
                <w:szCs w:val="18"/>
              </w:rPr>
            </w:pPr>
            <w:r>
              <w:rPr>
                <w:rFonts w:ascii="宋体" w:hAnsi="宋体" w:cs="宋体" w:eastAsia="宋体" w:hint="default"/>
                <w:sz w:val="18"/>
                <w:szCs w:val="18"/>
              </w:rPr>
              <w:t>煤矿安全行业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16,990,727.98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11,881,627.96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43.00%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3"/>
              <w:jc w:val="center"/>
              <w:rPr>
                <w:rFonts w:ascii="宋体" w:hAnsi="宋体" w:cs="宋体" w:eastAsia="宋体" w:hint="default"/>
                <w:sz w:val="18"/>
                <w:szCs w:val="18"/>
              </w:rPr>
            </w:pPr>
            <w:r>
              <w:rPr>
                <w:rFonts w:ascii="宋体" w:hAnsi="宋体" w:cs="宋体" w:eastAsia="宋体" w:hint="default"/>
                <w:sz w:val="18"/>
                <w:szCs w:val="18"/>
              </w:rPr>
              <w:t>煤矿安全行业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6,232,845.24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6,094,524.50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3"/>
              <w:jc w:val="center"/>
              <w:rPr>
                <w:rFonts w:ascii="宋体" w:hAnsi="宋体" w:cs="宋体" w:eastAsia="宋体" w:hint="default"/>
                <w:sz w:val="18"/>
                <w:szCs w:val="18"/>
              </w:rPr>
            </w:pPr>
            <w:r>
              <w:rPr>
                <w:rFonts w:ascii="宋体" w:hAnsi="宋体" w:cs="宋体" w:eastAsia="宋体" w:hint="default"/>
                <w:sz w:val="18"/>
                <w:szCs w:val="18"/>
              </w:rPr>
              <w:t>信息通信行业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35,348,897.29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80,947,475.07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-56.33%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3"/>
              <w:jc w:val="center"/>
              <w:rPr>
                <w:rFonts w:ascii="宋体" w:hAnsi="宋体" w:cs="宋体" w:eastAsia="宋体" w:hint="default"/>
                <w:sz w:val="18"/>
                <w:szCs w:val="18"/>
              </w:rPr>
            </w:pPr>
            <w:r>
              <w:rPr>
                <w:rFonts w:ascii="宋体" w:hAnsi="宋体" w:cs="宋体" w:eastAsia="宋体" w:hint="default"/>
                <w:sz w:val="18"/>
                <w:szCs w:val="18"/>
              </w:rPr>
              <w:t>信息通信行业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558,511.28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595,817.79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-6.26%</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3"/>
              <w:jc w:val="center"/>
              <w:rPr>
                <w:rFonts w:ascii="宋体" w:hAnsi="宋体" w:cs="宋体" w:eastAsia="宋体" w:hint="default"/>
                <w:sz w:val="18"/>
                <w:szCs w:val="18"/>
              </w:rPr>
            </w:pPr>
            <w:r>
              <w:rPr>
                <w:rFonts w:ascii="宋体" w:hAnsi="宋体" w:cs="宋体" w:eastAsia="宋体" w:hint="default"/>
                <w:sz w:val="18"/>
                <w:szCs w:val="18"/>
              </w:rPr>
              <w:t>信息通信行业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1,295,330.98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1,518,145.93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-14.68%</w:t>
            </w:r>
          </w:p>
        </w:tc>
      </w:tr>
    </w:tbl>
    <w:p>
      <w:pPr>
        <w:spacing w:line="240" w:lineRule="auto" w:before="4"/>
        <w:rPr>
          <w:rFonts w:ascii="宋体" w:hAnsi="宋体" w:cs="宋体" w:eastAsia="宋体" w:hint="default"/>
          <w:sz w:val="5"/>
          <w:szCs w:val="5"/>
        </w:rPr>
      </w:pPr>
    </w:p>
    <w:p>
      <w:pPr>
        <w:spacing w:line="408" w:lineRule="auto" w:before="34"/>
        <w:ind w:left="112" w:right="1028" w:firstLine="420"/>
        <w:jc w:val="both"/>
        <w:rPr>
          <w:rFonts w:ascii="宋体" w:hAnsi="宋体" w:cs="宋体" w:eastAsia="宋体" w:hint="default"/>
          <w:sz w:val="21"/>
          <w:szCs w:val="21"/>
        </w:rPr>
      </w:pPr>
      <w:r>
        <w:rPr>
          <w:rFonts w:ascii="宋体" w:hAnsi="宋体" w:cs="宋体" w:eastAsia="宋体" w:hint="default"/>
          <w:sz w:val="21"/>
          <w:szCs w:val="21"/>
        </w:rPr>
        <w:t>说明：全资子公司师凯科技系军工企业，长期承担武器装备科研任务，拥有《武器装备科研生产许可</w:t>
      </w:r>
      <w:r>
        <w:rPr>
          <w:rFonts w:ascii="宋体" w:hAnsi="宋体" w:cs="宋体" w:eastAsia="宋体" w:hint="default"/>
          <w:w w:val="99"/>
          <w:sz w:val="21"/>
          <w:szCs w:val="21"/>
        </w:rPr>
        <w:t> </w:t>
      </w:r>
      <w:r>
        <w:rPr>
          <w:rFonts w:ascii="宋体" w:hAnsi="宋体" w:cs="宋体" w:eastAsia="宋体" w:hint="default"/>
          <w:spacing w:val="-13"/>
          <w:w w:val="99"/>
          <w:sz w:val="21"/>
          <w:szCs w:val="21"/>
        </w:rPr>
        <w:t>证》、《装备承制单位注册证书》、《二级保密资格单位证书》、《武器装备质量体系认证证书》等军工企业相</w:t>
      </w:r>
      <w:r>
        <w:rPr>
          <w:rFonts w:ascii="宋体" w:hAnsi="宋体" w:cs="宋体" w:eastAsia="宋体" w:hint="default"/>
          <w:spacing w:val="-98"/>
          <w:w w:val="99"/>
          <w:sz w:val="21"/>
          <w:szCs w:val="21"/>
        </w:rPr>
        <w:t> </w:t>
      </w:r>
      <w:r>
        <w:rPr>
          <w:rFonts w:ascii="宋体" w:hAnsi="宋体" w:cs="宋体" w:eastAsia="宋体" w:hint="default"/>
          <w:spacing w:val="-98"/>
          <w:w w:val="99"/>
          <w:sz w:val="21"/>
          <w:szCs w:val="21"/>
        </w:rPr>
      </w:r>
      <w:r>
        <w:rPr>
          <w:rFonts w:ascii="宋体" w:hAnsi="宋体" w:cs="宋体" w:eastAsia="宋体" w:hint="default"/>
          <w:spacing w:val="-3"/>
          <w:sz w:val="21"/>
          <w:szCs w:val="21"/>
        </w:rPr>
        <w:t>关资质证书。根据国家国防科技工业局等相关规定，以下相关信息豁免披露或采取脱密处理方式进行披露：</w:t>
      </w:r>
    </w:p>
    <w:p>
      <w:pPr>
        <w:spacing w:after="0" w:line="408" w:lineRule="auto"/>
        <w:jc w:val="both"/>
        <w:rPr>
          <w:rFonts w:ascii="宋体" w:hAnsi="宋体" w:cs="宋体" w:eastAsia="宋体" w:hint="default"/>
          <w:sz w:val="21"/>
          <w:szCs w:val="21"/>
        </w:rPr>
        <w:sectPr>
          <w:footerReference w:type="default" r:id="rId17"/>
          <w:pgSz w:w="11910" w:h="16840"/>
          <w:pgMar w:footer="1028" w:header="907" w:top="1100" w:bottom="1220" w:left="1020" w:right="0"/>
          <w:pgNumType w:start="20"/>
        </w:sectPr>
      </w:pPr>
    </w:p>
    <w:p>
      <w:pPr>
        <w:spacing w:line="240" w:lineRule="auto" w:before="9"/>
        <w:rPr>
          <w:rFonts w:ascii="宋体" w:hAnsi="宋体" w:cs="宋体" w:eastAsia="宋体" w:hint="default"/>
          <w:sz w:val="27"/>
          <w:szCs w:val="27"/>
        </w:rPr>
      </w:pPr>
    </w:p>
    <w:p>
      <w:pPr>
        <w:spacing w:line="408" w:lineRule="auto" w:before="34"/>
        <w:ind w:left="112" w:right="1132" w:firstLine="0"/>
        <w:jc w:val="both"/>
        <w:rPr>
          <w:rFonts w:ascii="宋体" w:hAnsi="宋体" w:cs="宋体" w:eastAsia="宋体" w:hint="default"/>
          <w:sz w:val="21"/>
          <w:szCs w:val="21"/>
        </w:rPr>
      </w:pPr>
      <w:r>
        <w:rPr>
          <w:rFonts w:ascii="宋体" w:hAnsi="宋体" w:cs="宋体" w:eastAsia="宋体" w:hint="default"/>
          <w:w w:val="95"/>
          <w:sz w:val="21"/>
          <w:szCs w:val="21"/>
        </w:rPr>
        <w:t>申请豁免披露下列内容：军品生产技术、武器研制所处阶段；产能、产量、销量、单价及期初、期末库存</w:t>
      </w:r>
      <w:r>
        <w:rPr>
          <w:rFonts w:ascii="宋体" w:hAnsi="宋体" w:cs="宋体" w:eastAsia="宋体" w:hint="default"/>
          <w:spacing w:val="36"/>
          <w:w w:val="95"/>
          <w:sz w:val="21"/>
          <w:szCs w:val="21"/>
        </w:rPr>
        <w:t> </w:t>
      </w:r>
      <w:r>
        <w:rPr>
          <w:rFonts w:ascii="宋体" w:hAnsi="宋体" w:cs="宋体" w:eastAsia="宋体" w:hint="default"/>
          <w:spacing w:val="36"/>
          <w:w w:val="95"/>
          <w:sz w:val="21"/>
          <w:szCs w:val="21"/>
        </w:rPr>
      </w:r>
      <w:r>
        <w:rPr>
          <w:rFonts w:ascii="宋体" w:hAnsi="宋体" w:cs="宋体" w:eastAsia="宋体" w:hint="default"/>
          <w:w w:val="95"/>
          <w:sz w:val="21"/>
          <w:szCs w:val="21"/>
        </w:rPr>
        <w:t>数量；国家涉密政策文件。采用代称、打包或者汇总等方式，脱密处理后对外披露：军品名称、型号（含</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spacing w:val="-3"/>
          <w:w w:val="99"/>
          <w:sz w:val="21"/>
          <w:szCs w:val="21"/>
        </w:rPr>
        <w:t>在产品、半成品、产成品及原材料）；涉及军品的研制、销售合同；涉军客户名称。</w:t>
      </w:r>
      <w:r>
        <w:rPr>
          <w:rFonts w:ascii="宋体" w:hAnsi="宋体" w:cs="宋体" w:eastAsia="宋体" w:hint="default"/>
          <w:spacing w:val="-3"/>
          <w:sz w:val="21"/>
          <w:szCs w:val="21"/>
        </w:rPr>
      </w:r>
    </w:p>
    <w:p>
      <w:pPr>
        <w:spacing w:line="240" w:lineRule="auto" w:before="8"/>
        <w:rPr>
          <w:rFonts w:ascii="宋体" w:hAnsi="宋体" w:cs="宋体" w:eastAsia="宋体" w:hint="default"/>
          <w:sz w:val="20"/>
          <w:szCs w:val="20"/>
        </w:rPr>
      </w:pPr>
    </w:p>
    <w:p>
      <w:pPr>
        <w:spacing w:line="571" w:lineRule="auto" w:before="0"/>
        <w:ind w:left="532" w:right="987" w:hanging="420"/>
        <w:jc w:val="left"/>
        <w:rPr>
          <w:rFonts w:ascii="宋体" w:hAnsi="宋体" w:cs="宋体" w:eastAsia="宋体" w:hint="default"/>
          <w:sz w:val="21"/>
          <w:szCs w:val="21"/>
        </w:rPr>
      </w:pPr>
      <w:bookmarkStart w:name="（6）报告期内合并范围是否发生变动"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b/>
          <w:bCs/>
          <w:w w:val="99"/>
          <w:sz w:val="21"/>
          <w:szCs w:val="21"/>
        </w:rPr>
        <w:t> </w:t>
      </w:r>
      <w:r>
        <w:rPr>
          <w:rFonts w:ascii="宋体" w:hAnsi="宋体" w:cs="宋体" w:eastAsia="宋体" w:hint="default"/>
          <w:w w:val="95"/>
          <w:sz w:val="21"/>
          <w:szCs w:val="21"/>
        </w:rPr>
        <w:t>报告期内增加一个全资子公司：尤洛卡（广东）精准信息工程技术研究院有限公司。</w:t>
      </w:r>
      <w:r>
        <w:rPr>
          <w:rFonts w:ascii="宋体" w:hAnsi="宋体" w:cs="宋体" w:eastAsia="宋体" w:hint="default"/>
          <w:sz w:val="21"/>
          <w:szCs w:val="21"/>
        </w:rPr>
      </w:r>
    </w:p>
    <w:p>
      <w:pPr>
        <w:pStyle w:val="Heading4"/>
        <w:spacing w:line="240" w:lineRule="auto" w:before="126"/>
        <w:ind w:right="987"/>
        <w:jc w:val="left"/>
        <w:rPr>
          <w:b w:val="0"/>
          <w:bCs w:val="0"/>
        </w:rPr>
      </w:pPr>
      <w:bookmarkStart w:name="（7）公司报告期内业务、产品或服务发生重大变化或调整有关情况" w:id="30"/>
      <w:bookmarkEnd w:id="30"/>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571" w:lineRule="auto" w:before="154"/>
        <w:ind w:left="532" w:right="7275" w:hanging="420"/>
        <w:jc w:val="left"/>
        <w:rPr>
          <w:rFonts w:ascii="宋体" w:hAnsi="宋体" w:cs="宋体" w:eastAsia="宋体" w:hint="default"/>
          <w:sz w:val="21"/>
          <w:szCs w:val="21"/>
        </w:rPr>
      </w:pPr>
      <w:r>
        <w:rPr/>
        <w:pict>
          <v:shape style="position:absolute;margin-left:56.459999pt;margin-top:64.473679pt;width:479.15pt;height:76.4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226,318,005.94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50.73%</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bookmarkStart w:name="（8）主要销售客户和主要供应商情况"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b/>
          <w:bCs/>
          <w:w w:val="99"/>
          <w:sz w:val="21"/>
          <w:szCs w:val="21"/>
        </w:rPr>
        <w:t> </w:t>
      </w:r>
      <w:r>
        <w:rPr>
          <w:rFonts w:ascii="宋体" w:hAnsi="宋体" w:cs="宋体" w:eastAsia="宋体" w:hint="default"/>
          <w:sz w:val="21"/>
          <w:szCs w:val="21"/>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大客户资料</w:t>
      </w:r>
    </w:p>
    <w:p>
      <w:pPr>
        <w:spacing w:line="240" w:lineRule="auto" w:before="10"/>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110,048,715.52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24.67%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71,627,881.29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16.05%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23,060,344.90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10,793,103.45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10,787,960.78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226,318,005.94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50.73%</w:t>
            </w:r>
          </w:p>
        </w:tc>
      </w:tr>
    </w:tbl>
    <w:p>
      <w:pPr>
        <w:spacing w:line="240" w:lineRule="auto" w:before="4"/>
        <w:rPr>
          <w:rFonts w:ascii="宋体" w:hAnsi="宋体" w:cs="宋体" w:eastAsia="宋体" w:hint="default"/>
          <w:sz w:val="5"/>
          <w:szCs w:val="5"/>
        </w:rPr>
      </w:pPr>
    </w:p>
    <w:p>
      <w:pPr>
        <w:spacing w:line="441" w:lineRule="auto" w:before="34"/>
        <w:ind w:left="532" w:right="6248" w:firstLine="0"/>
        <w:jc w:val="left"/>
        <w:rPr>
          <w:rFonts w:ascii="宋体" w:hAnsi="宋体" w:cs="宋体" w:eastAsia="宋体" w:hint="default"/>
          <w:sz w:val="21"/>
          <w:szCs w:val="21"/>
        </w:rPr>
      </w:pPr>
      <w:r>
        <w:rPr>
          <w:rFonts w:ascii="宋体" w:hAnsi="宋体" w:cs="宋体" w:eastAsia="宋体" w:hint="default"/>
          <w:sz w:val="21"/>
          <w:szCs w:val="21"/>
        </w:rPr>
        <w:t>主要客户其他情况说明：□ 适用 √</w:t>
      </w:r>
      <w:r>
        <w:rPr>
          <w:rFonts w:ascii="宋体" w:hAnsi="宋体" w:cs="宋体" w:eastAsia="宋体" w:hint="default"/>
          <w:spacing w:val="-9"/>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公司主要供应商情况</w:t>
      </w: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18"/>
                <w:szCs w:val="18"/>
              </w:rPr>
            </w:pPr>
            <w:r>
              <w:rPr>
                <w:rFonts w:ascii="Times New Roman"/>
                <w:spacing w:val="-1"/>
                <w:sz w:val="18"/>
              </w:rPr>
              <w:t>69,511,975.00</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0"/>
              <w:jc w:val="right"/>
              <w:rPr>
                <w:rFonts w:ascii="Times New Roman" w:hAnsi="Times New Roman" w:cs="Times New Roman" w:eastAsia="Times New Roman" w:hint="default"/>
                <w:sz w:val="18"/>
                <w:szCs w:val="18"/>
              </w:rPr>
            </w:pPr>
            <w:r>
              <w:rPr>
                <w:rFonts w:ascii="Times New Roman"/>
                <w:spacing w:val="-1"/>
                <w:sz w:val="18"/>
              </w:rPr>
              <w:t>27.03%</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101" w:right="1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4"/>
          <w:szCs w:val="4"/>
        </w:rPr>
      </w:pPr>
    </w:p>
    <w:p>
      <w:pPr>
        <w:spacing w:before="34"/>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名供应商资料</w:t>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24,962,000.00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9.71%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13,504,900.00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5.25%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11,545,075.00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4.49%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4.08%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3.50%</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69,511,975.00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27.03%</w:t>
            </w:r>
          </w:p>
        </w:tc>
      </w:tr>
    </w:tbl>
    <w:p>
      <w:pPr>
        <w:spacing w:line="240" w:lineRule="auto" w:before="5"/>
        <w:rPr>
          <w:rFonts w:ascii="宋体" w:hAnsi="宋体" w:cs="宋体" w:eastAsia="宋体" w:hint="default"/>
          <w:sz w:val="5"/>
          <w:szCs w:val="5"/>
        </w:rPr>
      </w:pPr>
    </w:p>
    <w:p>
      <w:pPr>
        <w:spacing w:before="34"/>
        <w:ind w:left="532" w:right="987" w:firstLine="0"/>
        <w:jc w:val="left"/>
        <w:rPr>
          <w:rFonts w:ascii="宋体" w:hAnsi="宋体" w:cs="宋体" w:eastAsia="宋体" w:hint="default"/>
          <w:sz w:val="21"/>
          <w:szCs w:val="21"/>
        </w:rPr>
      </w:pPr>
      <w:r>
        <w:rPr>
          <w:rFonts w:ascii="宋体" w:hAnsi="宋体" w:cs="宋体" w:eastAsia="宋体" w:hint="default"/>
          <w:sz w:val="21"/>
          <w:szCs w:val="21"/>
        </w:rPr>
        <w:t>主要供应商其他情况说明：□ 适用 √</w:t>
      </w:r>
      <w:r>
        <w:rPr>
          <w:rFonts w:ascii="宋体" w:hAnsi="宋体" w:cs="宋体" w:eastAsia="宋体" w:hint="default"/>
          <w:spacing w:val="-10"/>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54"/>
        <w:ind w:left="112" w:right="987" w:firstLine="0"/>
        <w:jc w:val="left"/>
        <w:rPr>
          <w:rFonts w:ascii="宋体" w:hAnsi="宋体" w:cs="宋体" w:eastAsia="宋体" w:hint="default"/>
          <w:sz w:val="21"/>
          <w:szCs w:val="21"/>
        </w:rPr>
      </w:pPr>
      <w:bookmarkStart w:name="3、费用" w:id="32"/>
      <w:bookmarkEnd w:id="3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8" w:right="0"/>
              <w:jc w:val="left"/>
              <w:rPr>
                <w:rFonts w:ascii="Times New Roman" w:hAnsi="Times New Roman" w:cs="Times New Roman" w:eastAsia="Times New Roman" w:hint="default"/>
                <w:sz w:val="18"/>
                <w:szCs w:val="18"/>
              </w:rPr>
            </w:pPr>
            <w:r>
              <w:rPr>
                <w:rFonts w:ascii="Times New Roman"/>
                <w:sz w:val="18"/>
              </w:rPr>
              <w:t>43,722,342.35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8" w:right="0"/>
              <w:jc w:val="left"/>
              <w:rPr>
                <w:rFonts w:ascii="Times New Roman" w:hAnsi="Times New Roman" w:cs="Times New Roman" w:eastAsia="Times New Roman" w:hint="default"/>
                <w:sz w:val="18"/>
                <w:szCs w:val="18"/>
              </w:rPr>
            </w:pPr>
            <w:r>
              <w:rPr>
                <w:rFonts w:ascii="Times New Roman"/>
                <w:sz w:val="18"/>
              </w:rPr>
              <w:t>29,881,768.15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46.32%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84"/>
              <w:jc w:val="left"/>
              <w:rPr>
                <w:rFonts w:ascii="宋体" w:hAnsi="宋体" w:cs="宋体" w:eastAsia="宋体" w:hint="default"/>
                <w:sz w:val="18"/>
                <w:szCs w:val="18"/>
              </w:rPr>
            </w:pPr>
            <w:r>
              <w:rPr>
                <w:rFonts w:ascii="宋体" w:hAnsi="宋体" w:cs="宋体" w:eastAsia="宋体" w:hint="default"/>
                <w:sz w:val="18"/>
                <w:szCs w:val="18"/>
              </w:rPr>
              <w:t>主要原因本报告期公司业务量增 加，同时市场开拓费用所致</w:t>
            </w:r>
            <w:r>
              <w:rPr>
                <w:rFonts w:ascii="宋体" w:hAnsi="宋体" w:cs="宋体" w:eastAsia="宋体" w:hint="default"/>
                <w:spacing w:val="1"/>
                <w:sz w:val="18"/>
                <w:szCs w:val="18"/>
              </w:rPr>
              <w:t> </w:t>
            </w:r>
            <w:r>
              <w:rPr>
                <w:rFonts w:ascii="宋体" w:hAnsi="宋体" w:cs="宋体" w:eastAsia="宋体" w:hint="default"/>
                <w:sz w:val="18"/>
                <w:szCs w:val="18"/>
              </w:rPr>
              <w:t>。</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8" w:right="0"/>
              <w:jc w:val="left"/>
              <w:rPr>
                <w:rFonts w:ascii="Times New Roman" w:hAnsi="Times New Roman" w:cs="Times New Roman" w:eastAsia="Times New Roman" w:hint="default"/>
                <w:sz w:val="18"/>
                <w:szCs w:val="18"/>
              </w:rPr>
            </w:pPr>
            <w:r>
              <w:rPr>
                <w:rFonts w:ascii="Times New Roman"/>
                <w:sz w:val="18"/>
              </w:rPr>
              <w:t>57,829,736.41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8" w:right="0"/>
              <w:jc w:val="left"/>
              <w:rPr>
                <w:rFonts w:ascii="Times New Roman" w:hAnsi="Times New Roman" w:cs="Times New Roman" w:eastAsia="Times New Roman" w:hint="default"/>
                <w:sz w:val="18"/>
                <w:szCs w:val="18"/>
              </w:rPr>
            </w:pPr>
            <w:r>
              <w:rPr>
                <w:rFonts w:ascii="Times New Roman"/>
                <w:sz w:val="18"/>
              </w:rPr>
              <w:t>47,801,671.67</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
              <w:jc w:val="left"/>
              <w:rPr>
                <w:rFonts w:ascii="宋体" w:hAnsi="宋体" w:cs="宋体" w:eastAsia="宋体" w:hint="default"/>
                <w:sz w:val="18"/>
                <w:szCs w:val="18"/>
              </w:rPr>
            </w:pPr>
            <w:r>
              <w:rPr>
                <w:rFonts w:ascii="宋体" w:hAnsi="宋体" w:cs="宋体" w:eastAsia="宋体" w:hint="default"/>
                <w:sz w:val="18"/>
                <w:szCs w:val="18"/>
              </w:rPr>
              <w:t>主要原因本报告期由于前期实施股 </w:t>
            </w:r>
            <w:r>
              <w:rPr>
                <w:rFonts w:ascii="宋体" w:hAnsi="宋体" w:cs="宋体" w:eastAsia="宋体" w:hint="default"/>
                <w:spacing w:val="-6"/>
                <w:sz w:val="18"/>
                <w:szCs w:val="18"/>
              </w:rPr>
              <w:t>权激励计划，本期摊销的费用增加。</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-4,436,438.88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9" w:right="0"/>
              <w:jc w:val="left"/>
              <w:rPr>
                <w:rFonts w:ascii="Times New Roman" w:hAnsi="Times New Roman" w:cs="Times New Roman" w:eastAsia="Times New Roman" w:hint="default"/>
                <w:sz w:val="18"/>
                <w:szCs w:val="18"/>
              </w:rPr>
            </w:pPr>
            <w:r>
              <w:rPr>
                <w:rFonts w:ascii="Times New Roman"/>
                <w:sz w:val="18"/>
              </w:rPr>
              <w:t>-6,354,729.52</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4"/>
              <w:jc w:val="left"/>
              <w:rPr>
                <w:rFonts w:ascii="宋体" w:hAnsi="宋体" w:cs="宋体" w:eastAsia="宋体" w:hint="default"/>
                <w:sz w:val="18"/>
                <w:szCs w:val="18"/>
              </w:rPr>
            </w:pPr>
            <w:r>
              <w:rPr>
                <w:rFonts w:ascii="宋体" w:hAnsi="宋体" w:cs="宋体" w:eastAsia="宋体" w:hint="default"/>
                <w:sz w:val="18"/>
                <w:szCs w:val="18"/>
              </w:rPr>
              <w:t>主要原因本报告期货币资金减少， 同时定期存款减少。</w:t>
            </w: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8" w:right="0"/>
              <w:jc w:val="left"/>
              <w:rPr>
                <w:rFonts w:ascii="Times New Roman" w:hAnsi="Times New Roman" w:cs="Times New Roman" w:eastAsia="Times New Roman" w:hint="default"/>
                <w:sz w:val="18"/>
                <w:szCs w:val="18"/>
              </w:rPr>
            </w:pPr>
            <w:r>
              <w:rPr>
                <w:rFonts w:ascii="Times New Roman"/>
                <w:sz w:val="18"/>
              </w:rPr>
              <w:t>47,604,135.93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8" w:right="0"/>
              <w:jc w:val="left"/>
              <w:rPr>
                <w:rFonts w:ascii="Times New Roman" w:hAnsi="Times New Roman" w:cs="Times New Roman" w:eastAsia="Times New Roman" w:hint="default"/>
                <w:sz w:val="18"/>
                <w:szCs w:val="18"/>
              </w:rPr>
            </w:pPr>
            <w:r>
              <w:rPr>
                <w:rFonts w:ascii="Times New Roman"/>
                <w:sz w:val="18"/>
              </w:rPr>
              <w:t>30,146,220.83</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57.91%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4"/>
              <w:jc w:val="both"/>
              <w:rPr>
                <w:rFonts w:ascii="宋体" w:hAnsi="宋体" w:cs="宋体" w:eastAsia="宋体" w:hint="default"/>
                <w:sz w:val="18"/>
                <w:szCs w:val="18"/>
              </w:rPr>
            </w:pPr>
            <w:r>
              <w:rPr>
                <w:rFonts w:ascii="宋体" w:hAnsi="宋体" w:cs="宋体" w:eastAsia="宋体" w:hint="default"/>
                <w:sz w:val="18"/>
                <w:szCs w:val="18"/>
              </w:rPr>
              <w:t>主要原因本报告期公司新立项的研 发项目增加，相应的研发投入及研 发人员薪酬增加。</w:t>
            </w:r>
          </w:p>
        </w:tc>
      </w:tr>
    </w:tbl>
    <w:p>
      <w:pPr>
        <w:spacing w:line="240" w:lineRule="auto" w:before="3"/>
        <w:rPr>
          <w:rFonts w:ascii="宋体" w:hAnsi="宋体" w:cs="宋体" w:eastAsia="宋体" w:hint="default"/>
          <w:sz w:val="19"/>
          <w:szCs w:val="19"/>
        </w:rPr>
      </w:pPr>
    </w:p>
    <w:p>
      <w:pPr>
        <w:pStyle w:val="Heading4"/>
        <w:spacing w:line="240" w:lineRule="auto" w:before="34"/>
        <w:ind w:right="987"/>
        <w:jc w:val="left"/>
        <w:rPr>
          <w:b w:val="0"/>
          <w:bCs w:val="0"/>
        </w:rPr>
      </w:pPr>
      <w:bookmarkStart w:name="4、研发投入" w:id="33"/>
      <w:bookmarkEnd w:id="33"/>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30"/>
          <w:szCs w:val="30"/>
        </w:rPr>
      </w:pPr>
    </w:p>
    <w:p>
      <w:pPr>
        <w:spacing w:line="408" w:lineRule="auto" w:before="0"/>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公司一直重视新产品和新技术的开发投入，已经确立了对研究开发进行持续投入的机制，将新产品研</w:t>
      </w:r>
      <w:r>
        <w:rPr>
          <w:rFonts w:ascii="宋体" w:hAnsi="宋体" w:cs="宋体" w:eastAsia="宋体" w:hint="default"/>
          <w:w w:val="99"/>
          <w:sz w:val="21"/>
          <w:szCs w:val="21"/>
        </w:rPr>
        <w:t> </w:t>
      </w:r>
      <w:r>
        <w:rPr>
          <w:rFonts w:ascii="宋体" w:hAnsi="宋体" w:cs="宋体" w:eastAsia="宋体" w:hint="default"/>
          <w:sz w:val="21"/>
          <w:szCs w:val="21"/>
        </w:rPr>
        <w:t>发作为保持公司核心竞争力的重要保障，计划逐步加大投入力度，确保技术研发和产业化顺利进行。</w:t>
      </w:r>
    </w:p>
    <w:p>
      <w:pPr>
        <w:spacing w:before="84"/>
        <w:ind w:left="532" w:right="987" w:firstLine="0"/>
        <w:jc w:val="left"/>
        <w:rPr>
          <w:rFonts w:ascii="宋体" w:hAnsi="宋体" w:cs="宋体" w:eastAsia="宋体" w:hint="default"/>
          <w:sz w:val="21"/>
          <w:szCs w:val="21"/>
        </w:rPr>
      </w:pPr>
      <w:r>
        <w:rPr>
          <w:rFonts w:ascii="宋体" w:hAnsi="宋体" w:cs="宋体" w:eastAsia="宋体" w:hint="default"/>
          <w:sz w:val="21"/>
          <w:szCs w:val="21"/>
        </w:rPr>
        <w:t>报告期内，师凯科技在研项目</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项，其中已定型</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项，吉林省科学技术厅、吉林省工业和信息化厅、</w:t>
      </w:r>
    </w:p>
    <w:p>
      <w:pPr>
        <w:spacing w:line="386" w:lineRule="auto" w:before="177"/>
        <w:ind w:left="112" w:right="1027" w:firstLine="0"/>
        <w:jc w:val="left"/>
        <w:rPr>
          <w:rFonts w:ascii="宋体" w:hAnsi="宋体" w:cs="宋体" w:eastAsia="宋体" w:hint="default"/>
          <w:sz w:val="21"/>
          <w:szCs w:val="21"/>
        </w:rPr>
      </w:pPr>
      <w:r>
        <w:rPr>
          <w:rFonts w:ascii="宋体" w:hAnsi="宋体" w:cs="宋体" w:eastAsia="宋体" w:hint="default"/>
          <w:sz w:val="21"/>
          <w:szCs w:val="21"/>
        </w:rPr>
        <w:t>吉林省财政厅认定为吉林省科技小巨人；富华宇祺立项研发项目 </w:t>
      </w:r>
      <w:r>
        <w:rPr>
          <w:rFonts w:ascii="Times New Roman" w:hAnsi="Times New Roman" w:cs="Times New Roman" w:eastAsia="Times New Roman" w:hint="default"/>
          <w:sz w:val="21"/>
          <w:szCs w:val="21"/>
        </w:rPr>
        <w:t>14 </w:t>
      </w:r>
      <w:r>
        <w:rPr>
          <w:rFonts w:ascii="宋体" w:hAnsi="宋体" w:cs="宋体" w:eastAsia="宋体" w:hint="default"/>
          <w:sz w:val="21"/>
          <w:szCs w:val="21"/>
        </w:rPr>
        <w:t>项，累计投入研发费用 </w:t>
      </w:r>
      <w:r>
        <w:rPr>
          <w:rFonts w:ascii="Times New Roman" w:hAnsi="Times New Roman" w:cs="Times New Roman" w:eastAsia="Times New Roman" w:hint="default"/>
          <w:sz w:val="21"/>
          <w:szCs w:val="21"/>
        </w:rPr>
        <w:t>2317</w:t>
      </w:r>
      <w:r>
        <w:rPr>
          <w:rFonts w:ascii="Times New Roman" w:hAnsi="Times New Roman" w:cs="Times New Roman" w:eastAsia="Times New Roman" w:hint="default"/>
          <w:spacing w:val="27"/>
          <w:sz w:val="21"/>
          <w:szCs w:val="21"/>
        </w:rPr>
        <w:t> </w:t>
      </w:r>
      <w:r>
        <w:rPr>
          <w:rFonts w:ascii="宋体" w:hAnsi="宋体" w:cs="宋体" w:eastAsia="宋体" w:hint="default"/>
          <w:spacing w:val="-3"/>
          <w:sz w:val="21"/>
          <w:szCs w:val="21"/>
        </w:rPr>
        <w:t>万，同</w:t>
      </w:r>
      <w:r>
        <w:rPr>
          <w:rFonts w:ascii="宋体" w:hAnsi="宋体" w:cs="宋体" w:eastAsia="宋体" w:hint="default"/>
          <w:w w:val="99"/>
          <w:sz w:val="21"/>
          <w:szCs w:val="21"/>
        </w:rPr>
        <w:t> </w:t>
      </w:r>
      <w:r>
        <w:rPr>
          <w:rFonts w:ascii="宋体" w:hAnsi="宋体" w:cs="宋体" w:eastAsia="宋体" w:hint="default"/>
          <w:sz w:val="21"/>
          <w:szCs w:val="21"/>
        </w:rPr>
        <w:t>比增加</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42.76%</w:t>
      </w:r>
      <w:r>
        <w:rPr>
          <w:rFonts w:ascii="宋体" w:hAnsi="宋体" w:cs="宋体" w:eastAsia="宋体" w:hint="default"/>
          <w:sz w:val="21"/>
          <w:szCs w:val="21"/>
        </w:rPr>
        <w:t>，年度内共取得第三方区块链运营管理系统</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V1.0</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等</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项软件著作权，煤化工领域新增投</w:t>
      </w:r>
      <w:r>
        <w:rPr>
          <w:rFonts w:ascii="宋体" w:hAnsi="宋体" w:cs="宋体" w:eastAsia="宋体" w:hint="default"/>
          <w:w w:val="99"/>
          <w:sz w:val="21"/>
          <w:szCs w:val="21"/>
        </w:rPr>
        <w:t> </w:t>
      </w:r>
      <w:r>
        <w:rPr>
          <w:rFonts w:ascii="宋体" w:hAnsi="宋体" w:cs="宋体" w:eastAsia="宋体" w:hint="default"/>
          <w:sz w:val="21"/>
          <w:szCs w:val="21"/>
        </w:rPr>
        <w:t>入矿用综合调度系统、人员在线监测系统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个研发项目，轨道交通领域新增投入高铁三层交换接入设备、</w:t>
      </w:r>
      <w:r>
        <w:rPr>
          <w:rFonts w:ascii="宋体" w:hAnsi="宋体" w:cs="宋体" w:eastAsia="宋体" w:hint="default"/>
          <w:w w:val="99"/>
          <w:sz w:val="21"/>
          <w:szCs w:val="21"/>
        </w:rPr>
        <w:t> </w:t>
      </w:r>
      <w:r>
        <w:rPr>
          <w:rFonts w:ascii="宋体" w:hAnsi="宋体" w:cs="宋体" w:eastAsia="宋体" w:hint="default"/>
          <w:sz w:val="21"/>
          <w:szCs w:val="21"/>
        </w:rPr>
        <w:t>高铁专列单车服务器、</w:t>
      </w:r>
      <w:r>
        <w:rPr>
          <w:rFonts w:ascii="Times New Roman" w:hAnsi="Times New Roman" w:cs="Times New Roman" w:eastAsia="Times New Roman" w:hint="default"/>
          <w:sz w:val="21"/>
          <w:szCs w:val="21"/>
        </w:rPr>
        <w:t>160 </w:t>
      </w:r>
      <w:r>
        <w:rPr>
          <w:rFonts w:ascii="宋体" w:hAnsi="宋体" w:cs="宋体" w:eastAsia="宋体" w:hint="default"/>
          <w:sz w:val="21"/>
          <w:szCs w:val="21"/>
        </w:rPr>
        <w:t>时速列车交换机、屏显控制系统产品、地铁 </w:t>
      </w:r>
      <w:r>
        <w:rPr>
          <w:rFonts w:ascii="Times New Roman" w:hAnsi="Times New Roman" w:cs="Times New Roman" w:eastAsia="Times New Roman" w:hint="default"/>
          <w:sz w:val="21"/>
          <w:szCs w:val="21"/>
        </w:rPr>
        <w:t>SIP</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服务器、地铁列车专用网关、</w:t>
      </w:r>
      <w:r>
        <w:rPr>
          <w:rFonts w:ascii="宋体" w:hAnsi="宋体" w:cs="宋体" w:eastAsia="宋体" w:hint="default"/>
          <w:w w:val="99"/>
          <w:sz w:val="21"/>
          <w:szCs w:val="21"/>
        </w:rPr>
        <w:t> </w:t>
      </w:r>
      <w:r>
        <w:rPr>
          <w:rFonts w:ascii="宋体" w:hAnsi="宋体" w:cs="宋体" w:eastAsia="宋体" w:hint="default"/>
          <w:sz w:val="21"/>
          <w:szCs w:val="21"/>
        </w:rPr>
        <w:t>轨交乘务管理系统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个研发项目，交换机、显示屏等已取得小批量销售订单，军工领域新增投入自主可</w:t>
      </w:r>
      <w:r>
        <w:rPr>
          <w:rFonts w:ascii="宋体" w:hAnsi="宋体" w:cs="宋体" w:eastAsia="宋体" w:hint="default"/>
          <w:w w:val="99"/>
          <w:sz w:val="21"/>
          <w:szCs w:val="21"/>
        </w:rPr>
        <w:t> </w:t>
      </w:r>
      <w:r>
        <w:rPr>
          <w:rFonts w:ascii="宋体" w:hAnsi="宋体" w:cs="宋体" w:eastAsia="宋体" w:hint="default"/>
          <w:sz w:val="21"/>
          <w:szCs w:val="21"/>
        </w:rPr>
        <w:t>控交换机、</w:t>
      </w:r>
      <w:r>
        <w:rPr>
          <w:rFonts w:ascii="Times New Roman" w:hAnsi="Times New Roman" w:cs="Times New Roman" w:eastAsia="Times New Roman" w:hint="default"/>
          <w:sz w:val="21"/>
          <w:szCs w:val="21"/>
        </w:rPr>
        <w:t>9000 </w:t>
      </w:r>
      <w:r>
        <w:rPr>
          <w:rFonts w:ascii="宋体" w:hAnsi="宋体" w:cs="宋体" w:eastAsia="宋体" w:hint="default"/>
          <w:sz w:val="21"/>
          <w:szCs w:val="21"/>
        </w:rPr>
        <w:t>瓦氢能燃料电池、</w:t>
      </w:r>
      <w:r>
        <w:rPr>
          <w:rFonts w:ascii="Times New Roman" w:hAnsi="Times New Roman" w:cs="Times New Roman" w:eastAsia="Times New Roman" w:hint="default"/>
          <w:sz w:val="21"/>
          <w:szCs w:val="21"/>
        </w:rPr>
        <w:t>200 </w:t>
      </w:r>
      <w:r>
        <w:rPr>
          <w:rFonts w:ascii="宋体" w:hAnsi="宋体" w:cs="宋体" w:eastAsia="宋体" w:hint="default"/>
          <w:sz w:val="21"/>
          <w:szCs w:val="21"/>
        </w:rPr>
        <w:t>瓦便携式氢能燃料电池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个研发项目，大数据领域新增投入基于</w:t>
      </w:r>
      <w:r>
        <w:rPr>
          <w:rFonts w:ascii="宋体" w:hAnsi="宋体" w:cs="宋体" w:eastAsia="宋体" w:hint="default"/>
          <w:w w:val="99"/>
          <w:sz w:val="21"/>
          <w:szCs w:val="21"/>
        </w:rPr>
        <w:t> </w:t>
      </w:r>
      <w:r>
        <w:rPr>
          <w:rFonts w:ascii="宋体" w:hAnsi="宋体" w:cs="宋体" w:eastAsia="宋体" w:hint="default"/>
          <w:sz w:val="21"/>
          <w:szCs w:val="21"/>
        </w:rPr>
        <w:t>区块链技术的运维支付平台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个研发项目。</w:t>
      </w:r>
    </w:p>
    <w:p>
      <w:pPr>
        <w:spacing w:after="0" w:line="386" w:lineRule="auto"/>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before="34"/>
        <w:ind w:left="3043" w:right="987" w:firstLine="0"/>
        <w:jc w:val="left"/>
        <w:rPr>
          <w:rFonts w:ascii="宋体" w:hAnsi="宋体" w:cs="宋体" w:eastAsia="宋体" w:hint="default"/>
          <w:sz w:val="21"/>
          <w:szCs w:val="21"/>
        </w:rPr>
      </w:pPr>
      <w:r>
        <w:rPr>
          <w:rFonts w:ascii="宋体" w:hAnsi="宋体" w:cs="宋体" w:eastAsia="宋体" w:hint="default"/>
          <w:sz w:val="21"/>
          <w:szCs w:val="21"/>
        </w:rPr>
        <w:t>近三年公司研发投入金额及占营业收入的比例</w:t>
      </w:r>
    </w:p>
    <w:p>
      <w:pPr>
        <w:spacing w:line="240" w:lineRule="auto" w:before="0"/>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47,604,135.93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30,637,420.38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22,356,383.89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9.71%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pacing w:val="-6"/>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1,557,480.73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3,537,108.18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15.82%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18"/>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7.39%</w:t>
            </w:r>
          </w:p>
        </w:tc>
      </w:tr>
    </w:tbl>
    <w:p>
      <w:pPr>
        <w:spacing w:line="240" w:lineRule="auto" w:before="5"/>
        <w:rPr>
          <w:rFonts w:ascii="宋体" w:hAnsi="宋体" w:cs="宋体" w:eastAsia="宋体" w:hint="default"/>
          <w:sz w:val="5"/>
          <w:szCs w:val="5"/>
        </w:rPr>
      </w:pPr>
    </w:p>
    <w:p>
      <w:pPr>
        <w:spacing w:line="441" w:lineRule="auto" w:before="34"/>
        <w:ind w:left="532" w:right="2895" w:firstLine="0"/>
        <w:jc w:val="left"/>
        <w:rPr>
          <w:rFonts w:ascii="宋体" w:hAnsi="宋体" w:cs="宋体" w:eastAsia="宋体" w:hint="default"/>
          <w:sz w:val="21"/>
          <w:szCs w:val="21"/>
        </w:rPr>
      </w:pPr>
      <w:r>
        <w:rPr>
          <w:rFonts w:ascii="宋体" w:hAnsi="宋体" w:cs="宋体" w:eastAsia="宋体" w:hint="default"/>
          <w:sz w:val="21"/>
          <w:szCs w:val="21"/>
        </w:rPr>
        <w:t>研发投入总额占营业收入的比重较上年发生显著变化的原因：□ 适用 √</w:t>
      </w:r>
      <w:r>
        <w:rPr>
          <w:rFonts w:ascii="宋体" w:hAnsi="宋体" w:cs="宋体" w:eastAsia="宋体" w:hint="default"/>
          <w:spacing w:val="-16"/>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研发投入资本化率大幅变动的原因及其合理性说明：□ 适用 √</w:t>
      </w:r>
      <w:r>
        <w:rPr>
          <w:rFonts w:ascii="宋体" w:hAnsi="宋体" w:cs="宋体" w:eastAsia="宋体" w:hint="default"/>
          <w:spacing w:val="-16"/>
          <w:sz w:val="21"/>
          <w:szCs w:val="21"/>
        </w:rPr>
        <w:t> </w:t>
      </w:r>
      <w:r>
        <w:rPr>
          <w:rFonts w:ascii="宋体" w:hAnsi="宋体" w:cs="宋体" w:eastAsia="宋体" w:hint="default"/>
          <w:sz w:val="21"/>
          <w:szCs w:val="21"/>
        </w:rPr>
        <w:t>不适用</w:t>
      </w:r>
    </w:p>
    <w:p>
      <w:pPr>
        <w:spacing w:line="240" w:lineRule="auto" w:before="4"/>
        <w:rPr>
          <w:rFonts w:ascii="宋体" w:hAnsi="宋体" w:cs="宋体" w:eastAsia="宋体" w:hint="default"/>
          <w:sz w:val="18"/>
          <w:szCs w:val="18"/>
        </w:rPr>
      </w:pPr>
    </w:p>
    <w:p>
      <w:pPr>
        <w:spacing w:before="0"/>
        <w:ind w:left="112" w:right="987" w:firstLine="0"/>
        <w:jc w:val="left"/>
        <w:rPr>
          <w:rFonts w:ascii="宋体" w:hAnsi="宋体" w:cs="宋体" w:eastAsia="宋体" w:hint="default"/>
          <w:sz w:val="21"/>
          <w:szCs w:val="21"/>
        </w:rPr>
      </w:pPr>
      <w:bookmarkStart w:name="5、现金流" w:id="34"/>
      <w:bookmarkEnd w:id="3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431,296,698.29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390,168,463.76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10.54%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386,479,912.49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320,317,258.72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20.66%</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44,816,785.80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69,851,205.04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-35.84%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551,009,611.81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405,780,334.59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35.79%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677,805,672.63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494,820,300.80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36.98%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-126,796,060.82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-89,039,966.21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42.40%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62,537,459.01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-84.01%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75,637,851.90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87,728,451.50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-13.78%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-65,637,851.90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-25,190,992.49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160.56%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-147,617,126.92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-44,379,753.66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232.62%</w:t>
            </w:r>
          </w:p>
        </w:tc>
      </w:tr>
    </w:tbl>
    <w:p>
      <w:pPr>
        <w:spacing w:line="240" w:lineRule="auto" w:before="5"/>
        <w:rPr>
          <w:rFonts w:ascii="宋体" w:hAnsi="宋体" w:cs="宋体" w:eastAsia="宋体" w:hint="default"/>
          <w:sz w:val="5"/>
          <w:szCs w:val="5"/>
        </w:rPr>
      </w:pPr>
    </w:p>
    <w:p>
      <w:pPr>
        <w:spacing w:before="34"/>
        <w:ind w:left="532" w:right="987" w:firstLine="0"/>
        <w:jc w:val="left"/>
        <w:rPr>
          <w:rFonts w:ascii="宋体" w:hAnsi="宋体" w:cs="宋体" w:eastAsia="宋体" w:hint="default"/>
          <w:sz w:val="21"/>
          <w:szCs w:val="21"/>
        </w:rPr>
      </w:pPr>
      <w:r>
        <w:rPr>
          <w:rFonts w:ascii="宋体" w:hAnsi="宋体" w:cs="宋体" w:eastAsia="宋体" w:hint="default"/>
          <w:sz w:val="21"/>
          <w:szCs w:val="21"/>
        </w:rPr>
        <w:t>相关数据同比发生重大变动的主要影响因素说明：</w:t>
      </w:r>
    </w:p>
    <w:p>
      <w:pPr>
        <w:spacing w:line="240" w:lineRule="auto" w:before="12"/>
        <w:rPr>
          <w:rFonts w:ascii="宋体" w:hAnsi="宋体" w:cs="宋体" w:eastAsia="宋体" w:hint="default"/>
          <w:sz w:val="17"/>
          <w:szCs w:val="17"/>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）经营活动产生的现金流量净额</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年发生数为</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4,481.68</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万元，比上年同期下降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35.84</w:t>
      </w:r>
      <w:r>
        <w:rPr>
          <w:rFonts w:ascii="Times New Roman" w:hAnsi="Times New Roman" w:cs="Times New Roman" w:eastAsia="Times New Roman" w:hint="default"/>
          <w:spacing w:val="-7"/>
          <w:sz w:val="21"/>
          <w:szCs w:val="21"/>
        </w:rPr>
        <w:t> </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，主要</w:t>
      </w:r>
    </w:p>
    <w:p>
      <w:pPr>
        <w:spacing w:before="177"/>
        <w:ind w:left="112" w:right="987" w:firstLine="0"/>
        <w:jc w:val="left"/>
        <w:rPr>
          <w:rFonts w:ascii="宋体" w:hAnsi="宋体" w:cs="宋体" w:eastAsia="宋体" w:hint="default"/>
          <w:sz w:val="21"/>
          <w:szCs w:val="21"/>
        </w:rPr>
      </w:pPr>
      <w:r>
        <w:rPr>
          <w:rFonts w:ascii="宋体" w:hAnsi="宋体" w:cs="宋体" w:eastAsia="宋体" w:hint="default"/>
          <w:sz w:val="21"/>
          <w:szCs w:val="21"/>
        </w:rPr>
        <w:t>原因是本报告期支付给职工的现金增加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2028.45</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万元及支付各项税费增加</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4258.15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p>
      <w:pPr>
        <w:spacing w:line="240" w:lineRule="auto" w:before="6"/>
        <w:rPr>
          <w:rFonts w:ascii="宋体" w:hAnsi="宋体" w:cs="宋体" w:eastAsia="宋体" w:hint="default"/>
          <w:sz w:val="16"/>
          <w:szCs w:val="16"/>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）投资活动产生的现金流量净额</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年发生数为</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-12,679.61</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万元，比上年同期增加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42.40</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，主</w:t>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before="34"/>
        <w:ind w:left="112" w:right="987" w:firstLine="0"/>
        <w:jc w:val="left"/>
        <w:rPr>
          <w:rFonts w:ascii="宋体" w:hAnsi="宋体" w:cs="宋体" w:eastAsia="宋体" w:hint="default"/>
          <w:sz w:val="21"/>
          <w:szCs w:val="21"/>
        </w:rPr>
      </w:pPr>
      <w:r>
        <w:rPr>
          <w:rFonts w:ascii="宋体" w:hAnsi="宋体" w:cs="宋体" w:eastAsia="宋体" w:hint="default"/>
          <w:sz w:val="21"/>
          <w:szCs w:val="21"/>
        </w:rPr>
        <w:t>要原因是本报告期支付西安鲁信尤洛卡股权投资中心合伙企业（有限合伙）投资款</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2340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万元及山东奥扬</w:t>
      </w:r>
    </w:p>
    <w:p>
      <w:pPr>
        <w:spacing w:before="177"/>
        <w:ind w:left="112" w:right="987" w:firstLine="0"/>
        <w:jc w:val="left"/>
        <w:rPr>
          <w:rFonts w:ascii="宋体" w:hAnsi="宋体" w:cs="宋体" w:eastAsia="宋体" w:hint="default"/>
          <w:sz w:val="21"/>
          <w:szCs w:val="21"/>
        </w:rPr>
      </w:pPr>
      <w:r>
        <w:rPr>
          <w:rFonts w:ascii="宋体" w:hAnsi="宋体" w:cs="宋体" w:eastAsia="宋体" w:hint="default"/>
          <w:sz w:val="21"/>
          <w:szCs w:val="21"/>
        </w:rPr>
        <w:t>新能源科技股份有限公司投资款</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万元。</w:t>
      </w:r>
    </w:p>
    <w:p>
      <w:pPr>
        <w:spacing w:line="240" w:lineRule="auto" w:before="9"/>
        <w:rPr>
          <w:rFonts w:ascii="宋体" w:hAnsi="宋体" w:cs="宋体" w:eastAsia="宋体" w:hint="default"/>
          <w:sz w:val="16"/>
          <w:szCs w:val="16"/>
        </w:rPr>
      </w:pPr>
    </w:p>
    <w:p>
      <w:pPr>
        <w:spacing w:before="0"/>
        <w:ind w:left="0" w:right="1135" w:firstLine="0"/>
        <w:jc w:val="righ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）筹资活动产生的现金流量净额</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年发生数为</w:t>
      </w:r>
      <w:r>
        <w:rPr>
          <w:rFonts w:ascii="Times New Roman" w:hAnsi="Times New Roman" w:cs="Times New Roman" w:eastAsia="Times New Roman" w:hint="default"/>
          <w:sz w:val="21"/>
          <w:szCs w:val="21"/>
        </w:rPr>
        <w:t>-6,563.79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万元，比上年同期增加</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160.56</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，主要</w:t>
      </w:r>
    </w:p>
    <w:p>
      <w:pPr>
        <w:spacing w:line="420" w:lineRule="auto" w:before="177"/>
        <w:ind w:left="532" w:right="987" w:hanging="420"/>
        <w:jc w:val="left"/>
        <w:rPr>
          <w:rFonts w:ascii="宋体" w:hAnsi="宋体" w:cs="宋体" w:eastAsia="宋体" w:hint="default"/>
          <w:sz w:val="21"/>
          <w:szCs w:val="21"/>
        </w:rPr>
      </w:pPr>
      <w:r>
        <w:rPr>
          <w:rFonts w:ascii="宋体" w:hAnsi="宋体" w:cs="宋体" w:eastAsia="宋体" w:hint="default"/>
          <w:sz w:val="21"/>
          <w:szCs w:val="21"/>
        </w:rPr>
        <w:t>原因是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年实施股权激励计划吸收投资收到的现金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3578.64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万元，本报告未有筹资收到的现金。</w:t>
      </w:r>
      <w:r>
        <w:rPr>
          <w:rFonts w:ascii="宋体" w:hAnsi="宋体" w:cs="宋体" w:eastAsia="宋体" w:hint="default"/>
          <w:w w:val="99"/>
          <w:sz w:val="21"/>
          <w:szCs w:val="21"/>
        </w:rPr>
        <w:t> </w:t>
      </w:r>
      <w:r>
        <w:rPr>
          <w:rFonts w:ascii="宋体" w:hAnsi="宋体" w:cs="宋体" w:eastAsia="宋体" w:hint="default"/>
          <w:sz w:val="21"/>
          <w:szCs w:val="21"/>
        </w:rPr>
        <w:t>报告期内公司经营活动产生的现金净流量与本年度净利润存在重大差异的原因说明：□ 适用 √</w:t>
      </w:r>
      <w:r>
        <w:rPr>
          <w:rFonts w:ascii="宋体" w:hAnsi="宋体" w:cs="宋体" w:eastAsia="宋体" w:hint="default"/>
          <w:spacing w:val="-22"/>
          <w:sz w:val="21"/>
          <w:szCs w:val="21"/>
        </w:rPr>
        <w:t> </w:t>
      </w:r>
      <w:r>
        <w:rPr>
          <w:rFonts w:ascii="宋体" w:hAnsi="宋体" w:cs="宋体" w:eastAsia="宋体" w:hint="default"/>
          <w:sz w:val="21"/>
          <w:szCs w:val="21"/>
        </w:rPr>
        <w:t>不</w:t>
      </w:r>
    </w:p>
    <w:p>
      <w:pPr>
        <w:spacing w:before="35"/>
        <w:ind w:left="112" w:right="987" w:firstLine="0"/>
        <w:jc w:val="left"/>
        <w:rPr>
          <w:rFonts w:ascii="宋体" w:hAnsi="宋体" w:cs="宋体" w:eastAsia="宋体" w:hint="default"/>
          <w:sz w:val="21"/>
          <w:szCs w:val="21"/>
        </w:rPr>
      </w:pPr>
      <w:r>
        <w:rPr>
          <w:rFonts w:ascii="宋体" w:hAnsi="宋体" w:cs="宋体" w:eastAsia="宋体" w:hint="default"/>
          <w:sz w:val="21"/>
          <w:szCs w:val="21"/>
        </w:rPr>
        <w:t>适用</w:t>
      </w:r>
    </w:p>
    <w:p>
      <w:pPr>
        <w:spacing w:line="240" w:lineRule="auto" w:before="11"/>
        <w:rPr>
          <w:rFonts w:ascii="宋体" w:hAnsi="宋体" w:cs="宋体" w:eastAsia="宋体" w:hint="default"/>
          <w:sz w:val="29"/>
          <w:szCs w:val="29"/>
        </w:rPr>
      </w:pPr>
    </w:p>
    <w:p>
      <w:pPr>
        <w:spacing w:before="0"/>
        <w:ind w:left="112" w:right="987" w:firstLine="0"/>
        <w:jc w:val="left"/>
        <w:rPr>
          <w:rFonts w:ascii="宋体" w:hAnsi="宋体" w:cs="宋体" w:eastAsia="宋体" w:hint="default"/>
          <w:sz w:val="24"/>
          <w:szCs w:val="24"/>
        </w:rPr>
      </w:pPr>
      <w:bookmarkStart w:name="三、非主营业务情况 " w:id="35"/>
      <w:bookmarkEnd w:id="35"/>
      <w:r>
        <w:rPr/>
      </w:r>
      <w:r>
        <w:rPr>
          <w:rFonts w:ascii="宋体" w:hAnsi="宋体" w:cs="宋体" w:eastAsia="宋体" w:hint="default"/>
          <w:b/>
          <w:bCs/>
          <w:sz w:val="24"/>
          <w:szCs w:val="24"/>
        </w:rPr>
        <w:t>三、非主营业务情况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before="0"/>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23"/>
        <w:gridCol w:w="1916"/>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6,035,565.85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5.94%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50"/>
              <w:jc w:val="left"/>
              <w:rPr>
                <w:rFonts w:ascii="宋体" w:hAnsi="宋体" w:cs="宋体" w:eastAsia="宋体" w:hint="default"/>
                <w:sz w:val="18"/>
                <w:szCs w:val="18"/>
              </w:rPr>
            </w:pPr>
            <w:r>
              <w:rPr>
                <w:rFonts w:ascii="宋体" w:hAnsi="宋体" w:cs="宋体" w:eastAsia="宋体" w:hint="default"/>
                <w:sz w:val="18"/>
                <w:szCs w:val="18"/>
              </w:rPr>
              <w:t>购买理财产品形成的收 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26,747,240.69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26.34%</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3"/>
                <w:sz w:val="18"/>
                <w:szCs w:val="18"/>
              </w:rPr>
              <w:t>计提商誉减值、无形资产</w:t>
            </w:r>
            <w:r>
              <w:rPr>
                <w:rFonts w:ascii="宋体" w:hAnsi="宋体" w:cs="宋体" w:eastAsia="宋体" w:hint="default"/>
                <w:sz w:val="18"/>
                <w:szCs w:val="18"/>
              </w:rPr>
              <w:t> 减值及应收账款坏账准 备形成的损失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1,876,333.74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1.85%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处理未能支付的款项</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2,659,825.54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2.62%</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债务重组形成的损失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987"/>
        <w:jc w:val="left"/>
        <w:rPr>
          <w:b w:val="0"/>
          <w:bCs w:val="0"/>
        </w:rPr>
      </w:pPr>
      <w:bookmarkStart w:name="四、资产及负债状况" w:id="36"/>
      <w:bookmarkEnd w:id="36"/>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7"/>
        <w:jc w:val="left"/>
        <w:rPr>
          <w:b w:val="0"/>
          <w:bCs w:val="0"/>
        </w:rPr>
      </w:pPr>
      <w:bookmarkStart w:name="1、资产构成重大变动情况" w:id="37"/>
      <w:bookmarkEnd w:id="37"/>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7"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147,574,794.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294,332,671.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-7.66%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323,326,530.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16.77%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326,973,205.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2"/>
                <w:sz w:val="18"/>
              </w:rPr>
              <w:t>111,068,193.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95,520,185.2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2,060,177.56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0.11%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2,732,653.12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-0.03%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197,666,185.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206,619,677.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8"/>
                <w:szCs w:val="18"/>
              </w:rPr>
            </w:pPr>
            <w:r>
              <w:rPr>
                <w:rFonts w:ascii="Times New Roman"/>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center"/>
              <w:rPr>
                <w:rFonts w:ascii="Times New Roman" w:hAnsi="Times New Roman" w:cs="Times New Roman" w:eastAsia="Times New Roman" w:hint="default"/>
                <w:sz w:val="18"/>
                <w:szCs w:val="18"/>
              </w:rPr>
            </w:pPr>
            <w:r>
              <w:rPr>
                <w:rFonts w:ascii="Times New Roman"/>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bl>
    <w:p>
      <w:pPr>
        <w:spacing w:after="0" w:line="240" w:lineRule="auto"/>
        <w:jc w:val="left"/>
        <w:rPr>
          <w:rFonts w:ascii="宋体" w:hAnsi="宋体" w:cs="宋体" w:eastAsia="宋体"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987"/>
        <w:jc w:val="left"/>
        <w:rPr>
          <w:b w:val="0"/>
          <w:bCs w:val="0"/>
        </w:rPr>
      </w:pPr>
      <w:bookmarkStart w:name="2、以公允价值计量的资产和负债" w:id="38"/>
      <w:bookmarkEnd w:id="38"/>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568" w:lineRule="auto" w:before="154"/>
        <w:ind w:left="532" w:right="7275" w:hanging="420"/>
        <w:jc w:val="left"/>
        <w:rPr>
          <w:rFonts w:ascii="宋体" w:hAnsi="宋体" w:cs="宋体" w:eastAsia="宋体" w:hint="default"/>
          <w:sz w:val="21"/>
          <w:szCs w:val="21"/>
        </w:rPr>
      </w:pPr>
      <w:bookmarkStart w:name="3、截至报告期末的资产权利受限情况" w:id="39"/>
      <w:bookmarkEnd w:id="3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before="105"/>
        <w:ind w:left="112" w:right="987" w:firstLine="0"/>
        <w:jc w:val="left"/>
        <w:rPr>
          <w:rFonts w:ascii="宋体" w:hAnsi="宋体" w:cs="宋体" w:eastAsia="宋体" w:hint="default"/>
          <w:sz w:val="24"/>
          <w:szCs w:val="24"/>
        </w:rPr>
      </w:pPr>
      <w:bookmarkStart w:name="五、投资状况分析" w:id="40"/>
      <w:bookmarkEnd w:id="40"/>
      <w:r>
        <w:rPr/>
      </w:r>
      <w:r>
        <w:rPr>
          <w:rFonts w:ascii="宋体" w:hAnsi="宋体" w:cs="宋体" w:eastAsia="宋体" w:hint="default"/>
          <w:b/>
          <w:bCs/>
          <w:sz w:val="24"/>
          <w:szCs w:val="24"/>
        </w:rPr>
        <w:t>五、投资状况分析</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总体情况" w:id="41"/>
      <w:bookmarkEnd w:id="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54"/>
        <w:ind w:left="112" w:right="987" w:firstLine="0"/>
        <w:jc w:val="left"/>
        <w:rPr>
          <w:rFonts w:ascii="宋体" w:hAnsi="宋体" w:cs="宋体" w:eastAsia="宋体" w:hint="default"/>
          <w:sz w:val="21"/>
          <w:szCs w:val="21"/>
        </w:rPr>
      </w:pPr>
      <w:bookmarkStart w:name="2、报告期内获取的重大的股权投资情况" w:id="42"/>
      <w:bookmarkEnd w:id="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54"/>
        <w:ind w:left="112" w:right="987" w:firstLine="0"/>
        <w:jc w:val="left"/>
        <w:rPr>
          <w:rFonts w:ascii="宋体" w:hAnsi="宋体" w:cs="宋体" w:eastAsia="宋体" w:hint="default"/>
          <w:sz w:val="21"/>
          <w:szCs w:val="21"/>
        </w:rPr>
      </w:pPr>
      <w:bookmarkStart w:name="3、报告期内正在进行的重大的非股权投资情况" w:id="43"/>
      <w:bookmarkEnd w:id="4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54"/>
        <w:ind w:left="112" w:right="987" w:firstLine="0"/>
        <w:jc w:val="left"/>
        <w:rPr>
          <w:rFonts w:ascii="宋体" w:hAnsi="宋体" w:cs="宋体" w:eastAsia="宋体" w:hint="default"/>
          <w:sz w:val="21"/>
          <w:szCs w:val="21"/>
        </w:rPr>
      </w:pPr>
      <w:bookmarkStart w:name="4、以公允价值计量的金融资产" w:id="44"/>
      <w:bookmarkEnd w:id="4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54"/>
        <w:ind w:left="112" w:right="987" w:firstLine="0"/>
        <w:jc w:val="left"/>
        <w:rPr>
          <w:rFonts w:ascii="宋体" w:hAnsi="宋体" w:cs="宋体" w:eastAsia="宋体" w:hint="default"/>
          <w:sz w:val="21"/>
          <w:szCs w:val="21"/>
        </w:rPr>
      </w:pPr>
      <w:bookmarkStart w:name="5、募集资金使用情况" w:id="45"/>
      <w:bookmarkEnd w:id="4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line="444" w:lineRule="auto" w:before="0"/>
        <w:ind w:left="532" w:right="718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公司报告期无募集资金使用情况。</w:t>
      </w:r>
    </w:p>
    <w:p>
      <w:pPr>
        <w:spacing w:line="240" w:lineRule="auto" w:before="5"/>
        <w:rPr>
          <w:rFonts w:ascii="宋体" w:hAnsi="宋体" w:cs="宋体" w:eastAsia="宋体" w:hint="default"/>
          <w:sz w:val="16"/>
          <w:szCs w:val="16"/>
        </w:rPr>
      </w:pPr>
    </w:p>
    <w:p>
      <w:pPr>
        <w:spacing w:before="0"/>
        <w:ind w:left="112" w:right="987" w:firstLine="0"/>
        <w:jc w:val="left"/>
        <w:rPr>
          <w:rFonts w:ascii="宋体" w:hAnsi="宋体" w:cs="宋体" w:eastAsia="宋体" w:hint="default"/>
          <w:sz w:val="24"/>
          <w:szCs w:val="24"/>
        </w:rPr>
      </w:pPr>
      <w:bookmarkStart w:name="六、重大资产和股权出售" w:id="46"/>
      <w:bookmarkEnd w:id="46"/>
      <w:r>
        <w:rPr/>
      </w:r>
      <w:r>
        <w:rPr>
          <w:rFonts w:ascii="宋体" w:hAnsi="宋体" w:cs="宋体" w:eastAsia="宋体" w:hint="default"/>
          <w:b/>
          <w:bCs/>
          <w:sz w:val="24"/>
          <w:szCs w:val="24"/>
        </w:rPr>
        <w:t>六、重大资产和股权出售</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出售重大资产情况" w:id="47"/>
      <w:bookmarkEnd w:id="4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44" w:lineRule="auto" w:before="0"/>
        <w:ind w:left="532" w:right="760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公司报告期未出售重大资产。</w:t>
      </w:r>
    </w:p>
    <w:p>
      <w:pPr>
        <w:spacing w:after="0" w:line="444" w:lineRule="auto"/>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10"/>
        <w:rPr>
          <w:rFonts w:ascii="宋体" w:hAnsi="宋体" w:cs="宋体" w:eastAsia="宋体" w:hint="default"/>
          <w:sz w:val="21"/>
          <w:szCs w:val="21"/>
        </w:rPr>
      </w:pPr>
    </w:p>
    <w:p>
      <w:pPr>
        <w:spacing w:before="34"/>
        <w:ind w:left="112" w:right="987" w:firstLine="0"/>
        <w:jc w:val="left"/>
        <w:rPr>
          <w:rFonts w:ascii="宋体" w:hAnsi="宋体" w:cs="宋体" w:eastAsia="宋体" w:hint="default"/>
          <w:sz w:val="21"/>
          <w:szCs w:val="21"/>
        </w:rPr>
      </w:pPr>
      <w:bookmarkStart w:name="2、出售重大股权情况" w:id="48"/>
      <w:bookmarkEnd w:id="4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9"/>
          <w:szCs w:val="29"/>
        </w:rPr>
      </w:pPr>
    </w:p>
    <w:p>
      <w:pPr>
        <w:spacing w:before="0"/>
        <w:ind w:left="112" w:right="987" w:firstLine="0"/>
        <w:jc w:val="left"/>
        <w:rPr>
          <w:rFonts w:ascii="宋体" w:hAnsi="宋体" w:cs="宋体" w:eastAsia="宋体" w:hint="default"/>
          <w:sz w:val="24"/>
          <w:szCs w:val="24"/>
        </w:rPr>
      </w:pPr>
      <w:bookmarkStart w:name="七、主要控股参股公司分析" w:id="49"/>
      <w:bookmarkEnd w:id="49"/>
      <w:r>
        <w:rPr/>
      </w:r>
      <w:r>
        <w:rPr>
          <w:rFonts w:ascii="宋体" w:hAnsi="宋体" w:cs="宋体" w:eastAsia="宋体" w:hint="default"/>
          <w:b/>
          <w:bCs/>
          <w:sz w:val="24"/>
          <w:szCs w:val="24"/>
        </w:rPr>
        <w:t>七、主要控股参股公司分析</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主要子公司及对公司净利润影响达</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以上的参股公司情况</w:t>
      </w:r>
    </w:p>
    <w:p>
      <w:pPr>
        <w:spacing w:line="240" w:lineRule="auto" w:before="2"/>
        <w:rPr>
          <w:rFonts w:ascii="宋体" w:hAnsi="宋体" w:cs="宋体" w:eastAsia="宋体" w:hint="default"/>
          <w:sz w:val="9"/>
          <w:szCs w:val="9"/>
        </w:rPr>
      </w:pPr>
    </w:p>
    <w:p>
      <w:pPr>
        <w:pStyle w:val="BodyText"/>
        <w:spacing w:line="240" w:lineRule="auto"/>
        <w:ind w:left="0" w:right="113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56"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长春师凯</w:t>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0"/>
              <w:jc w:val="left"/>
              <w:rPr>
                <w:rFonts w:ascii="宋体" w:hAnsi="宋体" w:cs="宋体" w:eastAsia="宋体" w:hint="default"/>
                <w:sz w:val="18"/>
                <w:szCs w:val="18"/>
              </w:rPr>
            </w:pPr>
            <w:r>
              <w:rPr>
                <w:rFonts w:ascii="宋体" w:hAnsi="宋体" w:cs="宋体" w:eastAsia="宋体" w:hint="default"/>
                <w:sz w:val="18"/>
                <w:szCs w:val="18"/>
              </w:rPr>
              <w:t>科技产业 有限责任</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军工产品</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center"/>
              <w:rPr>
                <w:rFonts w:ascii="Times New Roman" w:hAnsi="Times New Roman" w:cs="Times New Roman" w:eastAsia="Times New Roman" w:hint="default"/>
                <w:sz w:val="18"/>
                <w:szCs w:val="18"/>
              </w:rPr>
            </w:pPr>
            <w:r>
              <w:rPr>
                <w:rFonts w:ascii="Times New Roman"/>
                <w:sz w:val="18"/>
              </w:rPr>
              <w:t>50,000,000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397,848,25</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0.89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3" w:right="0"/>
              <w:jc w:val="left"/>
              <w:rPr>
                <w:rFonts w:ascii="Times New Roman" w:hAnsi="Times New Roman" w:cs="Times New Roman" w:eastAsia="Times New Roman" w:hint="default"/>
                <w:sz w:val="18"/>
                <w:szCs w:val="18"/>
              </w:rPr>
            </w:pPr>
            <w:r>
              <w:rPr>
                <w:rFonts w:ascii="Times New Roman"/>
                <w:sz w:val="18"/>
              </w:rPr>
              <w:t>350,561,68</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5.55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206,106,90</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8.24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8" w:right="0"/>
              <w:jc w:val="left"/>
              <w:rPr>
                <w:rFonts w:ascii="Times New Roman" w:hAnsi="Times New Roman" w:cs="Times New Roman" w:eastAsia="Times New Roman" w:hint="default"/>
                <w:sz w:val="18"/>
                <w:szCs w:val="18"/>
              </w:rPr>
            </w:pPr>
            <w:r>
              <w:rPr>
                <w:rFonts w:ascii="Times New Roman"/>
                <w:sz w:val="18"/>
              </w:rPr>
              <w:t>115,996,63</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4.93</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101,120,97</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9.65</w:t>
            </w:r>
          </w:p>
        </w:tc>
      </w:tr>
      <w:tr>
        <w:trPr>
          <w:trHeight w:val="353"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北京富华</w:t>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0"/>
              <w:jc w:val="left"/>
              <w:rPr>
                <w:rFonts w:ascii="宋体" w:hAnsi="宋体" w:cs="宋体" w:eastAsia="宋体" w:hint="default"/>
                <w:sz w:val="18"/>
                <w:szCs w:val="18"/>
              </w:rPr>
            </w:pPr>
            <w:r>
              <w:rPr>
                <w:rFonts w:ascii="宋体" w:hAnsi="宋体" w:cs="宋体" w:eastAsia="宋体" w:hint="default"/>
                <w:sz w:val="18"/>
                <w:szCs w:val="18"/>
              </w:rPr>
              <w:t>宇祺信息 技术有限</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信息通信</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center"/>
              <w:rPr>
                <w:rFonts w:ascii="Times New Roman" w:hAnsi="Times New Roman" w:cs="Times New Roman" w:eastAsia="Times New Roman" w:hint="default"/>
                <w:sz w:val="18"/>
                <w:szCs w:val="18"/>
              </w:rPr>
            </w:pPr>
            <w:r>
              <w:rPr>
                <w:rFonts w:ascii="Times New Roman"/>
                <w:sz w:val="18"/>
              </w:rPr>
              <w:t>25,982,906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2" w:right="0"/>
              <w:jc w:val="left"/>
              <w:rPr>
                <w:rFonts w:ascii="Times New Roman" w:hAnsi="Times New Roman" w:cs="Times New Roman" w:eastAsia="Times New Roman" w:hint="default"/>
                <w:sz w:val="18"/>
                <w:szCs w:val="18"/>
              </w:rPr>
            </w:pPr>
            <w:r>
              <w:rPr>
                <w:rFonts w:ascii="Times New Roman"/>
                <w:sz w:val="18"/>
              </w:rPr>
              <w:t>197,754,25</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5.22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3" w:right="0"/>
              <w:jc w:val="left"/>
              <w:rPr>
                <w:rFonts w:ascii="Times New Roman" w:hAnsi="Times New Roman" w:cs="Times New Roman" w:eastAsia="Times New Roman" w:hint="default"/>
                <w:sz w:val="18"/>
                <w:szCs w:val="18"/>
              </w:rPr>
            </w:pPr>
            <w:r>
              <w:rPr>
                <w:rFonts w:ascii="Times New Roman"/>
                <w:sz w:val="18"/>
              </w:rPr>
              <w:t>132,395,57</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6.84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65,705,693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.69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52" w:right="0"/>
              <w:jc w:val="left"/>
              <w:rPr>
                <w:rFonts w:ascii="Times New Roman" w:hAnsi="Times New Roman" w:cs="Times New Roman" w:eastAsia="Times New Roman" w:hint="default"/>
                <w:sz w:val="18"/>
                <w:szCs w:val="18"/>
              </w:rPr>
            </w:pPr>
            <w:r>
              <w:rPr>
                <w:rFonts w:ascii="Times New Roman"/>
                <w:sz w:val="18"/>
              </w:rPr>
              <w:t>-31,640,06</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2.69</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53" w:right="0"/>
              <w:jc w:val="left"/>
              <w:rPr>
                <w:rFonts w:ascii="Times New Roman" w:hAnsi="Times New Roman" w:cs="Times New Roman" w:eastAsia="Times New Roman" w:hint="default"/>
                <w:sz w:val="18"/>
                <w:szCs w:val="18"/>
              </w:rPr>
            </w:pPr>
            <w:r>
              <w:rPr>
                <w:rFonts w:ascii="Times New Roman"/>
                <w:sz w:val="18"/>
              </w:rPr>
              <w:t>-26,884,19</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9.98</w:t>
            </w:r>
          </w:p>
        </w:tc>
      </w:tr>
      <w:tr>
        <w:trPr>
          <w:trHeight w:val="353"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5"/>
          <w:szCs w:val="5"/>
        </w:rPr>
      </w:pPr>
    </w:p>
    <w:p>
      <w:pPr>
        <w:spacing w:before="34"/>
        <w:ind w:left="532" w:right="987" w:firstLine="0"/>
        <w:jc w:val="left"/>
        <w:rPr>
          <w:rFonts w:ascii="宋体" w:hAnsi="宋体" w:cs="宋体" w:eastAsia="宋体" w:hint="default"/>
          <w:sz w:val="21"/>
          <w:szCs w:val="21"/>
        </w:rPr>
      </w:pPr>
      <w:r>
        <w:rPr>
          <w:rFonts w:ascii="宋体" w:hAnsi="宋体" w:cs="宋体" w:eastAsia="宋体" w:hint="default"/>
          <w:sz w:val="21"/>
          <w:szCs w:val="21"/>
        </w:rPr>
        <w:t>报告期内取得和处置子公司的情况</w:t>
      </w:r>
    </w:p>
    <w:p>
      <w:pPr>
        <w:spacing w:line="240" w:lineRule="auto" w:before="13"/>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00"/>
              <w:jc w:val="left"/>
              <w:rPr>
                <w:rFonts w:ascii="宋体" w:hAnsi="宋体" w:cs="宋体" w:eastAsia="宋体" w:hint="default"/>
                <w:sz w:val="18"/>
                <w:szCs w:val="18"/>
              </w:rPr>
            </w:pPr>
            <w:r>
              <w:rPr>
                <w:rFonts w:ascii="宋体" w:hAnsi="宋体" w:cs="宋体" w:eastAsia="宋体" w:hint="default"/>
                <w:spacing w:val="-6"/>
                <w:sz w:val="18"/>
                <w:szCs w:val="18"/>
              </w:rPr>
              <w:t>尤洛卡（广东）精准信息工程技术研究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院有限公司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自有资金投资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亏损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3"/>
        <w:rPr>
          <w:rFonts w:ascii="宋体" w:hAnsi="宋体" w:cs="宋体" w:eastAsia="宋体" w:hint="default"/>
          <w:sz w:val="5"/>
          <w:szCs w:val="5"/>
        </w:rPr>
      </w:pPr>
    </w:p>
    <w:p>
      <w:pPr>
        <w:spacing w:before="34"/>
        <w:ind w:left="532" w:right="987" w:firstLine="0"/>
        <w:jc w:val="left"/>
        <w:rPr>
          <w:rFonts w:ascii="宋体" w:hAnsi="宋体" w:cs="宋体" w:eastAsia="宋体" w:hint="default"/>
          <w:sz w:val="21"/>
          <w:szCs w:val="21"/>
        </w:rPr>
      </w:pPr>
      <w:r>
        <w:rPr>
          <w:rFonts w:ascii="宋体" w:hAnsi="宋体" w:cs="宋体" w:eastAsia="宋体" w:hint="default"/>
          <w:sz w:val="21"/>
          <w:szCs w:val="21"/>
        </w:rPr>
        <w:t>主要控股参股公司情况说明：</w:t>
      </w:r>
    </w:p>
    <w:p>
      <w:pPr>
        <w:spacing w:line="240" w:lineRule="auto" w:before="12"/>
        <w:rPr>
          <w:rFonts w:ascii="宋体" w:hAnsi="宋体" w:cs="宋体" w:eastAsia="宋体" w:hint="default"/>
          <w:sz w:val="17"/>
          <w:szCs w:val="17"/>
        </w:rPr>
      </w:pPr>
    </w:p>
    <w:p>
      <w:pPr>
        <w:spacing w:line="400" w:lineRule="auto" w:before="0"/>
        <w:ind w:left="112" w:right="113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、师凯科技报告期内实现营业收入</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20610.69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万元，实现净利润</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10,112.10</w:t>
      </w:r>
      <w:r>
        <w:rPr>
          <w:rFonts w:ascii="Times New Roman" w:hAnsi="Times New Roman" w:cs="Times New Roman" w:eastAsia="Times New Roman" w:hint="default"/>
          <w:spacing w:val="-14"/>
          <w:sz w:val="21"/>
          <w:szCs w:val="21"/>
        </w:rPr>
        <w:t> </w:t>
      </w:r>
      <w:r>
        <w:rPr>
          <w:rFonts w:ascii="宋体" w:hAnsi="宋体" w:cs="宋体" w:eastAsia="宋体" w:hint="default"/>
          <w:spacing w:val="-3"/>
          <w:sz w:val="21"/>
          <w:szCs w:val="21"/>
        </w:rPr>
        <w:t>万元，主要原因是：所生产</w:t>
      </w:r>
      <w:r>
        <w:rPr>
          <w:rFonts w:ascii="宋体" w:hAnsi="宋体" w:cs="宋体" w:eastAsia="宋体" w:hint="default"/>
          <w:w w:val="99"/>
          <w:sz w:val="21"/>
          <w:szCs w:val="21"/>
        </w:rPr>
        <w:t> </w:t>
      </w:r>
      <w:r>
        <w:rPr>
          <w:rFonts w:ascii="宋体" w:hAnsi="宋体" w:cs="宋体" w:eastAsia="宋体" w:hint="default"/>
          <w:w w:val="95"/>
          <w:sz w:val="21"/>
          <w:szCs w:val="21"/>
        </w:rPr>
        <w:t>的导弹制导系统产品已经列装部队多年，具有质量稳定、成熟可靠的优势。随着国家对军工行业的支持力</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度加大，公司军品订单量增加，已经完成技改换代定型的小型手持式制导系统继续放量，加之移动式制导</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系统产品需求增加，从而实现销售收入增长。</w:t>
      </w:r>
    </w:p>
    <w:p>
      <w:pPr>
        <w:spacing w:line="398" w:lineRule="auto" w:before="93"/>
        <w:ind w:left="112" w:right="102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、富华宇祺报告期内实现营业收入</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6,570.57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万元，实现净利润</w:t>
      </w:r>
      <w:r>
        <w:rPr>
          <w:rFonts w:ascii="Times New Roman" w:hAnsi="Times New Roman" w:cs="Times New Roman" w:eastAsia="Times New Roman" w:hint="default"/>
          <w:sz w:val="21"/>
          <w:szCs w:val="21"/>
        </w:rPr>
        <w:t>-2,688.42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万元，主要原因是：由于受</w:t>
      </w:r>
      <w:r>
        <w:rPr>
          <w:rFonts w:ascii="宋体" w:hAnsi="宋体" w:cs="宋体" w:eastAsia="宋体" w:hint="default"/>
          <w:w w:val="99"/>
          <w:sz w:val="21"/>
          <w:szCs w:val="21"/>
        </w:rPr>
        <w:t> </w:t>
      </w:r>
      <w:r>
        <w:rPr>
          <w:rFonts w:ascii="宋体" w:hAnsi="宋体" w:cs="宋体" w:eastAsia="宋体" w:hint="default"/>
          <w:sz w:val="21"/>
          <w:szCs w:val="21"/>
        </w:rPr>
        <w:t>铁路混改（高铁无线通讯招投标体系变化）及中兴事件影响，矿山井下通讯及轨交信息业务部分订单延迟</w:t>
      </w:r>
      <w:r>
        <w:rPr>
          <w:rFonts w:ascii="宋体" w:hAnsi="宋体" w:cs="宋体" w:eastAsia="宋体" w:hint="default"/>
          <w:w w:val="99"/>
          <w:sz w:val="21"/>
          <w:szCs w:val="21"/>
        </w:rPr>
        <w:t> </w:t>
      </w:r>
      <w:r>
        <w:rPr>
          <w:rFonts w:ascii="宋体" w:hAnsi="宋体" w:cs="宋体" w:eastAsia="宋体" w:hint="default"/>
          <w:sz w:val="21"/>
          <w:szCs w:val="21"/>
        </w:rPr>
        <w:t>或暂停，造成该类业务营业收入大幅度下滑；富华宇祺自</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年以来逐步减少或终止部分普通铁路信息</w:t>
      </w:r>
      <w:r>
        <w:rPr>
          <w:rFonts w:ascii="宋体" w:hAnsi="宋体" w:cs="宋体" w:eastAsia="宋体" w:hint="default"/>
          <w:w w:val="99"/>
          <w:sz w:val="21"/>
          <w:szCs w:val="21"/>
        </w:rPr>
        <w:t> </w:t>
      </w:r>
      <w:r>
        <w:rPr>
          <w:rFonts w:ascii="宋体" w:hAnsi="宋体" w:cs="宋体" w:eastAsia="宋体" w:hint="default"/>
          <w:spacing w:val="-3"/>
          <w:sz w:val="21"/>
          <w:szCs w:val="21"/>
        </w:rPr>
        <w:t>通信、矿山通信等工期长、回款慢、毛利率低的传统业务；在向军工、大数据等新业务转型，在自主可控、</w:t>
      </w:r>
      <w:r>
        <w:rPr>
          <w:rFonts w:ascii="宋体" w:hAnsi="宋体" w:cs="宋体" w:eastAsia="宋体" w:hint="default"/>
          <w:w w:val="99"/>
          <w:sz w:val="21"/>
          <w:szCs w:val="21"/>
        </w:rPr>
        <w:t> </w:t>
      </w:r>
      <w:r>
        <w:rPr>
          <w:rFonts w:ascii="宋体" w:hAnsi="宋体" w:cs="宋体" w:eastAsia="宋体" w:hint="default"/>
          <w:sz w:val="21"/>
          <w:szCs w:val="21"/>
        </w:rPr>
        <w:t>军用燃料电池、区块链等相关方面，增加了较大研发投入、市场开拓费用。</w:t>
      </w:r>
    </w:p>
    <w:p>
      <w:pPr>
        <w:spacing w:line="240" w:lineRule="auto" w:before="4"/>
        <w:rPr>
          <w:rFonts w:ascii="宋体" w:hAnsi="宋体" w:cs="宋体" w:eastAsia="宋体" w:hint="default"/>
          <w:sz w:val="19"/>
          <w:szCs w:val="19"/>
        </w:rPr>
      </w:pPr>
    </w:p>
    <w:p>
      <w:pPr>
        <w:spacing w:before="0"/>
        <w:ind w:left="93" w:right="7379" w:firstLine="0"/>
        <w:jc w:val="center"/>
        <w:rPr>
          <w:rFonts w:ascii="宋体" w:hAnsi="宋体" w:cs="宋体" w:eastAsia="宋体" w:hint="default"/>
          <w:sz w:val="24"/>
          <w:szCs w:val="24"/>
        </w:rPr>
      </w:pPr>
      <w:bookmarkStart w:name="八、公司控制的结构化主体情况" w:id="50"/>
      <w:bookmarkEnd w:id="50"/>
      <w:r>
        <w:rPr/>
      </w:r>
      <w:r>
        <w:rPr>
          <w:rFonts w:ascii="宋体" w:hAnsi="宋体" w:cs="宋体" w:eastAsia="宋体" w:hint="default"/>
          <w:b/>
          <w:bCs/>
          <w:sz w:val="24"/>
          <w:szCs w:val="24"/>
        </w:rPr>
        <w:t>八、公司控制的结构化主体情况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13"/>
        <w:rPr>
          <w:rFonts w:ascii="宋体" w:hAnsi="宋体" w:cs="宋体" w:eastAsia="宋体" w:hint="default"/>
          <w:sz w:val="27"/>
          <w:szCs w:val="27"/>
        </w:rPr>
      </w:pPr>
    </w:p>
    <w:p>
      <w:pPr>
        <w:spacing w:line="444" w:lineRule="auto" w:before="34"/>
        <w:ind w:left="532" w:right="1498" w:firstLine="0"/>
        <w:jc w:val="left"/>
        <w:rPr>
          <w:rFonts w:ascii="宋体" w:hAnsi="宋体" w:cs="宋体" w:eastAsia="宋体" w:hint="default"/>
          <w:sz w:val="21"/>
          <w:szCs w:val="21"/>
        </w:rPr>
      </w:pPr>
      <w:bookmarkStart w:name="九、公司未来发展的展望" w:id="51"/>
      <w:bookmarkEnd w:id="51"/>
      <w:r>
        <w:rPr/>
      </w:r>
      <w:r>
        <w:rPr>
          <w:rFonts w:ascii="宋体" w:hAnsi="宋体" w:cs="宋体" w:eastAsia="宋体" w:hint="default"/>
          <w:sz w:val="21"/>
          <w:szCs w:val="21"/>
        </w:rPr>
        <w:t>（一）行业格局和趋势</w:t>
      </w:r>
      <w:r>
        <w:rPr>
          <w:rFonts w:ascii="宋体" w:hAnsi="宋体" w:cs="宋体" w:eastAsia="宋体" w:hint="default"/>
          <w:w w:val="99"/>
          <w:sz w:val="21"/>
          <w:szCs w:val="21"/>
        </w:rPr>
        <w:t> </w:t>
      </w:r>
      <w:r>
        <w:rPr>
          <w:rFonts w:ascii="宋体" w:hAnsi="宋体" w:cs="宋体" w:eastAsia="宋体" w:hint="default"/>
          <w:w w:val="95"/>
          <w:sz w:val="21"/>
          <w:szCs w:val="21"/>
        </w:rPr>
        <w:t>报告期内，公司所处三大行业整体发展形势向好，为公司持续做大做强提供了有力保障：</w:t>
      </w:r>
      <w:r>
        <w:rPr>
          <w:rFonts w:ascii="宋体" w:hAnsi="宋体" w:cs="宋体" w:eastAsia="宋体" w:hint="default"/>
          <w:spacing w:val="90"/>
          <w:w w:val="95"/>
          <w:sz w:val="21"/>
          <w:szCs w:val="21"/>
        </w:rPr>
        <w:t> </w:t>
      </w:r>
      <w:r>
        <w:rPr>
          <w:rFonts w:ascii="宋体" w:hAnsi="宋体" w:cs="宋体" w:eastAsia="宋体" w:hint="default"/>
          <w:spacing w:val="90"/>
          <w:w w:val="95"/>
          <w:sz w:val="21"/>
          <w:szCs w:val="21"/>
        </w:rPr>
      </w:r>
      <w:r>
        <w:rPr>
          <w:rFonts w:ascii="Times New Roman" w:hAnsi="Times New Roman" w:cs="Times New Roman" w:eastAsia="Times New Roman" w:hint="default"/>
          <w:sz w:val="21"/>
          <w:szCs w:val="21"/>
        </w:rPr>
        <w:t>1</w:t>
      </w:r>
      <w:r>
        <w:rPr>
          <w:rFonts w:ascii="宋体" w:hAnsi="宋体" w:cs="宋体" w:eastAsia="宋体" w:hint="default"/>
          <w:sz w:val="21"/>
          <w:szCs w:val="21"/>
        </w:rPr>
        <w:t>、军工行业</w:t>
      </w:r>
    </w:p>
    <w:p>
      <w:pPr>
        <w:spacing w:before="20"/>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w w:val="99"/>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w w:val="99"/>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日</w:t>
      </w:r>
      <w:r>
        <w:rPr>
          <w:rFonts w:ascii="宋体" w:hAnsi="宋体" w:cs="宋体" w:eastAsia="宋体" w:hint="default"/>
          <w:spacing w:val="-97"/>
          <w:w w:val="99"/>
          <w:sz w:val="21"/>
          <w:szCs w:val="21"/>
        </w:rPr>
        <w:t>，</w:t>
      </w:r>
      <w:r>
        <w:rPr>
          <w:rFonts w:ascii="宋体" w:hAnsi="宋体" w:cs="宋体" w:eastAsia="宋体" w:hint="default"/>
          <w:spacing w:val="-1"/>
          <w:w w:val="99"/>
          <w:sz w:val="21"/>
          <w:szCs w:val="21"/>
        </w:rPr>
        <w:t>习</w:t>
      </w:r>
      <w:r>
        <w:rPr>
          <w:rFonts w:ascii="宋体" w:hAnsi="宋体" w:cs="宋体" w:eastAsia="宋体" w:hint="default"/>
          <w:spacing w:val="2"/>
          <w:w w:val="99"/>
          <w:sz w:val="21"/>
          <w:szCs w:val="21"/>
        </w:rPr>
        <w:t>近</w:t>
      </w:r>
      <w:r>
        <w:rPr>
          <w:rFonts w:ascii="宋体" w:hAnsi="宋体" w:cs="宋体" w:eastAsia="宋体" w:hint="default"/>
          <w:spacing w:val="-1"/>
          <w:w w:val="99"/>
          <w:sz w:val="21"/>
          <w:szCs w:val="21"/>
        </w:rPr>
        <w:t>平</w:t>
      </w:r>
      <w:r>
        <w:rPr>
          <w:rFonts w:ascii="宋体" w:hAnsi="宋体" w:cs="宋体" w:eastAsia="宋体" w:hint="default"/>
          <w:spacing w:val="2"/>
          <w:w w:val="99"/>
          <w:sz w:val="21"/>
          <w:szCs w:val="21"/>
        </w:rPr>
        <w:t>总</w:t>
      </w:r>
      <w:r>
        <w:rPr>
          <w:rFonts w:ascii="宋体" w:hAnsi="宋体" w:cs="宋体" w:eastAsia="宋体" w:hint="default"/>
          <w:spacing w:val="-1"/>
          <w:w w:val="99"/>
          <w:sz w:val="21"/>
          <w:szCs w:val="21"/>
        </w:rPr>
        <w:t>书</w:t>
      </w:r>
      <w:r>
        <w:rPr>
          <w:rFonts w:ascii="宋体" w:hAnsi="宋体" w:cs="宋体" w:eastAsia="宋体" w:hint="default"/>
          <w:spacing w:val="2"/>
          <w:w w:val="99"/>
          <w:sz w:val="21"/>
          <w:szCs w:val="21"/>
        </w:rPr>
        <w:t>记</w:t>
      </w:r>
      <w:r>
        <w:rPr>
          <w:rFonts w:ascii="宋体" w:hAnsi="宋体" w:cs="宋体" w:eastAsia="宋体" w:hint="default"/>
          <w:spacing w:val="-1"/>
          <w:w w:val="99"/>
          <w:sz w:val="21"/>
          <w:szCs w:val="21"/>
        </w:rPr>
        <w:t>主</w:t>
      </w:r>
      <w:r>
        <w:rPr>
          <w:rFonts w:ascii="宋体" w:hAnsi="宋体" w:cs="宋体" w:eastAsia="宋体" w:hint="default"/>
          <w:spacing w:val="2"/>
          <w:w w:val="99"/>
          <w:sz w:val="21"/>
          <w:szCs w:val="21"/>
        </w:rPr>
        <w:t>持</w:t>
      </w:r>
      <w:r>
        <w:rPr>
          <w:rFonts w:ascii="宋体" w:hAnsi="宋体" w:cs="宋体" w:eastAsia="宋体" w:hint="default"/>
          <w:spacing w:val="-1"/>
          <w:w w:val="99"/>
          <w:sz w:val="21"/>
          <w:szCs w:val="21"/>
        </w:rPr>
        <w:t>召</w:t>
      </w:r>
      <w:r>
        <w:rPr>
          <w:rFonts w:ascii="宋体" w:hAnsi="宋体" w:cs="宋体" w:eastAsia="宋体" w:hint="default"/>
          <w:spacing w:val="2"/>
          <w:w w:val="99"/>
          <w:sz w:val="21"/>
          <w:szCs w:val="21"/>
        </w:rPr>
        <w:t>开</w:t>
      </w:r>
      <w:r>
        <w:rPr>
          <w:rFonts w:ascii="宋体" w:hAnsi="宋体" w:cs="宋体" w:eastAsia="宋体" w:hint="default"/>
          <w:spacing w:val="-1"/>
          <w:w w:val="99"/>
          <w:sz w:val="21"/>
          <w:szCs w:val="21"/>
        </w:rPr>
        <w:t>十</w:t>
      </w:r>
      <w:r>
        <w:rPr>
          <w:rFonts w:ascii="宋体" w:hAnsi="宋体" w:cs="宋体" w:eastAsia="宋体" w:hint="default"/>
          <w:spacing w:val="2"/>
          <w:w w:val="99"/>
          <w:sz w:val="21"/>
          <w:szCs w:val="21"/>
        </w:rPr>
        <w:t>九</w:t>
      </w:r>
      <w:r>
        <w:rPr>
          <w:rFonts w:ascii="宋体" w:hAnsi="宋体" w:cs="宋体" w:eastAsia="宋体" w:hint="default"/>
          <w:spacing w:val="-1"/>
          <w:w w:val="99"/>
          <w:sz w:val="21"/>
          <w:szCs w:val="21"/>
        </w:rPr>
        <w:t>届</w:t>
      </w:r>
      <w:r>
        <w:rPr>
          <w:rFonts w:ascii="宋体" w:hAnsi="宋体" w:cs="宋体" w:eastAsia="宋体" w:hint="default"/>
          <w:spacing w:val="2"/>
          <w:w w:val="99"/>
          <w:sz w:val="21"/>
          <w:szCs w:val="21"/>
        </w:rPr>
        <w:t>中</w:t>
      </w:r>
      <w:r>
        <w:rPr>
          <w:rFonts w:ascii="宋体" w:hAnsi="宋体" w:cs="宋体" w:eastAsia="宋体" w:hint="default"/>
          <w:spacing w:val="-1"/>
          <w:w w:val="99"/>
          <w:sz w:val="21"/>
          <w:szCs w:val="21"/>
        </w:rPr>
        <w:t>央</w:t>
      </w:r>
      <w:r>
        <w:rPr>
          <w:rFonts w:ascii="宋体" w:hAnsi="宋体" w:cs="宋体" w:eastAsia="宋体" w:hint="default"/>
          <w:spacing w:val="2"/>
          <w:w w:val="99"/>
          <w:sz w:val="21"/>
          <w:szCs w:val="21"/>
        </w:rPr>
        <w:t>军</w:t>
      </w:r>
      <w:r>
        <w:rPr>
          <w:rFonts w:ascii="宋体" w:hAnsi="宋体" w:cs="宋体" w:eastAsia="宋体" w:hint="default"/>
          <w:spacing w:val="-1"/>
          <w:w w:val="99"/>
          <w:sz w:val="21"/>
          <w:szCs w:val="21"/>
        </w:rPr>
        <w:t>民</w:t>
      </w:r>
      <w:r>
        <w:rPr>
          <w:rFonts w:ascii="宋体" w:hAnsi="宋体" w:cs="宋体" w:eastAsia="宋体" w:hint="default"/>
          <w:spacing w:val="2"/>
          <w:w w:val="99"/>
          <w:sz w:val="21"/>
          <w:szCs w:val="21"/>
        </w:rPr>
        <w:t>融</w:t>
      </w:r>
      <w:r>
        <w:rPr>
          <w:rFonts w:ascii="宋体" w:hAnsi="宋体" w:cs="宋体" w:eastAsia="宋体" w:hint="default"/>
          <w:spacing w:val="-1"/>
          <w:w w:val="99"/>
          <w:sz w:val="21"/>
          <w:szCs w:val="21"/>
        </w:rPr>
        <w:t>合</w:t>
      </w:r>
      <w:r>
        <w:rPr>
          <w:rFonts w:ascii="宋体" w:hAnsi="宋体" w:cs="宋体" w:eastAsia="宋体" w:hint="default"/>
          <w:spacing w:val="2"/>
          <w:w w:val="99"/>
          <w:sz w:val="21"/>
          <w:szCs w:val="21"/>
        </w:rPr>
        <w:t>委</w:t>
      </w:r>
      <w:r>
        <w:rPr>
          <w:rFonts w:ascii="宋体" w:hAnsi="宋体" w:cs="宋体" w:eastAsia="宋体" w:hint="default"/>
          <w:spacing w:val="-1"/>
          <w:w w:val="99"/>
          <w:sz w:val="21"/>
          <w:szCs w:val="21"/>
        </w:rPr>
        <w:t>员</w:t>
      </w:r>
      <w:r>
        <w:rPr>
          <w:rFonts w:ascii="宋体" w:hAnsi="宋体" w:cs="宋体" w:eastAsia="宋体" w:hint="default"/>
          <w:spacing w:val="2"/>
          <w:w w:val="99"/>
          <w:sz w:val="21"/>
          <w:szCs w:val="21"/>
        </w:rPr>
        <w:t>会</w:t>
      </w:r>
      <w:r>
        <w:rPr>
          <w:rFonts w:ascii="宋体" w:hAnsi="宋体" w:cs="宋体" w:eastAsia="宋体" w:hint="default"/>
          <w:spacing w:val="-1"/>
          <w:w w:val="99"/>
          <w:sz w:val="21"/>
          <w:szCs w:val="21"/>
        </w:rPr>
        <w:t>第</w:t>
      </w:r>
      <w:r>
        <w:rPr>
          <w:rFonts w:ascii="宋体" w:hAnsi="宋体" w:cs="宋体" w:eastAsia="宋体" w:hint="default"/>
          <w:spacing w:val="2"/>
          <w:w w:val="99"/>
          <w:sz w:val="21"/>
          <w:szCs w:val="21"/>
        </w:rPr>
        <w:t>一</w:t>
      </w:r>
      <w:r>
        <w:rPr>
          <w:rFonts w:ascii="宋体" w:hAnsi="宋体" w:cs="宋体" w:eastAsia="宋体" w:hint="default"/>
          <w:spacing w:val="-1"/>
          <w:w w:val="99"/>
          <w:sz w:val="21"/>
          <w:szCs w:val="21"/>
        </w:rPr>
        <w:t>次</w:t>
      </w:r>
      <w:r>
        <w:rPr>
          <w:rFonts w:ascii="宋体" w:hAnsi="宋体" w:cs="宋体" w:eastAsia="宋体" w:hint="default"/>
          <w:spacing w:val="2"/>
          <w:w w:val="99"/>
          <w:sz w:val="21"/>
          <w:szCs w:val="21"/>
        </w:rPr>
        <w:t>全</w:t>
      </w:r>
      <w:r>
        <w:rPr>
          <w:rFonts w:ascii="宋体" w:hAnsi="宋体" w:cs="宋体" w:eastAsia="宋体" w:hint="default"/>
          <w:spacing w:val="-1"/>
          <w:w w:val="99"/>
          <w:sz w:val="21"/>
          <w:szCs w:val="21"/>
        </w:rPr>
        <w:t>体</w:t>
      </w:r>
      <w:r>
        <w:rPr>
          <w:rFonts w:ascii="宋体" w:hAnsi="宋体" w:cs="宋体" w:eastAsia="宋体" w:hint="default"/>
          <w:spacing w:val="2"/>
          <w:w w:val="99"/>
          <w:sz w:val="21"/>
          <w:szCs w:val="21"/>
        </w:rPr>
        <w:t>会议</w:t>
      </w:r>
      <w:r>
        <w:rPr>
          <w:rFonts w:ascii="宋体" w:hAnsi="宋体" w:cs="宋体" w:eastAsia="宋体" w:hint="default"/>
          <w:spacing w:val="-97"/>
          <w:w w:val="99"/>
          <w:sz w:val="21"/>
          <w:szCs w:val="21"/>
        </w:rPr>
        <w:t>，</w:t>
      </w:r>
      <w:r>
        <w:rPr>
          <w:rFonts w:ascii="宋体" w:hAnsi="宋体" w:cs="宋体" w:eastAsia="宋体" w:hint="default"/>
          <w:spacing w:val="-1"/>
          <w:w w:val="99"/>
          <w:sz w:val="21"/>
          <w:szCs w:val="21"/>
        </w:rPr>
        <w:t>审</w:t>
      </w:r>
      <w:r>
        <w:rPr>
          <w:rFonts w:ascii="宋体" w:hAnsi="宋体" w:cs="宋体" w:eastAsia="宋体" w:hint="default"/>
          <w:spacing w:val="2"/>
          <w:w w:val="99"/>
          <w:sz w:val="21"/>
          <w:szCs w:val="21"/>
        </w:rPr>
        <w:t>议</w:t>
      </w:r>
      <w:r>
        <w:rPr>
          <w:rFonts w:ascii="宋体" w:hAnsi="宋体" w:cs="宋体" w:eastAsia="宋体" w:hint="default"/>
          <w:spacing w:val="-1"/>
          <w:w w:val="99"/>
          <w:sz w:val="21"/>
          <w:szCs w:val="21"/>
        </w:rPr>
        <w:t>通</w:t>
      </w:r>
      <w:r>
        <w:rPr>
          <w:rFonts w:ascii="宋体" w:hAnsi="宋体" w:cs="宋体" w:eastAsia="宋体" w:hint="default"/>
          <w:spacing w:val="2"/>
          <w:w w:val="99"/>
          <w:sz w:val="21"/>
          <w:szCs w:val="21"/>
        </w:rPr>
        <w:t>过</w:t>
      </w:r>
      <w:r>
        <w:rPr>
          <w:rFonts w:ascii="宋体" w:hAnsi="宋体" w:cs="宋体" w:eastAsia="宋体" w:hint="default"/>
          <w:spacing w:val="-92"/>
          <w:w w:val="99"/>
          <w:sz w:val="21"/>
          <w:szCs w:val="21"/>
        </w:rPr>
        <w:t>了</w:t>
      </w:r>
      <w:r>
        <w:rPr>
          <w:rFonts w:ascii="宋体" w:hAnsi="宋体" w:cs="宋体" w:eastAsia="宋体" w:hint="default"/>
          <w:spacing w:val="2"/>
          <w:w w:val="99"/>
          <w:sz w:val="21"/>
          <w:szCs w:val="21"/>
        </w:rPr>
        <w:t>《</w:t>
      </w:r>
      <w:r>
        <w:rPr>
          <w:rFonts w:ascii="宋体" w:hAnsi="宋体" w:cs="宋体" w:eastAsia="宋体" w:hint="default"/>
          <w:w w:val="99"/>
          <w:sz w:val="21"/>
          <w:szCs w:val="21"/>
        </w:rPr>
        <w:t>军</w:t>
      </w:r>
      <w:r>
        <w:rPr>
          <w:rFonts w:ascii="宋体" w:hAnsi="宋体" w:cs="宋体" w:eastAsia="宋体" w:hint="default"/>
          <w:sz w:val="21"/>
          <w:szCs w:val="21"/>
        </w:rPr>
      </w:r>
    </w:p>
    <w:p>
      <w:pPr>
        <w:spacing w:line="393" w:lineRule="auto" w:before="177"/>
        <w:ind w:left="112" w:right="987" w:firstLine="0"/>
        <w:jc w:val="left"/>
        <w:rPr>
          <w:rFonts w:ascii="宋体" w:hAnsi="宋体" w:cs="宋体" w:eastAsia="宋体" w:hint="default"/>
          <w:sz w:val="21"/>
          <w:szCs w:val="21"/>
        </w:rPr>
      </w:pPr>
      <w:r>
        <w:rPr>
          <w:rFonts w:ascii="宋体" w:hAnsi="宋体" w:cs="宋体" w:eastAsia="宋体" w:hint="default"/>
          <w:spacing w:val="-5"/>
          <w:w w:val="99"/>
          <w:sz w:val="21"/>
          <w:szCs w:val="21"/>
        </w:rPr>
        <w:t>民融合发展战略纲要》《中央军民融合发展委员会</w:t>
      </w:r>
      <w:r>
        <w:rPr>
          <w:rFonts w:ascii="宋体" w:hAnsi="宋体" w:cs="宋体" w:eastAsia="宋体" w:hint="default"/>
          <w:spacing w:val="-45"/>
          <w:w w:val="99"/>
          <w:sz w:val="21"/>
          <w:szCs w:val="21"/>
        </w:rPr>
        <w:t> </w:t>
      </w:r>
      <w:r>
        <w:rPr>
          <w:rFonts w:ascii="Times New Roman" w:hAnsi="Times New Roman" w:cs="Times New Roman" w:eastAsia="Times New Roman" w:hint="default"/>
          <w:w w:val="99"/>
          <w:sz w:val="21"/>
          <w:szCs w:val="21"/>
        </w:rPr>
        <w:t>2018</w:t>
      </w:r>
      <w:r>
        <w:rPr>
          <w:rFonts w:ascii="Times New Roman" w:hAnsi="Times New Roman" w:cs="Times New Roman" w:eastAsia="Times New Roman" w:hint="default"/>
          <w:spacing w:val="7"/>
          <w:w w:val="99"/>
          <w:sz w:val="21"/>
          <w:szCs w:val="21"/>
        </w:rPr>
        <w:t> </w:t>
      </w:r>
      <w:r>
        <w:rPr>
          <w:rFonts w:ascii="宋体" w:hAnsi="宋体" w:cs="宋体" w:eastAsia="宋体" w:hint="default"/>
          <w:spacing w:val="-5"/>
          <w:w w:val="99"/>
          <w:sz w:val="21"/>
          <w:szCs w:val="21"/>
        </w:rPr>
        <w:t>年工作要点》《国家军民融合创新示范区建设实施</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spacing w:val="-2"/>
          <w:w w:val="99"/>
          <w:sz w:val="21"/>
          <w:szCs w:val="21"/>
        </w:rPr>
        <w:t>方案》，以及第一批创新示范区建设名单，进一步明确了军民融合发展的方向和工作重点。科技部、军委</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spacing w:val="-4"/>
          <w:w w:val="99"/>
          <w:sz w:val="21"/>
          <w:szCs w:val="21"/>
        </w:rPr>
        <w:t>科技委制定出台《</w:t>
      </w:r>
      <w:r>
        <w:rPr>
          <w:rFonts w:ascii="Times New Roman" w:hAnsi="Times New Roman" w:cs="Times New Roman" w:eastAsia="Times New Roman" w:hint="default"/>
          <w:spacing w:val="-4"/>
          <w:w w:val="99"/>
          <w:sz w:val="21"/>
          <w:szCs w:val="21"/>
        </w:rPr>
        <w:t>“</w:t>
      </w:r>
      <w:r>
        <w:rPr>
          <w:rFonts w:ascii="宋体" w:hAnsi="宋体" w:cs="宋体" w:eastAsia="宋体" w:hint="default"/>
          <w:spacing w:val="-4"/>
          <w:w w:val="99"/>
          <w:sz w:val="21"/>
          <w:szCs w:val="21"/>
        </w:rPr>
        <w:t>十三五</w:t>
      </w:r>
      <w:r>
        <w:rPr>
          <w:rFonts w:ascii="Times New Roman" w:hAnsi="Times New Roman" w:cs="Times New Roman" w:eastAsia="Times New Roman" w:hint="default"/>
          <w:spacing w:val="-4"/>
          <w:w w:val="99"/>
          <w:sz w:val="21"/>
          <w:szCs w:val="21"/>
        </w:rPr>
        <w:t>”</w:t>
      </w:r>
      <w:r>
        <w:rPr>
          <w:rFonts w:ascii="宋体" w:hAnsi="宋体" w:cs="宋体" w:eastAsia="宋体" w:hint="default"/>
          <w:spacing w:val="-4"/>
          <w:w w:val="99"/>
          <w:sz w:val="21"/>
          <w:szCs w:val="21"/>
        </w:rPr>
        <w:t>科技军民融合发展专项规划》。所有这些标志着我国战略规划对军民融合发展的</w:t>
      </w:r>
      <w:r>
        <w:rPr>
          <w:rFonts w:ascii="宋体" w:hAnsi="宋体" w:cs="宋体" w:eastAsia="宋体" w:hint="default"/>
          <w:spacing w:val="-97"/>
          <w:w w:val="99"/>
          <w:sz w:val="21"/>
          <w:szCs w:val="21"/>
        </w:rPr>
        <w:t> </w:t>
      </w:r>
      <w:r>
        <w:rPr>
          <w:rFonts w:ascii="宋体" w:hAnsi="宋体" w:cs="宋体" w:eastAsia="宋体" w:hint="default"/>
          <w:spacing w:val="-97"/>
          <w:w w:val="99"/>
          <w:sz w:val="21"/>
          <w:szCs w:val="21"/>
        </w:rPr>
      </w:r>
      <w:r>
        <w:rPr>
          <w:rFonts w:ascii="宋体" w:hAnsi="宋体" w:cs="宋体" w:eastAsia="宋体" w:hint="default"/>
          <w:sz w:val="21"/>
          <w:szCs w:val="21"/>
        </w:rPr>
        <w:t>引领作用在不断增强，对</w:t>
      </w:r>
      <w:r>
        <w:rPr>
          <w:rFonts w:ascii="Times New Roman" w:hAnsi="Times New Roman" w:cs="Times New Roman" w:eastAsia="Times New Roman" w:hint="default"/>
          <w:sz w:val="21"/>
          <w:szCs w:val="21"/>
        </w:rPr>
        <w:t>“</w:t>
      </w:r>
      <w:r>
        <w:rPr>
          <w:rFonts w:ascii="宋体" w:hAnsi="宋体" w:cs="宋体" w:eastAsia="宋体" w:hint="default"/>
          <w:sz w:val="21"/>
          <w:szCs w:val="21"/>
        </w:rPr>
        <w:t>民参军</w:t>
      </w:r>
      <w:r>
        <w:rPr>
          <w:rFonts w:ascii="Times New Roman" w:hAnsi="Times New Roman" w:cs="Times New Roman" w:eastAsia="Times New Roman" w:hint="default"/>
          <w:sz w:val="21"/>
          <w:szCs w:val="21"/>
        </w:rPr>
        <w:t>”</w:t>
      </w:r>
      <w:r>
        <w:rPr>
          <w:rFonts w:ascii="宋体" w:hAnsi="宋体" w:cs="宋体" w:eastAsia="宋体" w:hint="default"/>
          <w:sz w:val="21"/>
          <w:szCs w:val="21"/>
        </w:rPr>
        <w:t>企业的政策支持力度在持续加大。</w:t>
      </w:r>
    </w:p>
    <w:p>
      <w:pPr>
        <w:spacing w:line="386" w:lineRule="auto" w:before="67"/>
        <w:ind w:left="112" w:right="1026" w:firstLine="420"/>
        <w:jc w:val="left"/>
        <w:rPr>
          <w:rFonts w:ascii="宋体" w:hAnsi="宋体" w:cs="宋体" w:eastAsia="宋体" w:hint="default"/>
          <w:sz w:val="21"/>
          <w:szCs w:val="21"/>
        </w:rPr>
      </w:pPr>
      <w:r>
        <w:rPr>
          <w:rFonts w:ascii="宋体" w:hAnsi="宋体" w:cs="宋体" w:eastAsia="宋体" w:hint="default"/>
          <w:sz w:val="21"/>
          <w:szCs w:val="21"/>
        </w:rPr>
        <w:t>近年来我国军费长期保持合理适度的增长水平，</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年我国国防军费预算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万亿元。</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年全国</w:t>
      </w:r>
      <w:r>
        <w:rPr>
          <w:rFonts w:ascii="宋体" w:hAnsi="宋体" w:cs="宋体" w:eastAsia="宋体" w:hint="default"/>
          <w:w w:val="99"/>
          <w:sz w:val="21"/>
          <w:szCs w:val="21"/>
        </w:rPr>
        <w:t> </w:t>
      </w:r>
      <w:r>
        <w:rPr>
          <w:rFonts w:ascii="宋体" w:hAnsi="宋体" w:cs="宋体" w:eastAsia="宋体" w:hint="default"/>
          <w:sz w:val="21"/>
          <w:szCs w:val="21"/>
        </w:rPr>
        <w:t>人大二次会议举行的新闻发布会也指出，</w:t>
      </w:r>
      <w:r>
        <w:rPr>
          <w:rFonts w:ascii="Times New Roman" w:hAnsi="Times New Roman" w:cs="Times New Roman" w:eastAsia="Times New Roman" w:hint="default"/>
          <w:sz w:val="21"/>
          <w:szCs w:val="21"/>
        </w:rPr>
        <w:t>“</w:t>
      </w:r>
      <w:r>
        <w:rPr>
          <w:rFonts w:ascii="宋体" w:hAnsi="宋体" w:cs="宋体" w:eastAsia="宋体" w:hint="default"/>
          <w:sz w:val="21"/>
          <w:szCs w:val="21"/>
        </w:rPr>
        <w:t>保持国防费的合理适度增长是维护国家安全、适应中国特色军</w:t>
      </w:r>
      <w:r>
        <w:rPr>
          <w:rFonts w:ascii="宋体" w:hAnsi="宋体" w:cs="宋体" w:eastAsia="宋体" w:hint="default"/>
          <w:w w:val="99"/>
          <w:sz w:val="21"/>
          <w:szCs w:val="21"/>
        </w:rPr>
        <w:t> </w:t>
      </w:r>
      <w:r>
        <w:rPr>
          <w:rFonts w:ascii="宋体" w:hAnsi="宋体" w:cs="宋体" w:eastAsia="宋体" w:hint="default"/>
          <w:sz w:val="21"/>
          <w:szCs w:val="21"/>
        </w:rPr>
        <w:t>事变革的需要。</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年中国的国防费占国内生产总值的比例约为</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1.3%</w:t>
      </w:r>
      <w:r>
        <w:rPr>
          <w:rFonts w:ascii="宋体" w:hAnsi="宋体" w:cs="宋体" w:eastAsia="宋体" w:hint="default"/>
          <w:sz w:val="21"/>
          <w:szCs w:val="21"/>
        </w:rPr>
        <w:t>，而同期一些主要发达国家的国防</w:t>
      </w:r>
      <w:r>
        <w:rPr>
          <w:rFonts w:ascii="宋体" w:hAnsi="宋体" w:cs="宋体" w:eastAsia="宋体" w:hint="default"/>
          <w:w w:val="99"/>
          <w:sz w:val="21"/>
          <w:szCs w:val="21"/>
        </w:rPr>
        <w:t> </w:t>
      </w:r>
      <w:r>
        <w:rPr>
          <w:rFonts w:ascii="宋体" w:hAnsi="宋体" w:cs="宋体" w:eastAsia="宋体" w:hint="default"/>
          <w:sz w:val="21"/>
          <w:szCs w:val="21"/>
        </w:rPr>
        <w:t>费占国内生产总值的比例都在</w:t>
      </w:r>
      <w:r>
        <w:rPr>
          <w:rFonts w:ascii="宋体" w:hAnsi="宋体" w:cs="宋体" w:eastAsia="宋体" w:hint="default"/>
          <w:spacing w:val="-61"/>
          <w:sz w:val="21"/>
          <w:szCs w:val="21"/>
        </w:rPr>
        <w:t> </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以上。</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因此可以预见，未来我国军费支出有望长期保持稳定的增长水平，</w:t>
      </w:r>
      <w:r>
        <w:rPr>
          <w:rFonts w:ascii="宋体" w:hAnsi="宋体" w:cs="宋体" w:eastAsia="宋体" w:hint="default"/>
          <w:w w:val="99"/>
          <w:sz w:val="21"/>
          <w:szCs w:val="21"/>
        </w:rPr>
        <w:t> </w:t>
      </w:r>
      <w:r>
        <w:rPr>
          <w:rFonts w:ascii="宋体" w:hAnsi="宋体" w:cs="宋体" w:eastAsia="宋体" w:hint="default"/>
          <w:sz w:val="21"/>
          <w:szCs w:val="21"/>
        </w:rPr>
        <w:t>由此带来的装备采购需求也将长期处于增长态势，为军工行业及相关企业打开了巨大的发展空间。</w:t>
      </w:r>
    </w:p>
    <w:p>
      <w:pPr>
        <w:spacing w:line="393" w:lineRule="auto" w:before="106"/>
        <w:ind w:left="112" w:right="987" w:firstLine="420"/>
        <w:jc w:val="left"/>
        <w:rPr>
          <w:rFonts w:ascii="宋体" w:hAnsi="宋体" w:cs="宋体" w:eastAsia="宋体" w:hint="default"/>
          <w:sz w:val="21"/>
          <w:szCs w:val="21"/>
        </w:rPr>
      </w:pPr>
      <w:r>
        <w:rPr>
          <w:rFonts w:ascii="宋体" w:hAnsi="宋体" w:cs="宋体" w:eastAsia="宋体" w:hint="default"/>
          <w:sz w:val="21"/>
          <w:szCs w:val="21"/>
        </w:rPr>
        <w:t>军工行业正在发生的诸多变革也将为行业带来实质性利好。武器装备定价机制改革将打破原有</w:t>
      </w:r>
      <w:r>
        <w:rPr>
          <w:rFonts w:ascii="Times New Roman" w:hAnsi="Times New Roman" w:cs="Times New Roman" w:eastAsia="Times New Roman" w:hint="default"/>
          <w:sz w:val="21"/>
          <w:szCs w:val="21"/>
        </w:rPr>
        <w:t>“</w:t>
      </w:r>
      <w:r>
        <w:rPr>
          <w:rFonts w:ascii="宋体" w:hAnsi="宋体" w:cs="宋体" w:eastAsia="宋体" w:hint="default"/>
          <w:sz w:val="21"/>
          <w:szCs w:val="21"/>
        </w:rPr>
        <w:t>成本</w:t>
      </w:r>
      <w:r>
        <w:rPr>
          <w:rFonts w:ascii="宋体" w:hAnsi="宋体" w:cs="宋体" w:eastAsia="宋体" w:hint="default"/>
          <w:w w:val="99"/>
          <w:sz w:val="21"/>
          <w:szCs w:val="21"/>
        </w:rPr>
        <w:t> </w:t>
      </w:r>
      <w:r>
        <w:rPr>
          <w:rFonts w:ascii="宋体" w:hAnsi="宋体" w:cs="宋体" w:eastAsia="宋体" w:hint="default"/>
          <w:sz w:val="21"/>
          <w:szCs w:val="21"/>
        </w:rPr>
        <w:t>加成</w:t>
      </w:r>
      <w:r>
        <w:rPr>
          <w:rFonts w:ascii="Times New Roman" w:hAnsi="Times New Roman" w:cs="Times New Roman" w:eastAsia="Times New Roman" w:hint="default"/>
          <w:sz w:val="21"/>
          <w:szCs w:val="21"/>
        </w:rPr>
        <w:t>”</w:t>
      </w:r>
      <w:r>
        <w:rPr>
          <w:rFonts w:ascii="宋体" w:hAnsi="宋体" w:cs="宋体" w:eastAsia="宋体" w:hint="default"/>
          <w:sz w:val="21"/>
          <w:szCs w:val="21"/>
        </w:rPr>
        <w:t>方式设定的价格壁垒，有助于释放军工企业的经营活力，拥有核心技术能力的企业将拥有更强的议</w:t>
      </w:r>
      <w:r>
        <w:rPr>
          <w:rFonts w:ascii="宋体" w:hAnsi="宋体" w:cs="宋体" w:eastAsia="宋体" w:hint="default"/>
          <w:w w:val="99"/>
          <w:sz w:val="21"/>
          <w:szCs w:val="21"/>
        </w:rPr>
        <w:t> </w:t>
      </w:r>
      <w:r>
        <w:rPr>
          <w:rFonts w:ascii="宋体" w:hAnsi="宋体" w:cs="宋体" w:eastAsia="宋体" w:hint="default"/>
          <w:w w:val="95"/>
          <w:sz w:val="21"/>
          <w:szCs w:val="21"/>
        </w:rPr>
        <w:t>价能力，盈利水平有望显著提高。各大军工集团正在进行混合所有制改革和科研院所改制，有助于提升企</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9"/>
          <w:sz w:val="21"/>
          <w:szCs w:val="21"/>
        </w:rPr>
        <w:t>业经营治理能力、降本增效。</w:t>
      </w:r>
      <w:r>
        <w:rPr>
          <w:rFonts w:ascii="Times New Roman" w:hAnsi="Times New Roman" w:cs="Times New Roman" w:eastAsia="Times New Roman" w:hint="default"/>
          <w:w w:val="99"/>
          <w:sz w:val="21"/>
          <w:szCs w:val="21"/>
        </w:rPr>
        <w:t>2018</w:t>
      </w:r>
      <w:r>
        <w:rPr>
          <w:rFonts w:ascii="Times New Roman" w:hAnsi="Times New Roman" w:cs="Times New Roman" w:eastAsia="Times New Roman" w:hint="default"/>
          <w:spacing w:val="7"/>
          <w:w w:val="99"/>
          <w:sz w:val="21"/>
          <w:szCs w:val="21"/>
        </w:rPr>
        <w:t> </w:t>
      </w:r>
      <w:r>
        <w:rPr>
          <w:rFonts w:ascii="宋体" w:hAnsi="宋体" w:cs="宋体" w:eastAsia="宋体" w:hint="default"/>
          <w:w w:val="99"/>
          <w:sz w:val="21"/>
          <w:szCs w:val="21"/>
        </w:rPr>
        <w:t>年</w:t>
      </w:r>
      <w:r>
        <w:rPr>
          <w:rFonts w:ascii="宋体" w:hAnsi="宋体" w:cs="宋体" w:eastAsia="宋体" w:hint="default"/>
          <w:spacing w:val="-45"/>
          <w:w w:val="99"/>
          <w:sz w:val="21"/>
          <w:szCs w:val="21"/>
        </w:rPr>
        <w:t> </w:t>
      </w:r>
      <w:r>
        <w:rPr>
          <w:rFonts w:ascii="Times New Roman" w:hAnsi="Times New Roman" w:cs="Times New Roman" w:eastAsia="Times New Roman" w:hint="default"/>
          <w:w w:val="99"/>
          <w:sz w:val="21"/>
          <w:szCs w:val="21"/>
        </w:rPr>
        <w:t>3</w:t>
      </w:r>
      <w:r>
        <w:rPr>
          <w:rFonts w:ascii="Times New Roman" w:hAnsi="Times New Roman" w:cs="Times New Roman" w:eastAsia="Times New Roman" w:hint="default"/>
          <w:spacing w:val="9"/>
          <w:w w:val="99"/>
          <w:sz w:val="21"/>
          <w:szCs w:val="21"/>
        </w:rPr>
        <w:t> </w:t>
      </w:r>
      <w:r>
        <w:rPr>
          <w:rFonts w:ascii="宋体" w:hAnsi="宋体" w:cs="宋体" w:eastAsia="宋体" w:hint="default"/>
          <w:spacing w:val="-4"/>
          <w:w w:val="99"/>
          <w:sz w:val="21"/>
          <w:szCs w:val="21"/>
        </w:rPr>
        <w:t>月，国家发布《军民融合发展战略纲要》，表明了国家坚定实施军</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w w:val="95"/>
          <w:sz w:val="21"/>
          <w:szCs w:val="21"/>
        </w:rPr>
        <w:t>民融合发展战略构建一体化国家战略体系的决心。总之，国家大力支持</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民参军</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，显示了军工行业前景光</w:t>
      </w:r>
      <w:r>
        <w:rPr>
          <w:rFonts w:ascii="宋体" w:hAnsi="宋体" w:cs="宋体" w:eastAsia="宋体" w:hint="default"/>
          <w:spacing w:val="60"/>
          <w:w w:val="95"/>
          <w:sz w:val="21"/>
          <w:szCs w:val="21"/>
        </w:rPr>
        <w:t> </w:t>
      </w:r>
      <w:r>
        <w:rPr>
          <w:rFonts w:ascii="宋体" w:hAnsi="宋体" w:cs="宋体" w:eastAsia="宋体" w:hint="default"/>
          <w:spacing w:val="60"/>
          <w:w w:val="95"/>
          <w:sz w:val="21"/>
          <w:szCs w:val="21"/>
        </w:rPr>
      </w:r>
      <w:r>
        <w:rPr>
          <w:rFonts w:ascii="宋体" w:hAnsi="宋体" w:cs="宋体" w:eastAsia="宋体" w:hint="default"/>
          <w:w w:val="95"/>
          <w:sz w:val="21"/>
          <w:szCs w:val="21"/>
        </w:rPr>
        <w:t>明，为企业创造了发展机遇。公司将抓住这难得机遇，继续将转型军工的战略，向纵深发展，争取谋取更</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大的效益回报社会、回报股东。</w:t>
      </w:r>
    </w:p>
    <w:p>
      <w:pPr>
        <w:spacing w:before="99"/>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、煤矿安全行业</w:t>
      </w:r>
    </w:p>
    <w:p>
      <w:pPr>
        <w:spacing w:line="240" w:lineRule="auto" w:before="6"/>
        <w:rPr>
          <w:rFonts w:ascii="宋体" w:hAnsi="宋体" w:cs="宋体" w:eastAsia="宋体" w:hint="default"/>
          <w:sz w:val="16"/>
          <w:szCs w:val="16"/>
        </w:rPr>
      </w:pPr>
    </w:p>
    <w:p>
      <w:pPr>
        <w:spacing w:line="391" w:lineRule="auto" w:before="0"/>
        <w:ind w:left="112" w:right="1132" w:firstLine="420"/>
        <w:jc w:val="both"/>
        <w:rPr>
          <w:rFonts w:ascii="宋体" w:hAnsi="宋体" w:cs="宋体" w:eastAsia="宋体" w:hint="default"/>
          <w:sz w:val="21"/>
          <w:szCs w:val="21"/>
        </w:rPr>
      </w:pPr>
      <w:r>
        <w:rPr>
          <w:rFonts w:ascii="Times New Roman" w:hAnsi="Times New Roman" w:cs="Times New Roman" w:eastAsia="Times New Roman" w:hint="default"/>
          <w:w w:val="95"/>
          <w:sz w:val="21"/>
          <w:szCs w:val="21"/>
        </w:rPr>
        <w:t>2018</w:t>
      </w:r>
      <w:r>
        <w:rPr>
          <w:rFonts w:ascii="Times New Roman" w:hAnsi="Times New Roman" w:cs="Times New Roman" w:eastAsia="Times New Roman" w:hint="default"/>
          <w:spacing w:val="46"/>
          <w:w w:val="95"/>
          <w:sz w:val="21"/>
          <w:szCs w:val="21"/>
        </w:rPr>
        <w:t> </w:t>
      </w:r>
      <w:r>
        <w:rPr>
          <w:rFonts w:ascii="宋体" w:hAnsi="宋体" w:cs="宋体" w:eastAsia="宋体" w:hint="default"/>
          <w:w w:val="95"/>
          <w:sz w:val="21"/>
          <w:szCs w:val="21"/>
        </w:rPr>
        <w:t>年，随着煤炭行业去产能与结构优化、转型升级的进一步深入，市场出现积极变化，呈现进一步</w:t>
      </w:r>
      <w:r>
        <w:rPr>
          <w:rFonts w:ascii="宋体" w:hAnsi="宋体" w:cs="宋体" w:eastAsia="宋体" w:hint="default"/>
          <w:w w:val="99"/>
          <w:sz w:val="21"/>
          <w:szCs w:val="21"/>
        </w:rPr>
        <w:t> </w:t>
      </w:r>
      <w:r>
        <w:rPr>
          <w:rFonts w:ascii="宋体" w:hAnsi="宋体" w:cs="宋体" w:eastAsia="宋体" w:hint="default"/>
          <w:spacing w:val="-2"/>
          <w:w w:val="99"/>
          <w:sz w:val="21"/>
          <w:szCs w:val="21"/>
        </w:rPr>
        <w:t>回暖趋势。根据中国煤炭工业协议会发布的《</w:t>
      </w:r>
      <w:r>
        <w:rPr>
          <w:rFonts w:ascii="Times New Roman" w:hAnsi="Times New Roman" w:cs="Times New Roman" w:eastAsia="Times New Roman" w:hint="default"/>
          <w:spacing w:val="-2"/>
          <w:w w:val="99"/>
          <w:sz w:val="21"/>
          <w:szCs w:val="21"/>
        </w:rPr>
        <w:t>2018</w:t>
      </w:r>
      <w:r>
        <w:rPr>
          <w:rFonts w:ascii="Times New Roman" w:hAnsi="Times New Roman" w:cs="Times New Roman" w:eastAsia="Times New Roman" w:hint="default"/>
          <w:spacing w:val="4"/>
          <w:w w:val="99"/>
          <w:sz w:val="21"/>
          <w:szCs w:val="21"/>
        </w:rPr>
        <w:t> </w:t>
      </w:r>
      <w:r>
        <w:rPr>
          <w:rFonts w:ascii="宋体" w:hAnsi="宋体" w:cs="宋体" w:eastAsia="宋体" w:hint="default"/>
          <w:spacing w:val="-8"/>
          <w:w w:val="99"/>
          <w:sz w:val="21"/>
          <w:szCs w:val="21"/>
        </w:rPr>
        <w:t>煤炭行业发展年度报告》，</w:t>
      </w:r>
      <w:r>
        <w:rPr>
          <w:rFonts w:ascii="Times New Roman" w:hAnsi="Times New Roman" w:cs="Times New Roman" w:eastAsia="Times New Roman" w:hint="default"/>
          <w:spacing w:val="-8"/>
          <w:w w:val="99"/>
          <w:sz w:val="21"/>
          <w:szCs w:val="21"/>
        </w:rPr>
        <w:t>2018</w:t>
      </w:r>
      <w:r>
        <w:rPr>
          <w:rFonts w:ascii="Times New Roman" w:hAnsi="Times New Roman" w:cs="Times New Roman" w:eastAsia="Times New Roman" w:hint="default"/>
          <w:spacing w:val="4"/>
          <w:w w:val="99"/>
          <w:sz w:val="21"/>
          <w:szCs w:val="21"/>
        </w:rPr>
        <w:t> </w:t>
      </w:r>
      <w:r>
        <w:rPr>
          <w:rFonts w:ascii="宋体" w:hAnsi="宋体" w:cs="宋体" w:eastAsia="宋体" w:hint="default"/>
          <w:w w:val="99"/>
          <w:sz w:val="21"/>
          <w:szCs w:val="21"/>
        </w:rPr>
        <w:t>年全国原煤产量</w:t>
      </w:r>
      <w:r>
        <w:rPr>
          <w:rFonts w:ascii="宋体" w:hAnsi="宋体" w:cs="宋体" w:eastAsia="宋体" w:hint="default"/>
          <w:spacing w:val="-45"/>
          <w:w w:val="99"/>
          <w:sz w:val="21"/>
          <w:szCs w:val="21"/>
        </w:rPr>
        <w:t> </w:t>
      </w:r>
      <w:r>
        <w:rPr>
          <w:rFonts w:ascii="Times New Roman" w:hAnsi="Times New Roman" w:cs="Times New Roman" w:eastAsia="Times New Roman" w:hint="default"/>
          <w:w w:val="99"/>
          <w:sz w:val="21"/>
          <w:szCs w:val="21"/>
        </w:rPr>
        <w:t>36.8</w:t>
      </w:r>
      <w:r>
        <w:rPr>
          <w:rFonts w:ascii="Times New Roman" w:hAnsi="Times New Roman" w:cs="Times New Roman" w:eastAsia="Times New Roman" w:hint="default"/>
          <w:spacing w:val="4"/>
          <w:w w:val="99"/>
          <w:sz w:val="21"/>
          <w:szCs w:val="21"/>
        </w:rPr>
        <w:t> </w:t>
      </w:r>
      <w:r>
        <w:rPr>
          <w:rFonts w:ascii="宋体" w:hAnsi="宋体" w:cs="宋体" w:eastAsia="宋体" w:hint="default"/>
          <w:w w:val="99"/>
          <w:sz w:val="21"/>
          <w:szCs w:val="21"/>
        </w:rPr>
        <w:t>亿</w:t>
      </w:r>
      <w:r>
        <w:rPr>
          <w:rFonts w:ascii="宋体" w:hAnsi="宋体" w:cs="宋体" w:eastAsia="宋体" w:hint="default"/>
          <w:spacing w:val="-102"/>
          <w:w w:val="99"/>
          <w:sz w:val="21"/>
          <w:szCs w:val="21"/>
        </w:rPr>
        <w:t> </w:t>
      </w:r>
      <w:r>
        <w:rPr>
          <w:rFonts w:ascii="宋体" w:hAnsi="宋体" w:cs="宋体" w:eastAsia="宋体" w:hint="default"/>
          <w:spacing w:val="-5"/>
          <w:w w:val="95"/>
          <w:sz w:val="21"/>
          <w:szCs w:val="21"/>
        </w:rPr>
        <w:t>吨，同比增长 </w:t>
      </w:r>
      <w:r>
        <w:rPr>
          <w:rFonts w:ascii="Times New Roman" w:hAnsi="Times New Roman" w:cs="Times New Roman" w:eastAsia="Times New Roman" w:hint="default"/>
          <w:w w:val="95"/>
          <w:sz w:val="21"/>
          <w:szCs w:val="21"/>
        </w:rPr>
        <w:t>4.5%</w:t>
      </w:r>
      <w:r>
        <w:rPr>
          <w:rFonts w:ascii="宋体" w:hAnsi="宋体" w:cs="宋体" w:eastAsia="宋体" w:hint="default"/>
          <w:w w:val="95"/>
          <w:sz w:val="21"/>
          <w:szCs w:val="21"/>
        </w:rPr>
        <w:t>。煤炭行业供给侧改革的进一步优化以及财政支出继续扩张，其景气度有望延续良好势</w:t>
      </w:r>
      <w:r>
        <w:rPr>
          <w:rFonts w:ascii="宋体" w:hAnsi="宋体" w:cs="宋体" w:eastAsia="宋体" w:hint="default"/>
          <w:spacing w:val="69"/>
          <w:w w:val="95"/>
          <w:sz w:val="21"/>
          <w:szCs w:val="21"/>
        </w:rPr>
        <w:t> </w:t>
      </w:r>
      <w:r>
        <w:rPr>
          <w:rFonts w:ascii="宋体" w:hAnsi="宋体" w:cs="宋体" w:eastAsia="宋体" w:hint="default"/>
          <w:spacing w:val="69"/>
          <w:w w:val="95"/>
          <w:sz w:val="21"/>
          <w:szCs w:val="21"/>
        </w:rPr>
      </w:r>
      <w:r>
        <w:rPr>
          <w:rFonts w:ascii="宋体" w:hAnsi="宋体" w:cs="宋体" w:eastAsia="宋体" w:hint="default"/>
          <w:w w:val="95"/>
          <w:sz w:val="21"/>
          <w:szCs w:val="21"/>
        </w:rPr>
        <w:t>头。中国煤炭行业整体运行平稳，煤炭价格全年保持高位运行，加之我国能源消费总量逐年增长，虽然煤</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炭占比呈小幅下降趋势，但煤炭消费的绝对数量未来仍有稳步增长的潜力。</w:t>
      </w:r>
    </w:p>
    <w:p>
      <w:pPr>
        <w:spacing w:before="101"/>
        <w:ind w:left="532" w:right="987" w:firstLine="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5"/>
          <w:sz w:val="21"/>
          <w:szCs w:val="21"/>
        </w:rPr>
        <w:t> </w:t>
      </w:r>
      <w:r>
        <w:rPr>
          <w:rFonts w:ascii="宋体" w:hAnsi="宋体" w:cs="宋体" w:eastAsia="宋体" w:hint="default"/>
          <w:sz w:val="21"/>
          <w:szCs w:val="21"/>
        </w:rPr>
        <w:t>年开始，全国产煤企业进行第四次安全监控系统升级换代工作，无疑将为公司的更好发展带</w:t>
      </w:r>
    </w:p>
    <w:p>
      <w:pPr>
        <w:spacing w:before="177"/>
        <w:ind w:left="112" w:right="987" w:firstLine="0"/>
        <w:jc w:val="left"/>
        <w:rPr>
          <w:rFonts w:ascii="宋体" w:hAnsi="宋体" w:cs="宋体" w:eastAsia="宋体" w:hint="default"/>
          <w:sz w:val="21"/>
          <w:szCs w:val="21"/>
        </w:rPr>
      </w:pPr>
      <w:r>
        <w:rPr>
          <w:rFonts w:ascii="宋体" w:hAnsi="宋体" w:cs="宋体" w:eastAsia="宋体" w:hint="default"/>
          <w:sz w:val="21"/>
          <w:szCs w:val="21"/>
        </w:rPr>
        <w:t>来新的机会。全国煤矿发生了</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起较大以上事故、共造成</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人死亡。特别是陕西省榆林市神木市百吉矿</w:t>
      </w:r>
    </w:p>
    <w:p>
      <w:pPr>
        <w:spacing w:after="0"/>
        <w:jc w:val="left"/>
        <w:rPr>
          <w:rFonts w:ascii="宋体" w:hAnsi="宋体" w:cs="宋体" w:eastAsia="宋体" w:hint="default"/>
          <w:sz w:val="21"/>
          <w:szCs w:val="21"/>
        </w:rPr>
        <w:sectPr>
          <w:headerReference w:type="default" r:id="rId18"/>
          <w:pgSz w:w="11910" w:h="16840"/>
          <w:pgMar w:header="919" w:footer="1028" w:top="1700" w:bottom="1220" w:left="1020" w:right="0"/>
        </w:sectPr>
      </w:pPr>
    </w:p>
    <w:p>
      <w:pPr>
        <w:spacing w:line="240" w:lineRule="auto" w:before="9"/>
        <w:rPr>
          <w:rFonts w:ascii="宋体" w:hAnsi="宋体" w:cs="宋体" w:eastAsia="宋体" w:hint="default"/>
          <w:sz w:val="27"/>
          <w:szCs w:val="27"/>
        </w:rPr>
      </w:pPr>
    </w:p>
    <w:p>
      <w:pPr>
        <w:spacing w:line="398" w:lineRule="auto" w:before="34"/>
        <w:ind w:left="112" w:right="1132" w:firstLine="0"/>
        <w:jc w:val="both"/>
        <w:rPr>
          <w:rFonts w:ascii="宋体" w:hAnsi="宋体" w:cs="宋体" w:eastAsia="宋体" w:hint="default"/>
          <w:sz w:val="21"/>
          <w:szCs w:val="21"/>
        </w:rPr>
      </w:pPr>
      <w:r>
        <w:rPr>
          <w:rFonts w:ascii="宋体" w:hAnsi="宋体" w:cs="宋体" w:eastAsia="宋体" w:hint="default"/>
          <w:spacing w:val="-2"/>
          <w:w w:val="95"/>
          <w:sz w:val="21"/>
          <w:szCs w:val="21"/>
        </w:rPr>
        <w:t>业有限责任公司李家沟煤矿</w:t>
      </w:r>
      <w:r>
        <w:rPr>
          <w:rFonts w:ascii="Times New Roman" w:hAnsi="Times New Roman" w:cs="Times New Roman" w:eastAsia="Times New Roman" w:hint="default"/>
          <w:spacing w:val="-2"/>
          <w:w w:val="95"/>
          <w:sz w:val="21"/>
          <w:szCs w:val="21"/>
        </w:rPr>
        <w:t>“1</w:t>
      </w:r>
      <w:r>
        <w:rPr>
          <w:rFonts w:ascii="宋体" w:hAnsi="宋体" w:cs="宋体" w:eastAsia="宋体" w:hint="default"/>
          <w:spacing w:val="-2"/>
          <w:w w:val="95"/>
          <w:sz w:val="21"/>
          <w:szCs w:val="21"/>
        </w:rPr>
        <w:t>·</w:t>
      </w:r>
      <w:r>
        <w:rPr>
          <w:rFonts w:ascii="Times New Roman" w:hAnsi="Times New Roman" w:cs="Times New Roman" w:eastAsia="Times New Roman" w:hint="default"/>
          <w:spacing w:val="-2"/>
          <w:w w:val="95"/>
          <w:sz w:val="21"/>
          <w:szCs w:val="21"/>
        </w:rPr>
        <w:t>12”</w:t>
      </w:r>
      <w:r>
        <w:rPr>
          <w:rFonts w:ascii="宋体" w:hAnsi="宋体" w:cs="宋体" w:eastAsia="宋体" w:hint="default"/>
          <w:spacing w:val="-2"/>
          <w:w w:val="95"/>
          <w:sz w:val="21"/>
          <w:szCs w:val="21"/>
        </w:rPr>
        <w:t>重大煤尘爆炸事故，李克强总理、刘鹤副总理、王勇国务委员作出重要</w:t>
      </w:r>
      <w:r>
        <w:rPr>
          <w:rFonts w:ascii="宋体" w:hAnsi="宋体" w:cs="宋体" w:eastAsia="宋体" w:hint="default"/>
          <w:spacing w:val="56"/>
          <w:w w:val="95"/>
          <w:sz w:val="21"/>
          <w:szCs w:val="21"/>
        </w:rPr>
        <w:t> </w:t>
      </w:r>
      <w:r>
        <w:rPr>
          <w:rFonts w:ascii="宋体" w:hAnsi="宋体" w:cs="宋体" w:eastAsia="宋体" w:hint="default"/>
          <w:spacing w:val="56"/>
          <w:w w:val="95"/>
          <w:sz w:val="21"/>
          <w:szCs w:val="21"/>
        </w:rPr>
      </w:r>
      <w:r>
        <w:rPr>
          <w:rFonts w:ascii="宋体" w:hAnsi="宋体" w:cs="宋体" w:eastAsia="宋体" w:hint="default"/>
          <w:w w:val="95"/>
          <w:sz w:val="21"/>
          <w:szCs w:val="21"/>
        </w:rPr>
        <w:t>批示，对做好应急救援、善后处置、事故调查、责任追究和落实安全生产责任等提出了明确要求。公司的</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煤矿安全服务业务将有望在国家的大力支持下，继续稳步向前发展。</w:t>
      </w:r>
    </w:p>
    <w:p>
      <w:pPr>
        <w:spacing w:line="420" w:lineRule="auto" w:before="95"/>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、信息通信行业</w:t>
      </w:r>
      <w:r>
        <w:rPr>
          <w:rFonts w:ascii="宋体" w:hAnsi="宋体" w:cs="宋体" w:eastAsia="宋体" w:hint="default"/>
          <w:w w:val="99"/>
          <w:sz w:val="21"/>
          <w:szCs w:val="21"/>
        </w:rPr>
        <w:t> </w:t>
      </w:r>
      <w:r>
        <w:rPr>
          <w:rFonts w:ascii="宋体" w:hAnsi="宋体" w:cs="宋体" w:eastAsia="宋体" w:hint="default"/>
          <w:w w:val="95"/>
          <w:sz w:val="21"/>
          <w:szCs w:val="21"/>
        </w:rPr>
        <w:t>当今社会，信息通信行业飞速发展，技术日新月异，新产品层出不穷，应用范围不断扩大，在各个方</w:t>
      </w:r>
      <w:r>
        <w:rPr>
          <w:rFonts w:ascii="宋体" w:hAnsi="宋体" w:cs="宋体" w:eastAsia="宋体" w:hint="default"/>
          <w:sz w:val="21"/>
          <w:szCs w:val="21"/>
        </w:rPr>
      </w:r>
    </w:p>
    <w:p>
      <w:pPr>
        <w:spacing w:line="408" w:lineRule="auto" w:before="35"/>
        <w:ind w:left="112" w:right="1132" w:firstLine="0"/>
        <w:jc w:val="both"/>
        <w:rPr>
          <w:rFonts w:ascii="宋体" w:hAnsi="宋体" w:cs="宋体" w:eastAsia="宋体" w:hint="default"/>
          <w:sz w:val="21"/>
          <w:szCs w:val="21"/>
        </w:rPr>
      </w:pPr>
      <w:r>
        <w:rPr>
          <w:rFonts w:ascii="宋体" w:hAnsi="宋体" w:cs="宋体" w:eastAsia="宋体" w:hint="default"/>
          <w:w w:val="95"/>
          <w:sz w:val="21"/>
          <w:szCs w:val="21"/>
        </w:rPr>
        <w:t>面深入影响着人类的工作和生产，行业发展前景巨大。公司的信息通信业务重点包括三大块业务：矿山通</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信、轨道交通通信、军工信息通信。</w:t>
      </w:r>
    </w:p>
    <w:p>
      <w:pPr>
        <w:spacing w:line="398" w:lineRule="auto" w:before="84"/>
        <w:ind w:left="112" w:right="98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年，随着煤炭行业供给侧结构性改革进一步深化，煤炭企业盈利能力增强，为煤炭提供安全装</w:t>
      </w:r>
      <w:r>
        <w:rPr>
          <w:rFonts w:ascii="宋体" w:hAnsi="宋体" w:cs="宋体" w:eastAsia="宋体" w:hint="default"/>
          <w:w w:val="99"/>
          <w:sz w:val="21"/>
          <w:szCs w:val="21"/>
        </w:rPr>
        <w:t> </w:t>
      </w:r>
      <w:r>
        <w:rPr>
          <w:rFonts w:ascii="宋体" w:hAnsi="宋体" w:cs="宋体" w:eastAsia="宋体" w:hint="default"/>
          <w:sz w:val="21"/>
          <w:szCs w:val="21"/>
        </w:rPr>
        <w:t>备、信息化建设等各项产品、技术及其他服务的行业分别在不同程度上进一步好转。基于公司现有的矿用</w:t>
      </w:r>
      <w:r>
        <w:rPr>
          <w:rFonts w:ascii="宋体" w:hAnsi="宋体" w:cs="宋体" w:eastAsia="宋体" w:hint="default"/>
          <w:w w:val="99"/>
          <w:sz w:val="21"/>
          <w:szCs w:val="21"/>
        </w:rPr>
        <w:t> </w:t>
      </w:r>
      <w:r>
        <w:rPr>
          <w:rFonts w:ascii="宋体" w:hAnsi="宋体" w:cs="宋体" w:eastAsia="宋体" w:hint="default"/>
          <w:sz w:val="21"/>
          <w:szCs w:val="21"/>
        </w:rPr>
        <w:t>有线电话调度产品，矿用广播系统产品，矿用 </w:t>
      </w:r>
      <w:r>
        <w:rPr>
          <w:rFonts w:ascii="Times New Roman" w:hAnsi="Times New Roman" w:cs="Times New Roman" w:eastAsia="Times New Roman" w:hint="default"/>
          <w:sz w:val="21"/>
          <w:szCs w:val="21"/>
        </w:rPr>
        <w:t>4G</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无线基站产品，根据国有大型企业的下属矿井产量高，</w:t>
      </w:r>
      <w:r>
        <w:rPr>
          <w:rFonts w:ascii="宋体" w:hAnsi="宋体" w:cs="宋体" w:eastAsia="宋体" w:hint="default"/>
          <w:w w:val="99"/>
          <w:sz w:val="21"/>
          <w:szCs w:val="21"/>
        </w:rPr>
        <w:t> </w:t>
      </w:r>
      <w:r>
        <w:rPr>
          <w:rFonts w:ascii="宋体" w:hAnsi="宋体" w:cs="宋体" w:eastAsia="宋体" w:hint="default"/>
          <w:sz w:val="21"/>
          <w:szCs w:val="21"/>
        </w:rPr>
        <w:t>项目系统产品技术要求先进，信息化建设投资规模较高的特点，围绕神华集团、山西焦煤集团等国有大型</w:t>
      </w:r>
      <w:r>
        <w:rPr>
          <w:rFonts w:ascii="宋体" w:hAnsi="宋体" w:cs="宋体" w:eastAsia="宋体" w:hint="default"/>
          <w:w w:val="99"/>
          <w:sz w:val="21"/>
          <w:szCs w:val="21"/>
        </w:rPr>
        <w:t> </w:t>
      </w:r>
      <w:r>
        <w:rPr>
          <w:rFonts w:ascii="宋体" w:hAnsi="宋体" w:cs="宋体" w:eastAsia="宋体" w:hint="default"/>
          <w:sz w:val="21"/>
          <w:szCs w:val="21"/>
        </w:rPr>
        <w:t>煤炭能源企业，充分发挥近年来在大型企业做过的无线通信案例，继续深耕此类客户。同时在煤化工及其</w:t>
      </w:r>
      <w:r>
        <w:rPr>
          <w:rFonts w:ascii="宋体" w:hAnsi="宋体" w:cs="宋体" w:eastAsia="宋体" w:hint="default"/>
          <w:w w:val="99"/>
          <w:sz w:val="21"/>
          <w:szCs w:val="21"/>
        </w:rPr>
        <w:t> </w:t>
      </w:r>
      <w:r>
        <w:rPr>
          <w:rFonts w:ascii="宋体" w:hAnsi="宋体" w:cs="宋体" w:eastAsia="宋体" w:hint="default"/>
          <w:sz w:val="21"/>
          <w:szCs w:val="21"/>
        </w:rPr>
        <w:t>他化工厂区主要销售防爆型宽带 </w:t>
      </w:r>
      <w:r>
        <w:rPr>
          <w:rFonts w:ascii="Times New Roman" w:hAnsi="Times New Roman" w:cs="Times New Roman" w:eastAsia="Times New Roman" w:hint="default"/>
          <w:spacing w:val="-7"/>
          <w:sz w:val="21"/>
          <w:szCs w:val="21"/>
        </w:rPr>
        <w:t>LTE</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无线集群调度系统产品，主要立足宁煤煤化工基地，积极发展榆林</w:t>
      </w:r>
      <w:r>
        <w:rPr>
          <w:rFonts w:ascii="宋体" w:hAnsi="宋体" w:cs="宋体" w:eastAsia="宋体" w:hint="default"/>
          <w:w w:val="99"/>
          <w:sz w:val="21"/>
          <w:szCs w:val="21"/>
        </w:rPr>
        <w:t> </w:t>
      </w:r>
      <w:r>
        <w:rPr>
          <w:rFonts w:ascii="宋体" w:hAnsi="宋体" w:cs="宋体" w:eastAsia="宋体" w:hint="default"/>
          <w:sz w:val="21"/>
          <w:szCs w:val="21"/>
        </w:rPr>
        <w:t>和内蒙煤化工客户。</w:t>
      </w:r>
    </w:p>
    <w:p>
      <w:pPr>
        <w:spacing w:line="391" w:lineRule="auto" w:before="95"/>
        <w:ind w:left="112" w:right="987" w:firstLine="420"/>
        <w:jc w:val="left"/>
        <w:rPr>
          <w:rFonts w:ascii="宋体" w:hAnsi="宋体" w:cs="宋体" w:eastAsia="宋体" w:hint="default"/>
          <w:sz w:val="21"/>
          <w:szCs w:val="21"/>
        </w:rPr>
      </w:pPr>
      <w:r>
        <w:rPr>
          <w:rFonts w:ascii="宋体" w:hAnsi="宋体" w:cs="宋体" w:eastAsia="宋体" w:hint="default"/>
          <w:sz w:val="21"/>
          <w:szCs w:val="21"/>
        </w:rPr>
        <w:t>按照国家</w:t>
      </w:r>
      <w:r>
        <w:rPr>
          <w:rFonts w:ascii="Times New Roman" w:hAnsi="Times New Roman" w:cs="Times New Roman" w:eastAsia="Times New Roman" w:hint="default"/>
          <w:sz w:val="21"/>
          <w:szCs w:val="21"/>
        </w:rPr>
        <w:t>“</w:t>
      </w:r>
      <w:r>
        <w:rPr>
          <w:rFonts w:ascii="宋体" w:hAnsi="宋体" w:cs="宋体" w:eastAsia="宋体" w:hint="default"/>
          <w:sz w:val="21"/>
          <w:szCs w:val="21"/>
        </w:rPr>
        <w:t>十三五</w:t>
      </w:r>
      <w:r>
        <w:rPr>
          <w:rFonts w:ascii="Times New Roman" w:hAnsi="Times New Roman" w:cs="Times New Roman" w:eastAsia="Times New Roman" w:hint="default"/>
          <w:sz w:val="21"/>
          <w:szCs w:val="21"/>
        </w:rPr>
        <w:t>”</w:t>
      </w:r>
      <w:r>
        <w:rPr>
          <w:rFonts w:ascii="宋体" w:hAnsi="宋体" w:cs="宋体" w:eastAsia="宋体" w:hint="default"/>
          <w:sz w:val="21"/>
          <w:szCs w:val="21"/>
        </w:rPr>
        <w:t>规划及相关产业政策，铁路、城市轨道交通、能源等相关领域都是国家重点高速投</w:t>
      </w:r>
      <w:r>
        <w:rPr>
          <w:rFonts w:ascii="宋体" w:hAnsi="宋体" w:cs="宋体" w:eastAsia="宋体" w:hint="default"/>
          <w:w w:val="99"/>
          <w:sz w:val="21"/>
          <w:szCs w:val="21"/>
        </w:rPr>
        <w:t> </w:t>
      </w:r>
      <w:r>
        <w:rPr>
          <w:rFonts w:ascii="宋体" w:hAnsi="宋体" w:cs="宋体" w:eastAsia="宋体" w:hint="default"/>
          <w:sz w:val="21"/>
          <w:szCs w:val="21"/>
        </w:rPr>
        <w:t>入的行业，为公司的持续盈利奠定了坚实基础。我国高速铁路网将由</w:t>
      </w:r>
      <w:r>
        <w:rPr>
          <w:rFonts w:ascii="Times New Roman" w:hAnsi="Times New Roman" w:cs="Times New Roman" w:eastAsia="Times New Roman" w:hint="default"/>
          <w:sz w:val="21"/>
          <w:szCs w:val="21"/>
        </w:rPr>
        <w:t>“</w:t>
      </w:r>
      <w:r>
        <w:rPr>
          <w:rFonts w:ascii="宋体" w:hAnsi="宋体" w:cs="宋体" w:eastAsia="宋体" w:hint="default"/>
          <w:sz w:val="21"/>
          <w:szCs w:val="21"/>
        </w:rPr>
        <w:t>四纵四横</w:t>
      </w:r>
      <w:r>
        <w:rPr>
          <w:rFonts w:ascii="Times New Roman" w:hAnsi="Times New Roman" w:cs="Times New Roman" w:eastAsia="Times New Roman" w:hint="default"/>
          <w:sz w:val="21"/>
          <w:szCs w:val="21"/>
        </w:rPr>
        <w:t>”</w:t>
      </w:r>
      <w:r>
        <w:rPr>
          <w:rFonts w:ascii="宋体" w:hAnsi="宋体" w:cs="宋体" w:eastAsia="宋体" w:hint="default"/>
          <w:sz w:val="21"/>
          <w:szCs w:val="21"/>
        </w:rPr>
        <w:t>升级为</w:t>
      </w:r>
      <w:r>
        <w:rPr>
          <w:rFonts w:ascii="Times New Roman" w:hAnsi="Times New Roman" w:cs="Times New Roman" w:eastAsia="Times New Roman" w:hint="default"/>
          <w:sz w:val="21"/>
          <w:szCs w:val="21"/>
        </w:rPr>
        <w:t>“</w:t>
      </w:r>
      <w:r>
        <w:rPr>
          <w:rFonts w:ascii="宋体" w:hAnsi="宋体" w:cs="宋体" w:eastAsia="宋体" w:hint="default"/>
          <w:sz w:val="21"/>
          <w:szCs w:val="21"/>
        </w:rPr>
        <w:t>八纵八横</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宋体" w:hAnsi="宋体" w:cs="宋体" w:eastAsia="宋体" w:hint="default"/>
          <w:w w:val="99"/>
          <w:sz w:val="21"/>
          <w:szCs w:val="21"/>
        </w:rPr>
        <w:t> </w:t>
      </w:r>
      <w:r>
        <w:rPr>
          <w:rFonts w:ascii="宋体" w:hAnsi="宋体" w:cs="宋体" w:eastAsia="宋体" w:hint="default"/>
          <w:sz w:val="21"/>
          <w:szCs w:val="21"/>
        </w:rPr>
        <w:t>铁路版图将基本实现</w:t>
      </w:r>
      <w:r>
        <w:rPr>
          <w:rFonts w:ascii="Times New Roman" w:hAnsi="Times New Roman" w:cs="Times New Roman" w:eastAsia="Times New Roman" w:hint="default"/>
          <w:sz w:val="21"/>
          <w:szCs w:val="21"/>
        </w:rPr>
        <w:t>“</w:t>
      </w:r>
      <w:r>
        <w:rPr>
          <w:rFonts w:ascii="宋体" w:hAnsi="宋体" w:cs="宋体" w:eastAsia="宋体" w:hint="default"/>
          <w:sz w:val="21"/>
          <w:szCs w:val="21"/>
        </w:rPr>
        <w:t>省会高铁连通、地市快速通达、县域基本覆盖</w:t>
      </w:r>
      <w:r>
        <w:rPr>
          <w:rFonts w:ascii="Times New Roman" w:hAnsi="Times New Roman" w:cs="Times New Roman" w:eastAsia="Times New Roman" w:hint="default"/>
          <w:sz w:val="21"/>
          <w:szCs w:val="21"/>
        </w:rPr>
        <w:t>”</w:t>
      </w:r>
      <w:r>
        <w:rPr>
          <w:rFonts w:ascii="宋体" w:hAnsi="宋体" w:cs="宋体" w:eastAsia="宋体" w:hint="default"/>
          <w:sz w:val="21"/>
          <w:szCs w:val="21"/>
        </w:rPr>
        <w:t>。到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39"/>
          <w:sz w:val="21"/>
          <w:szCs w:val="21"/>
        </w:rPr>
        <w:t> </w:t>
      </w:r>
      <w:r>
        <w:rPr>
          <w:rFonts w:ascii="宋体" w:hAnsi="宋体" w:cs="宋体" w:eastAsia="宋体" w:hint="default"/>
          <w:sz w:val="21"/>
          <w:szCs w:val="21"/>
        </w:rPr>
        <w:t>年，全国铁路营运里程达</w:t>
      </w:r>
      <w:r>
        <w:rPr>
          <w:rFonts w:ascii="宋体" w:hAnsi="宋体" w:cs="宋体" w:eastAsia="宋体" w:hint="default"/>
          <w:w w:val="99"/>
          <w:sz w:val="21"/>
          <w:szCs w:val="21"/>
        </w:rPr>
        <w:t> </w:t>
      </w:r>
      <w:r>
        <w:rPr>
          <w:rFonts w:ascii="宋体" w:hAnsi="宋体" w:cs="宋体" w:eastAsia="宋体" w:hint="default"/>
          <w:sz w:val="21"/>
          <w:szCs w:val="21"/>
        </w:rPr>
        <w:t>到</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50"/>
          <w:sz w:val="21"/>
          <w:szCs w:val="21"/>
        </w:rPr>
        <w:t> </w:t>
      </w:r>
      <w:r>
        <w:rPr>
          <w:rFonts w:ascii="宋体" w:hAnsi="宋体" w:cs="宋体" w:eastAsia="宋体" w:hint="default"/>
          <w:spacing w:val="-6"/>
          <w:sz w:val="21"/>
          <w:szCs w:val="21"/>
        </w:rPr>
        <w:t>万公里，其中高速铁路</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 </w:t>
      </w:r>
      <w:r>
        <w:rPr>
          <w:rFonts w:ascii="宋体" w:hAnsi="宋体" w:cs="宋体" w:eastAsia="宋体" w:hint="default"/>
          <w:spacing w:val="-4"/>
          <w:sz w:val="21"/>
          <w:szCs w:val="21"/>
        </w:rPr>
        <w:t>万公里，复线率和电气化率分别达到</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60%</w:t>
      </w:r>
      <w:r>
        <w:rPr>
          <w:rFonts w:ascii="宋体" w:hAnsi="宋体" w:cs="宋体" w:eastAsia="宋体" w:hint="default"/>
          <w:sz w:val="21"/>
          <w:szCs w:val="21"/>
        </w:rPr>
        <w:t>和</w:t>
      </w:r>
      <w:r>
        <w:rPr>
          <w:rFonts w:ascii="宋体" w:hAnsi="宋体" w:cs="宋体" w:eastAsia="宋体" w:hint="default"/>
          <w:spacing w:val="-1"/>
          <w:sz w:val="21"/>
          <w:szCs w:val="21"/>
        </w:rPr>
        <w:t> </w:t>
      </w:r>
      <w:r>
        <w:rPr>
          <w:rFonts w:ascii="Times New Roman" w:hAnsi="Times New Roman" w:cs="Times New Roman" w:eastAsia="Times New Roman" w:hint="default"/>
          <w:spacing w:val="-4"/>
          <w:sz w:val="21"/>
          <w:szCs w:val="21"/>
        </w:rPr>
        <w:t>70%</w:t>
      </w:r>
      <w:r>
        <w:rPr>
          <w:rFonts w:ascii="宋体" w:hAnsi="宋体" w:cs="宋体" w:eastAsia="宋体" w:hint="default"/>
          <w:spacing w:val="-4"/>
          <w:sz w:val="21"/>
          <w:szCs w:val="21"/>
        </w:rPr>
        <w:t>左右，基本形成布局合理、</w:t>
      </w:r>
      <w:r>
        <w:rPr>
          <w:rFonts w:ascii="宋体" w:hAnsi="宋体" w:cs="宋体" w:eastAsia="宋体" w:hint="default"/>
          <w:w w:val="99"/>
          <w:sz w:val="21"/>
          <w:szCs w:val="21"/>
        </w:rPr>
        <w:t> </w:t>
      </w:r>
      <w:r>
        <w:rPr>
          <w:rFonts w:ascii="宋体" w:hAnsi="宋体" w:cs="宋体" w:eastAsia="宋体" w:hint="default"/>
          <w:sz w:val="21"/>
          <w:szCs w:val="21"/>
        </w:rPr>
        <w:t>覆盖广泛、层次分明、安全高效的铁路网络。展望到</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2030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年，基本实现内外互联互通、区际多路畅通、</w:t>
      </w:r>
      <w:r>
        <w:rPr>
          <w:rFonts w:ascii="宋体" w:hAnsi="宋体" w:cs="宋体" w:eastAsia="宋体" w:hint="default"/>
          <w:w w:val="99"/>
          <w:sz w:val="21"/>
          <w:szCs w:val="21"/>
        </w:rPr>
        <w:t> </w:t>
      </w:r>
      <w:r>
        <w:rPr>
          <w:rFonts w:ascii="宋体" w:hAnsi="宋体" w:cs="宋体" w:eastAsia="宋体" w:hint="default"/>
          <w:sz w:val="21"/>
          <w:szCs w:val="21"/>
        </w:rPr>
        <w:t>省会高铁连通、地市快速通达、县域基本覆盖。因此，未来较长时间内，我国铁路建设行业还将保持较快</w:t>
      </w:r>
      <w:r>
        <w:rPr>
          <w:rFonts w:ascii="宋体" w:hAnsi="宋体" w:cs="宋体" w:eastAsia="宋体" w:hint="default"/>
          <w:w w:val="99"/>
          <w:sz w:val="21"/>
          <w:szCs w:val="21"/>
        </w:rPr>
        <w:t> </w:t>
      </w:r>
      <w:r>
        <w:rPr>
          <w:rFonts w:ascii="宋体" w:hAnsi="宋体" w:cs="宋体" w:eastAsia="宋体" w:hint="default"/>
          <w:sz w:val="21"/>
          <w:szCs w:val="21"/>
        </w:rPr>
        <w:t>的发展势头。</w:t>
      </w:r>
    </w:p>
    <w:p>
      <w:pPr>
        <w:spacing w:line="391" w:lineRule="auto" w:before="101"/>
        <w:ind w:left="112" w:right="987" w:firstLine="420"/>
        <w:jc w:val="left"/>
        <w:rPr>
          <w:rFonts w:ascii="宋体" w:hAnsi="宋体" w:cs="宋体" w:eastAsia="宋体" w:hint="default"/>
          <w:sz w:val="21"/>
          <w:szCs w:val="21"/>
        </w:rPr>
      </w:pPr>
      <w:r>
        <w:rPr>
          <w:rFonts w:ascii="宋体" w:hAnsi="宋体" w:cs="宋体" w:eastAsia="宋体" w:hint="default"/>
          <w:sz w:val="21"/>
          <w:szCs w:val="21"/>
        </w:rPr>
        <w:t>目前轨道交通市场主要聚焦于国铁吉讯和中车集团所两大客户，并逐步拓展铁科院、路局机务段等客</w:t>
      </w:r>
      <w:r>
        <w:rPr>
          <w:rFonts w:ascii="宋体" w:hAnsi="宋体" w:cs="宋体" w:eastAsia="宋体" w:hint="default"/>
          <w:w w:val="99"/>
          <w:sz w:val="21"/>
          <w:szCs w:val="21"/>
        </w:rPr>
        <w:t> </w:t>
      </w:r>
      <w:r>
        <w:rPr>
          <w:rFonts w:ascii="宋体" w:hAnsi="宋体" w:cs="宋体" w:eastAsia="宋体" w:hint="default"/>
          <w:sz w:val="21"/>
          <w:szCs w:val="21"/>
        </w:rPr>
        <w:t>户市场。在国铁吉讯市场方面，以复兴号动车组解决方案产品、和谐号改造解决方案产品、</w:t>
      </w:r>
      <w:r>
        <w:rPr>
          <w:rFonts w:ascii="Times New Roman" w:hAnsi="Times New Roman" w:cs="Times New Roman" w:eastAsia="Times New Roman" w:hint="default"/>
          <w:sz w:val="21"/>
          <w:szCs w:val="21"/>
        </w:rPr>
        <w:t>160</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时速交换</w:t>
      </w:r>
      <w:r>
        <w:rPr>
          <w:rFonts w:ascii="宋体" w:hAnsi="宋体" w:cs="宋体" w:eastAsia="宋体" w:hint="default"/>
          <w:w w:val="99"/>
          <w:sz w:val="21"/>
          <w:szCs w:val="21"/>
        </w:rPr>
        <w:t> </w:t>
      </w:r>
      <w:r>
        <w:rPr>
          <w:rFonts w:ascii="宋体" w:hAnsi="宋体" w:cs="宋体" w:eastAsia="宋体" w:hint="default"/>
          <w:sz w:val="21"/>
          <w:szCs w:val="21"/>
        </w:rPr>
        <w:t>机三个大的方向为主，努力形成批量销售和装车。公司的交换机系统和 </w:t>
      </w:r>
      <w:r>
        <w:rPr>
          <w:rFonts w:ascii="Times New Roman" w:hAnsi="Times New Roman" w:cs="Times New Roman" w:eastAsia="Times New Roman" w:hint="default"/>
          <w:sz w:val="21"/>
          <w:szCs w:val="21"/>
        </w:rPr>
        <w:t>WIFI</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系统有较强的竞争力，在中</w:t>
      </w:r>
      <w:r>
        <w:rPr>
          <w:rFonts w:ascii="宋体" w:hAnsi="宋体" w:cs="宋体" w:eastAsia="宋体" w:hint="default"/>
          <w:w w:val="99"/>
          <w:sz w:val="21"/>
          <w:szCs w:val="21"/>
        </w:rPr>
        <w:t> </w:t>
      </w:r>
      <w:r>
        <w:rPr>
          <w:rFonts w:ascii="宋体" w:hAnsi="宋体" w:cs="宋体" w:eastAsia="宋体" w:hint="default"/>
          <w:sz w:val="21"/>
          <w:szCs w:val="21"/>
        </w:rPr>
        <w:t>车集团所市场方面，公司车载无线系统和语音调度产品解决方案继续应用之外，</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年将拓展车内屏显</w:t>
      </w:r>
      <w:r>
        <w:rPr>
          <w:rFonts w:ascii="宋体" w:hAnsi="宋体" w:cs="宋体" w:eastAsia="宋体" w:hint="default"/>
          <w:w w:val="99"/>
          <w:sz w:val="21"/>
          <w:szCs w:val="21"/>
        </w:rPr>
        <w:t> </w:t>
      </w:r>
      <w:r>
        <w:rPr>
          <w:rFonts w:ascii="宋体" w:hAnsi="宋体" w:cs="宋体" w:eastAsia="宋体" w:hint="default"/>
          <w:sz w:val="21"/>
          <w:szCs w:val="21"/>
        </w:rPr>
        <w:t>控制系统产品、</w:t>
      </w:r>
      <w:r>
        <w:rPr>
          <w:rFonts w:ascii="Times New Roman" w:hAnsi="Times New Roman" w:cs="Times New Roman" w:eastAsia="Times New Roman" w:hint="default"/>
          <w:sz w:val="21"/>
          <w:szCs w:val="21"/>
        </w:rPr>
        <w:t>PIS </w:t>
      </w:r>
      <w:r>
        <w:rPr>
          <w:rFonts w:ascii="宋体" w:hAnsi="宋体" w:cs="宋体" w:eastAsia="宋体" w:hint="default"/>
          <w:sz w:val="21"/>
          <w:szCs w:val="21"/>
        </w:rPr>
        <w:t>交换机两个主要产品市场，并探索 </w:t>
      </w:r>
      <w:r>
        <w:rPr>
          <w:rFonts w:ascii="Times New Roman" w:hAnsi="Times New Roman" w:cs="Times New Roman" w:eastAsia="Times New Roman" w:hint="default"/>
          <w:sz w:val="21"/>
          <w:szCs w:val="21"/>
        </w:rPr>
        <w:t>5G</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通讯技术在轨交车载领域的应用，目前已经形</w:t>
      </w:r>
      <w:r>
        <w:rPr>
          <w:rFonts w:ascii="宋体" w:hAnsi="宋体" w:cs="宋体" w:eastAsia="宋体" w:hint="default"/>
          <w:w w:val="99"/>
          <w:sz w:val="21"/>
          <w:szCs w:val="21"/>
        </w:rPr>
        <w:t> </w:t>
      </w:r>
      <w:r>
        <w:rPr>
          <w:rFonts w:ascii="宋体" w:hAnsi="宋体" w:cs="宋体" w:eastAsia="宋体" w:hint="default"/>
          <w:sz w:val="21"/>
          <w:szCs w:val="21"/>
        </w:rPr>
        <w:t>成了屏显控制系统产品小批量发货，</w:t>
      </w:r>
      <w:r>
        <w:rPr>
          <w:rFonts w:ascii="Times New Roman" w:hAnsi="Times New Roman" w:cs="Times New Roman" w:eastAsia="Times New Roman" w:hint="default"/>
          <w:sz w:val="21"/>
          <w:szCs w:val="21"/>
        </w:rPr>
        <w:t>PIS</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交换机的试验和联调。在铁科院市场方面，今年将继续拓展研发</w:t>
      </w:r>
      <w:r>
        <w:rPr>
          <w:rFonts w:ascii="宋体" w:hAnsi="宋体" w:cs="宋体" w:eastAsia="宋体" w:hint="default"/>
          <w:w w:val="99"/>
          <w:sz w:val="21"/>
          <w:szCs w:val="21"/>
        </w:rPr>
        <w:t> </w:t>
      </w:r>
      <w:r>
        <w:rPr>
          <w:rFonts w:ascii="宋体" w:hAnsi="宋体" w:cs="宋体" w:eastAsia="宋体" w:hint="default"/>
          <w:sz w:val="21"/>
          <w:szCs w:val="21"/>
        </w:rPr>
        <w:t>完成的 </w:t>
      </w:r>
      <w:r>
        <w:rPr>
          <w:rFonts w:ascii="Times New Roman" w:hAnsi="Times New Roman" w:cs="Times New Roman" w:eastAsia="Times New Roman" w:hint="default"/>
          <w:sz w:val="21"/>
          <w:szCs w:val="21"/>
        </w:rPr>
        <w:t>AB  </w:t>
      </w:r>
      <w:r>
        <w:rPr>
          <w:rFonts w:ascii="宋体" w:hAnsi="宋体" w:cs="宋体" w:eastAsia="宋体" w:hint="default"/>
          <w:sz w:val="21"/>
          <w:szCs w:val="21"/>
        </w:rPr>
        <w:t>板、</w:t>
      </w:r>
      <w:r>
        <w:rPr>
          <w:rFonts w:ascii="Times New Roman" w:hAnsi="Times New Roman" w:cs="Times New Roman" w:eastAsia="Times New Roman" w:hint="default"/>
          <w:sz w:val="21"/>
          <w:szCs w:val="21"/>
        </w:rPr>
        <w:t>3U  </w:t>
      </w:r>
      <w:r>
        <w:rPr>
          <w:rFonts w:ascii="宋体" w:hAnsi="宋体" w:cs="宋体" w:eastAsia="宋体" w:hint="default"/>
          <w:sz w:val="21"/>
          <w:szCs w:val="21"/>
        </w:rPr>
        <w:t>非管理型交换板、</w:t>
      </w:r>
      <w:r>
        <w:rPr>
          <w:rFonts w:ascii="Times New Roman" w:hAnsi="Times New Roman" w:cs="Times New Roman" w:eastAsia="Times New Roman" w:hint="default"/>
          <w:sz w:val="21"/>
          <w:szCs w:val="21"/>
        </w:rPr>
        <w:t>4U  </w:t>
      </w:r>
      <w:r>
        <w:rPr>
          <w:rFonts w:ascii="宋体" w:hAnsi="宋体" w:cs="宋体" w:eastAsia="宋体" w:hint="default"/>
          <w:sz w:val="21"/>
          <w:szCs w:val="21"/>
        </w:rPr>
        <w:t>非管理型交换板、</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寸工业平板等产品，争取形成批量供货。</w:t>
      </w:r>
    </w:p>
    <w:p>
      <w:pPr>
        <w:spacing w:before="69"/>
        <w:ind w:left="532" w:right="987" w:firstLine="0"/>
        <w:jc w:val="left"/>
        <w:rPr>
          <w:rFonts w:ascii="宋体" w:hAnsi="宋体" w:cs="宋体" w:eastAsia="宋体" w:hint="default"/>
          <w:sz w:val="21"/>
          <w:szCs w:val="21"/>
        </w:rPr>
      </w:pPr>
      <w:r>
        <w:rPr>
          <w:rFonts w:ascii="宋体" w:hAnsi="宋体" w:cs="宋体" w:eastAsia="宋体" w:hint="default"/>
          <w:sz w:val="21"/>
          <w:szCs w:val="21"/>
        </w:rPr>
        <w:t>军队信息化方面，目前，我军现代化建设已经进入了以实现信息化为目标的新的发展阶段。国家投入</w:t>
      </w:r>
    </w:p>
    <w:p>
      <w:pPr>
        <w:spacing w:after="0"/>
        <w:jc w:val="left"/>
        <w:rPr>
          <w:rFonts w:ascii="宋体" w:hAnsi="宋体" w:cs="宋体" w:eastAsia="宋体" w:hint="default"/>
          <w:sz w:val="21"/>
          <w:szCs w:val="21"/>
        </w:rPr>
        <w:sectPr>
          <w:headerReference w:type="default" r:id="rId19"/>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line="408" w:lineRule="auto" w:before="34"/>
        <w:ind w:left="112" w:right="1112" w:firstLine="0"/>
        <w:jc w:val="both"/>
        <w:rPr>
          <w:rFonts w:ascii="宋体" w:hAnsi="宋体" w:cs="宋体" w:eastAsia="宋体" w:hint="default"/>
          <w:sz w:val="21"/>
          <w:szCs w:val="21"/>
        </w:rPr>
      </w:pPr>
      <w:r>
        <w:rPr>
          <w:rFonts w:ascii="宋体" w:hAnsi="宋体" w:cs="宋体" w:eastAsia="宋体" w:hint="default"/>
          <w:w w:val="95"/>
          <w:sz w:val="21"/>
          <w:szCs w:val="21"/>
        </w:rPr>
        <w:t>巨大的人财物力，加速军队的信息化建设，这给相关企业提供了一个巨大的机遇。公司在基地通讯建设、</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w w:val="95"/>
          <w:sz w:val="21"/>
          <w:szCs w:val="21"/>
        </w:rPr>
        <w:t>作战通讯电源、自主可控交换机大数据等相关方面，进行了较大投入，形成了一定的新服务项目及新产品</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的储备，未来收获可期。</w:t>
      </w:r>
    </w:p>
    <w:p>
      <w:pPr>
        <w:spacing w:line="444" w:lineRule="auto" w:before="87"/>
        <w:ind w:left="532" w:right="987" w:firstLine="0"/>
        <w:jc w:val="left"/>
        <w:rPr>
          <w:rFonts w:ascii="宋体" w:hAnsi="宋体" w:cs="宋体" w:eastAsia="宋体" w:hint="default"/>
          <w:sz w:val="21"/>
          <w:szCs w:val="21"/>
        </w:rPr>
      </w:pPr>
      <w:r>
        <w:rPr>
          <w:rFonts w:ascii="宋体" w:hAnsi="宋体" w:cs="宋体" w:eastAsia="宋体" w:hint="default"/>
          <w:sz w:val="21"/>
          <w:szCs w:val="21"/>
        </w:rPr>
        <w:t>（二）公司未来发展战略</w:t>
      </w:r>
      <w:r>
        <w:rPr>
          <w:rFonts w:ascii="宋体" w:hAnsi="宋体" w:cs="宋体" w:eastAsia="宋体" w:hint="default"/>
          <w:w w:val="99"/>
          <w:sz w:val="21"/>
          <w:szCs w:val="21"/>
        </w:rPr>
        <w:t> </w:t>
      </w:r>
      <w:r>
        <w:rPr>
          <w:rFonts w:ascii="宋体" w:hAnsi="宋体" w:cs="宋体" w:eastAsia="宋体" w:hint="default"/>
          <w:w w:val="95"/>
          <w:sz w:val="21"/>
          <w:szCs w:val="21"/>
        </w:rPr>
        <w:t>公司将继续坚持适度多元化的发展战略，着力打造好军工业务、煤矿安全业务、信息通信业务三大主</w:t>
      </w:r>
      <w:r>
        <w:rPr>
          <w:rFonts w:ascii="宋体" w:hAnsi="宋体" w:cs="宋体" w:eastAsia="宋体" w:hint="default"/>
          <w:sz w:val="21"/>
          <w:szCs w:val="21"/>
        </w:rPr>
      </w:r>
    </w:p>
    <w:p>
      <w:pPr>
        <w:spacing w:line="403" w:lineRule="auto" w:before="14"/>
        <w:ind w:left="112" w:right="1025" w:firstLine="0"/>
        <w:jc w:val="left"/>
        <w:rPr>
          <w:rFonts w:ascii="宋体" w:hAnsi="宋体" w:cs="宋体" w:eastAsia="宋体" w:hint="default"/>
          <w:sz w:val="21"/>
          <w:szCs w:val="21"/>
        </w:rPr>
      </w:pPr>
      <w:r>
        <w:rPr>
          <w:rFonts w:ascii="宋体" w:hAnsi="宋体" w:cs="宋体" w:eastAsia="宋体" w:hint="default"/>
          <w:sz w:val="21"/>
          <w:szCs w:val="21"/>
        </w:rPr>
        <w:t>营业务。军工方面，通过</w:t>
      </w:r>
      <w:r>
        <w:rPr>
          <w:rFonts w:ascii="Times New Roman" w:hAnsi="Times New Roman" w:cs="Times New Roman" w:eastAsia="Times New Roman" w:hint="default"/>
          <w:sz w:val="21"/>
          <w:szCs w:val="21"/>
        </w:rPr>
        <w:t>“</w:t>
      </w:r>
      <w:r>
        <w:rPr>
          <w:rFonts w:ascii="宋体" w:hAnsi="宋体" w:cs="宋体" w:eastAsia="宋体" w:hint="default"/>
          <w:sz w:val="21"/>
          <w:szCs w:val="21"/>
        </w:rPr>
        <w:t>内生</w:t>
      </w:r>
      <w:r>
        <w:rPr>
          <w:rFonts w:ascii="Times New Roman" w:hAnsi="Times New Roman" w:cs="Times New Roman" w:eastAsia="Times New Roman" w:hint="default"/>
          <w:sz w:val="21"/>
          <w:szCs w:val="21"/>
        </w:rPr>
        <w:t>”</w:t>
      </w:r>
      <w:r>
        <w:rPr>
          <w:rFonts w:ascii="宋体" w:hAnsi="宋体" w:cs="宋体" w:eastAsia="宋体" w:hint="default"/>
          <w:sz w:val="21"/>
          <w:szCs w:val="21"/>
        </w:rPr>
        <w:t>加</w:t>
      </w:r>
      <w:r>
        <w:rPr>
          <w:rFonts w:ascii="Times New Roman" w:hAnsi="Times New Roman" w:cs="Times New Roman" w:eastAsia="Times New Roman" w:hint="default"/>
          <w:sz w:val="21"/>
          <w:szCs w:val="21"/>
        </w:rPr>
        <w:t>“</w:t>
      </w:r>
      <w:r>
        <w:rPr>
          <w:rFonts w:ascii="宋体" w:hAnsi="宋体" w:cs="宋体" w:eastAsia="宋体" w:hint="default"/>
          <w:sz w:val="21"/>
          <w:szCs w:val="21"/>
        </w:rPr>
        <w:t>外延</w:t>
      </w:r>
      <w:r>
        <w:rPr>
          <w:rFonts w:ascii="Times New Roman" w:hAnsi="Times New Roman" w:cs="Times New Roman" w:eastAsia="Times New Roman" w:hint="default"/>
          <w:sz w:val="21"/>
          <w:szCs w:val="21"/>
        </w:rPr>
        <w:t>”</w:t>
      </w:r>
      <w:r>
        <w:rPr>
          <w:rFonts w:ascii="宋体" w:hAnsi="宋体" w:cs="宋体" w:eastAsia="宋体" w:hint="default"/>
          <w:sz w:val="21"/>
          <w:szCs w:val="21"/>
        </w:rPr>
        <w:t>方式继续做大做强；在信息通信方面，以富华宇祺为主，加大军</w:t>
      </w:r>
      <w:r>
        <w:rPr>
          <w:rFonts w:ascii="宋体" w:hAnsi="宋体" w:cs="宋体" w:eastAsia="宋体" w:hint="default"/>
          <w:w w:val="99"/>
          <w:sz w:val="21"/>
          <w:szCs w:val="21"/>
        </w:rPr>
        <w:t> </w:t>
      </w:r>
      <w:r>
        <w:rPr>
          <w:rFonts w:ascii="宋体" w:hAnsi="宋体" w:cs="宋体" w:eastAsia="宋体" w:hint="default"/>
          <w:sz w:val="21"/>
          <w:szCs w:val="21"/>
        </w:rPr>
        <w:t>工通讯、新能源电池及大数据等新业务开拓，加快实现销售收入的步伐；在煤矿业务方面，继续巩固产品</w:t>
      </w:r>
      <w:r>
        <w:rPr>
          <w:rFonts w:ascii="宋体" w:hAnsi="宋体" w:cs="宋体" w:eastAsia="宋体" w:hint="default"/>
          <w:w w:val="99"/>
          <w:sz w:val="21"/>
          <w:szCs w:val="21"/>
        </w:rPr>
        <w:t> </w:t>
      </w:r>
      <w:r>
        <w:rPr>
          <w:rFonts w:ascii="宋体" w:hAnsi="宋体" w:cs="宋体" w:eastAsia="宋体" w:hint="default"/>
          <w:sz w:val="21"/>
          <w:szCs w:val="21"/>
        </w:rPr>
        <w:t>的市场占有率，抓住煤矿行业复兴机会，实现更大的业绩。在管理方面，优化业务构架与管理层级，实行</w:t>
      </w:r>
      <w:r>
        <w:rPr>
          <w:rFonts w:ascii="宋体" w:hAnsi="宋体" w:cs="宋体" w:eastAsia="宋体" w:hint="default"/>
          <w:w w:val="99"/>
          <w:sz w:val="21"/>
          <w:szCs w:val="21"/>
        </w:rPr>
        <w:t> </w:t>
      </w:r>
      <w:r>
        <w:rPr>
          <w:rFonts w:ascii="宋体" w:hAnsi="宋体" w:cs="宋体" w:eastAsia="宋体" w:hint="default"/>
          <w:spacing w:val="-3"/>
          <w:sz w:val="21"/>
          <w:szCs w:val="21"/>
        </w:rPr>
        <w:t>集团化管理模式，将上市公司母公司打造为控股管理平台，提高公司经营管理效率，进一步完善内控体系，</w:t>
      </w:r>
      <w:r>
        <w:rPr>
          <w:rFonts w:ascii="宋体" w:hAnsi="宋体" w:cs="宋体" w:eastAsia="宋体" w:hint="default"/>
          <w:w w:val="99"/>
          <w:sz w:val="21"/>
          <w:szCs w:val="21"/>
        </w:rPr>
        <w:t> </w:t>
      </w:r>
      <w:r>
        <w:rPr>
          <w:rFonts w:ascii="宋体" w:hAnsi="宋体" w:cs="宋体" w:eastAsia="宋体" w:hint="default"/>
          <w:sz w:val="21"/>
          <w:szCs w:val="21"/>
        </w:rPr>
        <w:t>以对整合后的业务实现科学高效的管控。</w:t>
      </w:r>
    </w:p>
    <w:p>
      <w:pPr>
        <w:spacing w:before="88"/>
        <w:ind w:left="532" w:right="987"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年经营计划</w:t>
      </w:r>
    </w:p>
    <w:p>
      <w:pPr>
        <w:spacing w:line="240" w:lineRule="auto" w:before="9"/>
        <w:rPr>
          <w:rFonts w:ascii="宋体" w:hAnsi="宋体" w:cs="宋体" w:eastAsia="宋体" w:hint="default"/>
          <w:sz w:val="16"/>
          <w:szCs w:val="16"/>
        </w:rPr>
      </w:pPr>
    </w:p>
    <w:p>
      <w:pPr>
        <w:spacing w:before="0"/>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、稳生产，强营销，争取更大经济效益</w:t>
      </w:r>
    </w:p>
    <w:p>
      <w:pPr>
        <w:spacing w:line="240" w:lineRule="auto" w:before="9"/>
        <w:rPr>
          <w:rFonts w:ascii="宋体" w:hAnsi="宋体" w:cs="宋体" w:eastAsia="宋体" w:hint="default"/>
          <w:sz w:val="16"/>
          <w:szCs w:val="16"/>
        </w:rPr>
      </w:pPr>
    </w:p>
    <w:p>
      <w:pPr>
        <w:spacing w:line="400" w:lineRule="auto" w:before="0"/>
        <w:ind w:left="112" w:right="101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年对现有产品的生产，要抓住一个</w:t>
      </w:r>
      <w:r>
        <w:rPr>
          <w:rFonts w:ascii="Times New Roman" w:hAnsi="Times New Roman" w:cs="Times New Roman" w:eastAsia="Times New Roman" w:hint="default"/>
          <w:sz w:val="21"/>
          <w:szCs w:val="21"/>
        </w:rPr>
        <w:t>“</w:t>
      </w:r>
      <w:r>
        <w:rPr>
          <w:rFonts w:ascii="宋体" w:hAnsi="宋体" w:cs="宋体" w:eastAsia="宋体" w:hint="default"/>
          <w:sz w:val="21"/>
          <w:szCs w:val="21"/>
        </w:rPr>
        <w:t>稳</w:t>
      </w:r>
      <w:r>
        <w:rPr>
          <w:rFonts w:ascii="Times New Roman" w:hAnsi="Times New Roman" w:cs="Times New Roman" w:eastAsia="Times New Roman" w:hint="default"/>
          <w:sz w:val="21"/>
          <w:szCs w:val="21"/>
        </w:rPr>
        <w:t>”</w:t>
      </w:r>
      <w:r>
        <w:rPr>
          <w:rFonts w:ascii="宋体" w:hAnsi="宋体" w:cs="宋体" w:eastAsia="宋体" w:hint="default"/>
          <w:sz w:val="21"/>
          <w:szCs w:val="21"/>
        </w:rPr>
        <w:t>字：一个是产品质量要稳，保证客户的满意度；二是库销</w:t>
      </w:r>
      <w:r>
        <w:rPr>
          <w:rFonts w:ascii="宋体" w:hAnsi="宋体" w:cs="宋体" w:eastAsia="宋体" w:hint="default"/>
          <w:w w:val="99"/>
          <w:sz w:val="21"/>
          <w:szCs w:val="21"/>
        </w:rPr>
        <w:t> </w:t>
      </w:r>
      <w:r>
        <w:rPr>
          <w:rFonts w:ascii="宋体" w:hAnsi="宋体" w:cs="宋体" w:eastAsia="宋体" w:hint="default"/>
          <w:sz w:val="21"/>
          <w:szCs w:val="21"/>
        </w:rPr>
        <w:t>比要稳，既要保证销售需求又要存货占用成本少；三是制造成本和费用做到稳中有降。</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年经营工作的</w:t>
      </w:r>
      <w:r>
        <w:rPr>
          <w:rFonts w:ascii="宋体" w:hAnsi="宋体" w:cs="宋体" w:eastAsia="宋体" w:hint="default"/>
          <w:w w:val="99"/>
          <w:sz w:val="21"/>
          <w:szCs w:val="21"/>
        </w:rPr>
        <w:t> </w:t>
      </w:r>
      <w:r>
        <w:rPr>
          <w:rFonts w:ascii="宋体" w:hAnsi="宋体" w:cs="宋体" w:eastAsia="宋体" w:hint="default"/>
          <w:sz w:val="21"/>
          <w:szCs w:val="21"/>
        </w:rPr>
        <w:t>重点是强化营销，一方面是继续巩固加强现有产品和服务项目的销售工作，包括原有客户扩量，努力争取</w:t>
      </w:r>
      <w:r>
        <w:rPr>
          <w:rFonts w:ascii="宋体" w:hAnsi="宋体" w:cs="宋体" w:eastAsia="宋体" w:hint="default"/>
          <w:w w:val="99"/>
          <w:sz w:val="21"/>
          <w:szCs w:val="21"/>
        </w:rPr>
        <w:t> </w:t>
      </w:r>
      <w:r>
        <w:rPr>
          <w:rFonts w:ascii="宋体" w:hAnsi="宋体" w:cs="宋体" w:eastAsia="宋体" w:hint="default"/>
          <w:sz w:val="21"/>
          <w:szCs w:val="21"/>
        </w:rPr>
        <w:t>新客户；二是对公司研发的新产品和新服务项目加大营销投入，尽快实现产出。富华宇祺公司在新产品和</w:t>
      </w:r>
      <w:r>
        <w:rPr>
          <w:rFonts w:ascii="宋体" w:hAnsi="宋体" w:cs="宋体" w:eastAsia="宋体" w:hint="default"/>
          <w:w w:val="99"/>
          <w:sz w:val="21"/>
          <w:szCs w:val="21"/>
        </w:rPr>
        <w:t> </w:t>
      </w:r>
      <w:r>
        <w:rPr>
          <w:rFonts w:ascii="宋体" w:hAnsi="宋体" w:cs="宋体" w:eastAsia="宋体" w:hint="default"/>
          <w:sz w:val="21"/>
          <w:szCs w:val="21"/>
        </w:rPr>
        <w:t>新服务项目方面是重点，其军工业务要有大的突破，包括在基地信息化建设、氢能源电池及自主可控交换</w:t>
      </w:r>
      <w:r>
        <w:rPr>
          <w:rFonts w:ascii="宋体" w:hAnsi="宋体" w:cs="宋体" w:eastAsia="宋体" w:hint="default"/>
          <w:w w:val="99"/>
          <w:sz w:val="21"/>
          <w:szCs w:val="21"/>
        </w:rPr>
        <w:t> </w:t>
      </w:r>
      <w:r>
        <w:rPr>
          <w:rFonts w:ascii="宋体" w:hAnsi="宋体" w:cs="宋体" w:eastAsia="宋体" w:hint="default"/>
          <w:sz w:val="21"/>
          <w:szCs w:val="21"/>
        </w:rPr>
        <w:t>机方面取得订单；区块链、轨道交通无线</w:t>
      </w:r>
      <w:r>
        <w:rPr>
          <w:rFonts w:ascii="宋体" w:hAnsi="宋体" w:cs="宋体" w:eastAsia="宋体" w:hint="default"/>
          <w:spacing w:val="-84"/>
          <w:sz w:val="21"/>
          <w:szCs w:val="21"/>
        </w:rPr>
        <w:t> </w:t>
      </w:r>
      <w:r>
        <w:rPr>
          <w:rFonts w:ascii="Times New Roman" w:hAnsi="Times New Roman" w:cs="Times New Roman" w:eastAsia="Times New Roman" w:hint="default"/>
          <w:sz w:val="21"/>
          <w:szCs w:val="21"/>
        </w:rPr>
        <w:t>WIFI</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及龙芯产品等方面扩大销售量等，力求实现较大销售收入，</w:t>
      </w:r>
      <w:r>
        <w:rPr>
          <w:rFonts w:ascii="宋体" w:hAnsi="宋体" w:cs="宋体" w:eastAsia="宋体" w:hint="default"/>
          <w:w w:val="99"/>
          <w:sz w:val="21"/>
          <w:szCs w:val="21"/>
        </w:rPr>
        <w:t> </w:t>
      </w:r>
      <w:r>
        <w:rPr>
          <w:rFonts w:ascii="宋体" w:hAnsi="宋体" w:cs="宋体" w:eastAsia="宋体" w:hint="default"/>
          <w:sz w:val="21"/>
          <w:szCs w:val="21"/>
        </w:rPr>
        <w:t>确保今年扭亏为盈；矿山科技公司经营工作重点是抓住机遇，迅速扩大井下智能安全运输系统的销售量；</w:t>
      </w:r>
      <w:r>
        <w:rPr>
          <w:rFonts w:ascii="宋体" w:hAnsi="宋体" w:cs="宋体" w:eastAsia="宋体" w:hint="default"/>
          <w:w w:val="99"/>
          <w:sz w:val="21"/>
          <w:szCs w:val="21"/>
        </w:rPr>
        <w:t> </w:t>
      </w:r>
      <w:r>
        <w:rPr>
          <w:rFonts w:ascii="宋体" w:hAnsi="宋体" w:cs="宋体" w:eastAsia="宋体" w:hint="default"/>
          <w:sz w:val="21"/>
          <w:szCs w:val="21"/>
        </w:rPr>
        <w:t>师凯科技在抓好导弹制导系统的生产销售的同时，争取开发一至两个新产品，为以后持续发展奠定基础。</w:t>
      </w:r>
      <w:r>
        <w:rPr>
          <w:rFonts w:ascii="宋体" w:hAnsi="宋体" w:cs="宋体" w:eastAsia="宋体" w:hint="default"/>
          <w:w w:val="99"/>
          <w:sz w:val="21"/>
          <w:szCs w:val="21"/>
        </w:rPr>
        <w:t> </w:t>
      </w:r>
      <w:r>
        <w:rPr>
          <w:rFonts w:ascii="宋体" w:hAnsi="宋体" w:cs="宋体" w:eastAsia="宋体" w:hint="default"/>
          <w:sz w:val="21"/>
          <w:szCs w:val="21"/>
        </w:rPr>
        <w:t>公司全体人员要努力工作，争取</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年经济效益再上一个新台阶。</w:t>
      </w:r>
    </w:p>
    <w:p>
      <w:pPr>
        <w:spacing w:before="60"/>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、坚持创新驱动，推进产品结构调整和优化升级，持续保持行业技术领先地位</w:t>
      </w:r>
    </w:p>
    <w:p>
      <w:pPr>
        <w:spacing w:line="240" w:lineRule="auto" w:before="9"/>
        <w:rPr>
          <w:rFonts w:ascii="宋体" w:hAnsi="宋体" w:cs="宋体" w:eastAsia="宋体" w:hint="default"/>
          <w:sz w:val="16"/>
          <w:szCs w:val="16"/>
        </w:rPr>
      </w:pPr>
    </w:p>
    <w:p>
      <w:pPr>
        <w:spacing w:line="400" w:lineRule="auto" w:before="0"/>
        <w:ind w:left="112" w:right="1132" w:firstLine="420"/>
        <w:jc w:val="both"/>
        <w:rPr>
          <w:rFonts w:ascii="宋体" w:hAnsi="宋体" w:cs="宋体" w:eastAsia="宋体" w:hint="default"/>
          <w:sz w:val="21"/>
          <w:szCs w:val="21"/>
        </w:rPr>
      </w:pPr>
      <w:r>
        <w:rPr>
          <w:rFonts w:ascii="Times New Roman" w:hAnsi="Times New Roman" w:cs="Times New Roman" w:eastAsia="Times New Roman" w:hint="default"/>
          <w:w w:val="95"/>
          <w:sz w:val="21"/>
          <w:szCs w:val="21"/>
        </w:rPr>
        <w:t>2019</w:t>
      </w:r>
      <w:r>
        <w:rPr>
          <w:rFonts w:ascii="Times New Roman" w:hAnsi="Times New Roman" w:cs="Times New Roman" w:eastAsia="Times New Roman" w:hint="default"/>
          <w:spacing w:val="28"/>
          <w:w w:val="95"/>
          <w:sz w:val="21"/>
          <w:szCs w:val="21"/>
        </w:rPr>
        <w:t> </w:t>
      </w:r>
      <w:r>
        <w:rPr>
          <w:rFonts w:ascii="宋体" w:hAnsi="宋体" w:cs="宋体" w:eastAsia="宋体" w:hint="default"/>
          <w:w w:val="95"/>
          <w:sz w:val="21"/>
          <w:szCs w:val="21"/>
        </w:rPr>
        <w:t>年将继续保持较高力度的研发投入，以创新驱动企业发展、产品结构调整和优化升级。引进和培</w:t>
      </w:r>
      <w:r>
        <w:rPr>
          <w:rFonts w:ascii="宋体" w:hAnsi="宋体" w:cs="宋体" w:eastAsia="宋体" w:hint="default"/>
          <w:w w:val="99"/>
          <w:sz w:val="21"/>
          <w:szCs w:val="21"/>
        </w:rPr>
        <w:t> </w:t>
      </w:r>
      <w:r>
        <w:rPr>
          <w:rFonts w:ascii="宋体" w:hAnsi="宋体" w:cs="宋体" w:eastAsia="宋体" w:hint="default"/>
          <w:w w:val="95"/>
          <w:sz w:val="21"/>
          <w:szCs w:val="21"/>
        </w:rPr>
        <w:t>养更多技术人才，多途径地提升我们的研发技术创新能力，力争在自主创新、自主品牌、行业领先、知识</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产权运营上有新的突破。同时，继续寻求产学研结合的方式，通过与相关高校、科研机构建立友好合作关</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系，利用他们强大的研发能力，推出更高更新技术和产品。</w:t>
      </w:r>
    </w:p>
    <w:p>
      <w:pPr>
        <w:spacing w:line="417" w:lineRule="auto" w:before="93"/>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、建设梯队人才库，打造高素质团队</w:t>
      </w:r>
      <w:r>
        <w:rPr>
          <w:rFonts w:ascii="宋体" w:hAnsi="宋体" w:cs="宋体" w:eastAsia="宋体" w:hint="default"/>
          <w:w w:val="99"/>
          <w:sz w:val="21"/>
          <w:szCs w:val="21"/>
        </w:rPr>
        <w:t> </w:t>
      </w:r>
      <w:r>
        <w:rPr>
          <w:rFonts w:ascii="宋体" w:hAnsi="宋体" w:cs="宋体" w:eastAsia="宋体" w:hint="default"/>
          <w:w w:val="95"/>
          <w:sz w:val="21"/>
          <w:szCs w:val="21"/>
        </w:rPr>
        <w:t>近年来，公司经营管理模式转变为集团化管理，市场竞争环境、产品构成等的改变以及资本市场对公</w:t>
      </w:r>
      <w:r>
        <w:rPr>
          <w:rFonts w:ascii="宋体" w:hAnsi="宋体" w:cs="宋体" w:eastAsia="宋体" w:hint="default"/>
          <w:sz w:val="21"/>
          <w:szCs w:val="21"/>
        </w:rPr>
      </w:r>
    </w:p>
    <w:p>
      <w:pPr>
        <w:spacing w:before="37"/>
        <w:ind w:left="112" w:right="987" w:firstLine="0"/>
        <w:jc w:val="left"/>
        <w:rPr>
          <w:rFonts w:ascii="宋体" w:hAnsi="宋体" w:cs="宋体" w:eastAsia="宋体" w:hint="default"/>
          <w:sz w:val="21"/>
          <w:szCs w:val="21"/>
        </w:rPr>
      </w:pPr>
      <w:r>
        <w:rPr>
          <w:rFonts w:ascii="宋体" w:hAnsi="宋体" w:cs="宋体" w:eastAsia="宋体" w:hint="default"/>
          <w:spacing w:val="-1"/>
          <w:w w:val="99"/>
          <w:sz w:val="21"/>
          <w:szCs w:val="21"/>
        </w:rPr>
        <w:t>众</w:t>
      </w:r>
      <w:r>
        <w:rPr>
          <w:rFonts w:ascii="宋体" w:hAnsi="宋体" w:cs="宋体" w:eastAsia="宋体" w:hint="default"/>
          <w:spacing w:val="2"/>
          <w:w w:val="99"/>
          <w:sz w:val="21"/>
          <w:szCs w:val="21"/>
        </w:rPr>
        <w:t>公</w:t>
      </w:r>
      <w:r>
        <w:rPr>
          <w:rFonts w:ascii="宋体" w:hAnsi="宋体" w:cs="宋体" w:eastAsia="宋体" w:hint="default"/>
          <w:spacing w:val="-1"/>
          <w:w w:val="99"/>
          <w:sz w:val="21"/>
          <w:szCs w:val="21"/>
        </w:rPr>
        <w:t>司</w:t>
      </w:r>
      <w:r>
        <w:rPr>
          <w:rFonts w:ascii="宋体" w:hAnsi="宋体" w:cs="宋体" w:eastAsia="宋体" w:hint="default"/>
          <w:spacing w:val="2"/>
          <w:w w:val="99"/>
          <w:sz w:val="21"/>
          <w:szCs w:val="21"/>
        </w:rPr>
        <w:t>更</w:t>
      </w:r>
      <w:r>
        <w:rPr>
          <w:rFonts w:ascii="宋体" w:hAnsi="宋体" w:cs="宋体" w:eastAsia="宋体" w:hint="default"/>
          <w:spacing w:val="-1"/>
          <w:w w:val="99"/>
          <w:sz w:val="21"/>
          <w:szCs w:val="21"/>
        </w:rPr>
        <w:t>高</w:t>
      </w:r>
      <w:r>
        <w:rPr>
          <w:rFonts w:ascii="宋体" w:hAnsi="宋体" w:cs="宋体" w:eastAsia="宋体" w:hint="default"/>
          <w:spacing w:val="2"/>
          <w:w w:val="99"/>
          <w:sz w:val="21"/>
          <w:szCs w:val="21"/>
        </w:rPr>
        <w:t>的</w:t>
      </w:r>
      <w:r>
        <w:rPr>
          <w:rFonts w:ascii="宋体" w:hAnsi="宋体" w:cs="宋体" w:eastAsia="宋体" w:hint="default"/>
          <w:spacing w:val="-1"/>
          <w:w w:val="99"/>
          <w:sz w:val="21"/>
          <w:szCs w:val="21"/>
        </w:rPr>
        <w:t>要</w:t>
      </w:r>
      <w:r>
        <w:rPr>
          <w:rFonts w:ascii="宋体" w:hAnsi="宋体" w:cs="宋体" w:eastAsia="宋体" w:hint="default"/>
          <w:spacing w:val="2"/>
          <w:w w:val="99"/>
          <w:sz w:val="21"/>
          <w:szCs w:val="21"/>
        </w:rPr>
        <w:t>求</w:t>
      </w:r>
      <w:r>
        <w:rPr>
          <w:rFonts w:ascii="宋体" w:hAnsi="宋体" w:cs="宋体" w:eastAsia="宋体" w:hint="default"/>
          <w:spacing w:val="-1"/>
          <w:w w:val="99"/>
          <w:sz w:val="21"/>
          <w:szCs w:val="21"/>
        </w:rPr>
        <w:t>对</w:t>
      </w:r>
      <w:r>
        <w:rPr>
          <w:rFonts w:ascii="宋体" w:hAnsi="宋体" w:cs="宋体" w:eastAsia="宋体" w:hint="default"/>
          <w:spacing w:val="2"/>
          <w:w w:val="99"/>
          <w:sz w:val="21"/>
          <w:szCs w:val="21"/>
        </w:rPr>
        <w:t>公</w:t>
      </w:r>
      <w:r>
        <w:rPr>
          <w:rFonts w:ascii="宋体" w:hAnsi="宋体" w:cs="宋体" w:eastAsia="宋体" w:hint="default"/>
          <w:spacing w:val="-1"/>
          <w:w w:val="99"/>
          <w:sz w:val="21"/>
          <w:szCs w:val="21"/>
        </w:rPr>
        <w:t>司</w:t>
      </w:r>
      <w:r>
        <w:rPr>
          <w:rFonts w:ascii="宋体" w:hAnsi="宋体" w:cs="宋体" w:eastAsia="宋体" w:hint="default"/>
          <w:spacing w:val="2"/>
          <w:w w:val="99"/>
          <w:sz w:val="21"/>
          <w:szCs w:val="21"/>
        </w:rPr>
        <w:t>的</w:t>
      </w:r>
      <w:r>
        <w:rPr>
          <w:rFonts w:ascii="宋体" w:hAnsi="宋体" w:cs="宋体" w:eastAsia="宋体" w:hint="default"/>
          <w:spacing w:val="-1"/>
          <w:w w:val="99"/>
          <w:sz w:val="21"/>
          <w:szCs w:val="21"/>
        </w:rPr>
        <w:t>各</w:t>
      </w:r>
      <w:r>
        <w:rPr>
          <w:rFonts w:ascii="宋体" w:hAnsi="宋体" w:cs="宋体" w:eastAsia="宋体" w:hint="default"/>
          <w:spacing w:val="2"/>
          <w:w w:val="99"/>
          <w:sz w:val="21"/>
          <w:szCs w:val="21"/>
        </w:rPr>
        <w:t>个</w:t>
      </w:r>
      <w:r>
        <w:rPr>
          <w:rFonts w:ascii="宋体" w:hAnsi="宋体" w:cs="宋体" w:eastAsia="宋体" w:hint="default"/>
          <w:spacing w:val="-1"/>
          <w:w w:val="99"/>
          <w:sz w:val="21"/>
          <w:szCs w:val="21"/>
        </w:rPr>
        <w:t>环</w:t>
      </w:r>
      <w:r>
        <w:rPr>
          <w:rFonts w:ascii="宋体" w:hAnsi="宋体" w:cs="宋体" w:eastAsia="宋体" w:hint="default"/>
          <w:spacing w:val="2"/>
          <w:w w:val="99"/>
          <w:sz w:val="21"/>
          <w:szCs w:val="21"/>
        </w:rPr>
        <w:t>节</w:t>
      </w:r>
      <w:r>
        <w:rPr>
          <w:rFonts w:ascii="宋体" w:hAnsi="宋体" w:cs="宋体" w:eastAsia="宋体" w:hint="default"/>
          <w:spacing w:val="-1"/>
          <w:w w:val="99"/>
          <w:sz w:val="21"/>
          <w:szCs w:val="21"/>
        </w:rPr>
        <w:t>提</w:t>
      </w:r>
      <w:r>
        <w:rPr>
          <w:rFonts w:ascii="宋体" w:hAnsi="宋体" w:cs="宋体" w:eastAsia="宋体" w:hint="default"/>
          <w:spacing w:val="2"/>
          <w:w w:val="99"/>
          <w:sz w:val="21"/>
          <w:szCs w:val="21"/>
        </w:rPr>
        <w:t>出</w:t>
      </w:r>
      <w:r>
        <w:rPr>
          <w:rFonts w:ascii="宋体" w:hAnsi="宋体" w:cs="宋体" w:eastAsia="宋体" w:hint="default"/>
          <w:spacing w:val="-1"/>
          <w:w w:val="99"/>
          <w:sz w:val="21"/>
          <w:szCs w:val="21"/>
        </w:rPr>
        <w:t>了</w:t>
      </w:r>
      <w:r>
        <w:rPr>
          <w:rFonts w:ascii="宋体" w:hAnsi="宋体" w:cs="宋体" w:eastAsia="宋体" w:hint="default"/>
          <w:spacing w:val="2"/>
          <w:w w:val="99"/>
          <w:sz w:val="21"/>
          <w:szCs w:val="21"/>
        </w:rPr>
        <w:t>挑战</w:t>
      </w:r>
      <w:r>
        <w:rPr>
          <w:rFonts w:ascii="宋体" w:hAnsi="宋体" w:cs="宋体" w:eastAsia="宋体" w:hint="default"/>
          <w:spacing w:val="-89"/>
          <w:w w:val="99"/>
          <w:sz w:val="21"/>
          <w:szCs w:val="21"/>
        </w:rPr>
        <w:t>，</w:t>
      </w:r>
      <w:r>
        <w:rPr>
          <w:rFonts w:ascii="宋体" w:hAnsi="宋体" w:cs="宋体" w:eastAsia="宋体" w:hint="default"/>
          <w:spacing w:val="-1"/>
          <w:w w:val="99"/>
          <w:sz w:val="21"/>
          <w:szCs w:val="21"/>
        </w:rPr>
        <w:t>要</w:t>
      </w:r>
      <w:r>
        <w:rPr>
          <w:rFonts w:ascii="宋体" w:hAnsi="宋体" w:cs="宋体" w:eastAsia="宋体" w:hint="default"/>
          <w:spacing w:val="2"/>
          <w:w w:val="99"/>
          <w:sz w:val="21"/>
          <w:szCs w:val="21"/>
        </w:rPr>
        <w:t>求</w:t>
      </w:r>
      <w:r>
        <w:rPr>
          <w:rFonts w:ascii="宋体" w:hAnsi="宋体" w:cs="宋体" w:eastAsia="宋体" w:hint="default"/>
          <w:spacing w:val="-1"/>
          <w:w w:val="99"/>
          <w:sz w:val="21"/>
          <w:szCs w:val="21"/>
        </w:rPr>
        <w:t>公</w:t>
      </w:r>
      <w:r>
        <w:rPr>
          <w:rFonts w:ascii="宋体" w:hAnsi="宋体" w:cs="宋体" w:eastAsia="宋体" w:hint="default"/>
          <w:spacing w:val="2"/>
          <w:w w:val="99"/>
          <w:sz w:val="21"/>
          <w:szCs w:val="21"/>
        </w:rPr>
        <w:t>司</w:t>
      </w:r>
      <w:r>
        <w:rPr>
          <w:rFonts w:ascii="宋体" w:hAnsi="宋体" w:cs="宋体" w:eastAsia="宋体" w:hint="default"/>
          <w:spacing w:val="-1"/>
          <w:w w:val="99"/>
          <w:sz w:val="21"/>
          <w:szCs w:val="21"/>
        </w:rPr>
        <w:t>的</w:t>
      </w:r>
      <w:r>
        <w:rPr>
          <w:rFonts w:ascii="宋体" w:hAnsi="宋体" w:cs="宋体" w:eastAsia="宋体" w:hint="default"/>
          <w:spacing w:val="2"/>
          <w:w w:val="99"/>
          <w:sz w:val="21"/>
          <w:szCs w:val="21"/>
        </w:rPr>
        <w:t>团</w:t>
      </w:r>
      <w:r>
        <w:rPr>
          <w:rFonts w:ascii="宋体" w:hAnsi="宋体" w:cs="宋体" w:eastAsia="宋体" w:hint="default"/>
          <w:spacing w:val="-1"/>
          <w:w w:val="99"/>
          <w:sz w:val="21"/>
          <w:szCs w:val="21"/>
        </w:rPr>
        <w:t>队</w:t>
      </w:r>
      <w:r>
        <w:rPr>
          <w:rFonts w:ascii="宋体" w:hAnsi="宋体" w:cs="宋体" w:eastAsia="宋体" w:hint="default"/>
          <w:spacing w:val="2"/>
          <w:w w:val="99"/>
          <w:sz w:val="21"/>
          <w:szCs w:val="21"/>
        </w:rPr>
        <w:t>建</w:t>
      </w:r>
      <w:r>
        <w:rPr>
          <w:rFonts w:ascii="宋体" w:hAnsi="宋体" w:cs="宋体" w:eastAsia="宋体" w:hint="default"/>
          <w:spacing w:val="-1"/>
          <w:w w:val="99"/>
          <w:sz w:val="21"/>
          <w:szCs w:val="21"/>
        </w:rPr>
        <w:t>设</w:t>
      </w:r>
      <w:r>
        <w:rPr>
          <w:rFonts w:ascii="宋体" w:hAnsi="宋体" w:cs="宋体" w:eastAsia="宋体" w:hint="default"/>
          <w:spacing w:val="2"/>
          <w:w w:val="99"/>
          <w:sz w:val="21"/>
          <w:szCs w:val="21"/>
        </w:rPr>
        <w:t>和</w:t>
      </w:r>
      <w:r>
        <w:rPr>
          <w:rFonts w:ascii="宋体" w:hAnsi="宋体" w:cs="宋体" w:eastAsia="宋体" w:hint="default"/>
          <w:spacing w:val="-1"/>
          <w:w w:val="99"/>
          <w:sz w:val="21"/>
          <w:szCs w:val="21"/>
        </w:rPr>
        <w:t>能</w:t>
      </w:r>
      <w:r>
        <w:rPr>
          <w:rFonts w:ascii="宋体" w:hAnsi="宋体" w:cs="宋体" w:eastAsia="宋体" w:hint="default"/>
          <w:spacing w:val="2"/>
          <w:w w:val="99"/>
          <w:sz w:val="21"/>
          <w:szCs w:val="21"/>
        </w:rPr>
        <w:t>力</w:t>
      </w:r>
      <w:r>
        <w:rPr>
          <w:rFonts w:ascii="宋体" w:hAnsi="宋体" w:cs="宋体" w:eastAsia="宋体" w:hint="default"/>
          <w:spacing w:val="-1"/>
          <w:w w:val="99"/>
          <w:sz w:val="21"/>
          <w:szCs w:val="21"/>
        </w:rPr>
        <w:t>建</w:t>
      </w:r>
      <w:r>
        <w:rPr>
          <w:rFonts w:ascii="宋体" w:hAnsi="宋体" w:cs="宋体" w:eastAsia="宋体" w:hint="default"/>
          <w:spacing w:val="2"/>
          <w:w w:val="99"/>
          <w:sz w:val="21"/>
          <w:szCs w:val="21"/>
        </w:rPr>
        <w:t>设</w:t>
      </w:r>
      <w:r>
        <w:rPr>
          <w:rFonts w:ascii="宋体" w:hAnsi="宋体" w:cs="宋体" w:eastAsia="宋体" w:hint="default"/>
          <w:spacing w:val="-1"/>
          <w:w w:val="99"/>
          <w:sz w:val="21"/>
          <w:szCs w:val="21"/>
        </w:rPr>
        <w:t>适</w:t>
      </w:r>
      <w:r>
        <w:rPr>
          <w:rFonts w:ascii="宋体" w:hAnsi="宋体" w:cs="宋体" w:eastAsia="宋体" w:hint="default"/>
          <w:spacing w:val="2"/>
          <w:w w:val="99"/>
          <w:sz w:val="21"/>
          <w:szCs w:val="21"/>
        </w:rPr>
        <w:t>应</w:t>
      </w:r>
      <w:r>
        <w:rPr>
          <w:rFonts w:ascii="宋体" w:hAnsi="宋体" w:cs="宋体" w:eastAsia="宋体" w:hint="default"/>
          <w:spacing w:val="-1"/>
          <w:w w:val="99"/>
          <w:sz w:val="21"/>
          <w:szCs w:val="21"/>
        </w:rPr>
        <w:t>新</w:t>
      </w:r>
      <w:r>
        <w:rPr>
          <w:rFonts w:ascii="宋体" w:hAnsi="宋体" w:cs="宋体" w:eastAsia="宋体" w:hint="default"/>
          <w:spacing w:val="2"/>
          <w:w w:val="99"/>
          <w:sz w:val="21"/>
          <w:szCs w:val="21"/>
        </w:rPr>
        <w:t>的</w:t>
      </w:r>
      <w:r>
        <w:rPr>
          <w:rFonts w:ascii="宋体" w:hAnsi="宋体" w:cs="宋体" w:eastAsia="宋体" w:hint="default"/>
          <w:spacing w:val="-1"/>
          <w:w w:val="99"/>
          <w:sz w:val="21"/>
          <w:szCs w:val="21"/>
        </w:rPr>
        <w:t>发</w:t>
      </w:r>
      <w:r>
        <w:rPr>
          <w:rFonts w:ascii="宋体" w:hAnsi="宋体" w:cs="宋体" w:eastAsia="宋体" w:hint="default"/>
          <w:spacing w:val="2"/>
          <w:w w:val="99"/>
          <w:sz w:val="21"/>
          <w:szCs w:val="21"/>
        </w:rPr>
        <w:t>展</w:t>
      </w:r>
      <w:r>
        <w:rPr>
          <w:rFonts w:ascii="宋体" w:hAnsi="宋体" w:cs="宋体" w:eastAsia="宋体" w:hint="default"/>
          <w:spacing w:val="-89"/>
          <w:w w:val="99"/>
          <w:sz w:val="21"/>
          <w:szCs w:val="21"/>
        </w:rPr>
        <w:t>。</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年</w:t>
      </w:r>
      <w:r>
        <w:rPr>
          <w:rFonts w:ascii="宋体" w:hAnsi="宋体" w:cs="宋体" w:eastAsia="宋体" w:hint="default"/>
          <w:w w:val="99"/>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line="408" w:lineRule="auto" w:before="34"/>
        <w:ind w:left="112" w:right="1025" w:firstLine="0"/>
        <w:jc w:val="left"/>
        <w:rPr>
          <w:rFonts w:ascii="宋体" w:hAnsi="宋体" w:cs="宋体" w:eastAsia="宋体" w:hint="default"/>
          <w:sz w:val="21"/>
          <w:szCs w:val="21"/>
        </w:rPr>
      </w:pPr>
      <w:r>
        <w:rPr>
          <w:rFonts w:ascii="宋体" w:hAnsi="宋体" w:cs="宋体" w:eastAsia="宋体" w:hint="default"/>
          <w:spacing w:val="-3"/>
          <w:sz w:val="21"/>
          <w:szCs w:val="21"/>
        </w:rPr>
        <w:t>公司将持续顺应新需求，制定人才发展规划、加快人才的聚焦和培养，建设和优化公司投资、研发、营销、</w:t>
      </w:r>
      <w:r>
        <w:rPr>
          <w:rFonts w:ascii="宋体" w:hAnsi="宋体" w:cs="宋体" w:eastAsia="宋体" w:hint="default"/>
          <w:w w:val="99"/>
          <w:sz w:val="21"/>
          <w:szCs w:val="21"/>
        </w:rPr>
        <w:t> </w:t>
      </w:r>
      <w:r>
        <w:rPr>
          <w:rFonts w:ascii="宋体" w:hAnsi="宋体" w:cs="宋体" w:eastAsia="宋体" w:hint="default"/>
          <w:sz w:val="21"/>
          <w:szCs w:val="21"/>
        </w:rPr>
        <w:t>项目管理、工程实施及管理团队，储备高素质人才，对梯队人才库进行查漏补缺，根据培养方案进行有针</w:t>
      </w:r>
      <w:r>
        <w:rPr>
          <w:rFonts w:ascii="宋体" w:hAnsi="宋体" w:cs="宋体" w:eastAsia="宋体" w:hint="default"/>
          <w:w w:val="99"/>
          <w:sz w:val="21"/>
          <w:szCs w:val="21"/>
        </w:rPr>
        <w:t> </w:t>
      </w:r>
      <w:r>
        <w:rPr>
          <w:rFonts w:ascii="宋体" w:hAnsi="宋体" w:cs="宋体" w:eastAsia="宋体" w:hint="default"/>
          <w:sz w:val="21"/>
          <w:szCs w:val="21"/>
        </w:rPr>
        <w:t>对性的培训、实践工作，并持续审视、优化，跟进梯队能力建设效果，确保达成预期目标，打造有战斗力</w:t>
      </w:r>
      <w:r>
        <w:rPr>
          <w:rFonts w:ascii="宋体" w:hAnsi="宋体" w:cs="宋体" w:eastAsia="宋体" w:hint="default"/>
          <w:w w:val="99"/>
          <w:sz w:val="21"/>
          <w:szCs w:val="21"/>
        </w:rPr>
        <w:t> </w:t>
      </w:r>
      <w:r>
        <w:rPr>
          <w:rFonts w:ascii="宋体" w:hAnsi="宋体" w:cs="宋体" w:eastAsia="宋体" w:hint="default"/>
          <w:sz w:val="21"/>
          <w:szCs w:val="21"/>
        </w:rPr>
        <w:t>的团队。同时，根据需要借助和整合外部资源，实现优势互补，提升团队综合能力和竞争力。</w:t>
      </w:r>
    </w:p>
    <w:p>
      <w:pPr>
        <w:spacing w:line="420" w:lineRule="auto" w:before="87"/>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、规范公司治理，加强投资者关系维护。</w:t>
      </w:r>
      <w:r>
        <w:rPr>
          <w:rFonts w:ascii="宋体" w:hAnsi="宋体" w:cs="宋体" w:eastAsia="宋体" w:hint="default"/>
          <w:w w:val="99"/>
          <w:sz w:val="21"/>
          <w:szCs w:val="21"/>
        </w:rPr>
        <w:t> </w:t>
      </w:r>
      <w:r>
        <w:rPr>
          <w:rFonts w:ascii="宋体" w:hAnsi="宋体" w:cs="宋体" w:eastAsia="宋体" w:hint="default"/>
          <w:sz w:val="21"/>
          <w:szCs w:val="21"/>
        </w:rPr>
        <w:t>为满足持续快速发展需要，公司将不断完善法人治理结构，健全内部控制制度，</w:t>
      </w:r>
      <w:r>
        <w:rPr>
          <w:rFonts w:ascii="宋体" w:hAnsi="宋体" w:cs="宋体" w:eastAsia="宋体" w:hint="default"/>
          <w:spacing w:val="-22"/>
          <w:sz w:val="21"/>
          <w:szCs w:val="21"/>
        </w:rPr>
        <w:t> </w:t>
      </w:r>
      <w:r>
        <w:rPr>
          <w:rFonts w:ascii="宋体" w:hAnsi="宋体" w:cs="宋体" w:eastAsia="宋体" w:hint="default"/>
          <w:sz w:val="21"/>
          <w:szCs w:val="21"/>
        </w:rPr>
        <w:t>最大限度地降低经</w:t>
      </w:r>
    </w:p>
    <w:p>
      <w:pPr>
        <w:spacing w:line="408" w:lineRule="auto" w:before="35"/>
        <w:ind w:left="112" w:right="1112" w:firstLine="0"/>
        <w:jc w:val="both"/>
        <w:rPr>
          <w:rFonts w:ascii="宋体" w:hAnsi="宋体" w:cs="宋体" w:eastAsia="宋体" w:hint="default"/>
          <w:sz w:val="21"/>
          <w:szCs w:val="21"/>
        </w:rPr>
      </w:pPr>
      <w:r>
        <w:rPr>
          <w:rFonts w:ascii="宋体" w:hAnsi="宋体" w:cs="宋体" w:eastAsia="宋体" w:hint="default"/>
          <w:w w:val="95"/>
          <w:sz w:val="21"/>
          <w:szCs w:val="21"/>
        </w:rPr>
        <w:t>营风险。以加强董事会建设为重点，完善战略委员会、提名委员会、审计委员会、薪酬与考核委员会的职</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能作用，更好的发挥董事会在公司战略方向、重大决策、选择经理人员等方面的作用。以强化集团化管理</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为中心，加强内控部门的建设，保证公司组织结构的合理性和有效性，以满足公司长远发展的内在需要。</w:t>
      </w:r>
      <w:r>
        <w:rPr>
          <w:rFonts w:ascii="宋体" w:hAnsi="宋体" w:cs="宋体" w:eastAsia="宋体" w:hint="default"/>
          <w:sz w:val="21"/>
          <w:szCs w:val="21"/>
        </w:rPr>
      </w:r>
    </w:p>
    <w:p>
      <w:pPr>
        <w:spacing w:line="420" w:lineRule="auto" w:before="84"/>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、进一步提高全公司的协同作战能力</w:t>
      </w:r>
      <w:r>
        <w:rPr>
          <w:rFonts w:ascii="宋体" w:hAnsi="宋体" w:cs="宋体" w:eastAsia="宋体" w:hint="default"/>
          <w:w w:val="99"/>
          <w:sz w:val="21"/>
          <w:szCs w:val="21"/>
        </w:rPr>
        <w:t> </w:t>
      </w:r>
      <w:r>
        <w:rPr>
          <w:rFonts w:ascii="宋体" w:hAnsi="宋体" w:cs="宋体" w:eastAsia="宋体" w:hint="default"/>
          <w:w w:val="95"/>
          <w:sz w:val="21"/>
          <w:szCs w:val="21"/>
        </w:rPr>
        <w:t>公司实施集团化管理后，要重点抓好研发和营销两个方面协同工作。公司各经营板块分别有研发、营</w:t>
      </w:r>
      <w:r>
        <w:rPr>
          <w:rFonts w:ascii="宋体" w:hAnsi="宋体" w:cs="宋体" w:eastAsia="宋体" w:hint="default"/>
          <w:sz w:val="21"/>
          <w:szCs w:val="21"/>
        </w:rPr>
      </w:r>
    </w:p>
    <w:p>
      <w:pPr>
        <w:spacing w:line="398" w:lineRule="auto" w:before="35"/>
        <w:ind w:left="112" w:right="1017" w:firstLine="0"/>
        <w:jc w:val="left"/>
        <w:rPr>
          <w:rFonts w:ascii="宋体" w:hAnsi="宋体" w:cs="宋体" w:eastAsia="宋体" w:hint="default"/>
          <w:sz w:val="21"/>
          <w:szCs w:val="21"/>
        </w:rPr>
      </w:pPr>
      <w:r>
        <w:rPr>
          <w:rFonts w:ascii="宋体" w:hAnsi="宋体" w:cs="宋体" w:eastAsia="宋体" w:hint="default"/>
          <w:sz w:val="21"/>
          <w:szCs w:val="21"/>
        </w:rPr>
        <w:t>销团队，在项目、技术及客户等方面有重叠之处，为提高效率，减少成本费用，要做到设备、人员、技术</w:t>
      </w:r>
      <w:r>
        <w:rPr>
          <w:rFonts w:ascii="宋体" w:hAnsi="宋体" w:cs="宋体" w:eastAsia="宋体" w:hint="default"/>
          <w:w w:val="99"/>
          <w:sz w:val="21"/>
          <w:szCs w:val="21"/>
        </w:rPr>
        <w:t> </w:t>
      </w:r>
      <w:r>
        <w:rPr>
          <w:rFonts w:ascii="宋体" w:hAnsi="宋体" w:cs="宋体" w:eastAsia="宋体" w:hint="default"/>
          <w:sz w:val="21"/>
          <w:szCs w:val="21"/>
        </w:rPr>
        <w:t>和市场等资源的共享。为此，</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年公司要研究建立一套科学高效的协作体系，包括协作模式、制度等</w:t>
      </w:r>
      <w:r>
        <w:rPr>
          <w:rFonts w:ascii="宋体" w:hAnsi="宋体" w:cs="宋体" w:eastAsia="宋体" w:hint="default"/>
          <w:spacing w:val="-81"/>
          <w:sz w:val="21"/>
          <w:szCs w:val="21"/>
        </w:rPr>
        <w:t> </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目的是把不同区域、不同行业的研发、营销有机结合起来，达到一加一大于二的融合效应。</w:t>
      </w:r>
    </w:p>
    <w:p>
      <w:pPr>
        <w:spacing w:line="398" w:lineRule="auto" w:before="95"/>
        <w:ind w:left="112" w:right="1177" w:firstLine="420"/>
        <w:jc w:val="left"/>
        <w:rPr>
          <w:rFonts w:ascii="宋体" w:hAnsi="宋体" w:cs="宋体" w:eastAsia="宋体" w:hint="default"/>
          <w:sz w:val="21"/>
          <w:szCs w:val="21"/>
        </w:rPr>
      </w:pPr>
      <w:r>
        <w:rPr>
          <w:rFonts w:ascii="宋体" w:hAnsi="宋体" w:cs="宋体" w:eastAsia="宋体" w:hint="default"/>
          <w:sz w:val="21"/>
          <w:szCs w:val="21"/>
        </w:rPr>
        <w:t>特别提示：公司上述经营目标不代表公司对</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年度的盈利预测，能否顺利实现取决于市场状况变</w:t>
      </w:r>
      <w:r>
        <w:rPr>
          <w:rFonts w:ascii="宋体" w:hAnsi="宋体" w:cs="宋体" w:eastAsia="宋体" w:hint="default"/>
          <w:w w:val="99"/>
          <w:sz w:val="21"/>
          <w:szCs w:val="21"/>
        </w:rPr>
        <w:t> </w:t>
      </w:r>
      <w:r>
        <w:rPr>
          <w:rFonts w:ascii="宋体" w:hAnsi="宋体" w:cs="宋体" w:eastAsia="宋体" w:hint="default"/>
          <w:w w:val="95"/>
          <w:sz w:val="21"/>
          <w:szCs w:val="21"/>
        </w:rPr>
        <w:t>化、经营团队的努力程度等多种因素，存在一定的不确定性，敬请广大投资者和本年度报告阅读人特别留   </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意。</w:t>
      </w:r>
    </w:p>
    <w:p>
      <w:pPr>
        <w:spacing w:before="93"/>
        <w:ind w:left="532" w:right="987" w:firstLine="0"/>
        <w:jc w:val="left"/>
        <w:rPr>
          <w:rFonts w:ascii="宋体" w:hAnsi="宋体" w:cs="宋体" w:eastAsia="宋体" w:hint="default"/>
          <w:sz w:val="21"/>
          <w:szCs w:val="21"/>
        </w:rPr>
      </w:pPr>
      <w:r>
        <w:rPr>
          <w:rFonts w:ascii="宋体" w:hAnsi="宋体" w:cs="宋体" w:eastAsia="宋体" w:hint="default"/>
          <w:sz w:val="21"/>
          <w:szCs w:val="21"/>
        </w:rPr>
        <w:t>（四）除在本报告前面所提示的风险外，还要重点关注如下几个风险：</w:t>
      </w:r>
    </w:p>
    <w:p>
      <w:pPr>
        <w:spacing w:line="240" w:lineRule="auto" w:before="12"/>
        <w:rPr>
          <w:rFonts w:ascii="宋体" w:hAnsi="宋体" w:cs="宋体" w:eastAsia="宋体" w:hint="default"/>
          <w:sz w:val="17"/>
          <w:szCs w:val="17"/>
        </w:rPr>
      </w:pPr>
    </w:p>
    <w:p>
      <w:pPr>
        <w:spacing w:before="0"/>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、商誉减值风险</w:t>
      </w:r>
    </w:p>
    <w:p>
      <w:pPr>
        <w:spacing w:line="240" w:lineRule="auto" w:before="9"/>
        <w:rPr>
          <w:rFonts w:ascii="宋体" w:hAnsi="宋体" w:cs="宋体" w:eastAsia="宋体" w:hint="default"/>
          <w:sz w:val="16"/>
          <w:szCs w:val="16"/>
        </w:rPr>
      </w:pPr>
    </w:p>
    <w:p>
      <w:pPr>
        <w:spacing w:line="403" w:lineRule="auto" w:before="0"/>
        <w:ind w:left="112" w:right="987" w:firstLine="420"/>
        <w:jc w:val="left"/>
        <w:rPr>
          <w:rFonts w:ascii="宋体" w:hAnsi="宋体" w:cs="宋体" w:eastAsia="宋体" w:hint="default"/>
          <w:sz w:val="21"/>
          <w:szCs w:val="21"/>
        </w:rPr>
      </w:pPr>
      <w:r>
        <w:rPr>
          <w:rFonts w:ascii="宋体" w:hAnsi="宋体" w:cs="宋体" w:eastAsia="宋体" w:hint="default"/>
          <w:sz w:val="21"/>
          <w:szCs w:val="21"/>
        </w:rPr>
        <w:t>报告期内，对通过发行股份及支付现金的方式收购富华宇祺计提商誉减值准备</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1,865.97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万元，至报告</w:t>
      </w:r>
      <w:r>
        <w:rPr>
          <w:rFonts w:ascii="宋体" w:hAnsi="宋体" w:cs="宋体" w:eastAsia="宋体" w:hint="default"/>
          <w:w w:val="99"/>
          <w:sz w:val="21"/>
          <w:szCs w:val="21"/>
        </w:rPr>
        <w:t> </w:t>
      </w:r>
      <w:r>
        <w:rPr>
          <w:rFonts w:ascii="宋体" w:hAnsi="宋体" w:cs="宋体" w:eastAsia="宋体" w:hint="default"/>
          <w:spacing w:val="-3"/>
          <w:w w:val="99"/>
          <w:sz w:val="21"/>
          <w:szCs w:val="21"/>
        </w:rPr>
        <w:t>期末公司还有较大金额的商誉（因并购师凯科技形成）。根据《企业会计准则》规定，商誉不作摊销处理，</w:t>
      </w:r>
      <w:r>
        <w:rPr>
          <w:rFonts w:ascii="宋体" w:hAnsi="宋体" w:cs="宋体" w:eastAsia="宋体" w:hint="default"/>
          <w:spacing w:val="-66"/>
          <w:w w:val="99"/>
          <w:sz w:val="21"/>
          <w:szCs w:val="21"/>
        </w:rPr>
        <w:t> </w:t>
      </w:r>
      <w:r>
        <w:rPr>
          <w:rFonts w:ascii="宋体" w:hAnsi="宋体" w:cs="宋体" w:eastAsia="宋体" w:hint="default"/>
          <w:spacing w:val="-66"/>
          <w:w w:val="99"/>
          <w:sz w:val="21"/>
          <w:szCs w:val="21"/>
        </w:rPr>
      </w:r>
      <w:r>
        <w:rPr>
          <w:rFonts w:ascii="宋体" w:hAnsi="宋体" w:cs="宋体" w:eastAsia="宋体" w:hint="default"/>
          <w:sz w:val="21"/>
          <w:szCs w:val="21"/>
        </w:rPr>
        <w:t>需在每年年度终时进行减值测试。若并购资产在未来经营中不能实现预期收益，那么资产重组形成的商誉</w:t>
      </w:r>
      <w:r>
        <w:rPr>
          <w:rFonts w:ascii="宋体" w:hAnsi="宋体" w:cs="宋体" w:eastAsia="宋体" w:hint="default"/>
          <w:w w:val="99"/>
          <w:sz w:val="21"/>
          <w:szCs w:val="21"/>
        </w:rPr>
        <w:t> </w:t>
      </w:r>
      <w:r>
        <w:rPr>
          <w:rFonts w:ascii="宋体" w:hAnsi="宋体" w:cs="宋体" w:eastAsia="宋体" w:hint="default"/>
          <w:sz w:val="21"/>
          <w:szCs w:val="21"/>
        </w:rPr>
        <w:t>将会存在减值风险，从而对公司今后的经营业绩产生不利影响。虽然师凯科技军工业务发展势头良好，但</w:t>
      </w:r>
      <w:r>
        <w:rPr>
          <w:rFonts w:ascii="宋体" w:hAnsi="宋体" w:cs="宋体" w:eastAsia="宋体" w:hint="default"/>
          <w:w w:val="99"/>
          <w:sz w:val="21"/>
          <w:szCs w:val="21"/>
        </w:rPr>
        <w:t> </w:t>
      </w:r>
      <w:r>
        <w:rPr>
          <w:rFonts w:ascii="宋体" w:hAnsi="宋体" w:cs="宋体" w:eastAsia="宋体" w:hint="default"/>
          <w:sz w:val="21"/>
          <w:szCs w:val="21"/>
        </w:rPr>
        <w:t>并不能绝对保证未来一直实现较大收益。</w:t>
      </w:r>
    </w:p>
    <w:p>
      <w:pPr>
        <w:spacing w:line="408" w:lineRule="auto" w:before="88"/>
        <w:ind w:left="112" w:right="1112" w:firstLine="420"/>
        <w:jc w:val="both"/>
        <w:rPr>
          <w:rFonts w:ascii="宋体" w:hAnsi="宋体" w:cs="宋体" w:eastAsia="宋体" w:hint="default"/>
          <w:sz w:val="21"/>
          <w:szCs w:val="21"/>
        </w:rPr>
      </w:pPr>
      <w:r>
        <w:rPr>
          <w:rFonts w:ascii="宋体" w:hAnsi="宋体" w:cs="宋体" w:eastAsia="宋体" w:hint="default"/>
          <w:w w:val="95"/>
          <w:sz w:val="21"/>
          <w:szCs w:val="21"/>
        </w:rPr>
        <w:t>应对措施：公司将密切关注相关子公司的经营情况，严抓管理，通过提升管理水平、整合技术及业务</w:t>
      </w:r>
      <w:r>
        <w:rPr>
          <w:rFonts w:ascii="宋体" w:hAnsi="宋体" w:cs="宋体" w:eastAsia="宋体" w:hint="default"/>
          <w:w w:val="99"/>
          <w:sz w:val="21"/>
          <w:szCs w:val="21"/>
        </w:rPr>
        <w:t> </w:t>
      </w:r>
      <w:r>
        <w:rPr>
          <w:rFonts w:ascii="宋体" w:hAnsi="宋体" w:cs="宋体" w:eastAsia="宋体" w:hint="default"/>
          <w:w w:val="95"/>
          <w:sz w:val="21"/>
          <w:szCs w:val="21"/>
        </w:rPr>
        <w:t>资源、开拓市场等措施，保障其稳健发展。同时，在保持原有业务的基础上，研发新产品、开拓新市场，</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形成新利润增长点，实现多点开花，从而减少商誉减值风险。</w:t>
      </w:r>
    </w:p>
    <w:p>
      <w:pPr>
        <w:spacing w:line="420" w:lineRule="auto" w:before="87"/>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、规范运作风险</w:t>
      </w:r>
      <w:r>
        <w:rPr>
          <w:rFonts w:ascii="宋体" w:hAnsi="宋体" w:cs="宋体" w:eastAsia="宋体" w:hint="default"/>
          <w:w w:val="99"/>
          <w:sz w:val="21"/>
          <w:szCs w:val="21"/>
        </w:rPr>
        <w:t> </w:t>
      </w:r>
      <w:r>
        <w:rPr>
          <w:rFonts w:ascii="宋体" w:hAnsi="宋体" w:cs="宋体" w:eastAsia="宋体" w:hint="default"/>
          <w:w w:val="95"/>
          <w:sz w:val="21"/>
          <w:szCs w:val="21"/>
        </w:rPr>
        <w:t>公司虽然已经上市多年，但部分董事、监事和高管人员以及相关股东在规范运作上市公司理念上，仍</w:t>
      </w:r>
      <w:r>
        <w:rPr>
          <w:rFonts w:ascii="宋体" w:hAnsi="宋体" w:cs="宋体" w:eastAsia="宋体" w:hint="default"/>
          <w:sz w:val="21"/>
          <w:szCs w:val="21"/>
        </w:rPr>
      </w:r>
    </w:p>
    <w:p>
      <w:pPr>
        <w:spacing w:after="0" w:line="420" w:lineRule="auto"/>
        <w:jc w:val="left"/>
        <w:rPr>
          <w:rFonts w:ascii="宋体" w:hAnsi="宋体" w:cs="宋体" w:eastAsia="宋体" w:hint="default"/>
          <w:sz w:val="21"/>
          <w:szCs w:val="21"/>
        </w:rPr>
        <w:sectPr>
          <w:footerReference w:type="default" r:id="rId20"/>
          <w:pgSz w:w="11910" w:h="16840"/>
          <w:pgMar w:footer="1028" w:header="907" w:top="1100" w:bottom="1220" w:left="1020" w:right="0"/>
          <w:pgNumType w:start="30"/>
        </w:sectPr>
      </w:pPr>
    </w:p>
    <w:p>
      <w:pPr>
        <w:spacing w:line="240" w:lineRule="auto" w:before="9"/>
        <w:rPr>
          <w:rFonts w:ascii="宋体" w:hAnsi="宋体" w:cs="宋体" w:eastAsia="宋体" w:hint="default"/>
          <w:sz w:val="27"/>
          <w:szCs w:val="27"/>
        </w:rPr>
      </w:pPr>
    </w:p>
    <w:p>
      <w:pPr>
        <w:spacing w:line="408" w:lineRule="auto" w:before="34"/>
        <w:ind w:left="112" w:right="1132" w:firstLine="0"/>
        <w:jc w:val="both"/>
        <w:rPr>
          <w:rFonts w:ascii="宋体" w:hAnsi="宋体" w:cs="宋体" w:eastAsia="宋体" w:hint="default"/>
          <w:sz w:val="21"/>
          <w:szCs w:val="21"/>
        </w:rPr>
      </w:pPr>
      <w:r>
        <w:rPr>
          <w:rFonts w:ascii="宋体" w:hAnsi="宋体" w:cs="宋体" w:eastAsia="宋体" w:hint="default"/>
          <w:w w:val="95"/>
          <w:sz w:val="21"/>
          <w:szCs w:val="21"/>
        </w:rPr>
        <w:t>有需要加强之处，公司运作在某些方面也并不十分规范。比如，在子、孙公司成立及后续管理方面、信息</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披露投资者关系管理方面、股份管理方面、下属机构财务资金控制方面及财务成本费用归集核算方面等仍</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有需要改进之处。在当今从严监管的形势下，监管新规越来越多，如果运作规范不到位，将会对公司造成</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严重影响。</w:t>
      </w:r>
    </w:p>
    <w:p>
      <w:pPr>
        <w:spacing w:line="403" w:lineRule="auto" w:before="87"/>
        <w:ind w:left="112" w:right="1132" w:firstLine="420"/>
        <w:jc w:val="both"/>
        <w:rPr>
          <w:rFonts w:ascii="宋体" w:hAnsi="宋体" w:cs="宋体" w:eastAsia="宋体" w:hint="default"/>
          <w:sz w:val="21"/>
          <w:szCs w:val="21"/>
        </w:rPr>
      </w:pPr>
      <w:r>
        <w:rPr>
          <w:rFonts w:ascii="宋体" w:hAnsi="宋体" w:cs="宋体" w:eastAsia="宋体" w:hint="default"/>
          <w:w w:val="95"/>
          <w:sz w:val="21"/>
          <w:szCs w:val="21"/>
        </w:rPr>
        <w:t>应对措施：一方面，公司进一步加强内控体系的建设，提高规范运作意识，相关决策、经营管理人员</w:t>
      </w:r>
      <w:r>
        <w:rPr>
          <w:rFonts w:ascii="宋体" w:hAnsi="宋体" w:cs="宋体" w:eastAsia="宋体" w:hint="default"/>
          <w:w w:val="99"/>
          <w:sz w:val="21"/>
          <w:szCs w:val="21"/>
        </w:rPr>
        <w:t> </w:t>
      </w:r>
      <w:r>
        <w:rPr>
          <w:rFonts w:ascii="宋体" w:hAnsi="宋体" w:cs="宋体" w:eastAsia="宋体" w:hint="default"/>
          <w:w w:val="95"/>
          <w:sz w:val="21"/>
          <w:szCs w:val="21"/>
        </w:rPr>
        <w:t>加强监管规定的学习，确保公司治理机制不被架空，避免出现</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一股独大、一言堂</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现象。同时提高独立董</w:t>
      </w:r>
      <w:r>
        <w:rPr>
          <w:rFonts w:ascii="宋体" w:hAnsi="宋体" w:cs="宋体" w:eastAsia="宋体" w:hint="default"/>
          <w:spacing w:val="57"/>
          <w:w w:val="95"/>
          <w:sz w:val="21"/>
          <w:szCs w:val="21"/>
        </w:rPr>
        <w:t> </w:t>
      </w:r>
      <w:r>
        <w:rPr>
          <w:rFonts w:ascii="宋体" w:hAnsi="宋体" w:cs="宋体" w:eastAsia="宋体" w:hint="default"/>
          <w:spacing w:val="57"/>
          <w:w w:val="95"/>
          <w:sz w:val="21"/>
          <w:szCs w:val="21"/>
        </w:rPr>
      </w:r>
      <w:r>
        <w:rPr>
          <w:rFonts w:ascii="宋体" w:hAnsi="宋体" w:cs="宋体" w:eastAsia="宋体" w:hint="default"/>
          <w:w w:val="95"/>
          <w:sz w:val="21"/>
          <w:szCs w:val="21"/>
        </w:rPr>
        <w:t>事，监事会的监督意识和能力，确保不出现上市公司利益被侵占的风险；二是加强分支机构管控，特别是</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孙公司的财务管控，包括合格财务人员的配备、费用归集、成本核算及报表编制和报送等，避免出现不是</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w w:val="95"/>
          <w:sz w:val="21"/>
          <w:szCs w:val="21"/>
        </w:rPr>
        <w:t>利润增长点反成了亏损点的风险。三是加强信息披露工作，公司决策层要高度重视和支持，工作人员加强</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学习，提高信披能力，确保投资者特别是中小投资者权益不受侵害。</w:t>
      </w:r>
    </w:p>
    <w:p>
      <w:pPr>
        <w:spacing w:line="240" w:lineRule="auto" w:before="13"/>
        <w:rPr>
          <w:rFonts w:ascii="宋体" w:hAnsi="宋体" w:cs="宋体" w:eastAsia="宋体" w:hint="default"/>
          <w:sz w:val="18"/>
          <w:szCs w:val="18"/>
        </w:rPr>
      </w:pPr>
    </w:p>
    <w:p>
      <w:pPr>
        <w:spacing w:before="0"/>
        <w:ind w:left="112" w:right="0" w:firstLine="0"/>
        <w:jc w:val="both"/>
        <w:rPr>
          <w:rFonts w:ascii="宋体" w:hAnsi="宋体" w:cs="宋体" w:eastAsia="宋体" w:hint="default"/>
          <w:sz w:val="24"/>
          <w:szCs w:val="24"/>
        </w:rPr>
      </w:pPr>
      <w:bookmarkStart w:name="十、接待调研、沟通、采访等活动登记表" w:id="52"/>
      <w:bookmarkEnd w:id="52"/>
      <w:r>
        <w:rPr/>
      </w:r>
      <w:r>
        <w:rPr>
          <w:rFonts w:ascii="宋体" w:hAnsi="宋体" w:cs="宋体" w:eastAsia="宋体" w:hint="default"/>
          <w:b/>
          <w:bCs/>
          <w:sz w:val="24"/>
          <w:szCs w:val="24"/>
        </w:rPr>
        <w:t>十、接待调研、沟通、采访等活动登记表</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bookmarkStart w:name="1、报告期内接待调研、沟通、采访等活动登记表 " w:id="53"/>
      <w:bookmarkEnd w:id="5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咨询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年度业绩等问题</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咨询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年度业绩快报披露时间</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2" w:right="131"/>
              <w:jc w:val="left"/>
              <w:rPr>
                <w:rFonts w:ascii="宋体" w:hAnsi="宋体" w:cs="宋体" w:eastAsia="宋体" w:hint="default"/>
                <w:sz w:val="18"/>
                <w:szCs w:val="18"/>
              </w:rPr>
            </w:pPr>
            <w:r>
              <w:rPr>
                <w:rFonts w:ascii="宋体" w:hAnsi="宋体" w:cs="宋体" w:eastAsia="宋体" w:hint="default"/>
                <w:sz w:val="18"/>
                <w:szCs w:val="18"/>
              </w:rPr>
              <w:t>咨询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年第一季度业绩情况及煤 炭行业对公司的影响</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0"/>
              <w:jc w:val="left"/>
              <w:rPr>
                <w:rFonts w:ascii="宋体" w:hAnsi="宋体" w:cs="宋体" w:eastAsia="宋体" w:hint="default"/>
                <w:sz w:val="18"/>
                <w:szCs w:val="18"/>
              </w:rPr>
            </w:pPr>
            <w:r>
              <w:rPr>
                <w:rFonts w:ascii="宋体" w:hAnsi="宋体" w:cs="宋体" w:eastAsia="宋体" w:hint="default"/>
                <w:spacing w:val="-4"/>
                <w:sz w:val="18"/>
                <w:szCs w:val="18"/>
              </w:rPr>
              <w:t>咨询公司最近生产经营情况、重组后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整合等问题</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咨询子公司师凯科技业绩情况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咨询公司半年度业绩预告披露时间</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咨询公司半年度业绩情况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咨询公司股价等情况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咨询股价等情况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咨询限制性股票激励等情况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咨询股价连续下跌等情况</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22"/>
              <w:jc w:val="left"/>
              <w:rPr>
                <w:rFonts w:ascii="宋体" w:hAnsi="宋体" w:cs="宋体" w:eastAsia="宋体" w:hint="default"/>
                <w:sz w:val="18"/>
                <w:szCs w:val="18"/>
              </w:rPr>
            </w:pPr>
            <w:r>
              <w:rPr>
                <w:rFonts w:ascii="宋体" w:hAnsi="宋体" w:cs="宋体" w:eastAsia="宋体" w:hint="default"/>
                <w:sz w:val="18"/>
                <w:szCs w:val="18"/>
              </w:rPr>
              <w:t>咨询公司第三季度业绩预告披露时 间</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咨询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月份公司经营情况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咨询股权激励等情况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咨询公司全年业绩等情况</w:t>
            </w:r>
          </w:p>
        </w:tc>
      </w:tr>
    </w:tbl>
    <w:p>
      <w:pPr>
        <w:spacing w:after="0" w:line="240" w:lineRule="auto"/>
        <w:jc w:val="left"/>
        <w:rPr>
          <w:rFonts w:ascii="宋体" w:hAnsi="宋体" w:cs="宋体" w:eastAsia="宋体" w:hint="default"/>
          <w:sz w:val="18"/>
          <w:szCs w:val="18"/>
        </w:rPr>
        <w:sectPr>
          <w:pgSz w:w="11910" w:h="16840"/>
          <w:pgMar w:header="907" w:footer="1028"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before="0"/>
        <w:ind w:left="93" w:right="1110" w:firstLine="0"/>
        <w:jc w:val="center"/>
        <w:rPr>
          <w:rFonts w:ascii="宋体" w:hAnsi="宋体" w:cs="宋体" w:eastAsia="宋体" w:hint="default"/>
          <w:sz w:val="32"/>
          <w:szCs w:val="32"/>
        </w:rPr>
      </w:pPr>
      <w:bookmarkStart w:name="第五节 重要事项" w:id="54"/>
      <w:bookmarkEnd w:id="54"/>
      <w:r>
        <w:rPr/>
      </w:r>
      <w:r>
        <w:rPr>
          <w:rFonts w:ascii="宋体" w:hAnsi="宋体" w:cs="宋体" w:eastAsia="宋体" w:hint="default"/>
          <w:b/>
          <w:bCs/>
          <w:sz w:val="32"/>
          <w:szCs w:val="32"/>
        </w:rPr>
        <w:t>第五节</w:t>
      </w:r>
      <w:r>
        <w:rPr>
          <w:rFonts w:ascii="宋体" w:hAnsi="宋体" w:cs="宋体" w:eastAsia="宋体" w:hint="default"/>
          <w:b/>
          <w:bCs/>
          <w:spacing w:val="-7"/>
          <w:sz w:val="32"/>
          <w:szCs w:val="32"/>
        </w:rPr>
        <w:t> </w:t>
      </w:r>
      <w:r>
        <w:rPr>
          <w:rFonts w:ascii="宋体" w:hAnsi="宋体" w:cs="宋体" w:eastAsia="宋体" w:hint="default"/>
          <w:b/>
          <w:bCs/>
          <w:sz w:val="32"/>
          <w:szCs w:val="32"/>
        </w:rPr>
        <w:t>重要事项</w:t>
      </w:r>
      <w:r>
        <w:rPr>
          <w:rFonts w:ascii="宋体" w:hAnsi="宋体" w:cs="宋体" w:eastAsia="宋体" w:hint="default"/>
          <w:sz w:val="32"/>
          <w:szCs w:val="32"/>
        </w:rPr>
      </w:r>
    </w:p>
    <w:p>
      <w:pPr>
        <w:spacing w:line="240" w:lineRule="auto" w:before="10"/>
        <w:rPr>
          <w:rFonts w:ascii="宋体" w:hAnsi="宋体" w:cs="宋体" w:eastAsia="宋体" w:hint="default"/>
          <w:b/>
          <w:bCs/>
          <w:sz w:val="38"/>
          <w:szCs w:val="38"/>
        </w:rPr>
      </w:pPr>
    </w:p>
    <w:p>
      <w:pPr>
        <w:spacing w:before="0"/>
        <w:ind w:left="112" w:right="987" w:firstLine="0"/>
        <w:jc w:val="left"/>
        <w:rPr>
          <w:rFonts w:ascii="宋体" w:hAnsi="宋体" w:cs="宋体" w:eastAsia="宋体" w:hint="default"/>
          <w:sz w:val="24"/>
          <w:szCs w:val="24"/>
        </w:rPr>
      </w:pPr>
      <w:bookmarkStart w:name="一、公司普通股利润分配及资本公积金转增股本情况" w:id="55"/>
      <w:bookmarkEnd w:id="55"/>
      <w:r>
        <w:rPr/>
      </w:r>
      <w:r>
        <w:rPr>
          <w:rFonts w:ascii="宋体" w:hAnsi="宋体" w:cs="宋体" w:eastAsia="宋体" w:hint="default"/>
          <w:b/>
          <w:bCs/>
          <w:sz w:val="24"/>
          <w:szCs w:val="24"/>
        </w:rPr>
        <w:t>一、公司普通股利润分配及资本公积金转增股本情况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line="444" w:lineRule="auto"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报告期内普通股利润分配政策，特别是现金分红政策的制定、执行或调整情况：</w:t>
      </w:r>
      <w:r>
        <w:rPr>
          <w:rFonts w:ascii="宋体" w:hAnsi="宋体" w:cs="宋体" w:eastAsia="宋体" w:hint="default"/>
          <w:w w:val="99"/>
          <w:sz w:val="21"/>
          <w:szCs w:val="21"/>
        </w:rPr>
        <w:t> </w:t>
      </w:r>
      <w:r>
        <w:rPr>
          <w:rFonts w:ascii="宋体" w:hAnsi="宋体" w:cs="宋体" w:eastAsia="宋体" w:hint="default"/>
          <w:w w:val="95"/>
          <w:sz w:val="21"/>
          <w:szCs w:val="21"/>
        </w:rPr>
        <w:t>公司严格按照《公司章程》相关利润分配政策和审议程序实施利润分配方案，分红标准和分红比例明</w:t>
      </w:r>
      <w:r>
        <w:rPr>
          <w:rFonts w:ascii="宋体" w:hAnsi="宋体" w:cs="宋体" w:eastAsia="宋体" w:hint="default"/>
          <w:sz w:val="21"/>
          <w:szCs w:val="21"/>
        </w:rPr>
      </w:r>
    </w:p>
    <w:p>
      <w:pPr>
        <w:spacing w:line="408" w:lineRule="auto" w:before="14"/>
        <w:ind w:left="112" w:right="987" w:firstLine="0"/>
        <w:jc w:val="left"/>
        <w:rPr>
          <w:rFonts w:ascii="宋体" w:hAnsi="宋体" w:cs="宋体" w:eastAsia="宋体" w:hint="default"/>
          <w:sz w:val="21"/>
          <w:szCs w:val="21"/>
        </w:rPr>
      </w:pPr>
      <w:r>
        <w:rPr>
          <w:rFonts w:ascii="宋体" w:hAnsi="宋体" w:cs="宋体" w:eastAsia="宋体" w:hint="default"/>
          <w:w w:val="95"/>
          <w:sz w:val="21"/>
          <w:szCs w:val="21"/>
        </w:rPr>
        <w:t>确清晰，相关的决策程序和机制完备，相关的议案经董事会、监事会审议过后提交股东大会审议，并由独</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立董事发表独立意见，审议通过后在规定时间内进行实施，切实保证了全体股东的利益。</w:t>
      </w:r>
    </w:p>
    <w:p>
      <w:pPr>
        <w:spacing w:line="240" w:lineRule="auto" w:before="8"/>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4"/>
        <w:rPr>
          <w:rFonts w:ascii="宋体" w:hAnsi="宋体" w:cs="宋体" w:eastAsia="宋体" w:hint="default"/>
          <w:sz w:val="5"/>
          <w:szCs w:val="5"/>
        </w:rPr>
      </w:pPr>
    </w:p>
    <w:p>
      <w:pPr>
        <w:spacing w:line="408" w:lineRule="auto" w:before="34"/>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公司报告期利润分配预案及资本公积金转增股本预案与公司章程和分红管理办法等的相关规定一致：</w:t>
      </w:r>
      <w:r>
        <w:rPr>
          <w:rFonts w:ascii="宋体" w:hAnsi="宋体" w:cs="宋体" w:eastAsia="宋体" w:hint="default"/>
          <w:spacing w:val="-79"/>
          <w:w w:val="95"/>
          <w:sz w:val="21"/>
          <w:szCs w:val="21"/>
        </w:rPr>
        <w:t> </w:t>
      </w:r>
      <w:r>
        <w:rPr>
          <w:rFonts w:ascii="宋体" w:hAnsi="宋体" w:cs="宋体" w:eastAsia="宋体" w:hint="default"/>
          <w:spacing w:val="-79"/>
          <w:w w:val="95"/>
          <w:sz w:val="21"/>
          <w:szCs w:val="21"/>
        </w:rPr>
      </w:r>
      <w:r>
        <w:rPr>
          <w:rFonts w:ascii="宋体" w:hAnsi="宋体" w:cs="宋体" w:eastAsia="宋体" w:hint="default"/>
          <w:sz w:val="21"/>
          <w:szCs w:val="21"/>
        </w:rPr>
        <w:t>公司报告期利润分配预案及资本公积金转增股本预案符合公司章程等的相关规定。</w:t>
      </w:r>
    </w:p>
    <w:p>
      <w:pPr>
        <w:spacing w:before="84"/>
        <w:ind w:left="3148" w:right="987" w:firstLine="0"/>
        <w:jc w:val="left"/>
        <w:rPr>
          <w:rFonts w:ascii="宋体" w:hAnsi="宋体" w:cs="宋体" w:eastAsia="宋体" w:hint="default"/>
          <w:sz w:val="21"/>
          <w:szCs w:val="21"/>
        </w:rPr>
      </w:pPr>
      <w:r>
        <w:rPr>
          <w:rFonts w:ascii="宋体" w:hAnsi="宋体" w:cs="宋体" w:eastAsia="宋体" w:hint="default"/>
          <w:sz w:val="21"/>
          <w:szCs w:val="21"/>
        </w:rPr>
        <w:t>本年度利润分配及资本公积金转增股本情况</w:t>
      </w:r>
    </w:p>
    <w:p>
      <w:pPr>
        <w:spacing w:line="240" w:lineRule="auto" w:before="2"/>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669,164,255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66,916,425.50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9"/>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89"/>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66,916,425.50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106,927,480.17</w:t>
            </w:r>
          </w:p>
        </w:tc>
      </w:tr>
      <w:tr>
        <w:trPr>
          <w:trHeight w:val="71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83"/>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 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60"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公司发展阶段属成熟期且有重大资金支出安排的，进行利润分配时，现金分红在本次利润分配中所占比例最低应达到</w:t>
            </w:r>
          </w:p>
        </w:tc>
      </w:tr>
    </w:tbl>
    <w:p>
      <w:pPr>
        <w:spacing w:after="0" w:line="240" w:lineRule="auto"/>
        <w:jc w:val="left"/>
        <w:rPr>
          <w:rFonts w:ascii="宋体" w:hAnsi="宋体" w:cs="宋体" w:eastAsia="宋体"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9568"/>
      </w:tblGrid>
      <w:tr>
        <w:trPr>
          <w:trHeight w:val="362"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402" w:hRule="exact"/>
        </w:trPr>
        <w:tc>
          <w:tcPr>
            <w:tcW w:w="9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6" w:hRule="exact"/>
        </w:trPr>
        <w:tc>
          <w:tcPr>
            <w:tcW w:w="9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年度利润分配预案为：以截至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日公司总股本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669,164,255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w:t>
            </w:r>
          </w:p>
          <w:p>
            <w:pPr>
              <w:pStyle w:val="TableParagraph"/>
              <w:spacing w:line="300" w:lineRule="auto" w:before="63"/>
              <w:ind w:left="101" w:right="137"/>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6"/>
                <w:sz w:val="18"/>
                <w:szCs w:val="18"/>
              </w:rPr>
              <w:t>元人民币（含税），合计派发现金股利</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66,916,425.5</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元（含税），本年度不进行送红股，亦不进行转增股本，剩余未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分配利润结转以后年度。</w:t>
            </w:r>
          </w:p>
        </w:tc>
      </w:tr>
    </w:tbl>
    <w:p>
      <w:pPr>
        <w:spacing w:line="240" w:lineRule="auto" w:before="4"/>
        <w:rPr>
          <w:rFonts w:ascii="宋体" w:hAnsi="宋体" w:cs="宋体" w:eastAsia="宋体" w:hint="default"/>
          <w:sz w:val="5"/>
          <w:szCs w:val="5"/>
        </w:rPr>
      </w:pPr>
    </w:p>
    <w:p>
      <w:pPr>
        <w:spacing w:before="34"/>
        <w:ind w:left="532" w:right="987" w:firstLine="0"/>
        <w:jc w:val="left"/>
        <w:rPr>
          <w:rFonts w:ascii="宋体" w:hAnsi="宋体" w:cs="宋体" w:eastAsia="宋体" w:hint="default"/>
          <w:sz w:val="21"/>
          <w:szCs w:val="21"/>
        </w:rPr>
      </w:pPr>
      <w:r>
        <w:rPr>
          <w:rFonts w:ascii="宋体" w:hAnsi="宋体" w:cs="宋体" w:eastAsia="宋体" w:hint="default"/>
          <w:spacing w:val="-1"/>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近</w:t>
      </w:r>
      <w:r>
        <w:rPr>
          <w:rFonts w:ascii="宋体" w:hAnsi="宋体" w:cs="宋体" w:eastAsia="宋体" w:hint="default"/>
          <w:spacing w:val="-50"/>
          <w:sz w:val="21"/>
          <w:szCs w:val="21"/>
        </w:rPr>
        <w:t> </w:t>
      </w:r>
      <w:r>
        <w:rPr>
          <w:rFonts w:ascii="Times New Roman" w:hAnsi="Times New Roman" w:cs="Times New Roman" w:eastAsia="Times New Roman" w:hint="default"/>
          <w:w w:val="99"/>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pacing w:val="-1"/>
          <w:w w:val="99"/>
          <w:sz w:val="21"/>
          <w:szCs w:val="21"/>
        </w:rPr>
        <w:t>年</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包</w:t>
      </w:r>
      <w:r>
        <w:rPr>
          <w:rFonts w:ascii="宋体" w:hAnsi="宋体" w:cs="宋体" w:eastAsia="宋体" w:hint="default"/>
          <w:spacing w:val="2"/>
          <w:w w:val="99"/>
          <w:sz w:val="21"/>
          <w:szCs w:val="21"/>
        </w:rPr>
        <w:t>括</w:t>
      </w:r>
      <w:r>
        <w:rPr>
          <w:rFonts w:ascii="宋体" w:hAnsi="宋体" w:cs="宋体" w:eastAsia="宋体" w:hint="default"/>
          <w:spacing w:val="-1"/>
          <w:w w:val="99"/>
          <w:sz w:val="21"/>
          <w:szCs w:val="21"/>
        </w:rPr>
        <w:t>本</w:t>
      </w:r>
      <w:r>
        <w:rPr>
          <w:rFonts w:ascii="宋体" w:hAnsi="宋体" w:cs="宋体" w:eastAsia="宋体" w:hint="default"/>
          <w:spacing w:val="2"/>
          <w:w w:val="99"/>
          <w:sz w:val="21"/>
          <w:szCs w:val="21"/>
        </w:rPr>
        <w:t>报</w:t>
      </w:r>
      <w:r>
        <w:rPr>
          <w:rFonts w:ascii="宋体" w:hAnsi="宋体" w:cs="宋体" w:eastAsia="宋体" w:hint="default"/>
          <w:spacing w:val="-1"/>
          <w:w w:val="99"/>
          <w:sz w:val="21"/>
          <w:szCs w:val="21"/>
        </w:rPr>
        <w:t>告</w:t>
      </w:r>
      <w:r>
        <w:rPr>
          <w:rFonts w:ascii="宋体" w:hAnsi="宋体" w:cs="宋体" w:eastAsia="宋体" w:hint="default"/>
          <w:spacing w:val="2"/>
          <w:w w:val="99"/>
          <w:sz w:val="21"/>
          <w:szCs w:val="21"/>
        </w:rPr>
        <w:t>期</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的</w:t>
      </w:r>
      <w:r>
        <w:rPr>
          <w:rFonts w:ascii="宋体" w:hAnsi="宋体" w:cs="宋体" w:eastAsia="宋体" w:hint="default"/>
          <w:spacing w:val="-1"/>
          <w:w w:val="99"/>
          <w:sz w:val="21"/>
          <w:szCs w:val="21"/>
        </w:rPr>
        <w:t>普</w:t>
      </w:r>
      <w:r>
        <w:rPr>
          <w:rFonts w:ascii="宋体" w:hAnsi="宋体" w:cs="宋体" w:eastAsia="宋体" w:hint="default"/>
          <w:spacing w:val="2"/>
          <w:w w:val="99"/>
          <w:sz w:val="21"/>
          <w:szCs w:val="21"/>
        </w:rPr>
        <w:t>通</w:t>
      </w:r>
      <w:r>
        <w:rPr>
          <w:rFonts w:ascii="宋体" w:hAnsi="宋体" w:cs="宋体" w:eastAsia="宋体" w:hint="default"/>
          <w:spacing w:val="-1"/>
          <w:w w:val="99"/>
          <w:sz w:val="21"/>
          <w:szCs w:val="21"/>
        </w:rPr>
        <w:t>股</w:t>
      </w:r>
      <w:r>
        <w:rPr>
          <w:rFonts w:ascii="宋体" w:hAnsi="宋体" w:cs="宋体" w:eastAsia="宋体" w:hint="default"/>
          <w:spacing w:val="2"/>
          <w:w w:val="99"/>
          <w:sz w:val="21"/>
          <w:szCs w:val="21"/>
        </w:rPr>
        <w:t>股</w:t>
      </w:r>
      <w:r>
        <w:rPr>
          <w:rFonts w:ascii="宋体" w:hAnsi="宋体" w:cs="宋体" w:eastAsia="宋体" w:hint="default"/>
          <w:spacing w:val="-1"/>
          <w:w w:val="99"/>
          <w:sz w:val="21"/>
          <w:szCs w:val="21"/>
        </w:rPr>
        <w:t>利</w:t>
      </w:r>
      <w:r>
        <w:rPr>
          <w:rFonts w:ascii="宋体" w:hAnsi="宋体" w:cs="宋体" w:eastAsia="宋体" w:hint="default"/>
          <w:spacing w:val="2"/>
          <w:w w:val="99"/>
          <w:sz w:val="21"/>
          <w:szCs w:val="21"/>
        </w:rPr>
        <w:t>分</w:t>
      </w:r>
      <w:r>
        <w:rPr>
          <w:rFonts w:ascii="宋体" w:hAnsi="宋体" w:cs="宋体" w:eastAsia="宋体" w:hint="default"/>
          <w:spacing w:val="-1"/>
          <w:w w:val="99"/>
          <w:sz w:val="21"/>
          <w:szCs w:val="21"/>
        </w:rPr>
        <w:t>配</w:t>
      </w:r>
      <w:r>
        <w:rPr>
          <w:rFonts w:ascii="宋体" w:hAnsi="宋体" w:cs="宋体" w:eastAsia="宋体" w:hint="default"/>
          <w:spacing w:val="2"/>
          <w:w w:val="99"/>
          <w:sz w:val="21"/>
          <w:szCs w:val="21"/>
        </w:rPr>
        <w:t>方</w:t>
      </w:r>
      <w:r>
        <w:rPr>
          <w:rFonts w:ascii="宋体" w:hAnsi="宋体" w:cs="宋体" w:eastAsia="宋体" w:hint="default"/>
          <w:spacing w:val="-1"/>
          <w:w w:val="99"/>
          <w:sz w:val="21"/>
          <w:szCs w:val="21"/>
        </w:rPr>
        <w:t>案</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预</w:t>
      </w:r>
      <w:r>
        <w:rPr>
          <w:rFonts w:ascii="宋体" w:hAnsi="宋体" w:cs="宋体" w:eastAsia="宋体" w:hint="default"/>
          <w:spacing w:val="2"/>
          <w:w w:val="99"/>
          <w:sz w:val="21"/>
          <w:szCs w:val="21"/>
        </w:rPr>
        <w:t>案</w:t>
      </w:r>
      <w:r>
        <w:rPr>
          <w:rFonts w:ascii="宋体" w:hAnsi="宋体" w:cs="宋体" w:eastAsia="宋体" w:hint="default"/>
          <w:spacing w:val="-104"/>
          <w:w w:val="99"/>
          <w:sz w:val="21"/>
          <w:szCs w:val="21"/>
        </w:rPr>
        <w:t>）</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资</w:t>
      </w:r>
      <w:r>
        <w:rPr>
          <w:rFonts w:ascii="宋体" w:hAnsi="宋体" w:cs="宋体" w:eastAsia="宋体" w:hint="default"/>
          <w:spacing w:val="-1"/>
          <w:w w:val="99"/>
          <w:sz w:val="21"/>
          <w:szCs w:val="21"/>
        </w:rPr>
        <w:t>本</w:t>
      </w:r>
      <w:r>
        <w:rPr>
          <w:rFonts w:ascii="宋体" w:hAnsi="宋体" w:cs="宋体" w:eastAsia="宋体" w:hint="default"/>
          <w:spacing w:val="2"/>
          <w:w w:val="99"/>
          <w:sz w:val="21"/>
          <w:szCs w:val="21"/>
        </w:rPr>
        <w:t>公</w:t>
      </w:r>
      <w:r>
        <w:rPr>
          <w:rFonts w:ascii="宋体" w:hAnsi="宋体" w:cs="宋体" w:eastAsia="宋体" w:hint="default"/>
          <w:spacing w:val="-1"/>
          <w:w w:val="99"/>
          <w:sz w:val="21"/>
          <w:szCs w:val="21"/>
        </w:rPr>
        <w:t>积</w:t>
      </w:r>
      <w:r>
        <w:rPr>
          <w:rFonts w:ascii="宋体" w:hAnsi="宋体" w:cs="宋体" w:eastAsia="宋体" w:hint="default"/>
          <w:spacing w:val="2"/>
          <w:w w:val="99"/>
          <w:sz w:val="21"/>
          <w:szCs w:val="21"/>
        </w:rPr>
        <w:t>金</w:t>
      </w:r>
      <w:r>
        <w:rPr>
          <w:rFonts w:ascii="宋体" w:hAnsi="宋体" w:cs="宋体" w:eastAsia="宋体" w:hint="default"/>
          <w:spacing w:val="-1"/>
          <w:w w:val="99"/>
          <w:sz w:val="21"/>
          <w:szCs w:val="21"/>
        </w:rPr>
        <w:t>转</w:t>
      </w:r>
      <w:r>
        <w:rPr>
          <w:rFonts w:ascii="宋体" w:hAnsi="宋体" w:cs="宋体" w:eastAsia="宋体" w:hint="default"/>
          <w:spacing w:val="2"/>
          <w:w w:val="99"/>
          <w:sz w:val="21"/>
          <w:szCs w:val="21"/>
        </w:rPr>
        <w:t>增</w:t>
      </w:r>
      <w:r>
        <w:rPr>
          <w:rFonts w:ascii="宋体" w:hAnsi="宋体" w:cs="宋体" w:eastAsia="宋体" w:hint="default"/>
          <w:spacing w:val="-1"/>
          <w:w w:val="99"/>
          <w:sz w:val="21"/>
          <w:szCs w:val="21"/>
        </w:rPr>
        <w:t>股</w:t>
      </w:r>
      <w:r>
        <w:rPr>
          <w:rFonts w:ascii="宋体" w:hAnsi="宋体" w:cs="宋体" w:eastAsia="宋体" w:hint="default"/>
          <w:spacing w:val="2"/>
          <w:w w:val="99"/>
          <w:sz w:val="21"/>
          <w:szCs w:val="21"/>
        </w:rPr>
        <w:t>本</w:t>
      </w:r>
      <w:r>
        <w:rPr>
          <w:rFonts w:ascii="宋体" w:hAnsi="宋体" w:cs="宋体" w:eastAsia="宋体" w:hint="default"/>
          <w:spacing w:val="-1"/>
          <w:w w:val="99"/>
          <w:sz w:val="21"/>
          <w:szCs w:val="21"/>
        </w:rPr>
        <w:t>方</w:t>
      </w:r>
      <w:r>
        <w:rPr>
          <w:rFonts w:ascii="宋体" w:hAnsi="宋体" w:cs="宋体" w:eastAsia="宋体" w:hint="default"/>
          <w:spacing w:val="2"/>
          <w:w w:val="99"/>
          <w:sz w:val="21"/>
          <w:szCs w:val="21"/>
        </w:rPr>
        <w:t>案</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预</w:t>
      </w:r>
      <w:r>
        <w:rPr>
          <w:rFonts w:ascii="宋体" w:hAnsi="宋体" w:cs="宋体" w:eastAsia="宋体" w:hint="default"/>
          <w:spacing w:val="-1"/>
          <w:w w:val="99"/>
          <w:sz w:val="21"/>
          <w:szCs w:val="21"/>
        </w:rPr>
        <w:t>案</w:t>
      </w:r>
      <w:r>
        <w:rPr>
          <w:rFonts w:ascii="宋体" w:hAnsi="宋体" w:cs="宋体" w:eastAsia="宋体" w:hint="default"/>
          <w:spacing w:val="2"/>
          <w:w w:val="99"/>
          <w:sz w:val="21"/>
          <w:szCs w:val="21"/>
        </w:rPr>
        <w:t>）</w:t>
      </w:r>
      <w:r>
        <w:rPr>
          <w:rFonts w:ascii="宋体" w:hAnsi="宋体" w:cs="宋体" w:eastAsia="宋体" w:hint="default"/>
          <w:w w:val="99"/>
          <w:sz w:val="21"/>
          <w:szCs w:val="21"/>
        </w:rPr>
        <w:t>情</w:t>
      </w:r>
      <w:r>
        <w:rPr>
          <w:rFonts w:ascii="宋体" w:hAnsi="宋体" w:cs="宋体" w:eastAsia="宋体" w:hint="default"/>
          <w:sz w:val="21"/>
          <w:szCs w:val="21"/>
        </w:rPr>
      </w:r>
    </w:p>
    <w:p>
      <w:pPr>
        <w:spacing w:line="240" w:lineRule="auto" w:before="12"/>
        <w:rPr>
          <w:rFonts w:ascii="宋体" w:hAnsi="宋体" w:cs="宋体" w:eastAsia="宋体" w:hint="default"/>
          <w:sz w:val="10"/>
          <w:szCs w:val="10"/>
        </w:rPr>
      </w:pPr>
    </w:p>
    <w:p>
      <w:pPr>
        <w:spacing w:before="34"/>
        <w:ind w:left="112" w:right="987" w:firstLine="0"/>
        <w:jc w:val="left"/>
        <w:rPr>
          <w:rFonts w:ascii="宋体" w:hAnsi="宋体" w:cs="宋体" w:eastAsia="宋体" w:hint="default"/>
          <w:sz w:val="21"/>
          <w:szCs w:val="21"/>
        </w:rPr>
      </w:pPr>
      <w:r>
        <w:rPr>
          <w:rFonts w:ascii="宋体" w:hAnsi="宋体" w:cs="宋体" w:eastAsia="宋体" w:hint="default"/>
          <w:w w:val="99"/>
          <w:sz w:val="21"/>
          <w:szCs w:val="21"/>
        </w:rPr>
        <w:t>况</w:t>
      </w:r>
      <w:r>
        <w:rPr>
          <w:rFonts w:ascii="宋体" w:hAnsi="宋体" w:cs="宋体" w:eastAsia="宋体" w:hint="default"/>
          <w:sz w:val="21"/>
          <w:szCs w:val="21"/>
        </w:rPr>
      </w:r>
    </w:p>
    <w:p>
      <w:pPr>
        <w:spacing w:line="240" w:lineRule="auto" w:before="3"/>
        <w:rPr>
          <w:rFonts w:ascii="宋体" w:hAnsi="宋体" w:cs="宋体" w:eastAsia="宋体" w:hint="default"/>
          <w:sz w:val="15"/>
          <w:szCs w:val="15"/>
        </w:rPr>
      </w:pPr>
    </w:p>
    <w:p>
      <w:pPr>
        <w:spacing w:before="34"/>
        <w:ind w:left="93" w:right="726"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年度，利润分配方案为：截至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日公司总股本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660,399,255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股为基数，向全体</w:t>
      </w:r>
    </w:p>
    <w:p>
      <w:pPr>
        <w:spacing w:line="386" w:lineRule="auto" w:before="177"/>
        <w:ind w:left="112" w:right="987" w:firstLine="0"/>
        <w:jc w:val="left"/>
        <w:rPr>
          <w:rFonts w:ascii="宋体" w:hAnsi="宋体" w:cs="宋体" w:eastAsia="宋体" w:hint="default"/>
          <w:sz w:val="21"/>
          <w:szCs w:val="21"/>
        </w:rPr>
      </w:pPr>
      <w:r>
        <w:rPr>
          <w:rFonts w:ascii="宋体" w:hAnsi="宋体" w:cs="宋体" w:eastAsia="宋体" w:hint="default"/>
          <w:w w:val="99"/>
          <w:sz w:val="21"/>
          <w:szCs w:val="21"/>
        </w:rPr>
        <w:t>股东每</w:t>
      </w:r>
      <w:r>
        <w:rPr>
          <w:rFonts w:ascii="宋体" w:hAnsi="宋体" w:cs="宋体" w:eastAsia="宋体" w:hint="default"/>
          <w:spacing w:val="-47"/>
          <w:w w:val="99"/>
          <w:sz w:val="21"/>
          <w:szCs w:val="21"/>
        </w:rPr>
        <w:t> </w:t>
      </w:r>
      <w:r>
        <w:rPr>
          <w:rFonts w:ascii="Times New Roman" w:hAnsi="Times New Roman" w:cs="Times New Roman" w:eastAsia="Times New Roman" w:hint="default"/>
          <w:w w:val="99"/>
          <w:sz w:val="21"/>
          <w:szCs w:val="21"/>
        </w:rPr>
        <w:t>10</w:t>
      </w:r>
      <w:r>
        <w:rPr>
          <w:rFonts w:ascii="Times New Roman" w:hAnsi="Times New Roman" w:cs="Times New Roman" w:eastAsia="Times New Roman" w:hint="default"/>
          <w:spacing w:val="2"/>
          <w:w w:val="99"/>
          <w:sz w:val="21"/>
          <w:szCs w:val="21"/>
        </w:rPr>
        <w:t> </w:t>
      </w:r>
      <w:r>
        <w:rPr>
          <w:rFonts w:ascii="宋体" w:hAnsi="宋体" w:cs="宋体" w:eastAsia="宋体" w:hint="default"/>
          <w:w w:val="99"/>
          <w:sz w:val="21"/>
          <w:szCs w:val="21"/>
        </w:rPr>
        <w:t>股派发现金股利</w:t>
      </w:r>
      <w:r>
        <w:rPr>
          <w:rFonts w:ascii="宋体" w:hAnsi="宋体" w:cs="宋体" w:eastAsia="宋体" w:hint="default"/>
          <w:spacing w:val="-50"/>
          <w:w w:val="99"/>
          <w:sz w:val="21"/>
          <w:szCs w:val="21"/>
        </w:rPr>
        <w:t> </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4"/>
          <w:w w:val="99"/>
          <w:sz w:val="21"/>
          <w:szCs w:val="21"/>
        </w:rPr>
        <w:t> </w:t>
      </w:r>
      <w:r>
        <w:rPr>
          <w:rFonts w:ascii="宋体" w:hAnsi="宋体" w:cs="宋体" w:eastAsia="宋体" w:hint="default"/>
          <w:spacing w:val="-6"/>
          <w:w w:val="99"/>
          <w:sz w:val="21"/>
          <w:szCs w:val="21"/>
        </w:rPr>
        <w:t>元人民币（含税），合计派发现金股利</w:t>
      </w:r>
      <w:r>
        <w:rPr>
          <w:rFonts w:ascii="宋体" w:hAnsi="宋体" w:cs="宋体" w:eastAsia="宋体" w:hint="default"/>
          <w:spacing w:val="-47"/>
          <w:w w:val="99"/>
          <w:sz w:val="21"/>
          <w:szCs w:val="21"/>
        </w:rPr>
        <w:t> </w:t>
      </w:r>
      <w:r>
        <w:rPr>
          <w:rFonts w:ascii="Times New Roman" w:hAnsi="Times New Roman" w:cs="Times New Roman" w:eastAsia="Times New Roman" w:hint="default"/>
          <w:w w:val="99"/>
          <w:sz w:val="21"/>
          <w:szCs w:val="21"/>
        </w:rPr>
        <w:t>66,039,925.50</w:t>
      </w:r>
      <w:r>
        <w:rPr>
          <w:rFonts w:ascii="Times New Roman" w:hAnsi="Times New Roman" w:cs="Times New Roman" w:eastAsia="Times New Roman" w:hint="default"/>
          <w:spacing w:val="2"/>
          <w:w w:val="99"/>
          <w:sz w:val="21"/>
          <w:szCs w:val="21"/>
        </w:rPr>
        <w:t> </w:t>
      </w:r>
      <w:r>
        <w:rPr>
          <w:rFonts w:ascii="宋体" w:hAnsi="宋体" w:cs="宋体" w:eastAsia="宋体" w:hint="default"/>
          <w:spacing w:val="-10"/>
          <w:w w:val="99"/>
          <w:sz w:val="21"/>
          <w:szCs w:val="21"/>
        </w:rPr>
        <w:t>元（含税），本年度不进</w:t>
      </w:r>
      <w:r>
        <w:rPr>
          <w:rFonts w:ascii="宋体" w:hAnsi="宋体" w:cs="宋体" w:eastAsia="宋体" w:hint="default"/>
          <w:w w:val="99"/>
          <w:sz w:val="21"/>
          <w:szCs w:val="21"/>
        </w:rPr>
        <w:t> </w:t>
      </w:r>
      <w:r>
        <w:rPr>
          <w:rFonts w:ascii="宋体" w:hAnsi="宋体" w:cs="宋体" w:eastAsia="宋体" w:hint="default"/>
          <w:sz w:val="21"/>
          <w:szCs w:val="21"/>
        </w:rPr>
        <w:t>行送红股，亦不进行转增股本，剩余未分配利润结转以后年度。已实施完毕。</w:t>
      </w:r>
    </w:p>
    <w:p>
      <w:pPr>
        <w:spacing w:before="103"/>
        <w:ind w:left="93" w:right="726"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年度利润分配方案为：以截至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日公司总股本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669,279,255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股为基数，向全体</w:t>
      </w:r>
    </w:p>
    <w:p>
      <w:pPr>
        <w:spacing w:line="386" w:lineRule="auto" w:before="177"/>
        <w:ind w:left="112" w:right="987" w:firstLine="0"/>
        <w:jc w:val="left"/>
        <w:rPr>
          <w:rFonts w:ascii="宋体" w:hAnsi="宋体" w:cs="宋体" w:eastAsia="宋体" w:hint="default"/>
          <w:sz w:val="21"/>
          <w:szCs w:val="21"/>
        </w:rPr>
      </w:pPr>
      <w:r>
        <w:rPr>
          <w:rFonts w:ascii="宋体" w:hAnsi="宋体" w:cs="宋体" w:eastAsia="宋体" w:hint="default"/>
          <w:w w:val="99"/>
          <w:sz w:val="21"/>
          <w:szCs w:val="21"/>
        </w:rPr>
        <w:t>股东每</w:t>
      </w:r>
      <w:r>
        <w:rPr>
          <w:rFonts w:ascii="宋体" w:hAnsi="宋体" w:cs="宋体" w:eastAsia="宋体" w:hint="default"/>
          <w:spacing w:val="-45"/>
          <w:w w:val="99"/>
          <w:sz w:val="21"/>
          <w:szCs w:val="21"/>
        </w:rPr>
        <w:t> </w:t>
      </w:r>
      <w:r>
        <w:rPr>
          <w:rFonts w:ascii="Times New Roman" w:hAnsi="Times New Roman" w:cs="Times New Roman" w:eastAsia="Times New Roman" w:hint="default"/>
          <w:w w:val="99"/>
          <w:sz w:val="21"/>
          <w:szCs w:val="21"/>
        </w:rPr>
        <w:t>10</w:t>
      </w:r>
      <w:r>
        <w:rPr>
          <w:rFonts w:ascii="Times New Roman" w:hAnsi="Times New Roman" w:cs="Times New Roman" w:eastAsia="Times New Roman" w:hint="default"/>
          <w:spacing w:val="3"/>
          <w:w w:val="99"/>
          <w:sz w:val="21"/>
          <w:szCs w:val="21"/>
        </w:rPr>
        <w:t> </w:t>
      </w:r>
      <w:r>
        <w:rPr>
          <w:rFonts w:ascii="宋体" w:hAnsi="宋体" w:cs="宋体" w:eastAsia="宋体" w:hint="default"/>
          <w:w w:val="99"/>
          <w:sz w:val="21"/>
          <w:szCs w:val="21"/>
        </w:rPr>
        <w:t>股派发现金股利</w:t>
      </w:r>
      <w:r>
        <w:rPr>
          <w:rFonts w:ascii="宋体" w:hAnsi="宋体" w:cs="宋体" w:eastAsia="宋体" w:hint="default"/>
          <w:spacing w:val="-48"/>
          <w:w w:val="99"/>
          <w:sz w:val="21"/>
          <w:szCs w:val="21"/>
        </w:rPr>
        <w:t> </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6"/>
          <w:w w:val="99"/>
          <w:sz w:val="21"/>
          <w:szCs w:val="21"/>
        </w:rPr>
        <w:t> </w:t>
      </w:r>
      <w:r>
        <w:rPr>
          <w:rFonts w:ascii="宋体" w:hAnsi="宋体" w:cs="宋体" w:eastAsia="宋体" w:hint="default"/>
          <w:spacing w:val="-9"/>
          <w:w w:val="99"/>
          <w:sz w:val="21"/>
          <w:szCs w:val="21"/>
        </w:rPr>
        <w:t>元人民币（含税），合计派发现金股利</w:t>
      </w:r>
      <w:r>
        <w:rPr>
          <w:rFonts w:ascii="宋体" w:hAnsi="宋体" w:cs="宋体" w:eastAsia="宋体" w:hint="default"/>
          <w:spacing w:val="-45"/>
          <w:w w:val="99"/>
          <w:sz w:val="21"/>
          <w:szCs w:val="21"/>
        </w:rPr>
        <w:t> </w:t>
      </w:r>
      <w:r>
        <w:rPr>
          <w:rFonts w:ascii="Times New Roman" w:hAnsi="Times New Roman" w:cs="Times New Roman" w:eastAsia="Times New Roman" w:hint="default"/>
          <w:w w:val="99"/>
          <w:sz w:val="21"/>
          <w:szCs w:val="21"/>
        </w:rPr>
        <w:t>66,927,925.5</w:t>
      </w:r>
      <w:r>
        <w:rPr>
          <w:rFonts w:ascii="Times New Roman" w:hAnsi="Times New Roman" w:cs="Times New Roman" w:eastAsia="Times New Roman" w:hint="default"/>
          <w:spacing w:val="3"/>
          <w:w w:val="99"/>
          <w:sz w:val="21"/>
          <w:szCs w:val="21"/>
        </w:rPr>
        <w:t> </w:t>
      </w:r>
      <w:r>
        <w:rPr>
          <w:rFonts w:ascii="宋体" w:hAnsi="宋体" w:cs="宋体" w:eastAsia="宋体" w:hint="default"/>
          <w:spacing w:val="-12"/>
          <w:w w:val="99"/>
          <w:sz w:val="21"/>
          <w:szCs w:val="21"/>
        </w:rPr>
        <w:t>元（含税），本年度不进行</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z w:val="21"/>
          <w:szCs w:val="21"/>
        </w:rPr>
        <w:t>送红股，亦不进行转增股本，剩余未分配利润结转以后年度。已实施完毕。</w:t>
      </w:r>
    </w:p>
    <w:p>
      <w:pPr>
        <w:spacing w:before="106"/>
        <w:ind w:left="93" w:right="695" w:firstLine="0"/>
        <w:jc w:val="center"/>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年度利润分配预案为：以截至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日公司总股本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669,164,255</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股为基数，向全体股</w:t>
      </w:r>
    </w:p>
    <w:p>
      <w:pPr>
        <w:spacing w:before="177"/>
        <w:ind w:left="112" w:right="987" w:firstLine="0"/>
        <w:jc w:val="left"/>
        <w:rPr>
          <w:rFonts w:ascii="宋体" w:hAnsi="宋体" w:cs="宋体" w:eastAsia="宋体" w:hint="default"/>
          <w:sz w:val="21"/>
          <w:szCs w:val="21"/>
        </w:rPr>
      </w:pPr>
      <w:r>
        <w:rPr>
          <w:rFonts w:ascii="宋体" w:hAnsi="宋体" w:cs="宋体" w:eastAsia="宋体" w:hint="default"/>
          <w:spacing w:val="-1"/>
          <w:w w:val="99"/>
          <w:sz w:val="21"/>
          <w:szCs w:val="21"/>
        </w:rPr>
        <w:t>东</w:t>
      </w:r>
      <w:r>
        <w:rPr>
          <w:rFonts w:ascii="宋体" w:hAnsi="宋体" w:cs="宋体" w:eastAsia="宋体" w:hint="default"/>
          <w:w w:val="99"/>
          <w:sz w:val="21"/>
          <w:szCs w:val="21"/>
        </w:rPr>
        <w:t>每</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1"/>
          <w:w w:val="99"/>
          <w:sz w:val="21"/>
          <w:szCs w:val="21"/>
        </w:rPr>
        <w:t>股</w:t>
      </w:r>
      <w:r>
        <w:rPr>
          <w:rFonts w:ascii="宋体" w:hAnsi="宋体" w:cs="宋体" w:eastAsia="宋体" w:hint="default"/>
          <w:spacing w:val="2"/>
          <w:w w:val="99"/>
          <w:sz w:val="21"/>
          <w:szCs w:val="21"/>
        </w:rPr>
        <w:t>派</w:t>
      </w:r>
      <w:r>
        <w:rPr>
          <w:rFonts w:ascii="宋体" w:hAnsi="宋体" w:cs="宋体" w:eastAsia="宋体" w:hint="default"/>
          <w:spacing w:val="-1"/>
          <w:w w:val="99"/>
          <w:sz w:val="21"/>
          <w:szCs w:val="21"/>
        </w:rPr>
        <w:t>发</w:t>
      </w:r>
      <w:r>
        <w:rPr>
          <w:rFonts w:ascii="宋体" w:hAnsi="宋体" w:cs="宋体" w:eastAsia="宋体" w:hint="default"/>
          <w:spacing w:val="2"/>
          <w:w w:val="99"/>
          <w:sz w:val="21"/>
          <w:szCs w:val="21"/>
        </w:rPr>
        <w:t>现</w:t>
      </w:r>
      <w:r>
        <w:rPr>
          <w:rFonts w:ascii="宋体" w:hAnsi="宋体" w:cs="宋体" w:eastAsia="宋体" w:hint="default"/>
          <w:spacing w:val="-1"/>
          <w:w w:val="99"/>
          <w:sz w:val="21"/>
          <w:szCs w:val="21"/>
        </w:rPr>
        <w:t>金</w:t>
      </w:r>
      <w:r>
        <w:rPr>
          <w:rFonts w:ascii="宋体" w:hAnsi="宋体" w:cs="宋体" w:eastAsia="宋体" w:hint="default"/>
          <w:spacing w:val="2"/>
          <w:w w:val="99"/>
          <w:sz w:val="21"/>
          <w:szCs w:val="21"/>
        </w:rPr>
        <w:t>股</w:t>
      </w:r>
      <w:r>
        <w:rPr>
          <w:rFonts w:ascii="宋体" w:hAnsi="宋体" w:cs="宋体" w:eastAsia="宋体" w:hint="default"/>
          <w:w w:val="99"/>
          <w:sz w:val="21"/>
          <w:szCs w:val="21"/>
        </w:rPr>
        <w:t>利</w:t>
      </w:r>
      <w:r>
        <w:rPr>
          <w:rFonts w:ascii="宋体" w:hAnsi="宋体" w:cs="宋体" w:eastAsia="宋体" w:hint="default"/>
          <w:spacing w:val="-53"/>
          <w:sz w:val="21"/>
          <w:szCs w:val="21"/>
        </w:rPr>
        <w:t> </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pacing w:val="-1"/>
          <w:w w:val="99"/>
          <w:sz w:val="21"/>
          <w:szCs w:val="21"/>
        </w:rPr>
        <w:t>元</w:t>
      </w:r>
      <w:r>
        <w:rPr>
          <w:rFonts w:ascii="宋体" w:hAnsi="宋体" w:cs="宋体" w:eastAsia="宋体" w:hint="default"/>
          <w:spacing w:val="2"/>
          <w:w w:val="99"/>
          <w:sz w:val="21"/>
          <w:szCs w:val="21"/>
        </w:rPr>
        <w:t>人</w:t>
      </w:r>
      <w:r>
        <w:rPr>
          <w:rFonts w:ascii="宋体" w:hAnsi="宋体" w:cs="宋体" w:eastAsia="宋体" w:hint="default"/>
          <w:spacing w:val="-1"/>
          <w:w w:val="99"/>
          <w:sz w:val="21"/>
          <w:szCs w:val="21"/>
        </w:rPr>
        <w:t>民</w:t>
      </w:r>
      <w:r>
        <w:rPr>
          <w:rFonts w:ascii="宋体" w:hAnsi="宋体" w:cs="宋体" w:eastAsia="宋体" w:hint="default"/>
          <w:spacing w:val="-17"/>
          <w:w w:val="99"/>
          <w:sz w:val="21"/>
          <w:szCs w:val="21"/>
        </w:rPr>
        <w:t>币</w:t>
      </w:r>
      <w:r>
        <w:rPr>
          <w:rFonts w:ascii="宋体" w:hAnsi="宋体" w:cs="宋体" w:eastAsia="宋体" w:hint="default"/>
          <w:spacing w:val="-1"/>
          <w:w w:val="99"/>
          <w:sz w:val="21"/>
          <w:szCs w:val="21"/>
        </w:rPr>
        <w:t>（含</w:t>
      </w:r>
      <w:r>
        <w:rPr>
          <w:rFonts w:ascii="宋体" w:hAnsi="宋体" w:cs="宋体" w:eastAsia="宋体" w:hint="default"/>
          <w:spacing w:val="2"/>
          <w:w w:val="99"/>
          <w:sz w:val="21"/>
          <w:szCs w:val="21"/>
        </w:rPr>
        <w:t>税</w:t>
      </w:r>
      <w:r>
        <w:rPr>
          <w:rFonts w:ascii="宋体" w:hAnsi="宋体" w:cs="宋体" w:eastAsia="宋体" w:hint="default"/>
          <w:spacing w:val="-104"/>
          <w:w w:val="99"/>
          <w:sz w:val="21"/>
          <w:szCs w:val="21"/>
        </w:rPr>
        <w:t>）</w:t>
      </w:r>
      <w:r>
        <w:rPr>
          <w:rFonts w:ascii="宋体" w:hAnsi="宋体" w:cs="宋体" w:eastAsia="宋体" w:hint="default"/>
          <w:spacing w:val="-17"/>
          <w:w w:val="99"/>
          <w:sz w:val="21"/>
          <w:szCs w:val="21"/>
        </w:rPr>
        <w:t>，</w:t>
      </w:r>
      <w:r>
        <w:rPr>
          <w:rFonts w:ascii="宋体" w:hAnsi="宋体" w:cs="宋体" w:eastAsia="宋体" w:hint="default"/>
          <w:spacing w:val="-1"/>
          <w:w w:val="99"/>
          <w:sz w:val="21"/>
          <w:szCs w:val="21"/>
        </w:rPr>
        <w:t>合</w:t>
      </w:r>
      <w:r>
        <w:rPr>
          <w:rFonts w:ascii="宋体" w:hAnsi="宋体" w:cs="宋体" w:eastAsia="宋体" w:hint="default"/>
          <w:spacing w:val="2"/>
          <w:w w:val="99"/>
          <w:sz w:val="21"/>
          <w:szCs w:val="21"/>
        </w:rPr>
        <w:t>计</w:t>
      </w:r>
      <w:r>
        <w:rPr>
          <w:rFonts w:ascii="宋体" w:hAnsi="宋体" w:cs="宋体" w:eastAsia="宋体" w:hint="default"/>
          <w:spacing w:val="-1"/>
          <w:w w:val="99"/>
          <w:sz w:val="21"/>
          <w:szCs w:val="21"/>
        </w:rPr>
        <w:t>派</w:t>
      </w:r>
      <w:r>
        <w:rPr>
          <w:rFonts w:ascii="宋体" w:hAnsi="宋体" w:cs="宋体" w:eastAsia="宋体" w:hint="default"/>
          <w:spacing w:val="2"/>
          <w:w w:val="99"/>
          <w:sz w:val="21"/>
          <w:szCs w:val="21"/>
        </w:rPr>
        <w:t>发</w:t>
      </w:r>
      <w:r>
        <w:rPr>
          <w:rFonts w:ascii="宋体" w:hAnsi="宋体" w:cs="宋体" w:eastAsia="宋体" w:hint="default"/>
          <w:spacing w:val="-1"/>
          <w:w w:val="99"/>
          <w:sz w:val="21"/>
          <w:szCs w:val="21"/>
        </w:rPr>
        <w:t>现</w:t>
      </w:r>
      <w:r>
        <w:rPr>
          <w:rFonts w:ascii="宋体" w:hAnsi="宋体" w:cs="宋体" w:eastAsia="宋体" w:hint="default"/>
          <w:spacing w:val="2"/>
          <w:w w:val="99"/>
          <w:sz w:val="21"/>
          <w:szCs w:val="21"/>
        </w:rPr>
        <w:t>金</w:t>
      </w:r>
      <w:r>
        <w:rPr>
          <w:rFonts w:ascii="宋体" w:hAnsi="宋体" w:cs="宋体" w:eastAsia="宋体" w:hint="default"/>
          <w:spacing w:val="-1"/>
          <w:w w:val="99"/>
          <w:sz w:val="21"/>
          <w:szCs w:val="21"/>
        </w:rPr>
        <w:t>股</w:t>
      </w:r>
      <w:r>
        <w:rPr>
          <w:rFonts w:ascii="宋体" w:hAnsi="宋体" w:cs="宋体" w:eastAsia="宋体" w:hint="default"/>
          <w:w w:val="99"/>
          <w:sz w:val="21"/>
          <w:szCs w:val="21"/>
        </w:rPr>
        <w:t>利</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66</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9</w:t>
      </w:r>
      <w:r>
        <w:rPr>
          <w:rFonts w:ascii="Times New Roman" w:hAnsi="Times New Roman" w:cs="Times New Roman" w:eastAsia="Times New Roman" w:hint="default"/>
          <w:spacing w:val="1"/>
          <w:w w:val="99"/>
          <w:sz w:val="21"/>
          <w:szCs w:val="21"/>
        </w:rPr>
        <w:t>16</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2"/>
          <w:w w:val="99"/>
          <w:sz w:val="21"/>
          <w:szCs w:val="21"/>
        </w:rPr>
        <w:t>4</w:t>
      </w:r>
      <w:r>
        <w:rPr>
          <w:rFonts w:ascii="Times New Roman" w:hAnsi="Times New Roman" w:cs="Times New Roman" w:eastAsia="Times New Roman" w:hint="default"/>
          <w:spacing w:val="1"/>
          <w:w w:val="99"/>
          <w:sz w:val="21"/>
          <w:szCs w:val="21"/>
        </w:rPr>
        <w:t>25</w:t>
      </w:r>
      <w:r>
        <w:rPr>
          <w:rFonts w:ascii="Times New Roman" w:hAnsi="Times New Roman" w:cs="Times New Roman" w:eastAsia="Times New Roman" w:hint="default"/>
          <w:w w:val="99"/>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17"/>
          <w:w w:val="99"/>
          <w:sz w:val="21"/>
          <w:szCs w:val="21"/>
        </w:rPr>
        <w:t>元</w:t>
      </w:r>
      <w:r>
        <w:rPr>
          <w:rFonts w:ascii="宋体" w:hAnsi="宋体" w:cs="宋体" w:eastAsia="宋体" w:hint="default"/>
          <w:spacing w:val="-1"/>
          <w:w w:val="99"/>
          <w:sz w:val="21"/>
          <w:szCs w:val="21"/>
        </w:rPr>
        <w:t>（含</w:t>
      </w:r>
      <w:r>
        <w:rPr>
          <w:rFonts w:ascii="宋体" w:hAnsi="宋体" w:cs="宋体" w:eastAsia="宋体" w:hint="default"/>
          <w:spacing w:val="2"/>
          <w:w w:val="99"/>
          <w:sz w:val="21"/>
          <w:szCs w:val="21"/>
        </w:rPr>
        <w:t>税</w:t>
      </w:r>
      <w:r>
        <w:rPr>
          <w:rFonts w:ascii="宋体" w:hAnsi="宋体" w:cs="宋体" w:eastAsia="宋体" w:hint="default"/>
          <w:spacing w:val="-104"/>
          <w:w w:val="99"/>
          <w:sz w:val="21"/>
          <w:szCs w:val="21"/>
        </w:rPr>
        <w:t>）</w:t>
      </w:r>
      <w:r>
        <w:rPr>
          <w:rFonts w:ascii="宋体" w:hAnsi="宋体" w:cs="宋体" w:eastAsia="宋体" w:hint="default"/>
          <w:spacing w:val="-17"/>
          <w:w w:val="99"/>
          <w:sz w:val="21"/>
          <w:szCs w:val="21"/>
        </w:rPr>
        <w:t>，</w:t>
      </w:r>
      <w:r>
        <w:rPr>
          <w:rFonts w:ascii="宋体" w:hAnsi="宋体" w:cs="宋体" w:eastAsia="宋体" w:hint="default"/>
          <w:spacing w:val="-1"/>
          <w:w w:val="99"/>
          <w:sz w:val="21"/>
          <w:szCs w:val="21"/>
        </w:rPr>
        <w:t>本</w:t>
      </w:r>
      <w:r>
        <w:rPr>
          <w:rFonts w:ascii="宋体" w:hAnsi="宋体" w:cs="宋体" w:eastAsia="宋体" w:hint="default"/>
          <w:spacing w:val="2"/>
          <w:w w:val="99"/>
          <w:sz w:val="21"/>
          <w:szCs w:val="21"/>
        </w:rPr>
        <w:t>年</w:t>
      </w:r>
      <w:r>
        <w:rPr>
          <w:rFonts w:ascii="宋体" w:hAnsi="宋体" w:cs="宋体" w:eastAsia="宋体" w:hint="default"/>
          <w:spacing w:val="-1"/>
          <w:w w:val="99"/>
          <w:sz w:val="21"/>
          <w:szCs w:val="21"/>
        </w:rPr>
        <w:t>度</w:t>
      </w:r>
      <w:r>
        <w:rPr>
          <w:rFonts w:ascii="宋体" w:hAnsi="宋体" w:cs="宋体" w:eastAsia="宋体" w:hint="default"/>
          <w:spacing w:val="2"/>
          <w:w w:val="99"/>
          <w:sz w:val="21"/>
          <w:szCs w:val="21"/>
        </w:rPr>
        <w:t>不</w:t>
      </w:r>
      <w:r>
        <w:rPr>
          <w:rFonts w:ascii="宋体" w:hAnsi="宋体" w:cs="宋体" w:eastAsia="宋体" w:hint="default"/>
          <w:spacing w:val="-1"/>
          <w:w w:val="99"/>
          <w:sz w:val="21"/>
          <w:szCs w:val="21"/>
        </w:rPr>
        <w:t>进</w:t>
      </w:r>
      <w:r>
        <w:rPr>
          <w:rFonts w:ascii="宋体" w:hAnsi="宋体" w:cs="宋体" w:eastAsia="宋体" w:hint="default"/>
          <w:spacing w:val="2"/>
          <w:w w:val="99"/>
          <w:sz w:val="21"/>
          <w:szCs w:val="21"/>
        </w:rPr>
        <w:t>行</w:t>
      </w:r>
      <w:r>
        <w:rPr>
          <w:rFonts w:ascii="宋体" w:hAnsi="宋体" w:cs="宋体" w:eastAsia="宋体" w:hint="default"/>
          <w:w w:val="99"/>
          <w:sz w:val="21"/>
          <w:szCs w:val="21"/>
        </w:rPr>
        <w:t>送</w:t>
      </w:r>
      <w:r>
        <w:rPr>
          <w:rFonts w:ascii="宋体" w:hAnsi="宋体" w:cs="宋体" w:eastAsia="宋体" w:hint="default"/>
          <w:sz w:val="21"/>
          <w:szCs w:val="21"/>
        </w:rPr>
      </w:r>
    </w:p>
    <w:p>
      <w:pPr>
        <w:spacing w:before="177"/>
        <w:ind w:left="112" w:right="987" w:firstLine="0"/>
        <w:jc w:val="left"/>
        <w:rPr>
          <w:rFonts w:ascii="宋体" w:hAnsi="宋体" w:cs="宋体" w:eastAsia="宋体" w:hint="default"/>
          <w:sz w:val="21"/>
          <w:szCs w:val="21"/>
        </w:rPr>
      </w:pPr>
      <w:r>
        <w:rPr>
          <w:rFonts w:ascii="宋体" w:hAnsi="宋体" w:cs="宋体" w:eastAsia="宋体" w:hint="default"/>
          <w:sz w:val="21"/>
          <w:szCs w:val="21"/>
        </w:rPr>
        <w:t>红股，亦不进行转增股本，剩余未分配利润结转以后年度。经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日第四届董事会</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w:t>
      </w:r>
    </w:p>
    <w:p>
      <w:pPr>
        <w:spacing w:before="177"/>
        <w:ind w:left="112" w:right="987" w:firstLine="0"/>
        <w:jc w:val="left"/>
        <w:rPr>
          <w:rFonts w:ascii="宋体" w:hAnsi="宋体" w:cs="宋体" w:eastAsia="宋体" w:hint="default"/>
          <w:sz w:val="21"/>
          <w:szCs w:val="21"/>
        </w:rPr>
      </w:pPr>
      <w:r>
        <w:rPr>
          <w:rFonts w:ascii="宋体" w:hAnsi="宋体" w:cs="宋体" w:eastAsia="宋体" w:hint="default"/>
          <w:sz w:val="21"/>
          <w:szCs w:val="21"/>
        </w:rPr>
        <w:t>一次会议审议通过，尚需</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年年度股东大会审议通过。</w:t>
      </w:r>
    </w:p>
    <w:p>
      <w:pPr>
        <w:spacing w:line="240" w:lineRule="auto" w:before="9"/>
        <w:rPr>
          <w:rFonts w:ascii="宋体" w:hAnsi="宋体" w:cs="宋体" w:eastAsia="宋体" w:hint="default"/>
          <w:sz w:val="16"/>
          <w:szCs w:val="16"/>
        </w:rPr>
      </w:pPr>
    </w:p>
    <w:p>
      <w:pPr>
        <w:spacing w:before="0"/>
        <w:ind w:left="93" w:right="690" w:firstLine="0"/>
        <w:jc w:val="center"/>
        <w:rPr>
          <w:rFonts w:ascii="宋体" w:hAnsi="宋体" w:cs="宋体" w:eastAsia="宋体" w:hint="default"/>
          <w:sz w:val="21"/>
          <w:szCs w:val="21"/>
        </w:rPr>
      </w:pPr>
      <w:r>
        <w:rPr>
          <w:rFonts w:ascii="宋体" w:hAnsi="宋体" w:cs="宋体" w:eastAsia="宋体" w:hint="default"/>
          <w:sz w:val="21"/>
          <w:szCs w:val="21"/>
        </w:rPr>
        <w:t>公司近三年（包括本报告期）普通股现金分红情况表</w:t>
      </w:r>
    </w:p>
    <w:p>
      <w:pPr>
        <w:spacing w:line="240" w:lineRule="auto" w:before="10"/>
        <w:rPr>
          <w:rFonts w:ascii="宋体" w:hAnsi="宋体" w:cs="宋体" w:eastAsia="宋体" w:hint="default"/>
          <w:sz w:val="13"/>
          <w:szCs w:val="13"/>
        </w:rPr>
      </w:pPr>
    </w:p>
    <w:p>
      <w:pPr>
        <w:pStyle w:val="BodyText"/>
        <w:spacing w:line="240" w:lineRule="auto" w:before="0"/>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6"/>
        <w:gridCol w:w="1196"/>
        <w:gridCol w:w="1196"/>
        <w:gridCol w:w="1196"/>
        <w:gridCol w:w="1196"/>
      </w:tblGrid>
      <w:tr>
        <w:trPr>
          <w:trHeight w:val="258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141" w:right="142"/>
              <w:jc w:val="left"/>
              <w:rPr>
                <w:rFonts w:ascii="宋体" w:hAnsi="宋体" w:cs="宋体" w:eastAsia="宋体" w:hint="default"/>
                <w:sz w:val="18"/>
                <w:szCs w:val="18"/>
              </w:rPr>
            </w:pPr>
            <w:r>
              <w:rPr>
                <w:rFonts w:ascii="宋体" w:hAnsi="宋体" w:cs="宋体" w:eastAsia="宋体" w:hint="default"/>
                <w:sz w:val="18"/>
                <w:szCs w:val="18"/>
              </w:rPr>
              <w:t>现金分红金 额（含税）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43" w:right="140"/>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2" w:right="141"/>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2"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142" w:right="142"/>
              <w:jc w:val="both"/>
              <w:rPr>
                <w:rFonts w:ascii="宋体" w:hAnsi="宋体" w:cs="宋体" w:eastAsia="宋体" w:hint="default"/>
                <w:sz w:val="18"/>
                <w:szCs w:val="18"/>
              </w:rPr>
            </w:pPr>
            <w:r>
              <w:rPr>
                <w:rFonts w:ascii="宋体" w:hAnsi="宋体" w:cs="宋体" w:eastAsia="宋体" w:hint="default"/>
                <w:sz w:val="18"/>
                <w:szCs w:val="18"/>
              </w:rPr>
              <w:t>（如回购股 份）现金分 红的金额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3" w:right="140"/>
              <w:jc w:val="center"/>
              <w:rPr>
                <w:rFonts w:ascii="宋体" w:hAnsi="宋体" w:cs="宋体" w:eastAsia="宋体" w:hint="default"/>
                <w:sz w:val="18"/>
                <w:szCs w:val="18"/>
              </w:rPr>
            </w:pPr>
            <w:r>
              <w:rPr>
                <w:rFonts w:ascii="宋体" w:hAnsi="宋体" w:cs="宋体" w:eastAsia="宋体" w:hint="default"/>
                <w:sz w:val="18"/>
                <w:szCs w:val="18"/>
              </w:rPr>
              <w:t>以其他方式 现金分红金 额占合并报 表中归属于 上市公司普 通股股东的 净利润的比 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42" w:right="141"/>
              <w:jc w:val="center"/>
              <w:rPr>
                <w:rFonts w:ascii="宋体" w:hAnsi="宋体" w:cs="宋体" w:eastAsia="宋体" w:hint="default"/>
                <w:sz w:val="18"/>
                <w:szCs w:val="18"/>
              </w:rPr>
            </w:pPr>
            <w:r>
              <w:rPr>
                <w:rFonts w:ascii="宋体" w:hAnsi="宋体" w:cs="宋体" w:eastAsia="宋体" w:hint="default"/>
                <w:sz w:val="18"/>
                <w:szCs w:val="18"/>
              </w:rPr>
              <w:t>现金分红总 额（含其他 方式）</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1" w:right="142"/>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66,916,425.5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97,453,208.2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68.67%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66,916,425.5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68.67%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66,927,925.5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101,644,074.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66,927,925.5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65.85%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66,039,925.5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29,911,896.0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220.78%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66,039,925.5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220.78%</w:t>
            </w:r>
          </w:p>
        </w:tc>
      </w:tr>
    </w:tbl>
    <w:p>
      <w:pPr>
        <w:spacing w:line="240" w:lineRule="auto" w:before="5"/>
        <w:rPr>
          <w:rFonts w:ascii="宋体" w:hAnsi="宋体" w:cs="宋体" w:eastAsia="宋体" w:hint="default"/>
          <w:sz w:val="5"/>
          <w:szCs w:val="5"/>
        </w:rPr>
      </w:pPr>
    </w:p>
    <w:p>
      <w:pPr>
        <w:spacing w:before="34"/>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公司报告期内盈利且母公司可供普通股股东分配利润为正但未提出普通股现金红利分配预案：□</w:t>
      </w:r>
      <w:r>
        <w:rPr>
          <w:rFonts w:ascii="宋体" w:hAnsi="宋体" w:cs="宋体" w:eastAsia="宋体" w:hint="default"/>
          <w:spacing w:val="-22"/>
          <w:sz w:val="21"/>
          <w:szCs w:val="21"/>
        </w:rPr>
        <w:t> </w:t>
      </w:r>
      <w:r>
        <w:rPr>
          <w:rFonts w:ascii="宋体" w:hAnsi="宋体" w:cs="宋体" w:eastAsia="宋体" w:hint="default"/>
          <w:sz w:val="21"/>
          <w:szCs w:val="21"/>
        </w:rPr>
        <w:t>适</w:t>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before="34"/>
        <w:ind w:left="112" w:right="987" w:firstLine="0"/>
        <w:jc w:val="left"/>
        <w:rPr>
          <w:rFonts w:ascii="宋体" w:hAnsi="宋体" w:cs="宋体" w:eastAsia="宋体" w:hint="default"/>
          <w:sz w:val="21"/>
          <w:szCs w:val="21"/>
        </w:rPr>
      </w:pPr>
      <w:r>
        <w:rPr>
          <w:rFonts w:ascii="宋体" w:hAnsi="宋体" w:cs="宋体" w:eastAsia="宋体" w:hint="default"/>
          <w:sz w:val="21"/>
          <w:szCs w:val="21"/>
        </w:rPr>
        <w:t>用 √</w:t>
      </w:r>
      <w:r>
        <w:rPr>
          <w:rFonts w:ascii="宋体" w:hAnsi="宋体" w:cs="宋体" w:eastAsia="宋体" w:hint="default"/>
          <w:spacing w:val="-2"/>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31"/>
        <w:ind w:left="112" w:right="987" w:firstLine="0"/>
        <w:jc w:val="left"/>
        <w:rPr>
          <w:rFonts w:ascii="宋体" w:hAnsi="宋体" w:cs="宋体" w:eastAsia="宋体" w:hint="default"/>
          <w:sz w:val="24"/>
          <w:szCs w:val="24"/>
        </w:rPr>
      </w:pPr>
      <w:bookmarkStart w:name="二、承诺事项履行情况" w:id="56"/>
      <w:bookmarkEnd w:id="56"/>
      <w:r>
        <w:rPr/>
      </w:r>
      <w:r>
        <w:rPr>
          <w:rFonts w:ascii="宋体" w:hAnsi="宋体" w:cs="宋体" w:eastAsia="宋体" w:hint="default"/>
          <w:b/>
          <w:bCs/>
          <w:sz w:val="24"/>
          <w:szCs w:val="24"/>
        </w:rPr>
        <w:t>二、承诺事项履行情况</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line="256" w:lineRule="auto" w:before="0"/>
        <w:ind w:left="112" w:right="987" w:firstLine="0"/>
        <w:jc w:val="left"/>
        <w:rPr>
          <w:rFonts w:ascii="宋体" w:hAnsi="宋体" w:cs="宋体" w:eastAsia="宋体" w:hint="default"/>
          <w:sz w:val="21"/>
          <w:szCs w:val="21"/>
        </w:rPr>
      </w:pPr>
      <w:bookmarkStart w:name="1、公司实际控制人、股东、关联方、收购人以及公司等承诺相关方在报告期内履行完毕及" w:id="57"/>
      <w:bookmarkEnd w:id="57"/>
      <w:r>
        <w:rPr/>
      </w:r>
      <w:r>
        <w:rPr>
          <w:rFonts w:ascii="Times New Roman" w:hAnsi="Times New Roman" w:cs="Times New Roman" w:eastAsia="Times New Roman" w:hint="default"/>
          <w:b/>
          <w:bCs/>
          <w:spacing w:val="3"/>
          <w:w w:val="95"/>
          <w:sz w:val="21"/>
          <w:szCs w:val="21"/>
        </w:rPr>
        <w:t>1</w:t>
      </w:r>
      <w:r>
        <w:rPr>
          <w:rFonts w:ascii="宋体" w:hAnsi="宋体" w:cs="宋体" w:eastAsia="宋体" w:hint="default"/>
          <w:b/>
          <w:bCs/>
          <w:spacing w:val="3"/>
          <w:w w:val="95"/>
          <w:sz w:val="21"/>
          <w:szCs w:val="21"/>
        </w:rPr>
        <w:t>、公司实际控制人、股东、关联方、收购人以及公司等承诺相关方在报告期内履行完毕及截至报告期末</w:t>
      </w:r>
      <w:r>
        <w:rPr>
          <w:rFonts w:ascii="宋体" w:hAnsi="宋体" w:cs="宋体" w:eastAsia="宋体" w:hint="default"/>
          <w:b/>
          <w:bCs/>
          <w:spacing w:val="95"/>
          <w:w w:val="95"/>
          <w:sz w:val="21"/>
          <w:szCs w:val="21"/>
        </w:rPr>
        <w:t> </w:t>
      </w:r>
      <w:r>
        <w:rPr>
          <w:rFonts w:ascii="宋体" w:hAnsi="宋体" w:cs="宋体" w:eastAsia="宋体" w:hint="default"/>
          <w:b/>
          <w:bCs/>
          <w:spacing w:val="95"/>
          <w:w w:val="95"/>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264"/>
        <w:gridCol w:w="1245"/>
        <w:gridCol w:w="1155"/>
        <w:gridCol w:w="3600"/>
        <w:gridCol w:w="945"/>
        <w:gridCol w:w="690"/>
        <w:gridCol w:w="668"/>
      </w:tblGrid>
      <w:tr>
        <w:trPr>
          <w:trHeight w:val="714" w:hRule="exact"/>
        </w:trPr>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1" w:right="157"/>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0" w:right="146"/>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56" w:hRule="exact"/>
        </w:trPr>
        <w:tc>
          <w:tcPr>
            <w:tcW w:w="126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收购报告书</w:t>
            </w:r>
          </w:p>
        </w:tc>
        <w:tc>
          <w:tcPr>
            <w:tcW w:w="1245" w:type="dxa"/>
            <w:vMerge w:val="restart"/>
            <w:tcBorders>
              <w:top w:val="single" w:sz="4" w:space="0" w:color="000000"/>
              <w:left w:val="single" w:sz="4" w:space="0" w:color="000000"/>
              <w:right w:val="single" w:sz="4" w:space="0" w:color="000000"/>
            </w:tcBorders>
          </w:tcPr>
          <w:p>
            <w:pPr/>
          </w:p>
        </w:tc>
        <w:tc>
          <w:tcPr>
            <w:tcW w:w="1155" w:type="dxa"/>
            <w:vMerge w:val="restart"/>
            <w:tcBorders>
              <w:top w:val="single" w:sz="4" w:space="0" w:color="000000"/>
              <w:left w:val="single" w:sz="4" w:space="0" w:color="000000"/>
              <w:right w:val="single" w:sz="4" w:space="0" w:color="000000"/>
            </w:tcBorders>
          </w:tcPr>
          <w:p>
            <w:pPr/>
          </w:p>
        </w:tc>
        <w:tc>
          <w:tcPr>
            <w:tcW w:w="3600" w:type="dxa"/>
            <w:vMerge w:val="restart"/>
            <w:tcBorders>
              <w:top w:val="single" w:sz="4" w:space="0" w:color="000000"/>
              <w:left w:val="single" w:sz="4" w:space="0" w:color="000000"/>
              <w:right w:val="single" w:sz="4" w:space="0" w:color="000000"/>
            </w:tcBorders>
          </w:tcPr>
          <w:p>
            <w:pPr/>
          </w:p>
        </w:tc>
        <w:tc>
          <w:tcPr>
            <w:tcW w:w="945"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或权益变动</w:t>
            </w: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报告书中所</w:t>
            </w: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58" w:hRule="exact"/>
        </w:trPr>
        <w:tc>
          <w:tcPr>
            <w:tcW w:w="126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1245" w:type="dxa"/>
            <w:vMerge/>
            <w:tcBorders>
              <w:left w:val="single" w:sz="4" w:space="0" w:color="000000"/>
              <w:bottom w:val="single" w:sz="4" w:space="0" w:color="000000"/>
              <w:right w:val="single" w:sz="4" w:space="0" w:color="000000"/>
            </w:tcBorders>
          </w:tcPr>
          <w:p>
            <w:pPr/>
          </w:p>
        </w:tc>
        <w:tc>
          <w:tcPr>
            <w:tcW w:w="1155" w:type="dxa"/>
            <w:vMerge/>
            <w:tcBorders>
              <w:left w:val="single" w:sz="4" w:space="0" w:color="000000"/>
              <w:bottom w:val="single" w:sz="4" w:space="0" w:color="000000"/>
              <w:right w:val="single" w:sz="4" w:space="0" w:color="000000"/>
            </w:tcBorders>
          </w:tcPr>
          <w:p>
            <w:pPr/>
          </w:p>
        </w:tc>
        <w:tc>
          <w:tcPr>
            <w:tcW w:w="3600" w:type="dxa"/>
            <w:vMerge/>
            <w:tcBorders>
              <w:left w:val="single" w:sz="4" w:space="0" w:color="000000"/>
              <w:bottom w:val="single" w:sz="4" w:space="0" w:color="000000"/>
              <w:right w:val="single" w:sz="4" w:space="0" w:color="000000"/>
            </w:tcBorders>
          </w:tcPr>
          <w:p>
            <w:pPr/>
          </w:p>
        </w:tc>
        <w:tc>
          <w:tcPr>
            <w:tcW w:w="945"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r>
      <w:tr>
        <w:trPr>
          <w:trHeight w:val="357" w:hRule="exact"/>
        </w:trPr>
        <w:tc>
          <w:tcPr>
            <w:tcW w:w="12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155" w:type="dxa"/>
            <w:tcBorders>
              <w:top w:val="single" w:sz="4" w:space="0" w:color="000000"/>
              <w:left w:val="single" w:sz="4" w:space="0" w:color="000000"/>
              <w:bottom w:val="nil" w:sz="6" w:space="0" w:color="auto"/>
              <w:right w:val="single" w:sz="4" w:space="0" w:color="000000"/>
            </w:tcBorders>
          </w:tcPr>
          <w:p>
            <w:pP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在本次非公开发行股份购买资产完成后，本</w:t>
            </w:r>
          </w:p>
        </w:tc>
        <w:tc>
          <w:tcPr>
            <w:tcW w:w="945"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50"/>
              <w:jc w:val="left"/>
              <w:rPr>
                <w:rFonts w:ascii="宋体" w:hAnsi="宋体" w:cs="宋体" w:eastAsia="宋体" w:hint="default"/>
                <w:sz w:val="18"/>
                <w:szCs w:val="18"/>
              </w:rPr>
            </w:pPr>
            <w:r>
              <w:rPr>
                <w:rFonts w:ascii="宋体" w:hAnsi="宋体" w:cs="宋体" w:eastAsia="宋体" w:hint="default"/>
                <w:sz w:val="18"/>
                <w:szCs w:val="18"/>
              </w:rPr>
              <w:t>田斌、季宗 </w:t>
            </w:r>
            <w:r>
              <w:rPr>
                <w:rFonts w:ascii="宋体" w:hAnsi="宋体" w:cs="宋体" w:eastAsia="宋体" w:hint="default"/>
                <w:spacing w:val="-9"/>
                <w:sz w:val="18"/>
                <w:szCs w:val="18"/>
              </w:rPr>
              <w:t>生、冯钊、卢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存方、康剑、 </w:t>
            </w:r>
            <w:r>
              <w:rPr>
                <w:rFonts w:ascii="宋体" w:hAnsi="宋体" w:cs="宋体" w:eastAsia="宋体" w:hint="default"/>
                <w:spacing w:val="-9"/>
                <w:sz w:val="18"/>
                <w:szCs w:val="18"/>
              </w:rPr>
              <w:t>孙慧、康瑞鑫</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103" w:right="140"/>
              <w:jc w:val="left"/>
              <w:rPr>
                <w:rFonts w:ascii="宋体" w:hAnsi="宋体" w:cs="宋体" w:eastAsia="宋体" w:hint="default"/>
                <w:sz w:val="18"/>
                <w:szCs w:val="18"/>
              </w:rPr>
            </w:pPr>
            <w:r>
              <w:rPr>
                <w:rFonts w:ascii="宋体" w:hAnsi="宋体" w:cs="宋体" w:eastAsia="宋体" w:hint="default"/>
                <w:sz w:val="18"/>
                <w:szCs w:val="18"/>
              </w:rPr>
              <w:t>同业竞争的 承诺</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1"/>
              <w:jc w:val="both"/>
              <w:rPr>
                <w:rFonts w:ascii="宋体" w:hAnsi="宋体" w:cs="宋体" w:eastAsia="宋体" w:hint="default"/>
                <w:sz w:val="18"/>
                <w:szCs w:val="18"/>
              </w:rPr>
            </w:pPr>
            <w:r>
              <w:rPr>
                <w:rFonts w:ascii="宋体" w:hAnsi="宋体" w:cs="宋体" w:eastAsia="宋体" w:hint="default"/>
                <w:spacing w:val="-2"/>
                <w:sz w:val="18"/>
                <w:szCs w:val="18"/>
              </w:rPr>
              <w:t>人、本人控股和实际控制的企业在任何时间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不会直接或间接地以任何方式（包括但不限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于自营、合资或联营）参与或进行任何与尤</w:t>
            </w:r>
            <w:r>
              <w:rPr>
                <w:rFonts w:ascii="宋体" w:hAnsi="宋体" w:cs="宋体" w:eastAsia="宋体" w:hint="default"/>
                <w:sz w:val="18"/>
                <w:szCs w:val="18"/>
              </w:rPr>
              <w:t> 洛卡及其控股子公司实际从事的业务存在</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102" w:right="194"/>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357"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155"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竞争的任何业务活动。</w:t>
            </w:r>
          </w:p>
        </w:tc>
        <w:tc>
          <w:tcPr>
            <w:tcW w:w="945"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155" w:type="dxa"/>
            <w:tcBorders>
              <w:top w:val="single" w:sz="4" w:space="0" w:color="000000"/>
              <w:left w:val="single" w:sz="4" w:space="0" w:color="000000"/>
              <w:bottom w:val="nil" w:sz="6" w:space="0" w:color="auto"/>
              <w:right w:val="single" w:sz="4" w:space="0" w:color="000000"/>
            </w:tcBorders>
          </w:tcPr>
          <w:p>
            <w:pP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、本次重组完成后，将严格按照《公司法》</w:t>
            </w:r>
          </w:p>
        </w:tc>
        <w:tc>
          <w:tcPr>
            <w:tcW w:w="945"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等有关法律、法规以及尤洛卡《公司章程》</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的规定行使股东权利或者董事权利，在股东</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大会以及董事会对有关涉及承诺人的关联</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交易事项进行表决时，履行回避表决的义</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2</w:t>
            </w:r>
            <w:r>
              <w:rPr>
                <w:rFonts w:ascii="宋体" w:hAnsi="宋体" w:cs="宋体" w:eastAsia="宋体" w:hint="default"/>
                <w:sz w:val="18"/>
                <w:szCs w:val="18"/>
              </w:rPr>
              <w:t>、本次重组完成后，本人与尤洛卡之</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1243"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6"/>
                <w:szCs w:val="16"/>
              </w:rPr>
            </w:pPr>
          </w:p>
          <w:p>
            <w:pPr>
              <w:pStyle w:val="TableParagraph"/>
              <w:spacing w:line="316" w:lineRule="auto"/>
              <w:ind w:left="101" w:right="250"/>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2" w:right="50"/>
              <w:jc w:val="left"/>
              <w:rPr>
                <w:rFonts w:ascii="宋体" w:hAnsi="宋体" w:cs="宋体" w:eastAsia="宋体" w:hint="default"/>
                <w:sz w:val="18"/>
                <w:szCs w:val="18"/>
              </w:rPr>
            </w:pPr>
            <w:r>
              <w:rPr>
                <w:rFonts w:ascii="宋体" w:hAnsi="宋体" w:cs="宋体" w:eastAsia="宋体" w:hint="default"/>
                <w:sz w:val="18"/>
                <w:szCs w:val="18"/>
              </w:rPr>
              <w:t>田斌、季宗 </w:t>
            </w:r>
            <w:r>
              <w:rPr>
                <w:rFonts w:ascii="宋体" w:hAnsi="宋体" w:cs="宋体" w:eastAsia="宋体" w:hint="default"/>
                <w:spacing w:val="-9"/>
                <w:sz w:val="18"/>
                <w:szCs w:val="18"/>
              </w:rPr>
              <w:t>生、冯钊、卢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存方、康剑、 </w:t>
            </w:r>
            <w:r>
              <w:rPr>
                <w:rFonts w:ascii="宋体" w:hAnsi="宋体" w:cs="宋体" w:eastAsia="宋体" w:hint="default"/>
                <w:spacing w:val="-9"/>
                <w:sz w:val="18"/>
                <w:szCs w:val="18"/>
              </w:rPr>
              <w:t>孙慧、康瑞鑫</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3" w:right="140"/>
              <w:jc w:val="both"/>
              <w:rPr>
                <w:rFonts w:ascii="宋体" w:hAnsi="宋体" w:cs="宋体" w:eastAsia="宋体" w:hint="default"/>
                <w:sz w:val="18"/>
                <w:szCs w:val="18"/>
              </w:rPr>
            </w:pPr>
            <w:r>
              <w:rPr>
                <w:rFonts w:ascii="宋体" w:hAnsi="宋体" w:cs="宋体" w:eastAsia="宋体" w:hint="default"/>
                <w:sz w:val="18"/>
                <w:szCs w:val="18"/>
              </w:rPr>
              <w:t>关联交易、 资金占用的 承诺</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2" w:right="101"/>
              <w:jc w:val="both"/>
              <w:rPr>
                <w:rFonts w:ascii="宋体" w:hAnsi="宋体" w:cs="宋体" w:eastAsia="宋体" w:hint="default"/>
                <w:sz w:val="18"/>
                <w:szCs w:val="18"/>
              </w:rPr>
            </w:pPr>
            <w:r>
              <w:rPr>
                <w:rFonts w:ascii="宋体" w:hAnsi="宋体" w:cs="宋体" w:eastAsia="宋体" w:hint="default"/>
                <w:spacing w:val="-2"/>
                <w:sz w:val="18"/>
                <w:szCs w:val="18"/>
              </w:rPr>
              <w:t>间将尽量减少和避免关联交易。在进行确有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必要且无法规避的关联交易时，保证按市场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化原则和公允价格进行公平操作，并按相关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法律、法规以及规范性文件的规定履行交易</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316" w:lineRule="auto"/>
              <w:ind w:left="102" w:right="194"/>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程序及信息披露义务。保证不通过关联交易</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损害尤洛卡及其他股东的合法权益。本人和</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尤洛卡就相互间关联事务及交易所做出的</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任何约定及安排，均不妨碍对方为其自身利</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益、在市场同等竞争条件下与任何第三方进</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155"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行业务往来或交易。</w:t>
            </w:r>
          </w:p>
        </w:tc>
        <w:tc>
          <w:tcPr>
            <w:tcW w:w="945"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155" w:type="dxa"/>
            <w:tcBorders>
              <w:top w:val="single" w:sz="4" w:space="0" w:color="000000"/>
              <w:left w:val="single" w:sz="4" w:space="0" w:color="000000"/>
              <w:bottom w:val="nil" w:sz="6" w:space="0" w:color="auto"/>
              <w:right w:val="single" w:sz="4" w:space="0" w:color="000000"/>
            </w:tcBorders>
          </w:tcPr>
          <w:p>
            <w:pP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、保证为本次重组所提供的有关信息均为</w:t>
            </w:r>
          </w:p>
        </w:tc>
        <w:tc>
          <w:tcPr>
            <w:tcW w:w="945"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r>
      <w:tr>
        <w:trPr>
          <w:trHeight w:val="1311"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310" w:lineRule="atLeast" w:before="66"/>
              <w:ind w:left="102" w:right="50"/>
              <w:jc w:val="left"/>
              <w:rPr>
                <w:rFonts w:ascii="宋体" w:hAnsi="宋体" w:cs="宋体" w:eastAsia="宋体" w:hint="default"/>
                <w:sz w:val="18"/>
                <w:szCs w:val="18"/>
              </w:rPr>
            </w:pPr>
            <w:r>
              <w:rPr>
                <w:rFonts w:ascii="宋体" w:hAnsi="宋体" w:cs="宋体" w:eastAsia="宋体" w:hint="default"/>
                <w:sz w:val="18"/>
                <w:szCs w:val="18"/>
              </w:rPr>
              <w:t>田斌、季宗 </w:t>
            </w:r>
            <w:r>
              <w:rPr>
                <w:rFonts w:ascii="宋体" w:hAnsi="宋体" w:cs="宋体" w:eastAsia="宋体" w:hint="default"/>
                <w:spacing w:val="-9"/>
                <w:sz w:val="18"/>
                <w:szCs w:val="18"/>
              </w:rPr>
              <w:t>生、冯钊、卢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存方、康剑、 </w:t>
            </w:r>
            <w:r>
              <w:rPr>
                <w:rFonts w:ascii="宋体" w:hAnsi="宋体" w:cs="宋体" w:eastAsia="宋体" w:hint="default"/>
                <w:spacing w:val="-9"/>
                <w:sz w:val="18"/>
                <w:szCs w:val="18"/>
              </w:rPr>
              <w:t>孙慧、康瑞鑫</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312" w:lineRule="auto" w:before="6"/>
              <w:ind w:left="102" w:right="10"/>
              <w:jc w:val="left"/>
              <w:rPr>
                <w:rFonts w:ascii="宋体" w:hAnsi="宋体" w:cs="宋体" w:eastAsia="宋体" w:hint="default"/>
                <w:sz w:val="18"/>
                <w:szCs w:val="18"/>
              </w:rPr>
            </w:pPr>
            <w:r>
              <w:rPr>
                <w:rFonts w:ascii="宋体" w:hAnsi="宋体" w:cs="宋体" w:eastAsia="宋体" w:hint="default"/>
                <w:sz w:val="18"/>
                <w:szCs w:val="18"/>
              </w:rPr>
              <w:t>真实、准确和完整的，不存在虚假记载、误 导性陈述或者重大遗漏；</w:t>
            </w:r>
            <w:r>
              <w:rPr>
                <w:rFonts w:ascii="Times New Roman" w:hAnsi="Times New Roman" w:cs="Times New Roman" w:eastAsia="Times New Roman" w:hint="default"/>
                <w:sz w:val="18"/>
                <w:szCs w:val="18"/>
              </w:rPr>
              <w:t>2</w:t>
            </w:r>
            <w:r>
              <w:rPr>
                <w:rFonts w:ascii="宋体" w:hAnsi="宋体" w:cs="宋体" w:eastAsia="宋体" w:hint="default"/>
                <w:sz w:val="18"/>
                <w:szCs w:val="18"/>
              </w:rPr>
              <w:t>、保证向参与本 次重组的各中介机构所提供的资料均为真 </w:t>
            </w:r>
            <w:r>
              <w:rPr>
                <w:rFonts w:ascii="宋体" w:hAnsi="宋体" w:cs="宋体" w:eastAsia="宋体" w:hint="default"/>
                <w:spacing w:val="-7"/>
                <w:sz w:val="18"/>
                <w:szCs w:val="18"/>
              </w:rPr>
              <w:t>实、准确、完整的原始书面资料或副本资料，</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316" w:lineRule="auto"/>
              <w:ind w:left="102" w:right="194"/>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245"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2" w:right="0"/>
              <w:jc w:val="left"/>
              <w:rPr>
                <w:rFonts w:ascii="宋体" w:hAnsi="宋体" w:cs="宋体" w:eastAsia="宋体" w:hint="default"/>
                <w:sz w:val="18"/>
                <w:szCs w:val="18"/>
              </w:rPr>
            </w:pPr>
            <w:r>
              <w:rPr>
                <w:rFonts w:ascii="宋体" w:hAnsi="宋体" w:cs="宋体" w:eastAsia="宋体" w:hint="default"/>
                <w:sz w:val="18"/>
                <w:szCs w:val="18"/>
              </w:rPr>
              <w:t>资料副本或复印件与其原始资料或原件一</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2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155"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致；所有文件的签名、印章均是真实的，不</w:t>
            </w:r>
          </w:p>
        </w:tc>
        <w:tc>
          <w:tcPr>
            <w:tcW w:w="945"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64"/>
        <w:gridCol w:w="1245"/>
        <w:gridCol w:w="1155"/>
        <w:gridCol w:w="3600"/>
        <w:gridCol w:w="945"/>
        <w:gridCol w:w="690"/>
        <w:gridCol w:w="668"/>
      </w:tblGrid>
      <w:tr>
        <w:trPr>
          <w:trHeight w:val="318" w:hRule="exact"/>
        </w:trPr>
        <w:tc>
          <w:tcPr>
            <w:tcW w:w="1264" w:type="dxa"/>
            <w:vMerge w:val="restart"/>
            <w:tcBorders>
              <w:top w:val="single" w:sz="4" w:space="0" w:color="000000"/>
              <w:left w:val="single" w:sz="4" w:space="0" w:color="000000"/>
              <w:right w:val="single" w:sz="4" w:space="0" w:color="000000"/>
            </w:tcBorders>
            <w:shd w:val="clear" w:color="auto" w:fill="D2D2D2"/>
          </w:tcPr>
          <w:p>
            <w:pPr/>
          </w:p>
        </w:tc>
        <w:tc>
          <w:tcPr>
            <w:tcW w:w="1245" w:type="dxa"/>
            <w:vMerge w:val="restart"/>
            <w:tcBorders>
              <w:top w:val="single" w:sz="4" w:space="0" w:color="000000"/>
              <w:left w:val="single" w:sz="4" w:space="0" w:color="000000"/>
              <w:right w:val="single" w:sz="4" w:space="0" w:color="000000"/>
            </w:tcBorders>
          </w:tcPr>
          <w:p>
            <w:pPr/>
          </w:p>
        </w:tc>
        <w:tc>
          <w:tcPr>
            <w:tcW w:w="1155" w:type="dxa"/>
            <w:vMerge w:val="restart"/>
            <w:tcBorders>
              <w:top w:val="single" w:sz="4" w:space="0" w:color="000000"/>
              <w:left w:val="single" w:sz="4" w:space="0" w:color="000000"/>
              <w:right w:val="single" w:sz="4" w:space="0" w:color="000000"/>
            </w:tcBorders>
          </w:tcPr>
          <w:p>
            <w:pP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存在任何虚假记载、误导性陈述或者重大遗</w:t>
            </w:r>
          </w:p>
        </w:tc>
        <w:tc>
          <w:tcPr>
            <w:tcW w:w="945"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漏；</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、保证为本次重组所出具的说明及确</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认均为真实、准确和完整的，不存在任何虚</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假记载、误导性陈述或者重大遗漏；</w:t>
            </w:r>
            <w:r>
              <w:rPr>
                <w:rFonts w:ascii="Times New Roman" w:hAnsi="Times New Roman" w:cs="Times New Roman" w:eastAsia="Times New Roman" w:hint="default"/>
                <w:sz w:val="18"/>
                <w:szCs w:val="18"/>
              </w:rPr>
              <w:t>4</w:t>
            </w:r>
            <w:r>
              <w:rPr>
                <w:rFonts w:ascii="宋体" w:hAnsi="宋体" w:cs="宋体" w:eastAsia="宋体" w:hint="default"/>
                <w:sz w:val="18"/>
                <w:szCs w:val="18"/>
              </w:rPr>
              <w:t>、承</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诺，如违反上述保证，将承担个别和连带的</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56"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bottom w:val="single" w:sz="4" w:space="0" w:color="000000"/>
              <w:right w:val="single" w:sz="4" w:space="0" w:color="000000"/>
            </w:tcBorders>
          </w:tcPr>
          <w:p>
            <w:pPr/>
          </w:p>
        </w:tc>
        <w:tc>
          <w:tcPr>
            <w:tcW w:w="1155" w:type="dxa"/>
            <w:vMerge/>
            <w:tcBorders>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法律责任。</w:t>
            </w:r>
          </w:p>
        </w:tc>
        <w:tc>
          <w:tcPr>
            <w:tcW w:w="945"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r>
      <w:tr>
        <w:trPr>
          <w:trHeight w:val="362" w:hRule="exact"/>
        </w:trPr>
        <w:tc>
          <w:tcPr>
            <w:tcW w:w="1264" w:type="dxa"/>
            <w:vMerge/>
            <w:tcBorders>
              <w:left w:val="single" w:sz="4" w:space="0" w:color="000000"/>
              <w:right w:val="single" w:sz="4" w:space="0" w:color="000000"/>
            </w:tcBorders>
            <w:shd w:val="clear" w:color="auto" w:fill="D2D2D2"/>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155" w:type="dxa"/>
            <w:tcBorders>
              <w:top w:val="single" w:sz="4" w:space="0" w:color="000000"/>
              <w:left w:val="single" w:sz="4" w:space="0" w:color="000000"/>
              <w:bottom w:val="nil" w:sz="6" w:space="0" w:color="auto"/>
              <w:right w:val="single" w:sz="4" w:space="0" w:color="000000"/>
            </w:tcBorders>
          </w:tcPr>
          <w:p>
            <w:pP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、已知悉并同意尤洛卡矿业安全工程股份</w:t>
            </w:r>
          </w:p>
        </w:tc>
        <w:tc>
          <w:tcPr>
            <w:tcW w:w="945"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有限公司以非公开发行股份及支付现金方</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7"/>
                <w:sz w:val="18"/>
                <w:szCs w:val="18"/>
              </w:rPr>
              <w:t>式购买田斌、季宗生、冯钊、卢存方、康剑、</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孙慧和康瑞鑫等</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名自然人股东合法持有的</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2" w:right="50"/>
              <w:jc w:val="left"/>
              <w:rPr>
                <w:rFonts w:ascii="宋体" w:hAnsi="宋体" w:cs="宋体" w:eastAsia="宋体" w:hint="default"/>
                <w:sz w:val="18"/>
                <w:szCs w:val="18"/>
              </w:rPr>
            </w:pPr>
            <w:r>
              <w:rPr>
                <w:rFonts w:ascii="宋体" w:hAnsi="宋体" w:cs="宋体" w:eastAsia="宋体" w:hint="default"/>
                <w:sz w:val="18"/>
                <w:szCs w:val="18"/>
              </w:rPr>
              <w:t>田斌、季宗 </w:t>
            </w:r>
            <w:r>
              <w:rPr>
                <w:rFonts w:ascii="宋体" w:hAnsi="宋体" w:cs="宋体" w:eastAsia="宋体" w:hint="default"/>
                <w:spacing w:val="-9"/>
                <w:sz w:val="18"/>
                <w:szCs w:val="18"/>
              </w:rPr>
              <w:t>生、冯钊、卢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存方、康剑、 </w:t>
            </w:r>
            <w:r>
              <w:rPr>
                <w:rFonts w:ascii="宋体" w:hAnsi="宋体" w:cs="宋体" w:eastAsia="宋体" w:hint="default"/>
                <w:spacing w:val="-9"/>
                <w:sz w:val="18"/>
                <w:szCs w:val="18"/>
              </w:rPr>
              <w:t>孙慧、康瑞鑫</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102" w:right="87"/>
              <w:jc w:val="left"/>
              <w:rPr>
                <w:rFonts w:ascii="宋体" w:hAnsi="宋体" w:cs="宋体" w:eastAsia="宋体" w:hint="default"/>
                <w:sz w:val="18"/>
                <w:szCs w:val="18"/>
              </w:rPr>
            </w:pPr>
            <w:r>
              <w:rPr>
                <w:rFonts w:ascii="宋体" w:hAnsi="宋体" w:cs="宋体" w:eastAsia="宋体" w:hint="default"/>
                <w:sz w:val="18"/>
                <w:szCs w:val="18"/>
              </w:rPr>
              <w:t>富华宇祺合计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53.21%</w:t>
            </w:r>
            <w:r>
              <w:rPr>
                <w:rFonts w:ascii="宋体" w:hAnsi="宋体" w:cs="宋体" w:eastAsia="宋体" w:hint="default"/>
                <w:sz w:val="18"/>
                <w:szCs w:val="18"/>
              </w:rPr>
              <w:t>股权，其中：田斌转 让持有的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17.7%</w:t>
            </w:r>
            <w:r>
              <w:rPr>
                <w:rFonts w:ascii="宋体" w:hAnsi="宋体" w:cs="宋体" w:eastAsia="宋体" w:hint="default"/>
                <w:sz w:val="18"/>
                <w:szCs w:val="18"/>
              </w:rPr>
              <w:t>股权、季宗生转让持有的 </w:t>
            </w:r>
            <w:r>
              <w:rPr>
                <w:rFonts w:ascii="Times New Roman" w:hAnsi="Times New Roman" w:cs="Times New Roman" w:eastAsia="Times New Roman" w:hint="default"/>
                <w:sz w:val="18"/>
                <w:szCs w:val="18"/>
              </w:rPr>
              <w:t>11.68%</w:t>
            </w:r>
            <w:r>
              <w:rPr>
                <w:rFonts w:ascii="宋体" w:hAnsi="宋体" w:cs="宋体" w:eastAsia="宋体" w:hint="default"/>
                <w:sz w:val="18"/>
                <w:szCs w:val="18"/>
              </w:rPr>
              <w:t>股权、冯钊转让持有的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9.64%</w:t>
            </w:r>
            <w:r>
              <w:rPr>
                <w:rFonts w:ascii="宋体" w:hAnsi="宋体" w:cs="宋体" w:eastAsia="宋体" w:hint="default"/>
                <w:sz w:val="18"/>
                <w:szCs w:val="18"/>
              </w:rPr>
              <w:t>股权、 卢存方转让持有的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7.14%</w:t>
            </w:r>
            <w:r>
              <w:rPr>
                <w:rFonts w:ascii="宋体" w:hAnsi="宋体" w:cs="宋体" w:eastAsia="宋体" w:hint="default"/>
                <w:sz w:val="18"/>
                <w:szCs w:val="18"/>
              </w:rPr>
              <w:t>股权、康剑转让持 有的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2.55%</w:t>
            </w:r>
            <w:r>
              <w:rPr>
                <w:rFonts w:ascii="宋体" w:hAnsi="宋体" w:cs="宋体" w:eastAsia="宋体" w:hint="default"/>
                <w:sz w:val="18"/>
                <w:szCs w:val="18"/>
              </w:rPr>
              <w:t>股权、孙慧转让持有的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股</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102" w:right="194"/>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权、康瑞鑫抓让持有的</w:t>
            </w:r>
            <w:r>
              <w:rPr>
                <w:rFonts w:ascii="宋体" w:hAnsi="宋体" w:cs="宋体" w:eastAsia="宋体" w:hint="default"/>
                <w:spacing w:val="-58"/>
                <w:sz w:val="18"/>
                <w:szCs w:val="18"/>
              </w:rPr>
              <w:t> </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股权。</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、自愿放</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弃依据《中华人民共和国公司法》及《北京</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富华宇祺信息技术有限公司公司章程》对上</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155"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述转让之股权所享有的优先购买权。</w:t>
            </w:r>
          </w:p>
        </w:tc>
        <w:tc>
          <w:tcPr>
            <w:tcW w:w="945"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64" w:type="dxa"/>
            <w:vMerge/>
            <w:tcBorders>
              <w:left w:val="single" w:sz="4" w:space="0" w:color="000000"/>
              <w:right w:val="single" w:sz="4" w:space="0" w:color="000000"/>
            </w:tcBorders>
            <w:shd w:val="clear" w:color="auto" w:fill="D2D2D2"/>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155" w:type="dxa"/>
            <w:tcBorders>
              <w:top w:val="single" w:sz="4" w:space="0" w:color="000000"/>
              <w:left w:val="single" w:sz="4" w:space="0" w:color="000000"/>
              <w:bottom w:val="nil" w:sz="6" w:space="0" w:color="auto"/>
              <w:right w:val="single" w:sz="4" w:space="0" w:color="000000"/>
            </w:tcBorders>
          </w:tcPr>
          <w:p>
            <w:pP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、已经依法对富华宇祺履行出资义务，不</w:t>
            </w:r>
          </w:p>
        </w:tc>
        <w:tc>
          <w:tcPr>
            <w:tcW w:w="945"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存在任何虚假出资、延期出资、抽逃出资等</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违反其作为股东所应当承担的义务及责任</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50"/>
              <w:jc w:val="left"/>
              <w:rPr>
                <w:rFonts w:ascii="宋体" w:hAnsi="宋体" w:cs="宋体" w:eastAsia="宋体" w:hint="default"/>
                <w:sz w:val="18"/>
                <w:szCs w:val="18"/>
              </w:rPr>
            </w:pPr>
            <w:r>
              <w:rPr>
                <w:rFonts w:ascii="宋体" w:hAnsi="宋体" w:cs="宋体" w:eastAsia="宋体" w:hint="default"/>
                <w:sz w:val="18"/>
                <w:szCs w:val="18"/>
              </w:rPr>
              <w:t>田斌、季宗 </w:t>
            </w:r>
            <w:r>
              <w:rPr>
                <w:rFonts w:ascii="宋体" w:hAnsi="宋体" w:cs="宋体" w:eastAsia="宋体" w:hint="default"/>
                <w:spacing w:val="-9"/>
                <w:sz w:val="18"/>
                <w:szCs w:val="18"/>
              </w:rPr>
              <w:t>生、冯钊、卢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存方、康剑、 </w:t>
            </w:r>
            <w:r>
              <w:rPr>
                <w:rFonts w:ascii="宋体" w:hAnsi="宋体" w:cs="宋体" w:eastAsia="宋体" w:hint="default"/>
                <w:spacing w:val="-9"/>
                <w:sz w:val="18"/>
                <w:szCs w:val="18"/>
              </w:rPr>
              <w:t>孙慧、康瑞鑫</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102" w:right="65"/>
              <w:jc w:val="both"/>
              <w:rPr>
                <w:rFonts w:ascii="宋体" w:hAnsi="宋体" w:cs="宋体" w:eastAsia="宋体" w:hint="default"/>
                <w:sz w:val="18"/>
                <w:szCs w:val="18"/>
              </w:rPr>
            </w:pPr>
            <w:r>
              <w:rPr>
                <w:rFonts w:ascii="宋体" w:hAnsi="宋体" w:cs="宋体" w:eastAsia="宋体" w:hint="default"/>
                <w:sz w:val="18"/>
                <w:szCs w:val="18"/>
              </w:rPr>
              <w:t>的行为。</w:t>
            </w:r>
            <w:r>
              <w:rPr>
                <w:rFonts w:ascii="Times New Roman" w:hAnsi="Times New Roman" w:cs="Times New Roman" w:eastAsia="Times New Roman" w:hint="default"/>
                <w:sz w:val="18"/>
                <w:szCs w:val="18"/>
              </w:rPr>
              <w:t>2</w:t>
            </w:r>
            <w:r>
              <w:rPr>
                <w:rFonts w:ascii="宋体" w:hAnsi="宋体" w:cs="宋体" w:eastAsia="宋体" w:hint="default"/>
                <w:sz w:val="18"/>
                <w:szCs w:val="18"/>
              </w:rPr>
              <w:t>、持有的富华宇祺股权不存在信 </w:t>
            </w:r>
            <w:r>
              <w:rPr>
                <w:rFonts w:ascii="宋体" w:hAnsi="宋体" w:cs="宋体" w:eastAsia="宋体" w:hint="default"/>
                <w:spacing w:val="-2"/>
                <w:sz w:val="18"/>
                <w:szCs w:val="18"/>
              </w:rPr>
              <w:t>托安排、不存在股份代持，不代表其他方的</w:t>
            </w:r>
            <w:r>
              <w:rPr>
                <w:rFonts w:ascii="宋体" w:hAnsi="宋体" w:cs="宋体" w:eastAsia="宋体" w:hint="default"/>
                <w:sz w:val="18"/>
                <w:szCs w:val="18"/>
              </w:rPr>
              <w:t> </w:t>
            </w:r>
            <w:r>
              <w:rPr>
                <w:rFonts w:ascii="宋体" w:hAnsi="宋体" w:cs="宋体" w:eastAsia="宋体" w:hint="default"/>
                <w:spacing w:val="-2"/>
                <w:sz w:val="18"/>
                <w:szCs w:val="18"/>
              </w:rPr>
              <w:t>利益，且该股权未设定任何抵押、质押等他</w:t>
            </w:r>
            <w:r>
              <w:rPr>
                <w:rFonts w:ascii="宋体" w:hAnsi="宋体" w:cs="宋体" w:eastAsia="宋体" w:hint="default"/>
                <w:sz w:val="18"/>
                <w:szCs w:val="18"/>
              </w:rPr>
              <w:t> 项权利，亦未被执法部门实施扣押、查封、</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2" w:right="194"/>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司法冻结等使其权利受到限制的任何约束；</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同时，本人保证此种状况持续至该股权登记</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155"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至尤洛卡矿业安全工程股份有限公司名下。</w:t>
            </w:r>
          </w:p>
        </w:tc>
        <w:tc>
          <w:tcPr>
            <w:tcW w:w="945"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r>
      <w:tr>
        <w:trPr>
          <w:trHeight w:val="3210" w:hRule="exact"/>
        </w:trPr>
        <w:tc>
          <w:tcPr>
            <w:tcW w:w="1264" w:type="dxa"/>
            <w:vMerge/>
            <w:tcBorders>
              <w:left w:val="single" w:sz="4" w:space="0" w:color="000000"/>
              <w:right w:val="single" w:sz="4" w:space="0" w:color="000000"/>
            </w:tcBorders>
            <w:shd w:val="clear" w:color="auto" w:fill="D2D2D2"/>
          </w:tcPr>
          <w:p>
            <w:pP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7"/>
              <w:ind w:left="102" w:right="129"/>
              <w:jc w:val="both"/>
              <w:rPr>
                <w:rFonts w:ascii="宋体" w:hAnsi="宋体" w:cs="宋体" w:eastAsia="宋体" w:hint="default"/>
                <w:sz w:val="18"/>
                <w:szCs w:val="18"/>
              </w:rPr>
            </w:pPr>
            <w:r>
              <w:rPr>
                <w:rFonts w:ascii="宋体" w:hAnsi="宋体" w:cs="宋体" w:eastAsia="宋体" w:hint="default"/>
                <w:sz w:val="18"/>
                <w:szCs w:val="18"/>
              </w:rPr>
              <w:t>李继昌</w:t>
            </w:r>
            <w:r>
              <w:rPr>
                <w:rFonts w:ascii="Times New Roman" w:hAnsi="Times New Roman" w:cs="Times New Roman" w:eastAsia="Times New Roman" w:hint="default"/>
                <w:sz w:val="18"/>
                <w:szCs w:val="18"/>
              </w:rPr>
              <w:t>;</w:t>
            </w:r>
            <w:r>
              <w:rPr>
                <w:rFonts w:ascii="宋体" w:hAnsi="宋体" w:cs="宋体" w:eastAsia="宋体" w:hint="default"/>
                <w:sz w:val="18"/>
                <w:szCs w:val="18"/>
              </w:rPr>
              <w:t>李巍 峰</w:t>
            </w:r>
            <w:r>
              <w:rPr>
                <w:rFonts w:ascii="Times New Roman" w:hAnsi="Times New Roman" w:cs="Times New Roman" w:eastAsia="Times New Roman" w:hint="default"/>
                <w:sz w:val="18"/>
                <w:szCs w:val="18"/>
              </w:rPr>
              <w:t>;</w:t>
            </w:r>
            <w:r>
              <w:rPr>
                <w:rFonts w:ascii="宋体" w:hAnsi="宋体" w:cs="宋体" w:eastAsia="宋体" w:hint="default"/>
                <w:sz w:val="18"/>
                <w:szCs w:val="18"/>
              </w:rPr>
              <w:t>李巍岩</w:t>
            </w:r>
            <w:r>
              <w:rPr>
                <w:rFonts w:ascii="Times New Roman" w:hAnsi="Times New Roman" w:cs="Times New Roman" w:eastAsia="Times New Roman" w:hint="default"/>
                <w:sz w:val="18"/>
                <w:szCs w:val="18"/>
              </w:rPr>
              <w:t>;</w:t>
            </w:r>
            <w:r>
              <w:rPr>
                <w:rFonts w:ascii="宋体" w:hAnsi="宋体" w:cs="宋体" w:eastAsia="宋体" w:hint="default"/>
                <w:sz w:val="18"/>
                <w:szCs w:val="18"/>
              </w:rPr>
              <w:t>李 巍屹</w:t>
            </w:r>
            <w:r>
              <w:rPr>
                <w:rFonts w:ascii="Times New Roman" w:hAnsi="Times New Roman" w:cs="Times New Roman" w:eastAsia="Times New Roman" w:hint="default"/>
                <w:sz w:val="18"/>
                <w:szCs w:val="18"/>
              </w:rPr>
              <w:t>;</w:t>
            </w:r>
            <w:r>
              <w:rPr>
                <w:rFonts w:ascii="宋体" w:hAnsi="宋体" w:cs="宋体" w:eastAsia="宋体" w:hint="default"/>
                <w:sz w:val="18"/>
                <w:szCs w:val="18"/>
              </w:rPr>
              <w:t>王敬芝</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103" w:right="14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102" w:right="10"/>
              <w:jc w:val="left"/>
              <w:rPr>
                <w:rFonts w:ascii="宋体" w:hAnsi="宋体" w:cs="宋体" w:eastAsia="宋体" w:hint="default"/>
                <w:sz w:val="18"/>
                <w:szCs w:val="18"/>
              </w:rPr>
            </w:pPr>
            <w:r>
              <w:rPr>
                <w:rFonts w:ascii="宋体" w:hAnsi="宋体" w:cs="宋体" w:eastAsia="宋体" w:hint="default"/>
                <w:spacing w:val="-7"/>
                <w:sz w:val="18"/>
                <w:szCs w:val="18"/>
              </w:rPr>
              <w:t>本次交易完成后，李巍屹、李继昌、李巍岩、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王敬芝、李巍峰认购的尤洛卡股份自新增股</w:t>
            </w:r>
            <w:r>
              <w:rPr>
                <w:rFonts w:ascii="宋体" w:hAnsi="宋体" w:cs="宋体" w:eastAsia="宋体" w:hint="default"/>
                <w:sz w:val="18"/>
                <w:szCs w:val="18"/>
              </w:rPr>
              <w:t> 份登记之日起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个月内不得上市交易或转 让。基于本次交易所取得尤洛卡定向发行的 股份因尤洛卡分配股票股利、资本公积转增 等情形所衍生取得的股份亦应遵守上述股 份锁定安排，在锁定期届满后减持还需遵守</w:t>
            </w:r>
          </w:p>
          <w:p>
            <w:pPr>
              <w:pStyle w:val="TableParagraph"/>
              <w:spacing w:line="316" w:lineRule="auto" w:before="20"/>
              <w:ind w:left="102" w:right="65"/>
              <w:jc w:val="both"/>
              <w:rPr>
                <w:rFonts w:ascii="宋体" w:hAnsi="宋体" w:cs="宋体" w:eastAsia="宋体" w:hint="default"/>
                <w:sz w:val="18"/>
                <w:szCs w:val="18"/>
              </w:rPr>
            </w:pPr>
            <w:r>
              <w:rPr>
                <w:rFonts w:ascii="宋体" w:hAnsi="宋体" w:cs="宋体" w:eastAsia="宋体" w:hint="default"/>
                <w:spacing w:val="-19"/>
                <w:sz w:val="18"/>
                <w:szCs w:val="18"/>
              </w:rPr>
              <w:t>《公司法》、《证券法》、《股票上市规则》等</w:t>
            </w:r>
            <w:r>
              <w:rPr>
                <w:rFonts w:ascii="宋体" w:hAnsi="宋体" w:cs="宋体" w:eastAsia="宋体" w:hint="default"/>
                <w:sz w:val="18"/>
                <w:szCs w:val="18"/>
              </w:rPr>
              <w:t> </w:t>
            </w:r>
            <w:r>
              <w:rPr>
                <w:rFonts w:ascii="宋体" w:hAnsi="宋体" w:cs="宋体" w:eastAsia="宋体" w:hint="default"/>
                <w:spacing w:val="-2"/>
                <w:sz w:val="18"/>
                <w:szCs w:val="18"/>
              </w:rPr>
              <w:t>法律、法规、规章规范性文件、交易所相关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规则以及尤洛卡《公司章程》的相关规定。</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3" w:right="169"/>
              <w:jc w:val="both"/>
              <w:rPr>
                <w:rFonts w:ascii="宋体" w:hAnsi="宋体" w:cs="宋体" w:eastAsia="宋体" w:hint="default"/>
                <w:sz w:val="18"/>
                <w:szCs w:val="18"/>
              </w:rPr>
            </w:pPr>
            <w:r>
              <w:rPr>
                <w:rFonts w:ascii="宋体" w:hAnsi="宋体" w:cs="宋体" w:eastAsia="宋体" w:hint="default"/>
                <w:sz w:val="18"/>
                <w:szCs w:val="18"/>
              </w:rPr>
              <w:t>承诺 自本 次新 增股 份上 市之 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102" w:right="194"/>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1296" w:hRule="exact"/>
        </w:trPr>
        <w:tc>
          <w:tcPr>
            <w:tcW w:w="1264" w:type="dxa"/>
            <w:vMerge/>
            <w:tcBorders>
              <w:left w:val="single" w:sz="4" w:space="0" w:color="000000"/>
              <w:bottom w:val="single" w:sz="4" w:space="0" w:color="000000"/>
              <w:right w:val="single" w:sz="4" w:space="0" w:color="000000"/>
            </w:tcBorders>
            <w:shd w:val="clear" w:color="auto" w:fill="D2D2D2"/>
          </w:tcPr>
          <w:p>
            <w:pP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00" w:lineRule="auto"/>
              <w:ind w:left="102" w:right="129"/>
              <w:jc w:val="both"/>
              <w:rPr>
                <w:rFonts w:ascii="宋体" w:hAnsi="宋体" w:cs="宋体" w:eastAsia="宋体" w:hint="default"/>
                <w:sz w:val="18"/>
                <w:szCs w:val="18"/>
              </w:rPr>
            </w:pPr>
            <w:r>
              <w:rPr>
                <w:rFonts w:ascii="宋体" w:hAnsi="宋体" w:cs="宋体" w:eastAsia="宋体" w:hint="default"/>
                <w:sz w:val="18"/>
                <w:szCs w:val="18"/>
              </w:rPr>
              <w:t>李继昌</w:t>
            </w:r>
            <w:r>
              <w:rPr>
                <w:rFonts w:ascii="Times New Roman" w:hAnsi="Times New Roman" w:cs="Times New Roman" w:eastAsia="Times New Roman" w:hint="default"/>
                <w:sz w:val="18"/>
                <w:szCs w:val="18"/>
              </w:rPr>
              <w:t>;</w:t>
            </w:r>
            <w:r>
              <w:rPr>
                <w:rFonts w:ascii="宋体" w:hAnsi="宋体" w:cs="宋体" w:eastAsia="宋体" w:hint="default"/>
                <w:sz w:val="18"/>
                <w:szCs w:val="18"/>
              </w:rPr>
              <w:t>李巍 峰</w:t>
            </w:r>
            <w:r>
              <w:rPr>
                <w:rFonts w:ascii="Times New Roman" w:hAnsi="Times New Roman" w:cs="Times New Roman" w:eastAsia="Times New Roman" w:hint="default"/>
                <w:sz w:val="18"/>
                <w:szCs w:val="18"/>
              </w:rPr>
              <w:t>;</w:t>
            </w:r>
            <w:r>
              <w:rPr>
                <w:rFonts w:ascii="宋体" w:hAnsi="宋体" w:cs="宋体" w:eastAsia="宋体" w:hint="default"/>
                <w:sz w:val="18"/>
                <w:szCs w:val="18"/>
              </w:rPr>
              <w:t>李巍岩</w:t>
            </w:r>
            <w:r>
              <w:rPr>
                <w:rFonts w:ascii="Times New Roman" w:hAnsi="Times New Roman" w:cs="Times New Roman" w:eastAsia="Times New Roman" w:hint="default"/>
                <w:sz w:val="18"/>
                <w:szCs w:val="18"/>
              </w:rPr>
              <w:t>;</w:t>
            </w:r>
            <w:r>
              <w:rPr>
                <w:rFonts w:ascii="宋体" w:hAnsi="宋体" w:cs="宋体" w:eastAsia="宋体" w:hint="default"/>
                <w:sz w:val="18"/>
                <w:szCs w:val="18"/>
              </w:rPr>
              <w:t>李 巍屹</w:t>
            </w:r>
            <w:r>
              <w:rPr>
                <w:rFonts w:ascii="Times New Roman" w:hAnsi="Times New Roman" w:cs="Times New Roman" w:eastAsia="Times New Roman" w:hint="default"/>
                <w:sz w:val="18"/>
                <w:szCs w:val="18"/>
              </w:rPr>
              <w:t>;</w:t>
            </w:r>
            <w:r>
              <w:rPr>
                <w:rFonts w:ascii="宋体" w:hAnsi="宋体" w:cs="宋体" w:eastAsia="宋体" w:hint="default"/>
                <w:sz w:val="18"/>
                <w:szCs w:val="18"/>
              </w:rPr>
              <w:t>王敬芝</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5"/>
              <w:ind w:left="103" w:right="140"/>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2" w:right="100"/>
              <w:jc w:val="both"/>
              <w:rPr>
                <w:rFonts w:ascii="宋体" w:hAnsi="宋体" w:cs="宋体" w:eastAsia="宋体" w:hint="default"/>
                <w:sz w:val="18"/>
                <w:szCs w:val="18"/>
              </w:rPr>
            </w:pPr>
            <w:r>
              <w:rPr>
                <w:rFonts w:ascii="宋体" w:hAnsi="宋体" w:cs="宋体" w:eastAsia="宋体" w:hint="default"/>
                <w:spacing w:val="-2"/>
                <w:sz w:val="18"/>
                <w:szCs w:val="18"/>
              </w:rPr>
              <w:t>李巍屹、李继昌、李巍岩、王敬芝、李巍峰</w:t>
            </w:r>
            <w:r>
              <w:rPr>
                <w:rFonts w:ascii="宋体" w:hAnsi="宋体" w:cs="宋体" w:eastAsia="宋体" w:hint="default"/>
                <w:sz w:val="18"/>
                <w:szCs w:val="18"/>
              </w:rPr>
              <w:t> </w:t>
            </w:r>
            <w:r>
              <w:rPr>
                <w:rFonts w:ascii="宋体" w:hAnsi="宋体" w:cs="宋体" w:eastAsia="宋体" w:hint="default"/>
                <w:spacing w:val="-5"/>
                <w:sz w:val="18"/>
                <w:szCs w:val="18"/>
              </w:rPr>
              <w:t>关于业绩承诺及补偿安排：师凯科技拟</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年度和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年度实 现的扣除非经常性损益后归属于母公司的</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年度、</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5"/>
              <w:ind w:left="102" w:right="194"/>
              <w:jc w:val="left"/>
              <w:rPr>
                <w:rFonts w:ascii="宋体" w:hAnsi="宋体" w:cs="宋体" w:eastAsia="宋体" w:hint="default"/>
                <w:sz w:val="18"/>
                <w:szCs w:val="18"/>
              </w:rPr>
            </w:pPr>
            <w:r>
              <w:rPr>
                <w:rFonts w:ascii="宋体" w:hAnsi="宋体" w:cs="宋体" w:eastAsia="宋体" w:hint="default"/>
                <w:sz w:val="18"/>
                <w:szCs w:val="18"/>
              </w:rPr>
              <w:t>履行 中</w:t>
            </w:r>
          </w:p>
        </w:tc>
      </w:tr>
    </w:tbl>
    <w:p>
      <w:pPr>
        <w:spacing w:after="0" w:line="316" w:lineRule="auto"/>
        <w:jc w:val="left"/>
        <w:rPr>
          <w:rFonts w:ascii="宋体" w:hAnsi="宋体" w:cs="宋体" w:eastAsia="宋体" w:hint="default"/>
          <w:sz w:val="18"/>
          <w:szCs w:val="18"/>
        </w:rPr>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64"/>
        <w:gridCol w:w="1245"/>
        <w:gridCol w:w="1155"/>
        <w:gridCol w:w="3600"/>
        <w:gridCol w:w="945"/>
        <w:gridCol w:w="690"/>
        <w:gridCol w:w="668"/>
      </w:tblGrid>
      <w:tr>
        <w:trPr>
          <w:trHeight w:val="322" w:hRule="exact"/>
        </w:trPr>
        <w:tc>
          <w:tcPr>
            <w:tcW w:w="1264" w:type="dxa"/>
            <w:vMerge w:val="restart"/>
            <w:tcBorders>
              <w:top w:val="single" w:sz="4" w:space="0" w:color="000000"/>
              <w:left w:val="single" w:sz="4" w:space="0" w:color="000000"/>
              <w:right w:val="single" w:sz="4" w:space="0" w:color="000000"/>
            </w:tcBorders>
            <w:shd w:val="clear" w:color="auto" w:fill="D2D2D2"/>
          </w:tcPr>
          <w:p>
            <w:pPr/>
          </w:p>
        </w:tc>
        <w:tc>
          <w:tcPr>
            <w:tcW w:w="1245" w:type="dxa"/>
            <w:vMerge w:val="restart"/>
            <w:tcBorders>
              <w:top w:val="single" w:sz="4" w:space="0" w:color="000000"/>
              <w:left w:val="single" w:sz="4" w:space="0" w:color="000000"/>
              <w:right w:val="single" w:sz="4" w:space="0" w:color="000000"/>
            </w:tcBorders>
          </w:tcPr>
          <w:p>
            <w:pPr/>
          </w:p>
        </w:tc>
        <w:tc>
          <w:tcPr>
            <w:tcW w:w="1155" w:type="dxa"/>
            <w:vMerge w:val="restart"/>
            <w:tcBorders>
              <w:top w:val="single" w:sz="4" w:space="0" w:color="000000"/>
              <w:left w:val="single" w:sz="4" w:space="0" w:color="000000"/>
              <w:right w:val="single" w:sz="4" w:space="0" w:color="000000"/>
            </w:tcBorders>
          </w:tcPr>
          <w:p>
            <w:pP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净利润分别不低于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45" w:type="dxa"/>
            <w:vMerge w:val="restart"/>
            <w:tcBorders>
              <w:top w:val="single" w:sz="4" w:space="0" w:color="000000"/>
              <w:left w:val="single" w:sz="4" w:space="0" w:color="000000"/>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2017</w:t>
            </w:r>
          </w:p>
        </w:tc>
        <w:tc>
          <w:tcPr>
            <w:tcW w:w="668" w:type="dxa"/>
            <w:vMerge w:val="restart"/>
            <w:tcBorders>
              <w:top w:val="single" w:sz="4" w:space="0" w:color="000000"/>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万元和</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交易对方承诺</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p>
        </w:tc>
        <w:tc>
          <w:tcPr>
            <w:tcW w:w="945" w:type="dxa"/>
            <w:vMerge/>
            <w:tcBorders>
              <w:left w:val="single" w:sz="4" w:space="0" w:color="000000"/>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年实现的净利润合计不低于</w:t>
            </w:r>
          </w:p>
        </w:tc>
        <w:tc>
          <w:tcPr>
            <w:tcW w:w="945" w:type="dxa"/>
            <w:vMerge/>
            <w:tcBorders>
              <w:left w:val="single" w:sz="4" w:space="0" w:color="000000"/>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sz w:val="18"/>
              </w:rPr>
              <w:t>2018</w:t>
            </w: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26,900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万元，根据《公开发行证券的公司信</w:t>
            </w:r>
          </w:p>
        </w:tc>
        <w:tc>
          <w:tcPr>
            <w:tcW w:w="945" w:type="dxa"/>
            <w:vMerge/>
            <w:tcBorders>
              <w:left w:val="single" w:sz="4" w:space="0" w:color="000000"/>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息披露解释性公告第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号——非经常性损</w:t>
            </w:r>
          </w:p>
        </w:tc>
        <w:tc>
          <w:tcPr>
            <w:tcW w:w="945" w:type="dxa"/>
            <w:vMerge/>
            <w:tcBorders>
              <w:left w:val="single" w:sz="4" w:space="0" w:color="000000"/>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益》定义界定的非经常性损益项，师凯科技</w:t>
            </w:r>
          </w:p>
        </w:tc>
        <w:tc>
          <w:tcPr>
            <w:tcW w:w="945" w:type="dxa"/>
            <w:vMerge/>
            <w:tcBorders>
              <w:left w:val="single" w:sz="4" w:space="0" w:color="000000"/>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与收入相关的增值税免税额属于经常性损</w:t>
            </w:r>
          </w:p>
        </w:tc>
        <w:tc>
          <w:tcPr>
            <w:tcW w:w="945" w:type="dxa"/>
            <w:vMerge/>
            <w:tcBorders>
              <w:left w:val="single" w:sz="4" w:space="0" w:color="000000"/>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vMerge/>
            <w:tcBorders>
              <w:left w:val="single" w:sz="4" w:space="0" w:color="000000"/>
              <w:right w:val="single" w:sz="4" w:space="0" w:color="000000"/>
            </w:tcBorders>
          </w:tcPr>
          <w:p>
            <w:pPr/>
          </w:p>
        </w:tc>
      </w:tr>
      <w:tr>
        <w:trPr>
          <w:trHeight w:val="356"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bottom w:val="single" w:sz="4" w:space="0" w:color="000000"/>
              <w:right w:val="single" w:sz="4" w:space="0" w:color="000000"/>
            </w:tcBorders>
          </w:tcPr>
          <w:p>
            <w:pPr/>
          </w:p>
        </w:tc>
        <w:tc>
          <w:tcPr>
            <w:tcW w:w="1155" w:type="dxa"/>
            <w:vMerge/>
            <w:tcBorders>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945" w:type="dxa"/>
            <w:vMerge/>
            <w:tcBorders>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r>
      <w:tr>
        <w:trPr>
          <w:trHeight w:val="357" w:hRule="exact"/>
        </w:trPr>
        <w:tc>
          <w:tcPr>
            <w:tcW w:w="1264" w:type="dxa"/>
            <w:vMerge/>
            <w:tcBorders>
              <w:left w:val="single" w:sz="4" w:space="0" w:color="000000"/>
              <w:right w:val="single" w:sz="4" w:space="0" w:color="000000"/>
            </w:tcBorders>
            <w:shd w:val="clear" w:color="auto" w:fill="D2D2D2"/>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155" w:type="dxa"/>
            <w:tcBorders>
              <w:top w:val="single" w:sz="4" w:space="0" w:color="000000"/>
              <w:left w:val="single" w:sz="4" w:space="0" w:color="000000"/>
              <w:bottom w:val="nil" w:sz="6" w:space="0" w:color="auto"/>
              <w:right w:val="single" w:sz="4" w:space="0" w:color="000000"/>
            </w:tcBorders>
          </w:tcPr>
          <w:p>
            <w:pP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本人在持有尤洛卡股票期间，本人及本人控</w:t>
            </w:r>
          </w:p>
        </w:tc>
        <w:tc>
          <w:tcPr>
            <w:tcW w:w="945"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制的企业不会直接或间接经营任何与尤洛</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卡及其下属公司经营的业务构成竞争或可</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能构成竞争的业务，亦不会投资任何与尤洛</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卡及其下属公司经营的业务构成竞争或可</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能构成竞争的其他企业。如本人及本人控制</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102" w:right="129"/>
              <w:jc w:val="both"/>
              <w:rPr>
                <w:rFonts w:ascii="宋体" w:hAnsi="宋体" w:cs="宋体" w:eastAsia="宋体" w:hint="default"/>
                <w:sz w:val="18"/>
                <w:szCs w:val="18"/>
              </w:rPr>
            </w:pPr>
            <w:r>
              <w:rPr>
                <w:rFonts w:ascii="宋体" w:hAnsi="宋体" w:cs="宋体" w:eastAsia="宋体" w:hint="default"/>
                <w:sz w:val="18"/>
                <w:szCs w:val="18"/>
              </w:rPr>
              <w:t>李继昌</w:t>
            </w:r>
            <w:r>
              <w:rPr>
                <w:rFonts w:ascii="Times New Roman" w:hAnsi="Times New Roman" w:cs="Times New Roman" w:eastAsia="Times New Roman" w:hint="default"/>
                <w:sz w:val="18"/>
                <w:szCs w:val="18"/>
              </w:rPr>
              <w:t>;</w:t>
            </w:r>
            <w:r>
              <w:rPr>
                <w:rFonts w:ascii="宋体" w:hAnsi="宋体" w:cs="宋体" w:eastAsia="宋体" w:hint="default"/>
                <w:sz w:val="18"/>
                <w:szCs w:val="18"/>
              </w:rPr>
              <w:t>李巍 峰</w:t>
            </w:r>
            <w:r>
              <w:rPr>
                <w:rFonts w:ascii="Times New Roman" w:hAnsi="Times New Roman" w:cs="Times New Roman" w:eastAsia="Times New Roman" w:hint="default"/>
                <w:sz w:val="18"/>
                <w:szCs w:val="18"/>
              </w:rPr>
              <w:t>;</w:t>
            </w:r>
            <w:r>
              <w:rPr>
                <w:rFonts w:ascii="宋体" w:hAnsi="宋体" w:cs="宋体" w:eastAsia="宋体" w:hint="default"/>
                <w:sz w:val="18"/>
                <w:szCs w:val="18"/>
              </w:rPr>
              <w:t>李巍岩</w:t>
            </w:r>
            <w:r>
              <w:rPr>
                <w:rFonts w:ascii="Times New Roman" w:hAnsi="Times New Roman" w:cs="Times New Roman" w:eastAsia="Times New Roman" w:hint="default"/>
                <w:sz w:val="18"/>
                <w:szCs w:val="18"/>
              </w:rPr>
              <w:t>;</w:t>
            </w:r>
            <w:r>
              <w:rPr>
                <w:rFonts w:ascii="宋体" w:hAnsi="宋体" w:cs="宋体" w:eastAsia="宋体" w:hint="default"/>
                <w:sz w:val="18"/>
                <w:szCs w:val="18"/>
              </w:rPr>
              <w:t>李 巍屹</w:t>
            </w:r>
            <w:r>
              <w:rPr>
                <w:rFonts w:ascii="Times New Roman" w:hAnsi="Times New Roman" w:cs="Times New Roman" w:eastAsia="Times New Roman" w:hint="default"/>
                <w:sz w:val="18"/>
                <w:szCs w:val="18"/>
              </w:rPr>
              <w:t>;</w:t>
            </w:r>
            <w:r>
              <w:rPr>
                <w:rFonts w:ascii="宋体" w:hAnsi="宋体" w:cs="宋体" w:eastAsia="宋体" w:hint="default"/>
                <w:sz w:val="18"/>
                <w:szCs w:val="18"/>
              </w:rPr>
              <w:t>王敬芝</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40"/>
              <w:jc w:val="both"/>
              <w:rPr>
                <w:rFonts w:ascii="宋体" w:hAnsi="宋体" w:cs="宋体" w:eastAsia="宋体" w:hint="default"/>
                <w:sz w:val="18"/>
                <w:szCs w:val="18"/>
              </w:rPr>
            </w:pPr>
            <w:r>
              <w:rPr>
                <w:rFonts w:ascii="宋体" w:hAnsi="宋体" w:cs="宋体" w:eastAsia="宋体" w:hint="default"/>
                <w:sz w:val="18"/>
                <w:szCs w:val="18"/>
              </w:rPr>
              <w:t>同业竞争、 关联交易、 资金占用方 面的承诺</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1"/>
              <w:jc w:val="left"/>
              <w:rPr>
                <w:rFonts w:ascii="宋体" w:hAnsi="宋体" w:cs="宋体" w:eastAsia="宋体" w:hint="default"/>
                <w:sz w:val="18"/>
                <w:szCs w:val="18"/>
              </w:rPr>
            </w:pPr>
            <w:r>
              <w:rPr>
                <w:rFonts w:ascii="宋体" w:hAnsi="宋体" w:cs="宋体" w:eastAsia="宋体" w:hint="default"/>
                <w:sz w:val="18"/>
                <w:szCs w:val="18"/>
              </w:rPr>
              <w:t>的企业的现有业务或该等企业为进一步拓 </w:t>
            </w:r>
            <w:r>
              <w:rPr>
                <w:rFonts w:ascii="宋体" w:hAnsi="宋体" w:cs="宋体" w:eastAsia="宋体" w:hint="default"/>
                <w:spacing w:val="-2"/>
                <w:sz w:val="18"/>
                <w:szCs w:val="18"/>
              </w:rPr>
              <w:t>展业务范围，与尤洛卡及其下属公司经营的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业务产生竞争，则本人及本人控制的企业将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采取停止经营产生竞争业务的方式，或者采</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2" w:right="194"/>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取将产生竞争业务纳入尤洛卡的方式，或者</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采取将产生竞争的业务转让给无关联关系</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第三方等合法方式，使本人及本人控制的企</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业不再从事与尤洛卡主营业务相同或类似</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的业务。本人若违反上述承诺，将承担因此</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155"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而给尤洛卡及其下属公司造成的一切损失。</w:t>
            </w:r>
          </w:p>
        </w:tc>
        <w:tc>
          <w:tcPr>
            <w:tcW w:w="945"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264" w:type="dxa"/>
            <w:vMerge/>
            <w:tcBorders>
              <w:left w:val="single" w:sz="4" w:space="0" w:color="000000"/>
              <w:right w:val="single" w:sz="4" w:space="0" w:color="000000"/>
            </w:tcBorders>
            <w:shd w:val="clear" w:color="auto" w:fill="D2D2D2"/>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155" w:type="dxa"/>
            <w:tcBorders>
              <w:top w:val="single" w:sz="4" w:space="0" w:color="000000"/>
              <w:left w:val="single" w:sz="4" w:space="0" w:color="000000"/>
              <w:bottom w:val="nil" w:sz="6" w:space="0" w:color="auto"/>
              <w:right w:val="single" w:sz="4" w:space="0" w:color="000000"/>
            </w:tcBorders>
          </w:tcPr>
          <w:p>
            <w:pP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李巍屹、李继昌、李巍岩、王敬芝、李巍峰</w:t>
            </w:r>
          </w:p>
        </w:tc>
        <w:tc>
          <w:tcPr>
            <w:tcW w:w="945"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关于不存在内幕交易的承诺：本人不存在泄</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露本次发行股份及支付现金购买资产事宜</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的相关内幕信息及利用该内幕信息进行内</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幕交易的情形，不存在因涉嫌本次发行股份</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102" w:right="129"/>
              <w:jc w:val="both"/>
              <w:rPr>
                <w:rFonts w:ascii="宋体" w:hAnsi="宋体" w:cs="宋体" w:eastAsia="宋体" w:hint="default"/>
                <w:sz w:val="18"/>
                <w:szCs w:val="18"/>
              </w:rPr>
            </w:pPr>
            <w:r>
              <w:rPr>
                <w:rFonts w:ascii="宋体" w:hAnsi="宋体" w:cs="宋体" w:eastAsia="宋体" w:hint="default"/>
                <w:sz w:val="18"/>
                <w:szCs w:val="18"/>
              </w:rPr>
              <w:t>李继昌</w:t>
            </w:r>
            <w:r>
              <w:rPr>
                <w:rFonts w:ascii="Times New Roman" w:hAnsi="Times New Roman" w:cs="Times New Roman" w:eastAsia="Times New Roman" w:hint="default"/>
                <w:sz w:val="18"/>
                <w:szCs w:val="18"/>
              </w:rPr>
              <w:t>;</w:t>
            </w:r>
            <w:r>
              <w:rPr>
                <w:rFonts w:ascii="宋体" w:hAnsi="宋体" w:cs="宋体" w:eastAsia="宋体" w:hint="default"/>
                <w:sz w:val="18"/>
                <w:szCs w:val="18"/>
              </w:rPr>
              <w:t>李巍 峰</w:t>
            </w:r>
            <w:r>
              <w:rPr>
                <w:rFonts w:ascii="Times New Roman" w:hAnsi="Times New Roman" w:cs="Times New Roman" w:eastAsia="Times New Roman" w:hint="default"/>
                <w:sz w:val="18"/>
                <w:szCs w:val="18"/>
              </w:rPr>
              <w:t>;</w:t>
            </w:r>
            <w:r>
              <w:rPr>
                <w:rFonts w:ascii="宋体" w:hAnsi="宋体" w:cs="宋体" w:eastAsia="宋体" w:hint="default"/>
                <w:sz w:val="18"/>
                <w:szCs w:val="18"/>
              </w:rPr>
              <w:t>李巍岩</w:t>
            </w:r>
            <w:r>
              <w:rPr>
                <w:rFonts w:ascii="Times New Roman" w:hAnsi="Times New Roman" w:cs="Times New Roman" w:eastAsia="Times New Roman" w:hint="default"/>
                <w:sz w:val="18"/>
                <w:szCs w:val="18"/>
              </w:rPr>
              <w:t>;</w:t>
            </w:r>
            <w:r>
              <w:rPr>
                <w:rFonts w:ascii="宋体" w:hAnsi="宋体" w:cs="宋体" w:eastAsia="宋体" w:hint="default"/>
                <w:sz w:val="18"/>
                <w:szCs w:val="18"/>
              </w:rPr>
              <w:t>李 巍屹</w:t>
            </w:r>
            <w:r>
              <w:rPr>
                <w:rFonts w:ascii="Times New Roman" w:hAnsi="Times New Roman" w:cs="Times New Roman" w:eastAsia="Times New Roman" w:hint="default"/>
                <w:sz w:val="18"/>
                <w:szCs w:val="18"/>
              </w:rPr>
              <w:t>;</w:t>
            </w:r>
            <w:r>
              <w:rPr>
                <w:rFonts w:ascii="宋体" w:hAnsi="宋体" w:cs="宋体" w:eastAsia="宋体" w:hint="default"/>
                <w:sz w:val="18"/>
                <w:szCs w:val="18"/>
              </w:rPr>
              <w:t>王敬芝</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1"/>
              <w:jc w:val="left"/>
              <w:rPr>
                <w:rFonts w:ascii="宋体" w:hAnsi="宋体" w:cs="宋体" w:eastAsia="宋体" w:hint="default"/>
                <w:sz w:val="18"/>
                <w:szCs w:val="18"/>
              </w:rPr>
            </w:pPr>
            <w:r>
              <w:rPr>
                <w:rFonts w:ascii="宋体" w:hAnsi="宋体" w:cs="宋体" w:eastAsia="宋体" w:hint="default"/>
                <w:sz w:val="18"/>
                <w:szCs w:val="18"/>
              </w:rPr>
              <w:t>及支付现金购买资产事宜的内幕交易被立 </w:t>
            </w:r>
            <w:r>
              <w:rPr>
                <w:rFonts w:ascii="宋体" w:hAnsi="宋体" w:cs="宋体" w:eastAsia="宋体" w:hint="default"/>
                <w:spacing w:val="-2"/>
                <w:sz w:val="18"/>
                <w:szCs w:val="18"/>
              </w:rPr>
              <w:t>案调查或者立案侦查的情形，不存在因涉嫌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本次发行股份及支付现金购买资产事宜的 内幕交易被中国证监会作出行政处罚或者</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2" w:right="194"/>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被司法机关依法追究刑事责任的情形，不存</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在《关于加强与上市公司重大资产重组相关</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股票异常交易监管的暂行规定》第十三条规</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定的不得参与上市公司重大资产重组的情</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155"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形。</w:t>
            </w:r>
          </w:p>
        </w:tc>
        <w:tc>
          <w:tcPr>
            <w:tcW w:w="945"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r>
      <w:tr>
        <w:trPr>
          <w:trHeight w:val="352" w:hRule="exact"/>
        </w:trPr>
        <w:tc>
          <w:tcPr>
            <w:tcW w:w="1264" w:type="dxa"/>
            <w:vMerge/>
            <w:tcBorders>
              <w:left w:val="single" w:sz="4" w:space="0" w:color="000000"/>
              <w:right w:val="single" w:sz="4" w:space="0" w:color="000000"/>
            </w:tcBorders>
            <w:shd w:val="clear" w:color="auto" w:fill="D2D2D2"/>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155" w:type="dxa"/>
            <w:tcBorders>
              <w:top w:val="single" w:sz="4" w:space="0" w:color="000000"/>
              <w:left w:val="single" w:sz="4" w:space="0" w:color="000000"/>
              <w:bottom w:val="nil" w:sz="6" w:space="0" w:color="auto"/>
              <w:right w:val="single" w:sz="4" w:space="0" w:color="000000"/>
            </w:tcBorders>
          </w:tcPr>
          <w:p>
            <w:pP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李巍屹、李继昌、李巍岩、王敬芝、李巍</w:t>
            </w:r>
          </w:p>
        </w:tc>
        <w:tc>
          <w:tcPr>
            <w:tcW w:w="945"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r>
      <w:tr>
        <w:trPr>
          <w:trHeight w:val="941"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300" w:lineRule="auto"/>
              <w:ind w:left="102" w:right="129"/>
              <w:jc w:val="both"/>
              <w:rPr>
                <w:rFonts w:ascii="宋体" w:hAnsi="宋体" w:cs="宋体" w:eastAsia="宋体" w:hint="default"/>
                <w:sz w:val="18"/>
                <w:szCs w:val="18"/>
              </w:rPr>
            </w:pPr>
            <w:r>
              <w:rPr>
                <w:rFonts w:ascii="宋体" w:hAnsi="宋体" w:cs="宋体" w:eastAsia="宋体" w:hint="default"/>
                <w:sz w:val="18"/>
                <w:szCs w:val="18"/>
              </w:rPr>
              <w:t>李继昌</w:t>
            </w:r>
            <w:r>
              <w:rPr>
                <w:rFonts w:ascii="Times New Roman" w:hAnsi="Times New Roman" w:cs="Times New Roman" w:eastAsia="Times New Roman" w:hint="default"/>
                <w:sz w:val="18"/>
                <w:szCs w:val="18"/>
              </w:rPr>
              <w:t>;</w:t>
            </w:r>
            <w:r>
              <w:rPr>
                <w:rFonts w:ascii="宋体" w:hAnsi="宋体" w:cs="宋体" w:eastAsia="宋体" w:hint="default"/>
                <w:sz w:val="18"/>
                <w:szCs w:val="18"/>
              </w:rPr>
              <w:t>李巍 峰</w:t>
            </w:r>
            <w:r>
              <w:rPr>
                <w:rFonts w:ascii="Times New Roman" w:hAnsi="Times New Roman" w:cs="Times New Roman" w:eastAsia="Times New Roman" w:hint="default"/>
                <w:sz w:val="18"/>
                <w:szCs w:val="18"/>
              </w:rPr>
              <w:t>;</w:t>
            </w:r>
            <w:r>
              <w:rPr>
                <w:rFonts w:ascii="宋体" w:hAnsi="宋体" w:cs="宋体" w:eastAsia="宋体" w:hint="default"/>
                <w:sz w:val="18"/>
                <w:szCs w:val="18"/>
              </w:rPr>
              <w:t>李巍岩</w:t>
            </w:r>
            <w:r>
              <w:rPr>
                <w:rFonts w:ascii="Times New Roman" w:hAnsi="Times New Roman" w:cs="Times New Roman" w:eastAsia="Times New Roman" w:hint="default"/>
                <w:sz w:val="18"/>
                <w:szCs w:val="18"/>
              </w:rPr>
              <w:t>;</w:t>
            </w:r>
            <w:r>
              <w:rPr>
                <w:rFonts w:ascii="宋体" w:hAnsi="宋体" w:cs="宋体" w:eastAsia="宋体" w:hint="default"/>
                <w:sz w:val="18"/>
                <w:szCs w:val="18"/>
              </w:rPr>
              <w:t>李 巍屹</w:t>
            </w:r>
            <w:r>
              <w:rPr>
                <w:rFonts w:ascii="Times New Roman" w:hAnsi="Times New Roman" w:cs="Times New Roman" w:eastAsia="Times New Roman" w:hint="default"/>
                <w:sz w:val="18"/>
                <w:szCs w:val="18"/>
              </w:rPr>
              <w:t>;</w:t>
            </w:r>
            <w:r>
              <w:rPr>
                <w:rFonts w:ascii="宋体" w:hAnsi="宋体" w:cs="宋体" w:eastAsia="宋体" w:hint="default"/>
                <w:sz w:val="18"/>
                <w:szCs w:val="18"/>
              </w:rPr>
              <w:t>王敬芝</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102" w:right="65"/>
              <w:jc w:val="both"/>
              <w:rPr>
                <w:rFonts w:ascii="宋体" w:hAnsi="宋体" w:cs="宋体" w:eastAsia="宋体" w:hint="default"/>
                <w:sz w:val="18"/>
                <w:szCs w:val="18"/>
              </w:rPr>
            </w:pPr>
            <w:r>
              <w:rPr>
                <w:rFonts w:ascii="宋体" w:hAnsi="宋体" w:cs="宋体" w:eastAsia="宋体" w:hint="default"/>
                <w:spacing w:val="-2"/>
                <w:sz w:val="18"/>
                <w:szCs w:val="18"/>
              </w:rPr>
              <w:t>峰提供信息真实、准确、完整的承诺：保证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所提供的信息的真实性、准确性和完整性， 不存在虚假记载、误导性陈述或重大遗漏；</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102" w:right="194"/>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315" w:hRule="exact"/>
        </w:trPr>
        <w:tc>
          <w:tcPr>
            <w:tcW w:w="1264" w:type="dxa"/>
            <w:vMerge/>
            <w:tcBorders>
              <w:left w:val="single" w:sz="4" w:space="0" w:color="000000"/>
              <w:bottom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155"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其对所提供信息的真实性、准确性和完整性</w:t>
            </w:r>
          </w:p>
        </w:tc>
        <w:tc>
          <w:tcPr>
            <w:tcW w:w="945"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64"/>
        <w:gridCol w:w="1245"/>
        <w:gridCol w:w="1155"/>
        <w:gridCol w:w="3600"/>
        <w:gridCol w:w="945"/>
        <w:gridCol w:w="690"/>
        <w:gridCol w:w="668"/>
      </w:tblGrid>
      <w:tr>
        <w:trPr>
          <w:trHeight w:val="318" w:hRule="exact"/>
        </w:trPr>
        <w:tc>
          <w:tcPr>
            <w:tcW w:w="1264" w:type="dxa"/>
            <w:vMerge w:val="restart"/>
            <w:tcBorders>
              <w:top w:val="single" w:sz="4" w:space="0" w:color="000000"/>
              <w:left w:val="single" w:sz="4" w:space="0" w:color="000000"/>
              <w:right w:val="single" w:sz="4" w:space="0" w:color="000000"/>
            </w:tcBorders>
            <w:shd w:val="clear" w:color="auto" w:fill="D2D2D2"/>
          </w:tcPr>
          <w:p>
            <w:pPr/>
          </w:p>
        </w:tc>
        <w:tc>
          <w:tcPr>
            <w:tcW w:w="1245" w:type="dxa"/>
            <w:vMerge w:val="restart"/>
            <w:tcBorders>
              <w:top w:val="single" w:sz="4" w:space="0" w:color="000000"/>
              <w:left w:val="single" w:sz="4" w:space="0" w:color="000000"/>
              <w:right w:val="single" w:sz="4" w:space="0" w:color="000000"/>
            </w:tcBorders>
          </w:tcPr>
          <w:p>
            <w:pPr/>
          </w:p>
        </w:tc>
        <w:tc>
          <w:tcPr>
            <w:tcW w:w="1155" w:type="dxa"/>
            <w:vMerge w:val="restart"/>
            <w:tcBorders>
              <w:top w:val="single" w:sz="4" w:space="0" w:color="000000"/>
              <w:left w:val="single" w:sz="4" w:space="0" w:color="000000"/>
              <w:right w:val="single" w:sz="4" w:space="0" w:color="000000"/>
            </w:tcBorders>
          </w:tcPr>
          <w:p>
            <w:pP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承担个别和连带的法律责任。如因提供的信</w:t>
            </w:r>
          </w:p>
        </w:tc>
        <w:tc>
          <w:tcPr>
            <w:tcW w:w="945"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息存在虚假记载、误导性陈述或者重大遗</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漏，其将依法承担赔偿责任。如本次重组因</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涉嫌所提供或者披露的信息存在虚假记载、</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误导性陈述或者重大遗漏，被司法机关立案</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侦查或者被中国证监会立案调查的，在案件</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调查结论明确之前，将暂停转让在上市公司</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56"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bottom w:val="single" w:sz="4" w:space="0" w:color="000000"/>
              <w:right w:val="single" w:sz="4" w:space="0" w:color="000000"/>
            </w:tcBorders>
          </w:tcPr>
          <w:p>
            <w:pPr/>
          </w:p>
        </w:tc>
        <w:tc>
          <w:tcPr>
            <w:tcW w:w="1155" w:type="dxa"/>
            <w:vMerge/>
            <w:tcBorders>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拥有权益的股份。</w:t>
            </w:r>
            <w:r>
              <w:rPr>
                <w:rFonts w:ascii="Times New Roman" w:hAnsi="Times New Roman" w:cs="Times New Roman" w:eastAsia="Times New Roman" w:hint="default"/>
                <w:sz w:val="18"/>
                <w:szCs w:val="18"/>
              </w:rPr>
              <w:t>"</w:t>
            </w:r>
          </w:p>
        </w:tc>
        <w:tc>
          <w:tcPr>
            <w:tcW w:w="945"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r>
      <w:tr>
        <w:trPr>
          <w:trHeight w:val="362" w:hRule="exact"/>
        </w:trPr>
        <w:tc>
          <w:tcPr>
            <w:tcW w:w="1264" w:type="dxa"/>
            <w:vMerge/>
            <w:tcBorders>
              <w:left w:val="single" w:sz="4" w:space="0" w:color="000000"/>
              <w:right w:val="single" w:sz="4" w:space="0" w:color="000000"/>
            </w:tcBorders>
            <w:shd w:val="clear" w:color="auto" w:fill="D2D2D2"/>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155" w:type="dxa"/>
            <w:tcBorders>
              <w:top w:val="single" w:sz="4" w:space="0" w:color="000000"/>
              <w:left w:val="single" w:sz="4" w:space="0" w:color="000000"/>
              <w:bottom w:val="nil" w:sz="6" w:space="0" w:color="auto"/>
              <w:right w:val="single" w:sz="4" w:space="0" w:color="000000"/>
            </w:tcBorders>
          </w:tcPr>
          <w:p>
            <w:pP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李巍屹、李继昌、李巍岩、王敬芝、李巍</w:t>
            </w:r>
          </w:p>
        </w:tc>
        <w:tc>
          <w:tcPr>
            <w:tcW w:w="945"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峰主体资格和权属承诺：本人合法持有师凯</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科技股权，对该股权拥有合法、完整的处置</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权利，不存在代他人持有师凯科技股权的情</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形，也不存在委托他人代为持有师凯科技股</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权的情形；本人持有的师凯科技股权不存在</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质押、担保或其他第三方权利等限制性情</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形，亦不存在被查封、冻结、托管等限制转</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让情形；本人持有的师凯科技股权权属清</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晰，不存在任何权属纠纷，过户或转移不存</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2" w:right="129"/>
              <w:jc w:val="both"/>
              <w:rPr>
                <w:rFonts w:ascii="宋体" w:hAnsi="宋体" w:cs="宋体" w:eastAsia="宋体" w:hint="default"/>
                <w:sz w:val="18"/>
                <w:szCs w:val="18"/>
              </w:rPr>
            </w:pPr>
            <w:r>
              <w:rPr>
                <w:rFonts w:ascii="宋体" w:hAnsi="宋体" w:cs="宋体" w:eastAsia="宋体" w:hint="default"/>
                <w:sz w:val="18"/>
                <w:szCs w:val="18"/>
              </w:rPr>
              <w:t>李继昌</w:t>
            </w:r>
            <w:r>
              <w:rPr>
                <w:rFonts w:ascii="Times New Roman" w:hAnsi="Times New Roman" w:cs="Times New Roman" w:eastAsia="Times New Roman" w:hint="default"/>
                <w:sz w:val="18"/>
                <w:szCs w:val="18"/>
              </w:rPr>
              <w:t>;</w:t>
            </w:r>
            <w:r>
              <w:rPr>
                <w:rFonts w:ascii="宋体" w:hAnsi="宋体" w:cs="宋体" w:eastAsia="宋体" w:hint="default"/>
                <w:sz w:val="18"/>
                <w:szCs w:val="18"/>
              </w:rPr>
              <w:t>李巍 峰</w:t>
            </w:r>
            <w:r>
              <w:rPr>
                <w:rFonts w:ascii="Times New Roman" w:hAnsi="Times New Roman" w:cs="Times New Roman" w:eastAsia="Times New Roman" w:hint="default"/>
                <w:sz w:val="18"/>
                <w:szCs w:val="18"/>
              </w:rPr>
              <w:t>;</w:t>
            </w:r>
            <w:r>
              <w:rPr>
                <w:rFonts w:ascii="宋体" w:hAnsi="宋体" w:cs="宋体" w:eastAsia="宋体" w:hint="default"/>
                <w:sz w:val="18"/>
                <w:szCs w:val="18"/>
              </w:rPr>
              <w:t>李巍岩</w:t>
            </w:r>
            <w:r>
              <w:rPr>
                <w:rFonts w:ascii="Times New Roman" w:hAnsi="Times New Roman" w:cs="Times New Roman" w:eastAsia="Times New Roman" w:hint="default"/>
                <w:sz w:val="18"/>
                <w:szCs w:val="18"/>
              </w:rPr>
              <w:t>;</w:t>
            </w:r>
            <w:r>
              <w:rPr>
                <w:rFonts w:ascii="宋体" w:hAnsi="宋体" w:cs="宋体" w:eastAsia="宋体" w:hint="default"/>
                <w:sz w:val="18"/>
                <w:szCs w:val="18"/>
              </w:rPr>
              <w:t>李 巍屹</w:t>
            </w:r>
            <w:r>
              <w:rPr>
                <w:rFonts w:ascii="Times New Roman" w:hAnsi="Times New Roman" w:cs="Times New Roman" w:eastAsia="Times New Roman" w:hint="default"/>
                <w:sz w:val="18"/>
                <w:szCs w:val="18"/>
              </w:rPr>
              <w:t>;</w:t>
            </w:r>
            <w:r>
              <w:rPr>
                <w:rFonts w:ascii="宋体" w:hAnsi="宋体" w:cs="宋体" w:eastAsia="宋体" w:hint="default"/>
                <w:sz w:val="18"/>
                <w:szCs w:val="18"/>
              </w:rPr>
              <w:t>王敬芝</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2" w:right="101"/>
              <w:jc w:val="both"/>
              <w:rPr>
                <w:rFonts w:ascii="宋体" w:hAnsi="宋体" w:cs="宋体" w:eastAsia="宋体" w:hint="default"/>
                <w:sz w:val="18"/>
                <w:szCs w:val="18"/>
              </w:rPr>
            </w:pPr>
            <w:r>
              <w:rPr>
                <w:rFonts w:ascii="宋体" w:hAnsi="宋体" w:cs="宋体" w:eastAsia="宋体" w:hint="default"/>
                <w:sz w:val="18"/>
                <w:szCs w:val="18"/>
              </w:rPr>
              <w:t>在任何法律障碍。</w:t>
            </w:r>
            <w:r>
              <w:rPr>
                <w:rFonts w:ascii="Times New Roman" w:hAnsi="Times New Roman" w:cs="Times New Roman" w:eastAsia="Times New Roman" w:hint="default"/>
                <w:sz w:val="18"/>
                <w:szCs w:val="18"/>
              </w:rPr>
              <w:t>1</w:t>
            </w:r>
            <w:r>
              <w:rPr>
                <w:rFonts w:ascii="宋体" w:hAnsi="宋体" w:cs="宋体" w:eastAsia="宋体" w:hint="default"/>
                <w:sz w:val="18"/>
                <w:szCs w:val="18"/>
              </w:rPr>
              <w:t>、本人为具有完全民事 行为能力的中华人民共和国公民；</w:t>
            </w:r>
            <w:r>
              <w:rPr>
                <w:rFonts w:ascii="Times New Roman" w:hAnsi="Times New Roman" w:cs="Times New Roman" w:eastAsia="Times New Roman" w:hint="default"/>
                <w:sz w:val="18"/>
                <w:szCs w:val="18"/>
              </w:rPr>
              <w:t>2</w:t>
            </w:r>
            <w:r>
              <w:rPr>
                <w:rFonts w:ascii="宋体" w:hAnsi="宋体" w:cs="宋体" w:eastAsia="宋体" w:hint="default"/>
                <w:sz w:val="18"/>
                <w:szCs w:val="18"/>
              </w:rPr>
              <w:t>、本人 </w:t>
            </w:r>
            <w:r>
              <w:rPr>
                <w:rFonts w:ascii="宋体" w:hAnsi="宋体" w:cs="宋体" w:eastAsia="宋体" w:hint="default"/>
                <w:spacing w:val="-2"/>
                <w:sz w:val="18"/>
                <w:szCs w:val="18"/>
              </w:rPr>
              <w:t>不存在负有数额较大债务、到期未清偿且处</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194"/>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于持续状态的情形；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、本人最近五年内未</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受过行政处罚（与证券市场明显无关的除</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外）或刑事处罚，也不存在尚未了结的可能</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严重影响本人偿债能力的涉及与经济纠纷</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有关的诉讼或者仲裁；</w:t>
            </w:r>
            <w:r>
              <w:rPr>
                <w:rFonts w:ascii="Times New Roman" w:hAnsi="Times New Roman" w:cs="Times New Roman" w:eastAsia="Times New Roman" w:hint="default"/>
                <w:sz w:val="18"/>
                <w:szCs w:val="18"/>
              </w:rPr>
              <w:t>4</w:t>
            </w:r>
            <w:r>
              <w:rPr>
                <w:rFonts w:ascii="宋体" w:hAnsi="宋体" w:cs="宋体" w:eastAsia="宋体" w:hint="default"/>
                <w:sz w:val="18"/>
                <w:szCs w:val="18"/>
              </w:rPr>
              <w:t>、本人目前不存在</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因涉嫌犯罪正被司法机关立案侦查或涉嫌</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违法违规正被中国证监会立案调查的情形；</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、本人最近五年内没有证券市场失信行为；</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、本人不存在《上市公司收购管理办法》</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155"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第六条所规定的</w:t>
            </w:r>
            <w:r>
              <w:rPr>
                <w:rFonts w:ascii="Times New Roman" w:hAnsi="Times New Roman" w:cs="Times New Roman" w:eastAsia="Times New Roman" w:hint="default"/>
                <w:sz w:val="18"/>
                <w:szCs w:val="18"/>
              </w:rPr>
              <w:t>"</w:t>
            </w:r>
          </w:p>
        </w:tc>
        <w:tc>
          <w:tcPr>
            <w:tcW w:w="945"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r>
      <w:tr>
        <w:trPr>
          <w:trHeight w:val="2921" w:hRule="exact"/>
        </w:trPr>
        <w:tc>
          <w:tcPr>
            <w:tcW w:w="1264" w:type="dxa"/>
            <w:vMerge/>
            <w:tcBorders>
              <w:left w:val="single" w:sz="4" w:space="0" w:color="000000"/>
              <w:right w:val="single" w:sz="4" w:space="0" w:color="000000"/>
            </w:tcBorders>
            <w:shd w:val="clear" w:color="auto" w:fill="D2D2D2"/>
          </w:tcPr>
          <w:p>
            <w:pPr/>
          </w:p>
        </w:tc>
        <w:tc>
          <w:tcPr>
            <w:tcW w:w="12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00" w:lineRule="auto"/>
              <w:ind w:left="102" w:right="129"/>
              <w:jc w:val="both"/>
              <w:rPr>
                <w:rFonts w:ascii="宋体" w:hAnsi="宋体" w:cs="宋体" w:eastAsia="宋体" w:hint="default"/>
                <w:sz w:val="18"/>
                <w:szCs w:val="18"/>
              </w:rPr>
            </w:pPr>
            <w:r>
              <w:rPr>
                <w:rFonts w:ascii="宋体" w:hAnsi="宋体" w:cs="宋体" w:eastAsia="宋体" w:hint="default"/>
                <w:sz w:val="18"/>
                <w:szCs w:val="18"/>
              </w:rPr>
              <w:t>曹洪伟</w:t>
            </w:r>
            <w:r>
              <w:rPr>
                <w:rFonts w:ascii="Times New Roman" w:hAnsi="Times New Roman" w:cs="Times New Roman" w:eastAsia="Times New Roman" w:hint="default"/>
                <w:sz w:val="18"/>
                <w:szCs w:val="18"/>
              </w:rPr>
              <w:t>;</w:t>
            </w:r>
            <w:r>
              <w:rPr>
                <w:rFonts w:ascii="宋体" w:hAnsi="宋体" w:cs="宋体" w:eastAsia="宋体" w:hint="default"/>
                <w:sz w:val="18"/>
                <w:szCs w:val="18"/>
              </w:rPr>
              <w:t>崔保 航</w:t>
            </w:r>
            <w:r>
              <w:rPr>
                <w:rFonts w:ascii="Times New Roman" w:hAnsi="Times New Roman" w:cs="Times New Roman" w:eastAsia="Times New Roman" w:hint="default"/>
                <w:sz w:val="18"/>
                <w:szCs w:val="18"/>
              </w:rPr>
              <w:t>;</w:t>
            </w:r>
            <w:r>
              <w:rPr>
                <w:rFonts w:ascii="宋体" w:hAnsi="宋体" w:cs="宋体" w:eastAsia="宋体" w:hint="default"/>
                <w:sz w:val="18"/>
                <w:szCs w:val="18"/>
              </w:rPr>
              <w:t>黄屹峰</w:t>
            </w:r>
            <w:r>
              <w:rPr>
                <w:rFonts w:ascii="Times New Roman" w:hAnsi="Times New Roman" w:cs="Times New Roman" w:eastAsia="Times New Roman" w:hint="default"/>
                <w:sz w:val="18"/>
                <w:szCs w:val="18"/>
              </w:rPr>
              <w:t>;</w:t>
            </w:r>
            <w:r>
              <w:rPr>
                <w:rFonts w:ascii="宋体" w:hAnsi="宋体" w:cs="宋体" w:eastAsia="宋体" w:hint="default"/>
                <w:sz w:val="18"/>
                <w:szCs w:val="18"/>
              </w:rPr>
              <w:t>黄 自伟</w:t>
            </w:r>
            <w:r>
              <w:rPr>
                <w:rFonts w:ascii="Times New Roman" w:hAnsi="Times New Roman" w:cs="Times New Roman" w:eastAsia="Times New Roman" w:hint="default"/>
                <w:sz w:val="18"/>
                <w:szCs w:val="18"/>
              </w:rPr>
              <w:t>;</w:t>
            </w:r>
            <w:r>
              <w:rPr>
                <w:rFonts w:ascii="宋体" w:hAnsi="宋体" w:cs="宋体" w:eastAsia="宋体" w:hint="default"/>
                <w:sz w:val="18"/>
                <w:szCs w:val="18"/>
              </w:rPr>
              <w:t>江霞</w:t>
            </w:r>
            <w:r>
              <w:rPr>
                <w:rFonts w:ascii="Times New Roman" w:hAnsi="Times New Roman" w:cs="Times New Roman" w:eastAsia="Times New Roman" w:hint="default"/>
                <w:sz w:val="18"/>
                <w:szCs w:val="18"/>
              </w:rPr>
              <w:t>;</w:t>
            </w:r>
            <w:r>
              <w:rPr>
                <w:rFonts w:ascii="宋体" w:hAnsi="宋体" w:cs="宋体" w:eastAsia="宋体" w:hint="default"/>
                <w:sz w:val="18"/>
                <w:szCs w:val="18"/>
              </w:rPr>
              <w:t>李 彬</w:t>
            </w:r>
            <w:r>
              <w:rPr>
                <w:rFonts w:ascii="Times New Roman" w:hAnsi="Times New Roman" w:cs="Times New Roman" w:eastAsia="Times New Roman" w:hint="default"/>
                <w:sz w:val="18"/>
                <w:szCs w:val="18"/>
              </w:rPr>
              <w:t>;</w:t>
            </w:r>
            <w:r>
              <w:rPr>
                <w:rFonts w:ascii="宋体" w:hAnsi="宋体" w:cs="宋体" w:eastAsia="宋体" w:hint="default"/>
                <w:sz w:val="18"/>
                <w:szCs w:val="18"/>
              </w:rPr>
              <w:t>李波</w:t>
            </w:r>
            <w:r>
              <w:rPr>
                <w:rFonts w:ascii="Times New Roman" w:hAnsi="Times New Roman" w:cs="Times New Roman" w:eastAsia="Times New Roman" w:hint="default"/>
                <w:sz w:val="18"/>
                <w:szCs w:val="18"/>
              </w:rPr>
              <w:t>;</w:t>
            </w:r>
            <w:r>
              <w:rPr>
                <w:rFonts w:ascii="宋体" w:hAnsi="宋体" w:cs="宋体" w:eastAsia="宋体" w:hint="default"/>
                <w:sz w:val="18"/>
                <w:szCs w:val="18"/>
              </w:rPr>
              <w:t>李新 安</w:t>
            </w:r>
            <w:r>
              <w:rPr>
                <w:rFonts w:ascii="Times New Roman" w:hAnsi="Times New Roman" w:cs="Times New Roman" w:eastAsia="Times New Roman" w:hint="default"/>
                <w:sz w:val="18"/>
                <w:szCs w:val="18"/>
              </w:rPr>
              <w:t>;</w:t>
            </w:r>
            <w:r>
              <w:rPr>
                <w:rFonts w:ascii="宋体" w:hAnsi="宋体" w:cs="宋体" w:eastAsia="宋体" w:hint="default"/>
                <w:sz w:val="18"/>
                <w:szCs w:val="18"/>
              </w:rPr>
              <w:t>马训波</w:t>
            </w:r>
            <w:r>
              <w:rPr>
                <w:rFonts w:ascii="Times New Roman" w:hAnsi="Times New Roman" w:cs="Times New Roman" w:eastAsia="Times New Roman" w:hint="default"/>
                <w:sz w:val="18"/>
                <w:szCs w:val="18"/>
              </w:rPr>
              <w:t>;</w:t>
            </w:r>
            <w:r>
              <w:rPr>
                <w:rFonts w:ascii="宋体" w:hAnsi="宋体" w:cs="宋体" w:eastAsia="宋体" w:hint="default"/>
                <w:sz w:val="18"/>
                <w:szCs w:val="18"/>
              </w:rPr>
              <w:t>孙 兆华</w:t>
            </w:r>
            <w:r>
              <w:rPr>
                <w:rFonts w:ascii="Times New Roman" w:hAnsi="Times New Roman" w:cs="Times New Roman" w:eastAsia="Times New Roman" w:hint="default"/>
                <w:sz w:val="18"/>
                <w:szCs w:val="18"/>
              </w:rPr>
              <w:t>;</w:t>
            </w:r>
            <w:r>
              <w:rPr>
                <w:rFonts w:ascii="宋体" w:hAnsi="宋体" w:cs="宋体" w:eastAsia="宋体" w:hint="default"/>
                <w:sz w:val="18"/>
                <w:szCs w:val="18"/>
              </w:rPr>
              <w:t>王道银</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王晶华</w:t>
            </w:r>
            <w:r>
              <w:rPr>
                <w:rFonts w:ascii="Times New Roman" w:hAnsi="Times New Roman" w:cs="Times New Roman" w:eastAsia="Times New Roman" w:hint="default"/>
                <w:sz w:val="18"/>
                <w:szCs w:val="18"/>
              </w:rPr>
              <w:t>;</w:t>
            </w:r>
            <w:r>
              <w:rPr>
                <w:rFonts w:ascii="宋体" w:hAnsi="宋体" w:cs="宋体" w:eastAsia="宋体" w:hint="default"/>
                <w:sz w:val="18"/>
                <w:szCs w:val="18"/>
              </w:rPr>
              <w:t>杨明 明</w:t>
            </w:r>
            <w:r>
              <w:rPr>
                <w:rFonts w:ascii="Times New Roman" w:hAnsi="Times New Roman" w:cs="Times New Roman" w:eastAsia="Times New Roman" w:hint="default"/>
                <w:sz w:val="18"/>
                <w:szCs w:val="18"/>
              </w:rPr>
              <w:t>;</w:t>
            </w:r>
            <w:r>
              <w:rPr>
                <w:rFonts w:ascii="宋体" w:hAnsi="宋体" w:cs="宋体" w:eastAsia="宋体" w:hint="default"/>
                <w:sz w:val="18"/>
                <w:szCs w:val="18"/>
              </w:rPr>
              <w:t>姚明远</w:t>
            </w:r>
            <w:r>
              <w:rPr>
                <w:rFonts w:ascii="Times New Roman" w:hAnsi="Times New Roman" w:cs="Times New Roman" w:eastAsia="Times New Roman" w:hint="default"/>
                <w:sz w:val="18"/>
                <w:szCs w:val="18"/>
              </w:rPr>
              <w:t>;</w:t>
            </w:r>
            <w:r>
              <w:rPr>
                <w:rFonts w:ascii="宋体" w:hAnsi="宋体" w:cs="宋体" w:eastAsia="宋体" w:hint="default"/>
                <w:sz w:val="18"/>
                <w:szCs w:val="18"/>
              </w:rPr>
              <w:t>尤 洛卡矿业安</w:t>
            </w:r>
          </w:p>
        </w:tc>
        <w:tc>
          <w:tcPr>
            <w:tcW w:w="115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51"/>
              <w:ind w:left="10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上市公司及全体董事、监事和高级管理人 </w:t>
            </w:r>
            <w:r>
              <w:rPr>
                <w:rFonts w:ascii="宋体" w:hAnsi="宋体" w:cs="宋体" w:eastAsia="宋体" w:hint="default"/>
                <w:spacing w:val="-2"/>
                <w:sz w:val="18"/>
                <w:szCs w:val="18"/>
              </w:rPr>
              <w:t>员提供信息真实、准确、完整的承诺：本报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告书的内容真实、准确和完整，不存在虚假</w:t>
            </w:r>
            <w:r>
              <w:rPr>
                <w:rFonts w:ascii="宋体" w:hAnsi="宋体" w:cs="宋体" w:eastAsia="宋体" w:hint="default"/>
                <w:sz w:val="18"/>
                <w:szCs w:val="18"/>
              </w:rPr>
              <w:t> </w:t>
            </w:r>
            <w:r>
              <w:rPr>
                <w:rFonts w:ascii="宋体" w:hAnsi="宋体" w:cs="宋体" w:eastAsia="宋体" w:hint="default"/>
                <w:spacing w:val="-2"/>
                <w:sz w:val="18"/>
                <w:szCs w:val="18"/>
              </w:rPr>
              <w:t>记载、误导性陈述或重大遗漏，并对本报告</w:t>
            </w:r>
            <w:r>
              <w:rPr>
                <w:rFonts w:ascii="宋体" w:hAnsi="宋体" w:cs="宋体" w:eastAsia="宋体" w:hint="default"/>
                <w:sz w:val="18"/>
                <w:szCs w:val="18"/>
              </w:rPr>
              <w:t> </w:t>
            </w:r>
            <w:r>
              <w:rPr>
                <w:rFonts w:ascii="宋体" w:hAnsi="宋体" w:cs="宋体" w:eastAsia="宋体" w:hint="default"/>
                <w:spacing w:val="-2"/>
                <w:sz w:val="18"/>
                <w:szCs w:val="18"/>
              </w:rPr>
              <w:t>书中的虚假记载、误导性陈述或者重大遗漏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承担个别及连带的法律责任。如本次交易因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涉嫌所提供或者披露的信息存在虚假记载、 </w:t>
            </w:r>
            <w:r>
              <w:rPr>
                <w:rFonts w:ascii="宋体" w:hAnsi="宋体" w:cs="宋体" w:eastAsia="宋体" w:hint="default"/>
                <w:spacing w:val="-2"/>
                <w:sz w:val="18"/>
                <w:szCs w:val="18"/>
              </w:rPr>
              <w:t>误导性陈述或者重大遗漏，被司法机关立案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侦查或者被中国证监会立案调查的，在案件</w:t>
            </w:r>
          </w:p>
        </w:tc>
        <w:tc>
          <w:tcPr>
            <w:tcW w:w="94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102" w:right="194"/>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02" w:right="0"/>
              <w:jc w:val="left"/>
              <w:rPr>
                <w:rFonts w:ascii="宋体" w:hAnsi="宋体" w:cs="宋体" w:eastAsia="宋体" w:hint="default"/>
                <w:sz w:val="18"/>
                <w:szCs w:val="18"/>
              </w:rPr>
            </w:pPr>
            <w:r>
              <w:rPr>
                <w:rFonts w:ascii="宋体" w:hAnsi="宋体" w:cs="宋体" w:eastAsia="宋体" w:hint="default"/>
                <w:sz w:val="18"/>
                <w:szCs w:val="18"/>
              </w:rPr>
              <w:t>全工程股份</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2" w:right="0"/>
              <w:jc w:val="left"/>
              <w:rPr>
                <w:rFonts w:ascii="宋体" w:hAnsi="宋体" w:cs="宋体" w:eastAsia="宋体" w:hint="default"/>
                <w:sz w:val="18"/>
                <w:szCs w:val="18"/>
              </w:rPr>
            </w:pPr>
            <w:r>
              <w:rPr>
                <w:rFonts w:ascii="宋体" w:hAnsi="宋体" w:cs="宋体" w:eastAsia="宋体" w:hint="default"/>
                <w:sz w:val="18"/>
                <w:szCs w:val="18"/>
              </w:rPr>
              <w:t>调查结论明确之前，将暂停转让其在上市公</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300" w:lineRule="auto" w:before="77"/>
              <w:ind w:left="102" w:right="180"/>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赵 志刚</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102" w:right="0"/>
              <w:jc w:val="left"/>
              <w:rPr>
                <w:rFonts w:ascii="宋体" w:hAnsi="宋体" w:cs="宋体" w:eastAsia="宋体" w:hint="default"/>
                <w:sz w:val="18"/>
                <w:szCs w:val="18"/>
              </w:rPr>
            </w:pPr>
            <w:r>
              <w:rPr>
                <w:rFonts w:ascii="宋体" w:hAnsi="宋体" w:cs="宋体" w:eastAsia="宋体" w:hint="default"/>
                <w:sz w:val="18"/>
                <w:szCs w:val="18"/>
              </w:rPr>
              <w:t>司拥有权益的股份，并于收到立案稽查通知</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的两个交易日内将暂停转让的书面申请和</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247" w:hRule="exact"/>
        </w:trPr>
        <w:tc>
          <w:tcPr>
            <w:tcW w:w="1264" w:type="dxa"/>
            <w:vMerge/>
            <w:tcBorders>
              <w:left w:val="single" w:sz="4" w:space="0" w:color="000000"/>
              <w:bottom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155"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102" w:right="0"/>
              <w:jc w:val="left"/>
              <w:rPr>
                <w:rFonts w:ascii="宋体" w:hAnsi="宋体" w:cs="宋体" w:eastAsia="宋体" w:hint="default"/>
                <w:sz w:val="18"/>
                <w:szCs w:val="18"/>
              </w:rPr>
            </w:pPr>
            <w:r>
              <w:rPr>
                <w:rFonts w:ascii="宋体" w:hAnsi="宋体" w:cs="宋体" w:eastAsia="宋体" w:hint="default"/>
                <w:sz w:val="18"/>
                <w:szCs w:val="18"/>
              </w:rPr>
              <w:t>股票账户提交上市公司董事会，由董事会代</w:t>
            </w:r>
          </w:p>
        </w:tc>
        <w:tc>
          <w:tcPr>
            <w:tcW w:w="945"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64"/>
        <w:gridCol w:w="1245"/>
        <w:gridCol w:w="1155"/>
        <w:gridCol w:w="3600"/>
        <w:gridCol w:w="945"/>
        <w:gridCol w:w="690"/>
        <w:gridCol w:w="668"/>
      </w:tblGrid>
      <w:tr>
        <w:trPr>
          <w:trHeight w:val="318" w:hRule="exact"/>
        </w:trPr>
        <w:tc>
          <w:tcPr>
            <w:tcW w:w="1264" w:type="dxa"/>
            <w:vMerge w:val="restart"/>
            <w:tcBorders>
              <w:top w:val="single" w:sz="4" w:space="0" w:color="000000"/>
              <w:left w:val="single" w:sz="4" w:space="0" w:color="000000"/>
              <w:right w:val="single" w:sz="4" w:space="0" w:color="000000"/>
            </w:tcBorders>
            <w:shd w:val="clear" w:color="auto" w:fill="D2D2D2"/>
          </w:tcPr>
          <w:p>
            <w:pPr/>
          </w:p>
        </w:tc>
        <w:tc>
          <w:tcPr>
            <w:tcW w:w="1245" w:type="dxa"/>
            <w:vMerge w:val="restart"/>
            <w:tcBorders>
              <w:top w:val="single" w:sz="4" w:space="0" w:color="000000"/>
              <w:left w:val="single" w:sz="4" w:space="0" w:color="000000"/>
              <w:right w:val="single" w:sz="4" w:space="0" w:color="000000"/>
            </w:tcBorders>
          </w:tcPr>
          <w:p>
            <w:pPr/>
          </w:p>
        </w:tc>
        <w:tc>
          <w:tcPr>
            <w:tcW w:w="1155" w:type="dxa"/>
            <w:vMerge w:val="restart"/>
            <w:tcBorders>
              <w:top w:val="single" w:sz="4" w:space="0" w:color="000000"/>
              <w:left w:val="single" w:sz="4" w:space="0" w:color="000000"/>
              <w:right w:val="single" w:sz="4" w:space="0" w:color="000000"/>
            </w:tcBorders>
          </w:tcPr>
          <w:p>
            <w:pP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其向证券交易所和登记结算公司申请锁定；</w:t>
            </w:r>
          </w:p>
        </w:tc>
        <w:tc>
          <w:tcPr>
            <w:tcW w:w="945"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未在两个交易日内提交锁定申请的，授权董</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事会核实后直接向证券交易所和登记结算</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公司报送本人或本单位的身份信息和账户</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信息并申请锁定；董事会未向证券交易所和</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登记结算公司报送本人或本单位的身份信</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息和账户信息的，授权证券交易所和登记结</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算公司直接锁定相关股份。如调查结论发现</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存在违法违规情节，本人或本单位承诺锁定</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股份自愿用于相关投资者赔偿安排。上市公</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司及全体董事、监事和高级管理人员关于不</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存在内幕交易的承诺：本人不存在泄露本次</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发行股份及支付现金购买资产事宜的相关</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内幕信息及利用该内幕信息进行内幕交易</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的情形，不存在因涉嫌本次发行股份及支付</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现金购买资产事宜的内幕交易被立案调查</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或者立案侦查的情形，不存在因涉嫌本次发</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行股份及支付现金购买资产事宜的内幕交</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易被中国证监会作出行政处罚或者被司法</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机关依法追究刑事责任的情形，不存在《关</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于加强与上市公司重大资产重组相关股票</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vMerge/>
            <w:tcBorders>
              <w:left w:val="single" w:sz="4" w:space="0" w:color="000000"/>
              <w:right w:val="single" w:sz="4" w:space="0" w:color="000000"/>
            </w:tcBorders>
          </w:tcPr>
          <w:p>
            <w:pPr/>
          </w:p>
        </w:tc>
        <w:tc>
          <w:tcPr>
            <w:tcW w:w="1155" w:type="dxa"/>
            <w:vMerge/>
            <w:tcBorders>
              <w:left w:val="single" w:sz="4" w:space="0" w:color="000000"/>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异常交易监管的暂行规定》第十三条规定的</w:t>
            </w: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56" w:hRule="exact"/>
        </w:trPr>
        <w:tc>
          <w:tcPr>
            <w:tcW w:w="1264" w:type="dxa"/>
            <w:vMerge/>
            <w:tcBorders>
              <w:left w:val="single" w:sz="4" w:space="0" w:color="000000"/>
              <w:bottom w:val="single" w:sz="4" w:space="0" w:color="000000"/>
              <w:right w:val="single" w:sz="4" w:space="0" w:color="000000"/>
            </w:tcBorders>
            <w:shd w:val="clear" w:color="auto" w:fill="D2D2D2"/>
          </w:tcPr>
          <w:p>
            <w:pPr/>
          </w:p>
        </w:tc>
        <w:tc>
          <w:tcPr>
            <w:tcW w:w="1245" w:type="dxa"/>
            <w:vMerge/>
            <w:tcBorders>
              <w:left w:val="single" w:sz="4" w:space="0" w:color="000000"/>
              <w:bottom w:val="single" w:sz="4" w:space="0" w:color="000000"/>
              <w:right w:val="single" w:sz="4" w:space="0" w:color="000000"/>
            </w:tcBorders>
          </w:tcPr>
          <w:p>
            <w:pPr/>
          </w:p>
        </w:tc>
        <w:tc>
          <w:tcPr>
            <w:tcW w:w="1155" w:type="dxa"/>
            <w:vMerge/>
            <w:tcBorders>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不得参与上市公司重大资产重组的情形。</w:t>
            </w:r>
            <w:r>
              <w:rPr>
                <w:rFonts w:ascii="Times New Roman" w:hAnsi="Times New Roman" w:cs="Times New Roman" w:eastAsia="Times New Roman" w:hint="default"/>
                <w:sz w:val="18"/>
                <w:szCs w:val="18"/>
              </w:rPr>
              <w:t>"</w:t>
            </w:r>
          </w:p>
        </w:tc>
        <w:tc>
          <w:tcPr>
            <w:tcW w:w="945"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r>
      <w:tr>
        <w:trPr>
          <w:trHeight w:val="357" w:hRule="exact"/>
        </w:trPr>
        <w:tc>
          <w:tcPr>
            <w:tcW w:w="12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1155" w:type="dxa"/>
            <w:tcBorders>
              <w:top w:val="single" w:sz="4" w:space="0" w:color="000000"/>
              <w:left w:val="single" w:sz="4" w:space="0" w:color="000000"/>
              <w:bottom w:val="nil" w:sz="6" w:space="0" w:color="auto"/>
              <w:right w:val="single" w:sz="4" w:space="0" w:color="000000"/>
            </w:tcBorders>
          </w:tcPr>
          <w:p>
            <w:pPr/>
          </w:p>
        </w:tc>
        <w:tc>
          <w:tcPr>
            <w:tcW w:w="3600" w:type="dxa"/>
            <w:tcBorders>
              <w:top w:val="single" w:sz="4" w:space="0" w:color="000000"/>
              <w:left w:val="single" w:sz="4" w:space="0" w:color="000000"/>
              <w:bottom w:val="nil" w:sz="6" w:space="0" w:color="auto"/>
              <w:right w:val="single" w:sz="4" w:space="0" w:color="000000"/>
            </w:tcBorders>
          </w:tcPr>
          <w:p>
            <w:pPr/>
          </w:p>
        </w:tc>
        <w:tc>
          <w:tcPr>
            <w:tcW w:w="945"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财智定增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自本</w:t>
            </w:r>
          </w:p>
        </w:tc>
        <w:tc>
          <w:tcPr>
            <w:tcW w:w="6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2" w:right="0"/>
              <w:jc w:val="left"/>
              <w:rPr>
                <w:rFonts w:ascii="宋体" w:hAnsi="宋体" w:cs="宋体" w:eastAsia="宋体" w:hint="default"/>
                <w:sz w:val="18"/>
                <w:szCs w:val="18"/>
              </w:rPr>
            </w:pPr>
            <w:r>
              <w:rPr>
                <w:rFonts w:ascii="宋体" w:hAnsi="宋体" w:cs="宋体" w:eastAsia="宋体" w:hint="default"/>
                <w:sz w:val="18"/>
                <w:szCs w:val="18"/>
              </w:rPr>
              <w:t>金－工商银</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次非</w:t>
            </w: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行－定增驱</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6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本次非公开发行股份募集配套资金的股份</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发行</w:t>
            </w: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2" w:right="0"/>
              <w:jc w:val="left"/>
              <w:rPr>
                <w:rFonts w:ascii="宋体" w:hAnsi="宋体" w:cs="宋体" w:eastAsia="宋体" w:hint="default"/>
                <w:sz w:val="18"/>
                <w:szCs w:val="18"/>
              </w:rPr>
            </w:pPr>
            <w:r>
              <w:rPr>
                <w:rFonts w:ascii="宋体" w:hAnsi="宋体" w:cs="宋体" w:eastAsia="宋体" w:hint="default"/>
                <w:sz w:val="18"/>
                <w:szCs w:val="18"/>
              </w:rPr>
              <w:t>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2" w:right="0"/>
              <w:jc w:val="left"/>
              <w:rPr>
                <w:rFonts w:ascii="宋体" w:hAnsi="宋体" w:cs="宋体" w:eastAsia="宋体" w:hint="default"/>
                <w:sz w:val="18"/>
                <w:szCs w:val="18"/>
              </w:rPr>
            </w:pPr>
            <w:r>
              <w:rPr>
                <w:rFonts w:ascii="宋体" w:hAnsi="宋体" w:cs="宋体" w:eastAsia="宋体" w:hint="default"/>
                <w:sz w:val="18"/>
                <w:szCs w:val="18"/>
              </w:rPr>
              <w:t>发行价格为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股，不低于发行期首日</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66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ind w:left="101" w:right="250"/>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102" w:right="186"/>
              <w:jc w:val="both"/>
              <w:rPr>
                <w:rFonts w:ascii="Times New Roman" w:hAnsi="Times New Roman" w:cs="Times New Roman" w:eastAsia="Times New Roman" w:hint="default"/>
                <w:sz w:val="18"/>
                <w:szCs w:val="18"/>
              </w:rPr>
            </w:pPr>
            <w:r>
              <w:rPr>
                <w:rFonts w:ascii="宋体" w:hAnsi="宋体" w:cs="宋体" w:eastAsia="宋体" w:hint="default"/>
                <w:sz w:val="18"/>
                <w:szCs w:val="18"/>
              </w:rPr>
              <w:t>通基金－工 商银行－富 春定增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1097</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103" w:right="14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300" w:lineRule="auto"/>
              <w:ind w:left="102" w:right="101"/>
              <w:jc w:val="left"/>
              <w:rPr>
                <w:rFonts w:ascii="宋体" w:hAnsi="宋体" w:cs="宋体" w:eastAsia="宋体" w:hint="default"/>
                <w:sz w:val="18"/>
                <w:szCs w:val="18"/>
              </w:rPr>
            </w:pPr>
            <w:r>
              <w:rPr>
                <w:rFonts w:ascii="宋体" w:hAnsi="宋体" w:cs="宋体" w:eastAsia="宋体" w:hint="default"/>
                <w:spacing w:val="-5"/>
                <w:sz w:val="18"/>
                <w:szCs w:val="18"/>
              </w:rPr>
              <w:t>的均价（</w:t>
            </w:r>
            <w:r>
              <w:rPr>
                <w:rFonts w:ascii="宋体" w:hAnsi="宋体" w:cs="宋体" w:eastAsia="宋体" w:hint="default"/>
                <w:sz w:val="18"/>
                <w:szCs w:val="18"/>
              </w:rPr>
              <w:t> 即发行底价 </w:t>
            </w:r>
            <w:r>
              <w:rPr>
                <w:rFonts w:ascii="Times New Roman" w:hAnsi="Times New Roman" w:cs="Times New Roman" w:eastAsia="Times New Roman" w:hint="default"/>
                <w:spacing w:val="-1"/>
                <w:sz w:val="18"/>
                <w:szCs w:val="18"/>
              </w:rPr>
              <w:t>7.85</w:t>
            </w:r>
            <w:r>
              <w:rPr>
                <w:rFonts w:ascii="Times New Roman" w:hAnsi="Times New Roman" w:cs="Times New Roman" w:eastAsia="Times New Roman" w:hint="default"/>
                <w:spacing w:val="44"/>
                <w:sz w:val="18"/>
                <w:szCs w:val="18"/>
              </w:rPr>
              <w:t> </w:t>
            </w:r>
            <w:r>
              <w:rPr>
                <w:rFonts w:ascii="宋体" w:hAnsi="宋体" w:cs="宋体" w:eastAsia="宋体" w:hint="default"/>
                <w:spacing w:val="-14"/>
                <w:w w:val="99"/>
                <w:sz w:val="18"/>
                <w:szCs w:val="18"/>
              </w:rPr>
              <w:t>元</w:t>
            </w:r>
            <w:r>
              <w:rPr>
                <w:rFonts w:ascii="Times New Roman" w:hAnsi="Times New Roman" w:cs="Times New Roman" w:eastAsia="Times New Roman" w:hint="default"/>
                <w:spacing w:val="-14"/>
                <w:w w:val="99"/>
                <w:sz w:val="18"/>
                <w:szCs w:val="18"/>
              </w:rPr>
              <w:t>/</w:t>
            </w:r>
            <w:r>
              <w:rPr>
                <w:rFonts w:ascii="宋体" w:hAnsi="宋体" w:cs="宋体" w:eastAsia="宋体" w:hint="default"/>
                <w:spacing w:val="-14"/>
                <w:w w:val="99"/>
                <w:sz w:val="18"/>
                <w:szCs w:val="18"/>
              </w:rPr>
              <w:t>股），但低于</w:t>
            </w:r>
            <w:r>
              <w:rPr>
                <w:rFonts w:ascii="宋体" w:hAnsi="宋体" w:cs="宋体" w:eastAsia="宋体" w:hint="default"/>
                <w:sz w:val="18"/>
                <w:szCs w:val="18"/>
              </w:rPr>
              <w:t> 发行期首日前二十个交易日均价（</w:t>
            </w:r>
            <w:r>
              <w:rPr>
                <w:rFonts w:ascii="Times New Roman" w:hAnsi="Times New Roman" w:cs="Times New Roman" w:eastAsia="Times New Roman" w:hint="default"/>
                <w:sz w:val="18"/>
                <w:szCs w:val="18"/>
              </w:rPr>
              <w:t>9.52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pacing w:val="-5"/>
                <w:sz w:val="18"/>
                <w:szCs w:val="18"/>
              </w:rPr>
              <w:t>股），参与本次认购的投资者自本次非公开</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3" w:right="215"/>
              <w:jc w:val="both"/>
              <w:rPr>
                <w:rFonts w:ascii="宋体" w:hAnsi="宋体" w:cs="宋体" w:eastAsia="宋体" w:hint="default"/>
                <w:sz w:val="18"/>
                <w:szCs w:val="18"/>
              </w:rPr>
            </w:pPr>
            <w:r>
              <w:rPr>
                <w:rFonts w:ascii="宋体" w:hAnsi="宋体" w:cs="宋体" w:eastAsia="宋体" w:hint="default"/>
                <w:sz w:val="18"/>
                <w:szCs w:val="18"/>
              </w:rPr>
              <w:t>上市 之日 起十</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102" w:right="194"/>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307"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2"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2" w:right="0"/>
              <w:jc w:val="left"/>
              <w:rPr>
                <w:rFonts w:ascii="宋体" w:hAnsi="宋体" w:cs="宋体" w:eastAsia="宋体" w:hint="default"/>
                <w:sz w:val="18"/>
                <w:szCs w:val="18"/>
              </w:rPr>
            </w:pPr>
            <w:r>
              <w:rPr>
                <w:rFonts w:ascii="宋体" w:hAnsi="宋体" w:cs="宋体" w:eastAsia="宋体" w:hint="default"/>
                <w:sz w:val="18"/>
                <w:szCs w:val="18"/>
              </w:rPr>
              <w:t>发行股票上市之日起十二个月内不得上市</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二个</w:t>
            </w:r>
          </w:p>
        </w:tc>
        <w:tc>
          <w:tcPr>
            <w:tcW w:w="6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宋体" w:hAnsi="宋体" w:cs="宋体" w:eastAsia="宋体" w:hint="default"/>
                <w:sz w:val="18"/>
                <w:szCs w:val="18"/>
              </w:rPr>
              <w:t>交易。</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月内</w:t>
            </w:r>
          </w:p>
        </w:tc>
        <w:tc>
          <w:tcPr>
            <w:tcW w:w="6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2" w:right="0"/>
              <w:jc w:val="left"/>
              <w:rPr>
                <w:rFonts w:ascii="宋体" w:hAnsi="宋体" w:cs="宋体" w:eastAsia="宋体" w:hint="default"/>
                <w:sz w:val="18"/>
                <w:szCs w:val="18"/>
              </w:rPr>
            </w:pPr>
            <w:r>
              <w:rPr>
                <w:rFonts w:ascii="宋体" w:hAnsi="宋体" w:cs="宋体" w:eastAsia="宋体" w:hint="default"/>
                <w:sz w:val="18"/>
                <w:szCs w:val="18"/>
              </w:rPr>
              <w:t>金－工商银</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不得</w:t>
            </w: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行－富春定</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上市</w:t>
            </w:r>
          </w:p>
        </w:tc>
        <w:tc>
          <w:tcPr>
            <w:tcW w:w="668" w:type="dxa"/>
            <w:tcBorders>
              <w:top w:val="nil" w:sz="6" w:space="0" w:color="auto"/>
              <w:left w:val="single" w:sz="4" w:space="0" w:color="000000"/>
              <w:bottom w:val="nil" w:sz="6" w:space="0" w:color="auto"/>
              <w:right w:val="single" w:sz="4" w:space="0" w:color="000000"/>
            </w:tcBorders>
          </w:tcPr>
          <w:p>
            <w:pPr/>
          </w:p>
        </w:tc>
      </w:tr>
      <w:tr>
        <w:trPr>
          <w:trHeight w:val="327"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sz w:val="18"/>
                <w:szCs w:val="18"/>
              </w:rPr>
              <w:t>交易。</w:t>
            </w: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产管理计划</w:t>
            </w:r>
            <w:r>
              <w:rPr>
                <w:rFonts w:ascii="Times New Roman" w:hAnsi="Times New Roman" w:cs="Times New Roman" w:eastAsia="Times New Roman" w:hint="default"/>
                <w:sz w:val="18"/>
                <w:szCs w:val="18"/>
              </w:rPr>
              <w:t>;</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2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富春定增</w:t>
            </w:r>
          </w:p>
        </w:tc>
        <w:tc>
          <w:tcPr>
            <w:tcW w:w="1155"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
        </w:tc>
        <w:tc>
          <w:tcPr>
            <w:tcW w:w="945"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64"/>
        <w:gridCol w:w="1245"/>
        <w:gridCol w:w="1155"/>
        <w:gridCol w:w="3600"/>
        <w:gridCol w:w="945"/>
        <w:gridCol w:w="690"/>
        <w:gridCol w:w="668"/>
      </w:tblGrid>
      <w:tr>
        <w:trPr>
          <w:trHeight w:val="322" w:hRule="exact"/>
        </w:trPr>
        <w:tc>
          <w:tcPr>
            <w:tcW w:w="1264" w:type="dxa"/>
            <w:vMerge w:val="restart"/>
            <w:tcBorders>
              <w:top w:val="single" w:sz="4" w:space="0" w:color="000000"/>
              <w:left w:val="single" w:sz="4" w:space="0" w:color="000000"/>
              <w:right w:val="single" w:sz="4" w:space="0" w:color="000000"/>
            </w:tcBorders>
            <w:shd w:val="clear" w:color="auto" w:fill="D2D2D2"/>
          </w:tcPr>
          <w:p>
            <w:pPr/>
          </w:p>
        </w:tc>
        <w:tc>
          <w:tcPr>
            <w:tcW w:w="12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1175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号资产</w:t>
            </w:r>
          </w:p>
        </w:tc>
        <w:tc>
          <w:tcPr>
            <w:tcW w:w="1155" w:type="dxa"/>
            <w:vMerge w:val="restart"/>
            <w:tcBorders>
              <w:top w:val="single" w:sz="4" w:space="0" w:color="000000"/>
              <w:left w:val="single" w:sz="4" w:space="0" w:color="000000"/>
              <w:right w:val="single" w:sz="4" w:space="0" w:color="000000"/>
            </w:tcBorders>
          </w:tcPr>
          <w:p>
            <w:pPr/>
          </w:p>
        </w:tc>
        <w:tc>
          <w:tcPr>
            <w:tcW w:w="3600" w:type="dxa"/>
            <w:vMerge w:val="restart"/>
            <w:tcBorders>
              <w:top w:val="single" w:sz="4" w:space="0" w:color="000000"/>
              <w:left w:val="single" w:sz="4" w:space="0" w:color="000000"/>
              <w:right w:val="single" w:sz="4" w:space="0" w:color="000000"/>
            </w:tcBorders>
          </w:tcPr>
          <w:p>
            <w:pPr/>
          </w:p>
        </w:tc>
        <w:tc>
          <w:tcPr>
            <w:tcW w:w="945"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商银行－富</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春定增禧享</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金－工商银</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行－富春定</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增禧享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资产管理计</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财通基金</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－恒增鑫享</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号资产管</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基金－工商</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银行－恒增</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鑫享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产管理计划</w:t>
            </w:r>
            <w:r>
              <w:rPr>
                <w:rFonts w:ascii="Times New Roman" w:hAnsi="Times New Roman" w:cs="Times New Roman" w:eastAsia="Times New Roman" w:hint="default"/>
                <w:sz w:val="18"/>
                <w:szCs w:val="18"/>
              </w:rPr>
              <w:t>;</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恒增鑫享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金－工商银</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行－恒增鑫</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商银行－天</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汇达定增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号资产管理</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金－工商银</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行－优选财</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VIP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尊享</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定增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产管理计划</w:t>
            </w:r>
            <w:r>
              <w:rPr>
                <w:rFonts w:ascii="Times New Roman" w:hAnsi="Times New Roman" w:cs="Times New Roman" w:eastAsia="Times New Roman" w:hint="default"/>
                <w:sz w:val="18"/>
                <w:szCs w:val="18"/>
              </w:rPr>
              <w:t>;</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财通基金－</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优选财富</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尊享定</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0" w:hRule="exact"/>
        </w:trPr>
        <w:tc>
          <w:tcPr>
            <w:tcW w:w="1264" w:type="dxa"/>
            <w:vMerge/>
            <w:tcBorders>
              <w:left w:val="single" w:sz="4" w:space="0" w:color="000000"/>
              <w:bottom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p>
        </w:tc>
        <w:tc>
          <w:tcPr>
            <w:tcW w:w="1155" w:type="dxa"/>
            <w:vMerge/>
            <w:tcBorders>
              <w:left w:val="single" w:sz="4" w:space="0" w:color="000000"/>
              <w:bottom w:val="single" w:sz="4" w:space="0" w:color="000000"/>
              <w:right w:val="single" w:sz="4" w:space="0" w:color="000000"/>
            </w:tcBorders>
          </w:tcPr>
          <w:p>
            <w:pPr/>
          </w:p>
        </w:tc>
        <w:tc>
          <w:tcPr>
            <w:tcW w:w="3600" w:type="dxa"/>
            <w:vMerge/>
            <w:tcBorders>
              <w:left w:val="single" w:sz="4" w:space="0" w:color="000000"/>
              <w:bottom w:val="single" w:sz="4" w:space="0" w:color="000000"/>
              <w:right w:val="single" w:sz="4" w:space="0" w:color="000000"/>
            </w:tcBorders>
          </w:tcPr>
          <w:p>
            <w:pPr/>
          </w:p>
        </w:tc>
        <w:tc>
          <w:tcPr>
            <w:tcW w:w="945"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64"/>
        <w:gridCol w:w="1245"/>
        <w:gridCol w:w="1155"/>
        <w:gridCol w:w="3600"/>
        <w:gridCol w:w="945"/>
        <w:gridCol w:w="690"/>
        <w:gridCol w:w="668"/>
      </w:tblGrid>
      <w:tr>
        <w:trPr>
          <w:trHeight w:val="322" w:hRule="exact"/>
        </w:trPr>
        <w:tc>
          <w:tcPr>
            <w:tcW w:w="1264" w:type="dxa"/>
            <w:vMerge w:val="restart"/>
            <w:tcBorders>
              <w:top w:val="single" w:sz="4" w:space="0" w:color="000000"/>
              <w:left w:val="single" w:sz="4" w:space="0" w:color="000000"/>
              <w:right w:val="single" w:sz="4" w:space="0" w:color="000000"/>
            </w:tcBorders>
            <w:shd w:val="clear" w:color="auto" w:fill="D2D2D2"/>
          </w:tcPr>
          <w:p>
            <w:pPr/>
          </w:p>
        </w:tc>
        <w:tc>
          <w:tcPr>
            <w:tcW w:w="12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w:t>
            </w:r>
          </w:p>
        </w:tc>
        <w:tc>
          <w:tcPr>
            <w:tcW w:w="1155" w:type="dxa"/>
            <w:vMerge w:val="restart"/>
            <w:tcBorders>
              <w:top w:val="single" w:sz="4" w:space="0" w:color="000000"/>
              <w:left w:val="single" w:sz="4" w:space="0" w:color="000000"/>
              <w:right w:val="single" w:sz="4" w:space="0" w:color="000000"/>
            </w:tcBorders>
          </w:tcPr>
          <w:p>
            <w:pPr/>
          </w:p>
        </w:tc>
        <w:tc>
          <w:tcPr>
            <w:tcW w:w="3600" w:type="dxa"/>
            <w:vMerge w:val="restart"/>
            <w:tcBorders>
              <w:top w:val="single" w:sz="4" w:space="0" w:color="000000"/>
              <w:left w:val="single" w:sz="4" w:space="0" w:color="000000"/>
              <w:right w:val="single" w:sz="4" w:space="0" w:color="000000"/>
            </w:tcBorders>
          </w:tcPr>
          <w:p>
            <w:pPr/>
          </w:p>
        </w:tc>
        <w:tc>
          <w:tcPr>
            <w:tcW w:w="945" w:type="dxa"/>
            <w:vMerge w:val="restart"/>
            <w:tcBorders>
              <w:top w:val="single" w:sz="4" w:space="0" w:color="000000"/>
              <w:left w:val="single" w:sz="4" w:space="0" w:color="000000"/>
              <w:right w:val="single" w:sz="4" w:space="0" w:color="000000"/>
            </w:tcBorders>
          </w:tcPr>
          <w:p>
            <w:pPr/>
          </w:p>
        </w:tc>
        <w:tc>
          <w:tcPr>
            <w:tcW w:w="690"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通基金－工</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商银行－增</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通基金－广</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发银行－中</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欧盛世资产</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管理（上海）</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财</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通基金－平</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安银行－天</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润资本管理</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9"/>
                <w:sz w:val="18"/>
                <w:szCs w:val="18"/>
              </w:rPr>
              <w:t>（北京）有限</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金－兴业银</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行－北京基</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业华商投资</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9"/>
                <w:sz w:val="18"/>
                <w:szCs w:val="18"/>
              </w:rPr>
              <w:t>管理中心（有</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财</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通基金－兴</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业银行－江</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海证券有限</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长江证</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券股份有限</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6"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高伟</w:t>
            </w:r>
            <w:r>
              <w:rPr>
                <w:rFonts w:ascii="Times New Roman" w:hAnsi="Times New Roman" w:cs="Times New Roman" w:eastAsia="Times New Roman" w:hint="default"/>
                <w:sz w:val="18"/>
                <w:szCs w:val="18"/>
              </w:rPr>
              <w:t>;</w:t>
            </w:r>
            <w:r>
              <w:rPr>
                <w:rFonts w:ascii="宋体" w:hAnsi="宋体" w:cs="宋体" w:eastAsia="宋体" w:hint="default"/>
                <w:sz w:val="18"/>
                <w:szCs w:val="18"/>
              </w:rPr>
              <w:t>深</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08"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圳第一创业</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创新资本管</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－一创资本</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可交债卧龙</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12" w:hRule="exact"/>
        </w:trPr>
        <w:tc>
          <w:tcPr>
            <w:tcW w:w="1264" w:type="dxa"/>
            <w:vMerge/>
            <w:tcBorders>
              <w:left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一号私募投</w:t>
            </w:r>
          </w:p>
        </w:tc>
        <w:tc>
          <w:tcPr>
            <w:tcW w:w="1155" w:type="dxa"/>
            <w:vMerge/>
            <w:tcBorders>
              <w:left w:val="single" w:sz="4" w:space="0" w:color="000000"/>
              <w:right w:val="single" w:sz="4" w:space="0" w:color="000000"/>
            </w:tcBorders>
          </w:tcPr>
          <w:p>
            <w:pPr/>
          </w:p>
        </w:tc>
        <w:tc>
          <w:tcPr>
            <w:tcW w:w="3600" w:type="dxa"/>
            <w:vMerge/>
            <w:tcBorders>
              <w:left w:val="single" w:sz="4" w:space="0" w:color="000000"/>
              <w:right w:val="single" w:sz="4" w:space="0" w:color="000000"/>
            </w:tcBorders>
          </w:tcPr>
          <w:p>
            <w:pPr/>
          </w:p>
        </w:tc>
        <w:tc>
          <w:tcPr>
            <w:tcW w:w="945" w:type="dxa"/>
            <w:vMerge/>
            <w:tcBorders>
              <w:left w:val="single" w:sz="4" w:space="0" w:color="000000"/>
              <w:right w:val="single" w:sz="4" w:space="0" w:color="000000"/>
            </w:tcBorders>
          </w:tcPr>
          <w:p>
            <w:pPr/>
          </w:p>
        </w:tc>
        <w:tc>
          <w:tcPr>
            <w:tcW w:w="690"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r>
      <w:tr>
        <w:trPr>
          <w:trHeight w:val="356" w:hRule="exact"/>
        </w:trPr>
        <w:tc>
          <w:tcPr>
            <w:tcW w:w="1264" w:type="dxa"/>
            <w:vMerge/>
            <w:tcBorders>
              <w:left w:val="single" w:sz="4" w:space="0" w:color="000000"/>
              <w:bottom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1155" w:type="dxa"/>
            <w:vMerge/>
            <w:tcBorders>
              <w:left w:val="single" w:sz="4" w:space="0" w:color="000000"/>
              <w:bottom w:val="single" w:sz="4" w:space="0" w:color="000000"/>
              <w:right w:val="single" w:sz="4" w:space="0" w:color="000000"/>
            </w:tcBorders>
          </w:tcPr>
          <w:p>
            <w:pPr/>
          </w:p>
        </w:tc>
        <w:tc>
          <w:tcPr>
            <w:tcW w:w="3600" w:type="dxa"/>
            <w:vMerge/>
            <w:tcBorders>
              <w:left w:val="single" w:sz="4" w:space="0" w:color="000000"/>
              <w:bottom w:val="single" w:sz="4" w:space="0" w:color="000000"/>
              <w:right w:val="single" w:sz="4" w:space="0" w:color="000000"/>
            </w:tcBorders>
          </w:tcPr>
          <w:p>
            <w:pPr/>
          </w:p>
        </w:tc>
        <w:tc>
          <w:tcPr>
            <w:tcW w:w="945" w:type="dxa"/>
            <w:vMerge/>
            <w:tcBorders>
              <w:left w:val="single" w:sz="4" w:space="0" w:color="000000"/>
              <w:bottom w:val="single" w:sz="4" w:space="0" w:color="000000"/>
              <w:right w:val="single" w:sz="4" w:space="0" w:color="000000"/>
            </w:tcBorders>
          </w:tcPr>
          <w:p>
            <w:pPr/>
          </w:p>
        </w:tc>
        <w:tc>
          <w:tcPr>
            <w:tcW w:w="690"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r>
      <w:tr>
        <w:trPr>
          <w:trHeight w:val="357" w:hRule="exact"/>
        </w:trPr>
        <w:tc>
          <w:tcPr>
            <w:tcW w:w="12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5" w:type="dxa"/>
            <w:tcBorders>
              <w:top w:val="single" w:sz="4" w:space="0" w:color="000000"/>
              <w:left w:val="single" w:sz="4" w:space="0" w:color="000000"/>
              <w:bottom w:val="nil" w:sz="6" w:space="0" w:color="auto"/>
              <w:right w:val="single" w:sz="4" w:space="0" w:color="000000"/>
            </w:tcBorders>
          </w:tcPr>
          <w:p>
            <w:pPr/>
          </w:p>
        </w:tc>
        <w:tc>
          <w:tcPr>
            <w:tcW w:w="1155" w:type="dxa"/>
            <w:tcBorders>
              <w:top w:val="single" w:sz="4" w:space="0" w:color="000000"/>
              <w:left w:val="single" w:sz="4" w:space="0" w:color="000000"/>
              <w:bottom w:val="nil" w:sz="6" w:space="0" w:color="auto"/>
              <w:right w:val="single" w:sz="4" w:space="0" w:color="000000"/>
            </w:tcBorders>
          </w:tcPr>
          <w:p>
            <w:pPr/>
          </w:p>
        </w:tc>
        <w:tc>
          <w:tcPr>
            <w:tcW w:w="3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根据《尤洛卡精准信息工程股份有限公司限</w:t>
            </w:r>
          </w:p>
        </w:tc>
        <w:tc>
          <w:tcPr>
            <w:tcW w:w="945"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制性股票激励计划（</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（以下简</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pacing w:val="-17"/>
                <w:sz w:val="18"/>
                <w:szCs w:val="18"/>
              </w:rPr>
              <w:t>称</w:t>
            </w:r>
            <w:r>
              <w:rPr>
                <w:rFonts w:ascii="宋体" w:hAnsi="宋体" w:cs="宋体" w:eastAsia="宋体" w:hint="default"/>
                <w:sz w:val="18"/>
                <w:szCs w:val="18"/>
              </w:rPr>
              <w:t>“激励计划</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的规定及公司</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次临时股东大会的授权，公司于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52"/>
              <w:ind w:left="101" w:right="250"/>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245"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赵志刚等</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174</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名激励对象</w:t>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316" w:lineRule="auto" w:before="152"/>
              <w:ind w:left="103" w:right="14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日分别召开第四届董事会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年第七</w:t>
            </w:r>
          </w:p>
          <w:p>
            <w:pPr>
              <w:pStyle w:val="TableParagraph"/>
              <w:spacing w:line="300" w:lineRule="auto" w:before="63"/>
              <w:ind w:left="102" w:right="10"/>
              <w:jc w:val="left"/>
              <w:rPr>
                <w:rFonts w:ascii="宋体" w:hAnsi="宋体" w:cs="宋体" w:eastAsia="宋体" w:hint="default"/>
                <w:sz w:val="18"/>
                <w:szCs w:val="18"/>
              </w:rPr>
            </w:pPr>
            <w:r>
              <w:rPr>
                <w:rFonts w:ascii="宋体" w:hAnsi="宋体" w:cs="宋体" w:eastAsia="宋体" w:hint="default"/>
                <w:sz w:val="18"/>
                <w:szCs w:val="18"/>
              </w:rPr>
              <w:t>次会议和第四届监事会</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年第七次会议， 审议通过了《关于调整限制性股票激励计划</w:t>
            </w:r>
          </w:p>
        </w:tc>
        <w:tc>
          <w:tcPr>
            <w:tcW w:w="945"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12-19</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102" w:right="194"/>
              <w:jc w:val="both"/>
              <w:rPr>
                <w:rFonts w:ascii="宋体" w:hAnsi="宋体" w:cs="宋体" w:eastAsia="宋体" w:hint="default"/>
                <w:sz w:val="18"/>
                <w:szCs w:val="18"/>
              </w:rPr>
            </w:pPr>
            <w:r>
              <w:rPr>
                <w:rFonts w:ascii="宋体" w:hAnsi="宋体" w:cs="宋体" w:eastAsia="宋体" w:hint="default"/>
                <w:sz w:val="18"/>
                <w:szCs w:val="18"/>
              </w:rPr>
              <w:t>正在 履行 中。</w:t>
            </w:r>
          </w:p>
        </w:tc>
      </w:tr>
      <w:tr>
        <w:trPr>
          <w:trHeight w:val="317"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宋体" w:hAnsi="宋体" w:cs="宋体" w:eastAsia="宋体" w:hint="default"/>
                <w:sz w:val="18"/>
                <w:szCs w:val="18"/>
              </w:rPr>
              <w:t>）授予数量的议案</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《关于向</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激励对象首次授予限制性股票的议案</w:t>
            </w:r>
            <w:r>
              <w:rPr>
                <w:rFonts w:ascii="宋体" w:hAnsi="宋体" w:cs="宋体" w:eastAsia="宋体" w:hint="default"/>
                <w:spacing w:val="-89"/>
                <w:sz w:val="18"/>
                <w:szCs w:val="18"/>
              </w:rPr>
              <w:t>》</w:t>
            </w:r>
            <w:r>
              <w:rPr>
                <w:rFonts w:ascii="宋体" w:hAnsi="宋体" w:cs="宋体" w:eastAsia="宋体" w:hint="default"/>
                <w:sz w:val="18"/>
                <w:szCs w:val="18"/>
              </w:rPr>
              <w:t>，确</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64" w:type="dxa"/>
            <w:tcBorders>
              <w:top w:val="nil" w:sz="6" w:space="0" w:color="auto"/>
              <w:left w:val="single" w:sz="4" w:space="0" w:color="000000"/>
              <w:bottom w:val="nil" w:sz="6" w:space="0" w:color="auto"/>
              <w:right w:val="single" w:sz="4" w:space="0" w:color="000000"/>
            </w:tcBorders>
            <w:shd w:val="clear" w:color="auto" w:fill="D2D2D2"/>
          </w:tcPr>
          <w:p>
            <w:pPr/>
          </w:p>
        </w:tc>
        <w:tc>
          <w:tcPr>
            <w:tcW w:w="1245" w:type="dxa"/>
            <w:tcBorders>
              <w:top w:val="nil" w:sz="6" w:space="0" w:color="auto"/>
              <w:left w:val="single" w:sz="4" w:space="0" w:color="000000"/>
              <w:bottom w:val="nil" w:sz="6" w:space="0" w:color="auto"/>
              <w:right w:val="single" w:sz="4" w:space="0" w:color="000000"/>
            </w:tcBorders>
          </w:tcPr>
          <w:p>
            <w:pPr/>
          </w:p>
        </w:tc>
        <w:tc>
          <w:tcPr>
            <w:tcW w:w="1155" w:type="dxa"/>
            <w:tcBorders>
              <w:top w:val="nil" w:sz="6" w:space="0" w:color="auto"/>
              <w:left w:val="single" w:sz="4" w:space="0" w:color="000000"/>
              <w:bottom w:val="nil" w:sz="6" w:space="0" w:color="auto"/>
              <w:right w:val="single" w:sz="4" w:space="0" w:color="000000"/>
            </w:tcBorders>
          </w:tcPr>
          <w:p>
            <w:pPr/>
          </w:p>
        </w:tc>
        <w:tc>
          <w:tcPr>
            <w:tcW w:w="3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定了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日为授予日，向符合</w:t>
            </w:r>
          </w:p>
        </w:tc>
        <w:tc>
          <w:tcPr>
            <w:tcW w:w="945"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2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5" w:type="dxa"/>
            <w:tcBorders>
              <w:top w:val="nil" w:sz="6" w:space="0" w:color="auto"/>
              <w:left w:val="single" w:sz="4" w:space="0" w:color="000000"/>
              <w:bottom w:val="single" w:sz="4" w:space="0" w:color="000000"/>
              <w:right w:val="single" w:sz="4" w:space="0" w:color="000000"/>
            </w:tcBorders>
          </w:tcPr>
          <w:p>
            <w:pPr/>
          </w:p>
        </w:tc>
        <w:tc>
          <w:tcPr>
            <w:tcW w:w="1155" w:type="dxa"/>
            <w:tcBorders>
              <w:top w:val="nil" w:sz="6" w:space="0" w:color="auto"/>
              <w:left w:val="single" w:sz="4" w:space="0" w:color="000000"/>
              <w:bottom w:val="single" w:sz="4" w:space="0" w:color="000000"/>
              <w:right w:val="single" w:sz="4" w:space="0" w:color="000000"/>
            </w:tcBorders>
          </w:tcPr>
          <w:p>
            <w:pPr/>
          </w:p>
        </w:tc>
        <w:tc>
          <w:tcPr>
            <w:tcW w:w="36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条件的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名激励对象授予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万股限制性</w:t>
            </w:r>
          </w:p>
        </w:tc>
        <w:tc>
          <w:tcPr>
            <w:tcW w:w="945"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1028" w:header="907" w:top="1100" w:bottom="1220" w:left="1020" w:right="0"/>
          <w:pgNumType w:start="4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264"/>
        <w:gridCol w:w="1245"/>
        <w:gridCol w:w="1155"/>
        <w:gridCol w:w="3600"/>
        <w:gridCol w:w="945"/>
        <w:gridCol w:w="690"/>
        <w:gridCol w:w="668"/>
      </w:tblGrid>
      <w:tr>
        <w:trPr>
          <w:trHeight w:val="3170" w:hRule="exact"/>
        </w:trPr>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45" w:type="dxa"/>
            <w:tcBorders>
              <w:top w:val="single" w:sz="4" w:space="0" w:color="000000"/>
              <w:left w:val="single" w:sz="4" w:space="0" w:color="000000"/>
              <w:bottom w:val="single" w:sz="4" w:space="0" w:color="000000"/>
              <w:right w:val="single" w:sz="4" w:space="0" w:color="000000"/>
            </w:tcBorders>
          </w:tcPr>
          <w:p>
            <w:pPr/>
          </w:p>
        </w:tc>
        <w:tc>
          <w:tcPr>
            <w:tcW w:w="1155" w:type="dxa"/>
            <w:tcBorders>
              <w:top w:val="single" w:sz="4" w:space="0" w:color="000000"/>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101"/>
              <w:jc w:val="left"/>
              <w:rPr>
                <w:rFonts w:ascii="宋体" w:hAnsi="宋体" w:cs="宋体" w:eastAsia="宋体" w:hint="default"/>
                <w:sz w:val="18"/>
                <w:szCs w:val="18"/>
              </w:rPr>
            </w:pPr>
            <w:r>
              <w:rPr>
                <w:rFonts w:ascii="宋体" w:hAnsi="宋体" w:cs="宋体" w:eastAsia="宋体" w:hint="default"/>
                <w:spacing w:val="-2"/>
                <w:sz w:val="18"/>
                <w:szCs w:val="18"/>
              </w:rPr>
              <w:t>股票。本次授予的限制性股票限售期为自首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次授予完成之日起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个月，授予股份的上</w:t>
            </w:r>
          </w:p>
          <w:p>
            <w:pPr>
              <w:pStyle w:val="TableParagraph"/>
              <w:spacing w:line="314" w:lineRule="auto"/>
              <w:ind w:left="102" w:right="101"/>
              <w:jc w:val="left"/>
              <w:rPr>
                <w:rFonts w:ascii="宋体" w:hAnsi="宋体" w:cs="宋体" w:eastAsia="宋体" w:hint="default"/>
                <w:sz w:val="18"/>
                <w:szCs w:val="18"/>
              </w:rPr>
            </w:pPr>
            <w:r>
              <w:rPr>
                <w:rFonts w:ascii="宋体" w:hAnsi="宋体" w:cs="宋体" w:eastAsia="宋体" w:hint="default"/>
                <w:sz w:val="18"/>
                <w:szCs w:val="18"/>
              </w:rPr>
              <w:t>市日期为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日。激励对象根 据本激励计划获授的限制性股票在限售期 </w:t>
            </w:r>
            <w:r>
              <w:rPr>
                <w:rFonts w:ascii="宋体" w:hAnsi="宋体" w:cs="宋体" w:eastAsia="宋体" w:hint="default"/>
                <w:spacing w:val="-2"/>
                <w:sz w:val="18"/>
                <w:szCs w:val="18"/>
              </w:rPr>
              <w:t>内不得转让、用于担保或偿还债务。激励对</w:t>
            </w:r>
            <w:r>
              <w:rPr>
                <w:rFonts w:ascii="宋体" w:hAnsi="宋体" w:cs="宋体" w:eastAsia="宋体" w:hint="default"/>
                <w:sz w:val="18"/>
                <w:szCs w:val="18"/>
              </w:rPr>
              <w:t> 象获授的限制性股票由于资本公积金转增 </w:t>
            </w:r>
            <w:r>
              <w:rPr>
                <w:rFonts w:ascii="宋体" w:hAnsi="宋体" w:cs="宋体" w:eastAsia="宋体" w:hint="default"/>
                <w:spacing w:val="-2"/>
                <w:sz w:val="18"/>
                <w:szCs w:val="18"/>
              </w:rPr>
              <w:t>股本、股票红利、股票拆细而取得的股份同</w:t>
            </w:r>
            <w:r>
              <w:rPr>
                <w:rFonts w:ascii="宋体" w:hAnsi="宋体" w:cs="宋体" w:eastAsia="宋体" w:hint="default"/>
                <w:sz w:val="18"/>
                <w:szCs w:val="18"/>
              </w:rPr>
              <w:t> </w:t>
            </w:r>
            <w:r>
              <w:rPr>
                <w:rFonts w:ascii="宋体" w:hAnsi="宋体" w:cs="宋体" w:eastAsia="宋体" w:hint="default"/>
                <w:spacing w:val="-2"/>
                <w:sz w:val="18"/>
                <w:szCs w:val="18"/>
              </w:rPr>
              <w:t>时限售，不得在二级市场出售或以其他方式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转让，该等股份的解除限售期与限制性股票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解除限售期相同。</w:t>
            </w:r>
          </w:p>
        </w:tc>
        <w:tc>
          <w:tcPr>
            <w:tcW w:w="945"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1" w:right="250"/>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8"/>
              <w:ind w:left="102" w:right="180"/>
              <w:jc w:val="left"/>
              <w:rPr>
                <w:rFonts w:ascii="宋体" w:hAnsi="宋体" w:cs="宋体" w:eastAsia="宋体" w:hint="default"/>
                <w:sz w:val="18"/>
                <w:szCs w:val="18"/>
              </w:rPr>
            </w:pPr>
            <w:r>
              <w:rPr>
                <w:rFonts w:ascii="宋体" w:hAnsi="宋体" w:cs="宋体" w:eastAsia="宋体" w:hint="default"/>
                <w:sz w:val="18"/>
                <w:szCs w:val="18"/>
              </w:rPr>
              <w:t>黄自伟</w:t>
            </w:r>
            <w:r>
              <w:rPr>
                <w:rFonts w:ascii="Times New Roman" w:hAnsi="Times New Roman" w:cs="Times New Roman" w:eastAsia="Times New Roman" w:hint="default"/>
                <w:sz w:val="18"/>
                <w:szCs w:val="18"/>
              </w:rPr>
              <w:t>;</w:t>
            </w:r>
            <w:r>
              <w:rPr>
                <w:rFonts w:ascii="宋体" w:hAnsi="宋体" w:cs="宋体" w:eastAsia="宋体" w:hint="default"/>
                <w:sz w:val="18"/>
                <w:szCs w:val="18"/>
              </w:rPr>
              <w:t>王晶 华</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1"/>
              <w:jc w:val="left"/>
              <w:rPr>
                <w:rFonts w:ascii="宋体" w:hAnsi="宋体" w:cs="宋体" w:eastAsia="宋体" w:hint="default"/>
                <w:sz w:val="18"/>
                <w:szCs w:val="18"/>
              </w:rPr>
            </w:pPr>
            <w:r>
              <w:rPr>
                <w:rFonts w:ascii="宋体" w:hAnsi="宋体" w:cs="宋体" w:eastAsia="宋体" w:hint="default"/>
                <w:spacing w:val="-2"/>
                <w:sz w:val="18"/>
                <w:szCs w:val="18"/>
              </w:rPr>
              <w:t>同业竞争：本人现时及将来均不会以任何方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式（包括但不限于直接或间接地进行独资经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营、合资经营和拥有在其他公司或企业的股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票或权益）从事与尤洛卡矿业安全工程股份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有限公司的业务有竞争或可能构成竞争的 </w:t>
            </w:r>
            <w:r>
              <w:rPr>
                <w:rFonts w:ascii="宋体" w:hAnsi="宋体" w:cs="宋体" w:eastAsia="宋体" w:hint="default"/>
                <w:spacing w:val="-2"/>
                <w:sz w:val="18"/>
                <w:szCs w:val="18"/>
              </w:rPr>
              <w:t>业务或活动，若因本人违背了上述承诺致使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尤洛卡矿业安全工程股份有限公司产生的 一切经济损失，均由本人承担。</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2" w:right="194"/>
              <w:jc w:val="left"/>
              <w:rPr>
                <w:rFonts w:ascii="宋体" w:hAnsi="宋体" w:cs="宋体" w:eastAsia="宋体" w:hint="default"/>
                <w:sz w:val="18"/>
                <w:szCs w:val="18"/>
              </w:rPr>
            </w:pPr>
            <w:r>
              <w:rPr>
                <w:rFonts w:ascii="宋体" w:hAnsi="宋体" w:cs="宋体" w:eastAsia="宋体" w:hint="default"/>
                <w:sz w:val="18"/>
                <w:szCs w:val="18"/>
              </w:rPr>
              <w:t>履行 中</w:t>
            </w:r>
          </w:p>
        </w:tc>
      </w:tr>
      <w:tr>
        <w:trPr>
          <w:trHeight w:val="714" w:hRule="exact"/>
        </w:trPr>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50"/>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1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2586" w:hRule="exact"/>
        </w:trPr>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z w:val="18"/>
                <w:szCs w:val="18"/>
              </w:rPr>
              <w:t>如承诺超期 未履行完毕 </w:t>
            </w:r>
            <w:r>
              <w:rPr>
                <w:rFonts w:ascii="宋体" w:hAnsi="宋体" w:cs="宋体" w:eastAsia="宋体" w:hint="default"/>
                <w:spacing w:val="-6"/>
                <w:sz w:val="18"/>
                <w:szCs w:val="18"/>
              </w:rPr>
              <w:t>的，应当详细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说明未完成 履行的具体 原因及下一 步的工作计 划</w:t>
            </w:r>
          </w:p>
        </w:tc>
        <w:tc>
          <w:tcPr>
            <w:tcW w:w="830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30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1"/>
        <w:rPr>
          <w:rFonts w:ascii="Times New Roman" w:hAnsi="Times New Roman" w:cs="Times New Roman" w:eastAsia="Times New Roman" w:hint="default"/>
          <w:sz w:val="21"/>
          <w:szCs w:val="21"/>
        </w:rPr>
      </w:pPr>
    </w:p>
    <w:p>
      <w:pPr>
        <w:spacing w:line="259" w:lineRule="auto" w:before="34"/>
        <w:ind w:left="112" w:right="987" w:firstLine="0"/>
        <w:jc w:val="left"/>
        <w:rPr>
          <w:rFonts w:ascii="宋体" w:hAnsi="宋体" w:cs="宋体" w:eastAsia="宋体" w:hint="default"/>
          <w:sz w:val="21"/>
          <w:szCs w:val="21"/>
        </w:rPr>
      </w:pPr>
      <w:bookmarkStart w:name="2、公司资产或项目存在盈利预测，且报告期仍处在盈利预测期间，公司就资产或项目达到" w:id="58"/>
      <w:bookmarkEnd w:id="58"/>
      <w:r>
        <w:rPr/>
      </w:r>
      <w:r>
        <w:rPr>
          <w:rFonts w:ascii="Times New Roman" w:hAnsi="Times New Roman" w:cs="Times New Roman" w:eastAsia="Times New Roman" w:hint="default"/>
          <w:b/>
          <w:bCs/>
          <w:spacing w:val="3"/>
          <w:w w:val="95"/>
          <w:sz w:val="21"/>
          <w:szCs w:val="21"/>
        </w:rPr>
        <w:t>2</w:t>
      </w:r>
      <w:r>
        <w:rPr>
          <w:rFonts w:ascii="宋体" w:hAnsi="宋体" w:cs="宋体" w:eastAsia="宋体" w:hint="default"/>
          <w:b/>
          <w:bCs/>
          <w:spacing w:val="3"/>
          <w:w w:val="95"/>
          <w:sz w:val="21"/>
          <w:szCs w:val="21"/>
        </w:rPr>
        <w:t>、公司资产或项目存在盈利预测，且报告期仍处在盈利预测期间，公司就资产或项目达到原盈利预测及</w:t>
      </w:r>
      <w:r>
        <w:rPr>
          <w:rFonts w:ascii="宋体" w:hAnsi="宋体" w:cs="宋体" w:eastAsia="宋体" w:hint="default"/>
          <w:b/>
          <w:bCs/>
          <w:spacing w:val="95"/>
          <w:w w:val="95"/>
          <w:sz w:val="21"/>
          <w:szCs w:val="21"/>
        </w:rPr>
        <w:t> </w:t>
      </w:r>
      <w:r>
        <w:rPr>
          <w:rFonts w:ascii="宋体" w:hAnsi="宋体" w:cs="宋体" w:eastAsia="宋体" w:hint="default"/>
          <w:b/>
          <w:bCs/>
          <w:spacing w:val="95"/>
          <w:w w:val="9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194"/>
        <w:gridCol w:w="1196"/>
        <w:gridCol w:w="1196"/>
        <w:gridCol w:w="1196"/>
        <w:gridCol w:w="1196"/>
        <w:gridCol w:w="1196"/>
        <w:gridCol w:w="1198"/>
        <w:gridCol w:w="1196"/>
      </w:tblGrid>
      <w:tr>
        <w:trPr>
          <w:trHeight w:val="102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2" w:right="139"/>
              <w:jc w:val="center"/>
              <w:rPr>
                <w:rFonts w:ascii="宋体" w:hAnsi="宋体" w:cs="宋体" w:eastAsia="宋体" w:hint="default"/>
                <w:sz w:val="18"/>
                <w:szCs w:val="18"/>
              </w:rPr>
            </w:pPr>
            <w:r>
              <w:rPr>
                <w:rFonts w:ascii="宋体" w:hAnsi="宋体" w:cs="宋体" w:eastAsia="宋体" w:hint="default"/>
                <w:sz w:val="18"/>
                <w:szCs w:val="18"/>
              </w:rPr>
              <w:t>盈利预测资 产或项目名 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504" w:right="140"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503" w:right="141"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42" w:right="142"/>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43" w:right="140"/>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141"/>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13" w:right="141" w:hanging="269"/>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13" w:right="142" w:hanging="272"/>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357" w:hRule="exact"/>
        </w:trPr>
        <w:tc>
          <w:tcPr>
            <w:tcW w:w="11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发行股份及</w:t>
            </w: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301" w:hRule="exact"/>
        </w:trPr>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支付现金购</w:t>
            </w: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网</w:t>
            </w:r>
            <w:r>
              <w:rPr>
                <w:rFonts w:ascii="宋体" w:hAnsi="宋体" w:cs="宋体" w:eastAsia="宋体" w:hint="default"/>
                <w:spacing w:val="-101"/>
                <w:sz w:val="18"/>
                <w:szCs w:val="18"/>
              </w:rPr>
              <w:t>，</w:t>
            </w:r>
            <w:r>
              <w:rPr>
                <w:rFonts w:ascii="宋体" w:hAnsi="宋体" w:cs="宋体" w:eastAsia="宋体" w:hint="default"/>
                <w:sz w:val="18"/>
                <w:szCs w:val="18"/>
              </w:rPr>
              <w:t>《发行股</w:t>
            </w:r>
          </w:p>
        </w:tc>
      </w:tr>
      <w:tr>
        <w:trPr>
          <w:trHeight w:val="635" w:hRule="exact"/>
        </w:trPr>
        <w:tc>
          <w:tcPr>
            <w:tcW w:w="1194"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101" w:right="180"/>
              <w:jc w:val="left"/>
              <w:rPr>
                <w:rFonts w:ascii="宋体" w:hAnsi="宋体" w:cs="宋体" w:eastAsia="宋体" w:hint="default"/>
                <w:sz w:val="18"/>
                <w:szCs w:val="18"/>
              </w:rPr>
            </w:pPr>
            <w:r>
              <w:rPr>
                <w:rFonts w:ascii="宋体" w:hAnsi="宋体" w:cs="宋体" w:eastAsia="宋体" w:hint="default"/>
                <w:sz w:val="18"/>
                <w:szCs w:val="18"/>
              </w:rPr>
              <w:t>买长春师凯 科技产业有</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677" w:right="0"/>
              <w:jc w:val="left"/>
              <w:rPr>
                <w:rFonts w:ascii="Times New Roman" w:hAnsi="Times New Roman" w:cs="Times New Roman" w:eastAsia="Times New Roman" w:hint="default"/>
                <w:sz w:val="18"/>
                <w:szCs w:val="18"/>
              </w:rPr>
            </w:pPr>
            <w:r>
              <w:rPr>
                <w:rFonts w:ascii="Times New Roman"/>
                <w:sz w:val="18"/>
              </w:rPr>
              <w:t>8,600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9,935.62</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nil" w:sz="6" w:space="0" w:color="auto"/>
              <w:left w:val="single" w:sz="4" w:space="0" w:color="000000"/>
              <w:bottom w:val="nil" w:sz="6" w:space="0" w:color="auto"/>
              <w:right w:val="single" w:sz="4" w:space="0" w:color="000000"/>
            </w:tcBorders>
          </w:tcPr>
          <w:p>
            <w:pPr>
              <w:pStyle w:val="TableParagraph"/>
              <w:spacing w:line="24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316" w:lineRule="auto" w:before="21"/>
              <w:ind w:left="103" w:right="180"/>
              <w:jc w:val="left"/>
              <w:rPr>
                <w:rFonts w:ascii="宋体" w:hAnsi="宋体" w:cs="宋体" w:eastAsia="宋体" w:hint="default"/>
                <w:sz w:val="18"/>
                <w:szCs w:val="18"/>
              </w:rPr>
            </w:pPr>
            <w:r>
              <w:rPr>
                <w:rFonts w:ascii="宋体" w:hAnsi="宋体" w:cs="宋体" w:eastAsia="宋体" w:hint="default"/>
                <w:sz w:val="18"/>
                <w:szCs w:val="18"/>
              </w:rPr>
              <w:t>份及支付现 金购买资产</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报告书》中</w:t>
            </w:r>
          </w:p>
        </w:tc>
      </w:tr>
      <w:tr>
        <w:trPr>
          <w:trHeight w:val="325" w:hRule="exact"/>
        </w:trPr>
        <w:tc>
          <w:tcPr>
            <w:tcW w:w="11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w:t>
            </w: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的业绩承</w:t>
            </w:r>
          </w:p>
        </w:tc>
      </w:tr>
    </w:tbl>
    <w:p>
      <w:pPr>
        <w:spacing w:after="0" w:line="240" w:lineRule="auto"/>
        <w:jc w:val="left"/>
        <w:rPr>
          <w:rFonts w:ascii="宋体" w:hAnsi="宋体" w:cs="宋体" w:eastAsia="宋体"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194"/>
        <w:gridCol w:w="1196"/>
        <w:gridCol w:w="1196"/>
        <w:gridCol w:w="1196"/>
        <w:gridCol w:w="1196"/>
        <w:gridCol w:w="1196"/>
        <w:gridCol w:w="1198"/>
        <w:gridCol w:w="1196"/>
      </w:tblGrid>
      <w:tr>
        <w:trPr>
          <w:trHeight w:val="362"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诺。</w:t>
            </w:r>
          </w:p>
        </w:tc>
      </w:tr>
    </w:tbl>
    <w:p>
      <w:pPr>
        <w:spacing w:line="240" w:lineRule="auto" w:before="4"/>
        <w:rPr>
          <w:rFonts w:ascii="宋体" w:hAnsi="宋体" w:cs="宋体" w:eastAsia="宋体" w:hint="default"/>
          <w:b/>
          <w:bCs/>
          <w:sz w:val="5"/>
          <w:szCs w:val="5"/>
        </w:rPr>
      </w:pPr>
    </w:p>
    <w:p>
      <w:pPr>
        <w:spacing w:line="444" w:lineRule="auto" w:before="34"/>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公司股东、交易对手方对公司或相关资产年度经营业绩作出的承诺情况：□ 适用 √</w:t>
      </w:r>
      <w:r>
        <w:rPr>
          <w:rFonts w:ascii="宋体" w:hAnsi="宋体" w:cs="宋体" w:eastAsia="宋体"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w w:val="95"/>
          <w:sz w:val="21"/>
          <w:szCs w:val="21"/>
        </w:rPr>
        <w:t>业绩承诺的完成情况及其对商誉减值测试的影响：根据签署的《利润补偿协议》及补充协议，交易对</w:t>
      </w:r>
      <w:r>
        <w:rPr>
          <w:rFonts w:ascii="宋体" w:hAnsi="宋体" w:cs="宋体" w:eastAsia="宋体" w:hint="default"/>
          <w:sz w:val="21"/>
          <w:szCs w:val="21"/>
        </w:rPr>
      </w:r>
    </w:p>
    <w:p>
      <w:pPr>
        <w:spacing w:before="14"/>
        <w:ind w:left="112" w:right="987" w:firstLine="0"/>
        <w:jc w:val="left"/>
        <w:rPr>
          <w:rFonts w:ascii="宋体" w:hAnsi="宋体" w:cs="宋体" w:eastAsia="宋体" w:hint="default"/>
          <w:sz w:val="21"/>
          <w:szCs w:val="21"/>
        </w:rPr>
      </w:pPr>
      <w:r>
        <w:rPr>
          <w:rFonts w:ascii="宋体" w:hAnsi="宋体" w:cs="宋体" w:eastAsia="宋体" w:hint="default"/>
          <w:sz w:val="21"/>
          <w:szCs w:val="21"/>
        </w:rPr>
        <w:t>方李巍屹等人承诺师凯科技</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年实现的净利润合计不低于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26,900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2015-2018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年实现的</w:t>
      </w:r>
    </w:p>
    <w:p>
      <w:pPr>
        <w:spacing w:before="177"/>
        <w:ind w:left="112" w:right="987" w:firstLine="0"/>
        <w:jc w:val="left"/>
        <w:rPr>
          <w:rFonts w:ascii="宋体" w:hAnsi="宋体" w:cs="宋体" w:eastAsia="宋体" w:hint="default"/>
          <w:sz w:val="21"/>
          <w:szCs w:val="21"/>
        </w:rPr>
      </w:pPr>
      <w:r>
        <w:rPr>
          <w:rFonts w:ascii="宋体" w:hAnsi="宋体" w:cs="宋体" w:eastAsia="宋体" w:hint="default"/>
          <w:sz w:val="21"/>
          <w:szCs w:val="21"/>
        </w:rPr>
        <w:t>扣除非经常性损益后的净利润为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28,388.25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万元，完成业绩承诺。</w:t>
      </w:r>
    </w:p>
    <w:p>
      <w:pPr>
        <w:spacing w:line="240" w:lineRule="auto" w:before="9"/>
        <w:rPr>
          <w:rFonts w:ascii="宋体" w:hAnsi="宋体" w:cs="宋体" w:eastAsia="宋体" w:hint="default"/>
          <w:sz w:val="28"/>
          <w:szCs w:val="28"/>
        </w:rPr>
      </w:pPr>
    </w:p>
    <w:p>
      <w:pPr>
        <w:spacing w:before="0"/>
        <w:ind w:left="112" w:right="987" w:firstLine="0"/>
        <w:jc w:val="left"/>
        <w:rPr>
          <w:rFonts w:ascii="宋体" w:hAnsi="宋体" w:cs="宋体" w:eastAsia="宋体" w:hint="default"/>
          <w:sz w:val="24"/>
          <w:szCs w:val="24"/>
        </w:rPr>
      </w:pPr>
      <w:bookmarkStart w:name="三、控股股东及其关联方对上市公司的非经营性占用资金情况" w:id="59"/>
      <w:bookmarkEnd w:id="59"/>
      <w:r>
        <w:rPr/>
      </w:r>
      <w:r>
        <w:rPr>
          <w:rFonts w:ascii="宋体" w:hAnsi="宋体" w:cs="宋体" w:eastAsia="宋体" w:hint="default"/>
          <w:b/>
          <w:bCs/>
          <w:sz w:val="24"/>
          <w:szCs w:val="24"/>
        </w:rPr>
        <w:t>三、控股股东及其关联方对上市公司的非经营性占用资金情况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公司报告期不存在控股股东及其关联方对上市公司的非经营性占用资金。</w:t>
      </w:r>
    </w:p>
    <w:p>
      <w:pPr>
        <w:spacing w:line="240" w:lineRule="auto" w:before="0"/>
        <w:rPr>
          <w:rFonts w:ascii="宋体" w:hAnsi="宋体" w:cs="宋体" w:eastAsia="宋体" w:hint="default"/>
          <w:sz w:val="20"/>
          <w:szCs w:val="20"/>
        </w:rPr>
      </w:pPr>
    </w:p>
    <w:p>
      <w:pPr>
        <w:spacing w:before="131"/>
        <w:ind w:left="112" w:right="987" w:firstLine="0"/>
        <w:jc w:val="left"/>
        <w:rPr>
          <w:rFonts w:ascii="宋体" w:hAnsi="宋体" w:cs="宋体" w:eastAsia="宋体" w:hint="default"/>
          <w:sz w:val="24"/>
          <w:szCs w:val="24"/>
        </w:rPr>
      </w:pPr>
      <w:bookmarkStart w:name="四、董事会对最近一期“非标准审计报告”相关情况的说明" w:id="60"/>
      <w:bookmarkEnd w:id="60"/>
      <w:r>
        <w:rPr/>
      </w:r>
      <w:r>
        <w:rPr>
          <w:rFonts w:ascii="宋体" w:hAnsi="宋体" w:cs="宋体" w:eastAsia="宋体" w:hint="default"/>
          <w:b/>
          <w:bCs/>
          <w:sz w:val="24"/>
          <w:szCs w:val="24"/>
        </w:rPr>
        <w:t>四、董事会对最近一期“非标准审计报告”相关情况的说明</w:t>
      </w:r>
      <w:r>
        <w:rPr>
          <w:rFonts w:ascii="宋体" w:hAnsi="宋体" w:cs="宋体" w:eastAsia="宋体" w:hint="default"/>
          <w:sz w:val="24"/>
          <w:szCs w:val="24"/>
        </w:rPr>
      </w:r>
    </w:p>
    <w:p>
      <w:pPr>
        <w:spacing w:line="240" w:lineRule="auto" w:before="5"/>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312" w:lineRule="exact" w:before="162"/>
        <w:ind w:left="112" w:right="987" w:firstLine="0"/>
        <w:jc w:val="left"/>
        <w:rPr>
          <w:rFonts w:ascii="宋体" w:hAnsi="宋体" w:cs="宋体" w:eastAsia="宋体" w:hint="default"/>
          <w:sz w:val="24"/>
          <w:szCs w:val="24"/>
        </w:rPr>
      </w:pPr>
      <w:bookmarkStart w:name="五、董事会、监事会、独立董事（如有）对会计师事务所本报告期“非标准审计报告”的说" w:id="61"/>
      <w:bookmarkEnd w:id="61"/>
      <w:r>
        <w:rPr/>
      </w:r>
      <w:r>
        <w:rPr>
          <w:rFonts w:ascii="宋体" w:hAnsi="宋体" w:cs="宋体" w:eastAsia="宋体" w:hint="default"/>
          <w:b/>
          <w:bCs/>
          <w:sz w:val="24"/>
          <w:szCs w:val="24"/>
        </w:rPr>
        <w:t>五、董事会、监事会、独立董事（如有）对会计师事务所本报告期“非标准审计报告”的说</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明</w:t>
      </w:r>
      <w:r>
        <w:rPr>
          <w:rFonts w:ascii="宋体" w:hAnsi="宋体" w:cs="宋体" w:eastAsia="宋体" w:hint="default"/>
          <w:sz w:val="24"/>
          <w:szCs w:val="24"/>
        </w:rPr>
      </w:r>
    </w:p>
    <w:p>
      <w:pPr>
        <w:spacing w:line="240" w:lineRule="auto" w:before="8"/>
        <w:rPr>
          <w:rFonts w:ascii="宋体" w:hAnsi="宋体" w:cs="宋体" w:eastAsia="宋体" w:hint="default"/>
          <w:b/>
          <w:bCs/>
          <w:sz w:val="28"/>
          <w:szCs w:val="28"/>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9"/>
          <w:szCs w:val="29"/>
        </w:rPr>
      </w:pPr>
    </w:p>
    <w:p>
      <w:pPr>
        <w:spacing w:before="0"/>
        <w:ind w:left="112" w:right="987" w:firstLine="0"/>
        <w:jc w:val="left"/>
        <w:rPr>
          <w:rFonts w:ascii="宋体" w:hAnsi="宋体" w:cs="宋体" w:eastAsia="宋体" w:hint="default"/>
          <w:sz w:val="24"/>
          <w:szCs w:val="24"/>
        </w:rPr>
      </w:pPr>
      <w:bookmarkStart w:name="六、董事会关于报告期会计政策、会计估计变更或重大会计差错更正的说明 " w:id="62"/>
      <w:bookmarkEnd w:id="62"/>
      <w:r>
        <w:rPr/>
      </w:r>
      <w:r>
        <w:rPr>
          <w:rFonts w:ascii="宋体" w:hAnsi="宋体" w:cs="宋体" w:eastAsia="宋体" w:hint="default"/>
          <w:b/>
          <w:bCs/>
          <w:sz w:val="24"/>
          <w:szCs w:val="24"/>
        </w:rPr>
        <w:t>六、董事会关于报告期会计政策、会计估计变更或重大会计差错更正的说明</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line="386" w:lineRule="auto" w:before="0"/>
        <w:ind w:left="112" w:right="987" w:firstLine="42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日召开第四届董事会</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年第一次会议、第四届监事会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年第一次会议审议通</w:t>
      </w:r>
      <w:r>
        <w:rPr>
          <w:rFonts w:ascii="宋体" w:hAnsi="宋体" w:cs="宋体" w:eastAsia="宋体" w:hint="default"/>
          <w:w w:val="99"/>
          <w:sz w:val="21"/>
          <w:szCs w:val="21"/>
        </w:rPr>
        <w:t> </w:t>
      </w:r>
      <w:r>
        <w:rPr>
          <w:rFonts w:ascii="宋体" w:hAnsi="宋体" w:cs="宋体" w:eastAsia="宋体" w:hint="default"/>
          <w:spacing w:val="-3"/>
          <w:w w:val="99"/>
          <w:sz w:val="21"/>
          <w:szCs w:val="21"/>
        </w:rPr>
        <w:t>过了《关于执行新会计准则并变更相关会计政策的议案》。现将具体情况如下：</w:t>
      </w:r>
      <w:r>
        <w:rPr>
          <w:rFonts w:ascii="宋体" w:hAnsi="宋体" w:cs="宋体" w:eastAsia="宋体" w:hint="default"/>
          <w:spacing w:val="-3"/>
          <w:sz w:val="21"/>
          <w:szCs w:val="21"/>
        </w:rPr>
      </w:r>
    </w:p>
    <w:p>
      <w:pPr>
        <w:spacing w:before="106"/>
        <w:ind w:left="532" w:right="9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）财政部于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日印发《企业会计准则第</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持有待售的非流动资产、处置组和终</w:t>
      </w:r>
    </w:p>
    <w:p>
      <w:pPr>
        <w:spacing w:line="386" w:lineRule="auto" w:before="177"/>
        <w:ind w:left="112" w:right="987" w:firstLine="0"/>
        <w:jc w:val="left"/>
        <w:rPr>
          <w:rFonts w:ascii="宋体" w:hAnsi="宋体" w:cs="宋体" w:eastAsia="宋体" w:hint="default"/>
          <w:sz w:val="21"/>
          <w:szCs w:val="21"/>
        </w:rPr>
      </w:pPr>
      <w:r>
        <w:rPr>
          <w:rFonts w:ascii="宋体" w:hAnsi="宋体" w:cs="宋体" w:eastAsia="宋体" w:hint="default"/>
          <w:w w:val="99"/>
          <w:sz w:val="21"/>
          <w:szCs w:val="21"/>
        </w:rPr>
        <w:t>止经营》的通知（财会〔</w:t>
      </w:r>
      <w:r>
        <w:rPr>
          <w:rFonts w:ascii="Times New Roman" w:hAnsi="Times New Roman" w:cs="Times New Roman" w:eastAsia="Times New Roman" w:hint="default"/>
          <w:w w:val="99"/>
          <w:sz w:val="21"/>
          <w:szCs w:val="21"/>
        </w:rPr>
        <w:t>2017</w:t>
      </w:r>
      <w:r>
        <w:rPr>
          <w:rFonts w:ascii="宋体" w:hAnsi="宋体" w:cs="宋体" w:eastAsia="宋体" w:hint="default"/>
          <w:w w:val="99"/>
          <w:sz w:val="21"/>
          <w:szCs w:val="21"/>
        </w:rPr>
        <w:t>〕</w:t>
      </w:r>
      <w:r>
        <w:rPr>
          <w:rFonts w:ascii="Times New Roman" w:hAnsi="Times New Roman" w:cs="Times New Roman" w:eastAsia="Times New Roman" w:hint="default"/>
          <w:w w:val="99"/>
          <w:sz w:val="21"/>
          <w:szCs w:val="21"/>
        </w:rPr>
        <w:t>13</w:t>
      </w:r>
      <w:r>
        <w:rPr>
          <w:rFonts w:ascii="Times New Roman" w:hAnsi="Times New Roman" w:cs="Times New Roman" w:eastAsia="Times New Roman" w:hint="default"/>
          <w:spacing w:val="4"/>
          <w:w w:val="99"/>
          <w:sz w:val="21"/>
          <w:szCs w:val="21"/>
        </w:rPr>
        <w:t> </w:t>
      </w:r>
      <w:r>
        <w:rPr>
          <w:rFonts w:ascii="宋体" w:hAnsi="宋体" w:cs="宋体" w:eastAsia="宋体" w:hint="default"/>
          <w:spacing w:val="-18"/>
          <w:w w:val="99"/>
          <w:sz w:val="21"/>
          <w:szCs w:val="21"/>
        </w:rPr>
        <w:t>号），要求自</w:t>
      </w:r>
      <w:r>
        <w:rPr>
          <w:rFonts w:ascii="宋体" w:hAnsi="宋体" w:cs="宋体" w:eastAsia="宋体" w:hint="default"/>
          <w:spacing w:val="-47"/>
          <w:w w:val="99"/>
          <w:sz w:val="21"/>
          <w:szCs w:val="21"/>
        </w:rPr>
        <w:t> </w:t>
      </w:r>
      <w:r>
        <w:rPr>
          <w:rFonts w:ascii="Times New Roman" w:hAnsi="Times New Roman" w:cs="Times New Roman" w:eastAsia="Times New Roman" w:hint="default"/>
          <w:w w:val="99"/>
          <w:sz w:val="21"/>
          <w:szCs w:val="21"/>
        </w:rPr>
        <w:t>2017</w:t>
      </w:r>
      <w:r>
        <w:rPr>
          <w:rFonts w:ascii="Times New Roman" w:hAnsi="Times New Roman" w:cs="Times New Roman" w:eastAsia="Times New Roman" w:hint="default"/>
          <w:spacing w:val="2"/>
          <w:w w:val="99"/>
          <w:sz w:val="21"/>
          <w:szCs w:val="21"/>
        </w:rPr>
        <w:t> </w:t>
      </w:r>
      <w:r>
        <w:rPr>
          <w:rFonts w:ascii="宋体" w:hAnsi="宋体" w:cs="宋体" w:eastAsia="宋体" w:hint="default"/>
          <w:w w:val="99"/>
          <w:sz w:val="21"/>
          <w:szCs w:val="21"/>
        </w:rPr>
        <w:t>年</w:t>
      </w:r>
      <w:r>
        <w:rPr>
          <w:rFonts w:ascii="宋体" w:hAnsi="宋体" w:cs="宋体" w:eastAsia="宋体" w:hint="default"/>
          <w:spacing w:val="-50"/>
          <w:w w:val="99"/>
          <w:sz w:val="21"/>
          <w:szCs w:val="21"/>
        </w:rPr>
        <w:t> </w:t>
      </w:r>
      <w:r>
        <w:rPr>
          <w:rFonts w:ascii="Times New Roman" w:hAnsi="Times New Roman" w:cs="Times New Roman" w:eastAsia="Times New Roman" w:hint="default"/>
          <w:w w:val="99"/>
          <w:sz w:val="21"/>
          <w:szCs w:val="21"/>
        </w:rPr>
        <w:t>5</w:t>
      </w:r>
      <w:r>
        <w:rPr>
          <w:rFonts w:ascii="Times New Roman" w:hAnsi="Times New Roman" w:cs="Times New Roman" w:eastAsia="Times New Roman" w:hint="default"/>
          <w:spacing w:val="4"/>
          <w:w w:val="99"/>
          <w:sz w:val="21"/>
          <w:szCs w:val="21"/>
        </w:rPr>
        <w:t> </w:t>
      </w:r>
      <w:r>
        <w:rPr>
          <w:rFonts w:ascii="宋体" w:hAnsi="宋体" w:cs="宋体" w:eastAsia="宋体" w:hint="default"/>
          <w:w w:val="99"/>
          <w:sz w:val="21"/>
          <w:szCs w:val="21"/>
        </w:rPr>
        <w:t>月</w:t>
      </w:r>
      <w:r>
        <w:rPr>
          <w:rFonts w:ascii="宋体" w:hAnsi="宋体" w:cs="宋体" w:eastAsia="宋体" w:hint="default"/>
          <w:spacing w:val="-50"/>
          <w:w w:val="99"/>
          <w:sz w:val="21"/>
          <w:szCs w:val="21"/>
        </w:rPr>
        <w:t> </w:t>
      </w:r>
      <w:r>
        <w:rPr>
          <w:rFonts w:ascii="Times New Roman" w:hAnsi="Times New Roman" w:cs="Times New Roman" w:eastAsia="Times New Roman" w:hint="default"/>
          <w:w w:val="99"/>
          <w:sz w:val="21"/>
          <w:szCs w:val="21"/>
        </w:rPr>
        <w:t>28</w:t>
      </w:r>
      <w:r>
        <w:rPr>
          <w:rFonts w:ascii="Times New Roman" w:hAnsi="Times New Roman" w:cs="Times New Roman" w:eastAsia="Times New Roman" w:hint="default"/>
          <w:spacing w:val="2"/>
          <w:w w:val="99"/>
          <w:sz w:val="21"/>
          <w:szCs w:val="21"/>
        </w:rPr>
        <w:t> </w:t>
      </w:r>
      <w:r>
        <w:rPr>
          <w:rFonts w:ascii="宋体" w:hAnsi="宋体" w:cs="宋体" w:eastAsia="宋体" w:hint="default"/>
          <w:w w:val="99"/>
          <w:sz w:val="21"/>
          <w:szCs w:val="21"/>
        </w:rPr>
        <w:t>日起在所有执行企业会计准则的企业范围 </w:t>
      </w:r>
      <w:r>
        <w:rPr>
          <w:rFonts w:ascii="宋体" w:hAnsi="宋体" w:cs="宋体" w:eastAsia="宋体" w:hint="default"/>
          <w:sz w:val="21"/>
          <w:szCs w:val="21"/>
        </w:rPr>
        <w:t>内施行。</w:t>
      </w:r>
    </w:p>
    <w:p>
      <w:pPr>
        <w:spacing w:line="386" w:lineRule="auto" w:before="103"/>
        <w:ind w:left="112" w:right="987" w:firstLine="420"/>
        <w:jc w:val="left"/>
        <w:rPr>
          <w:rFonts w:ascii="宋体" w:hAnsi="宋体" w:cs="宋体" w:eastAsia="宋体" w:hint="default"/>
          <w:sz w:val="21"/>
          <w:szCs w:val="21"/>
        </w:rPr>
      </w:pPr>
      <w:r>
        <w:rPr>
          <w:rFonts w:ascii="宋体" w:hAnsi="宋体" w:cs="宋体" w:eastAsia="宋体" w:hint="default"/>
          <w:spacing w:val="2"/>
          <w:w w:val="99"/>
          <w:sz w:val="21"/>
          <w:szCs w:val="21"/>
        </w:rPr>
        <w:t>（</w:t>
      </w:r>
      <w:r>
        <w:rPr>
          <w:rFonts w:ascii="Times New Roman" w:hAnsi="Times New Roman" w:cs="Times New Roman" w:eastAsia="Times New Roman" w:hint="default"/>
          <w:spacing w:val="1"/>
          <w:w w:val="99"/>
          <w:sz w:val="21"/>
          <w:szCs w:val="21"/>
        </w:rPr>
        <w:t>2</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财</w:t>
      </w:r>
      <w:r>
        <w:rPr>
          <w:rFonts w:ascii="宋体" w:hAnsi="宋体" w:cs="宋体" w:eastAsia="宋体" w:hint="default"/>
          <w:spacing w:val="-1"/>
          <w:w w:val="99"/>
          <w:sz w:val="21"/>
          <w:szCs w:val="21"/>
        </w:rPr>
        <w:t>政</w:t>
      </w:r>
      <w:r>
        <w:rPr>
          <w:rFonts w:ascii="宋体" w:hAnsi="宋体" w:cs="宋体" w:eastAsia="宋体" w:hint="default"/>
          <w:spacing w:val="2"/>
          <w:w w:val="99"/>
          <w:sz w:val="21"/>
          <w:szCs w:val="21"/>
        </w:rPr>
        <w:t>部</w:t>
      </w:r>
      <w:r>
        <w:rPr>
          <w:rFonts w:ascii="宋体" w:hAnsi="宋体" w:cs="宋体" w:eastAsia="宋体" w:hint="default"/>
          <w:w w:val="99"/>
          <w:sz w:val="21"/>
          <w:szCs w:val="21"/>
        </w:rPr>
        <w:t>于</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w w:val="99"/>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1"/>
          <w:w w:val="99"/>
          <w:sz w:val="21"/>
          <w:szCs w:val="21"/>
        </w:rPr>
        <w:t>日</w:t>
      </w:r>
      <w:r>
        <w:rPr>
          <w:rFonts w:ascii="宋体" w:hAnsi="宋体" w:cs="宋体" w:eastAsia="宋体" w:hint="default"/>
          <w:spacing w:val="2"/>
          <w:w w:val="99"/>
          <w:sz w:val="21"/>
          <w:szCs w:val="21"/>
        </w:rPr>
        <w:t>修</w:t>
      </w:r>
      <w:r>
        <w:rPr>
          <w:rFonts w:ascii="宋体" w:hAnsi="宋体" w:cs="宋体" w:eastAsia="宋体" w:hint="default"/>
          <w:spacing w:val="-1"/>
          <w:w w:val="99"/>
          <w:sz w:val="21"/>
          <w:szCs w:val="21"/>
        </w:rPr>
        <w:t>订</w:t>
      </w:r>
      <w:r>
        <w:rPr>
          <w:rFonts w:ascii="宋体" w:hAnsi="宋体" w:cs="宋体" w:eastAsia="宋体" w:hint="default"/>
          <w:spacing w:val="2"/>
          <w:w w:val="99"/>
          <w:sz w:val="21"/>
          <w:szCs w:val="21"/>
        </w:rPr>
        <w:t>并</w:t>
      </w:r>
      <w:r>
        <w:rPr>
          <w:rFonts w:ascii="宋体" w:hAnsi="宋体" w:cs="宋体" w:eastAsia="宋体" w:hint="default"/>
          <w:spacing w:val="-1"/>
          <w:w w:val="99"/>
          <w:sz w:val="21"/>
          <w:szCs w:val="21"/>
        </w:rPr>
        <w:t>发</w:t>
      </w:r>
      <w:r>
        <w:rPr>
          <w:rFonts w:ascii="宋体" w:hAnsi="宋体" w:cs="宋体" w:eastAsia="宋体" w:hint="default"/>
          <w:spacing w:val="2"/>
          <w:w w:val="99"/>
          <w:sz w:val="21"/>
          <w:szCs w:val="21"/>
        </w:rPr>
        <w:t>布</w:t>
      </w:r>
      <w:r>
        <w:rPr>
          <w:rFonts w:ascii="宋体" w:hAnsi="宋体" w:cs="宋体" w:eastAsia="宋体" w:hint="default"/>
          <w:spacing w:val="-1"/>
          <w:w w:val="99"/>
          <w:sz w:val="21"/>
          <w:szCs w:val="21"/>
        </w:rPr>
        <w:t>了</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关</w:t>
      </w:r>
      <w:r>
        <w:rPr>
          <w:rFonts w:ascii="宋体" w:hAnsi="宋体" w:cs="宋体" w:eastAsia="宋体" w:hint="default"/>
          <w:spacing w:val="2"/>
          <w:w w:val="99"/>
          <w:sz w:val="21"/>
          <w:szCs w:val="21"/>
        </w:rPr>
        <w:t>于</w:t>
      </w:r>
      <w:r>
        <w:rPr>
          <w:rFonts w:ascii="宋体" w:hAnsi="宋体" w:cs="宋体" w:eastAsia="宋体" w:hint="default"/>
          <w:spacing w:val="-1"/>
          <w:w w:val="99"/>
          <w:sz w:val="21"/>
          <w:szCs w:val="21"/>
        </w:rPr>
        <w:t>修</w:t>
      </w:r>
      <w:r>
        <w:rPr>
          <w:rFonts w:ascii="宋体" w:hAnsi="宋体" w:cs="宋体" w:eastAsia="宋体" w:hint="default"/>
          <w:spacing w:val="2"/>
          <w:w w:val="99"/>
          <w:sz w:val="21"/>
          <w:szCs w:val="21"/>
        </w:rPr>
        <w:t>订</w:t>
      </w:r>
      <w:r>
        <w:rPr>
          <w:rFonts w:ascii="宋体" w:hAnsi="宋体" w:cs="宋体" w:eastAsia="宋体" w:hint="default"/>
          <w:spacing w:val="-1"/>
          <w:w w:val="99"/>
          <w:sz w:val="21"/>
          <w:szCs w:val="21"/>
        </w:rPr>
        <w:t>印</w:t>
      </w:r>
      <w:r>
        <w:rPr>
          <w:rFonts w:ascii="宋体" w:hAnsi="宋体" w:cs="宋体" w:eastAsia="宋体" w:hint="default"/>
          <w:spacing w:val="2"/>
          <w:w w:val="99"/>
          <w:sz w:val="21"/>
          <w:szCs w:val="21"/>
        </w:rPr>
        <w:t>发</w:t>
      </w:r>
      <w:r>
        <w:rPr>
          <w:rFonts w:ascii="宋体" w:hAnsi="宋体" w:cs="宋体" w:eastAsia="宋体" w:hint="default"/>
          <w:spacing w:val="-1"/>
          <w:w w:val="99"/>
          <w:sz w:val="21"/>
          <w:szCs w:val="21"/>
        </w:rPr>
        <w:t>一</w:t>
      </w:r>
      <w:r>
        <w:rPr>
          <w:rFonts w:ascii="宋体" w:hAnsi="宋体" w:cs="宋体" w:eastAsia="宋体" w:hint="default"/>
          <w:spacing w:val="2"/>
          <w:w w:val="99"/>
          <w:sz w:val="21"/>
          <w:szCs w:val="21"/>
        </w:rPr>
        <w:t>般</w:t>
      </w:r>
      <w:r>
        <w:rPr>
          <w:rFonts w:ascii="宋体" w:hAnsi="宋体" w:cs="宋体" w:eastAsia="宋体" w:hint="default"/>
          <w:spacing w:val="-1"/>
          <w:w w:val="99"/>
          <w:sz w:val="21"/>
          <w:szCs w:val="21"/>
        </w:rPr>
        <w:t>企</w:t>
      </w:r>
      <w:r>
        <w:rPr>
          <w:rFonts w:ascii="宋体" w:hAnsi="宋体" w:cs="宋体" w:eastAsia="宋体" w:hint="default"/>
          <w:spacing w:val="2"/>
          <w:w w:val="99"/>
          <w:sz w:val="21"/>
          <w:szCs w:val="21"/>
        </w:rPr>
        <w:t>业</w:t>
      </w:r>
      <w:r>
        <w:rPr>
          <w:rFonts w:ascii="宋体" w:hAnsi="宋体" w:cs="宋体" w:eastAsia="宋体" w:hint="default"/>
          <w:spacing w:val="-1"/>
          <w:w w:val="99"/>
          <w:sz w:val="21"/>
          <w:szCs w:val="21"/>
        </w:rPr>
        <w:t>财</w:t>
      </w:r>
      <w:r>
        <w:rPr>
          <w:rFonts w:ascii="宋体" w:hAnsi="宋体" w:cs="宋体" w:eastAsia="宋体" w:hint="default"/>
          <w:spacing w:val="2"/>
          <w:w w:val="99"/>
          <w:sz w:val="21"/>
          <w:szCs w:val="21"/>
        </w:rPr>
        <w:t>务</w:t>
      </w:r>
      <w:r>
        <w:rPr>
          <w:rFonts w:ascii="宋体" w:hAnsi="宋体" w:cs="宋体" w:eastAsia="宋体" w:hint="default"/>
          <w:spacing w:val="-1"/>
          <w:w w:val="99"/>
          <w:sz w:val="21"/>
          <w:szCs w:val="21"/>
        </w:rPr>
        <w:t>报</w:t>
      </w:r>
      <w:r>
        <w:rPr>
          <w:rFonts w:ascii="宋体" w:hAnsi="宋体" w:cs="宋体" w:eastAsia="宋体" w:hint="default"/>
          <w:spacing w:val="2"/>
          <w:w w:val="99"/>
          <w:sz w:val="21"/>
          <w:szCs w:val="21"/>
        </w:rPr>
        <w:t>表</w:t>
      </w:r>
      <w:r>
        <w:rPr>
          <w:rFonts w:ascii="宋体" w:hAnsi="宋体" w:cs="宋体" w:eastAsia="宋体" w:hint="default"/>
          <w:spacing w:val="-1"/>
          <w:w w:val="99"/>
          <w:sz w:val="21"/>
          <w:szCs w:val="21"/>
        </w:rPr>
        <w:t>格</w:t>
      </w:r>
      <w:r>
        <w:rPr>
          <w:rFonts w:ascii="宋体" w:hAnsi="宋体" w:cs="宋体" w:eastAsia="宋体" w:hint="default"/>
          <w:spacing w:val="2"/>
          <w:w w:val="99"/>
          <w:sz w:val="21"/>
          <w:szCs w:val="21"/>
        </w:rPr>
        <w:t>式</w:t>
      </w:r>
      <w:r>
        <w:rPr>
          <w:rFonts w:ascii="宋体" w:hAnsi="宋体" w:cs="宋体" w:eastAsia="宋体" w:hint="default"/>
          <w:spacing w:val="-1"/>
          <w:w w:val="99"/>
          <w:sz w:val="21"/>
          <w:szCs w:val="21"/>
        </w:rPr>
        <w:t>的</w:t>
      </w:r>
      <w:r>
        <w:rPr>
          <w:rFonts w:ascii="宋体" w:hAnsi="宋体" w:cs="宋体" w:eastAsia="宋体" w:hint="default"/>
          <w:spacing w:val="2"/>
          <w:w w:val="99"/>
          <w:sz w:val="21"/>
          <w:szCs w:val="21"/>
        </w:rPr>
        <w:t>通知</w:t>
      </w:r>
      <w:r>
        <w:rPr>
          <w:rFonts w:ascii="宋体" w:hAnsi="宋体" w:cs="宋体" w:eastAsia="宋体" w:hint="default"/>
          <w:spacing w:val="-104"/>
          <w:w w:val="99"/>
          <w:sz w:val="21"/>
          <w:szCs w:val="21"/>
        </w:rPr>
        <w:t>》</w:t>
      </w:r>
      <w:r>
        <w:rPr>
          <w:rFonts w:ascii="宋体" w:hAnsi="宋体" w:cs="宋体" w:eastAsia="宋体" w:hint="default"/>
          <w:spacing w:val="-1"/>
          <w:w w:val="99"/>
          <w:sz w:val="21"/>
          <w:szCs w:val="21"/>
        </w:rPr>
        <w:t>（</w:t>
      </w:r>
      <w:r>
        <w:rPr>
          <w:rFonts w:ascii="宋体" w:hAnsi="宋体" w:cs="宋体" w:eastAsia="宋体" w:hint="default"/>
          <w:w w:val="99"/>
          <w:sz w:val="21"/>
          <w:szCs w:val="21"/>
        </w:rPr>
        <w:t>财</w:t>
      </w:r>
      <w:r>
        <w:rPr>
          <w:rFonts w:ascii="宋体" w:hAnsi="宋体" w:cs="宋体" w:eastAsia="宋体" w:hint="default"/>
          <w:w w:val="99"/>
          <w:sz w:val="21"/>
          <w:szCs w:val="21"/>
        </w:rPr>
        <w:t> </w:t>
      </w:r>
      <w:r>
        <w:rPr>
          <w:rFonts w:ascii="宋体" w:hAnsi="宋体" w:cs="宋体" w:eastAsia="宋体" w:hint="default"/>
          <w:spacing w:val="-1"/>
          <w:w w:val="99"/>
          <w:sz w:val="21"/>
          <w:szCs w:val="21"/>
        </w:rPr>
        <w:t>会</w:t>
      </w:r>
      <w:r>
        <w:rPr>
          <w:rFonts w:ascii="宋体" w:hAnsi="宋体" w:cs="宋体" w:eastAsia="宋体" w:hint="default"/>
          <w:spacing w:val="2"/>
          <w:w w:val="99"/>
          <w:sz w:val="21"/>
          <w:szCs w:val="21"/>
        </w:rPr>
        <w:t>〔</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spacing w:val="-2"/>
          <w:w w:val="99"/>
          <w:sz w:val="21"/>
          <w:szCs w:val="21"/>
        </w:rPr>
        <w:t>7</w:t>
      </w:r>
      <w:r>
        <w:rPr>
          <w:rFonts w:ascii="宋体" w:hAnsi="宋体" w:cs="宋体" w:eastAsia="宋体" w:hint="default"/>
          <w:spacing w:val="2"/>
          <w:w w:val="99"/>
          <w:sz w:val="21"/>
          <w:szCs w:val="21"/>
        </w:rPr>
        <w:t>〕</w:t>
      </w:r>
      <w:r>
        <w:rPr>
          <w:rFonts w:ascii="Times New Roman" w:hAnsi="Times New Roman" w:cs="Times New Roman" w:eastAsia="Times New Roman" w:hint="default"/>
          <w:spacing w:val="1"/>
          <w:w w:val="99"/>
          <w:sz w:val="21"/>
          <w:szCs w:val="21"/>
        </w:rPr>
        <w:t>3</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1"/>
          <w:sz w:val="21"/>
          <w:szCs w:val="21"/>
        </w:rPr>
        <w:t> </w:t>
      </w:r>
      <w:r>
        <w:rPr>
          <w:rFonts w:ascii="宋体" w:hAnsi="宋体" w:cs="宋体" w:eastAsia="宋体" w:hint="default"/>
          <w:spacing w:val="2"/>
          <w:w w:val="99"/>
          <w:sz w:val="21"/>
          <w:szCs w:val="21"/>
        </w:rPr>
        <w:t>号</w:t>
      </w:r>
      <w:r>
        <w:rPr>
          <w:rFonts w:ascii="宋体" w:hAnsi="宋体" w:cs="宋体" w:eastAsia="宋体" w:hint="default"/>
          <w:spacing w:val="-106"/>
          <w:w w:val="99"/>
          <w:sz w:val="21"/>
          <w:szCs w:val="21"/>
        </w:rPr>
        <w:t>）</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适</w:t>
      </w:r>
      <w:r>
        <w:rPr>
          <w:rFonts w:ascii="宋体" w:hAnsi="宋体" w:cs="宋体" w:eastAsia="宋体" w:hint="default"/>
          <w:spacing w:val="-1"/>
          <w:w w:val="99"/>
          <w:sz w:val="21"/>
          <w:szCs w:val="21"/>
        </w:rPr>
        <w:t>用</w:t>
      </w:r>
      <w:r>
        <w:rPr>
          <w:rFonts w:ascii="宋体" w:hAnsi="宋体" w:cs="宋体" w:eastAsia="宋体" w:hint="default"/>
          <w:w w:val="99"/>
          <w:sz w:val="21"/>
          <w:szCs w:val="21"/>
        </w:rPr>
        <w:t>于</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pacing w:val="-1"/>
          <w:w w:val="99"/>
          <w:sz w:val="21"/>
          <w:szCs w:val="21"/>
        </w:rPr>
        <w:t>年</w:t>
      </w:r>
      <w:r>
        <w:rPr>
          <w:rFonts w:ascii="宋体" w:hAnsi="宋体" w:cs="宋体" w:eastAsia="宋体" w:hint="default"/>
          <w:spacing w:val="2"/>
          <w:w w:val="99"/>
          <w:sz w:val="21"/>
          <w:szCs w:val="21"/>
        </w:rPr>
        <w:t>度</w:t>
      </w:r>
      <w:r>
        <w:rPr>
          <w:rFonts w:ascii="宋体" w:hAnsi="宋体" w:cs="宋体" w:eastAsia="宋体" w:hint="default"/>
          <w:spacing w:val="-1"/>
          <w:w w:val="99"/>
          <w:sz w:val="21"/>
          <w:szCs w:val="21"/>
        </w:rPr>
        <w:t>及</w:t>
      </w:r>
      <w:r>
        <w:rPr>
          <w:rFonts w:ascii="宋体" w:hAnsi="宋体" w:cs="宋体" w:eastAsia="宋体" w:hint="default"/>
          <w:spacing w:val="2"/>
          <w:w w:val="99"/>
          <w:sz w:val="21"/>
          <w:szCs w:val="21"/>
        </w:rPr>
        <w:t>以</w:t>
      </w:r>
      <w:r>
        <w:rPr>
          <w:rFonts w:ascii="宋体" w:hAnsi="宋体" w:cs="宋体" w:eastAsia="宋体" w:hint="default"/>
          <w:spacing w:val="-1"/>
          <w:w w:val="99"/>
          <w:sz w:val="21"/>
          <w:szCs w:val="21"/>
        </w:rPr>
        <w:t>后</w:t>
      </w:r>
      <w:r>
        <w:rPr>
          <w:rFonts w:ascii="宋体" w:hAnsi="宋体" w:cs="宋体" w:eastAsia="宋体" w:hint="default"/>
          <w:spacing w:val="2"/>
          <w:w w:val="99"/>
          <w:sz w:val="21"/>
          <w:szCs w:val="21"/>
        </w:rPr>
        <w:t>期</w:t>
      </w:r>
      <w:r>
        <w:rPr>
          <w:rFonts w:ascii="宋体" w:hAnsi="宋体" w:cs="宋体" w:eastAsia="宋体" w:hint="default"/>
          <w:spacing w:val="-1"/>
          <w:w w:val="99"/>
          <w:sz w:val="21"/>
          <w:szCs w:val="21"/>
        </w:rPr>
        <w:t>间</w:t>
      </w:r>
      <w:r>
        <w:rPr>
          <w:rFonts w:ascii="宋体" w:hAnsi="宋体" w:cs="宋体" w:eastAsia="宋体" w:hint="default"/>
          <w:spacing w:val="2"/>
          <w:w w:val="99"/>
          <w:sz w:val="21"/>
          <w:szCs w:val="21"/>
        </w:rPr>
        <w:t>的</w:t>
      </w:r>
      <w:r>
        <w:rPr>
          <w:rFonts w:ascii="宋体" w:hAnsi="宋体" w:cs="宋体" w:eastAsia="宋体" w:hint="default"/>
          <w:spacing w:val="-1"/>
          <w:w w:val="99"/>
          <w:sz w:val="21"/>
          <w:szCs w:val="21"/>
        </w:rPr>
        <w:t>财</w:t>
      </w:r>
      <w:r>
        <w:rPr>
          <w:rFonts w:ascii="宋体" w:hAnsi="宋体" w:cs="宋体" w:eastAsia="宋体" w:hint="default"/>
          <w:spacing w:val="2"/>
          <w:w w:val="99"/>
          <w:sz w:val="21"/>
          <w:szCs w:val="21"/>
        </w:rPr>
        <w:t>务</w:t>
      </w:r>
      <w:r>
        <w:rPr>
          <w:rFonts w:ascii="宋体" w:hAnsi="宋体" w:cs="宋体" w:eastAsia="宋体" w:hint="default"/>
          <w:spacing w:val="-1"/>
          <w:w w:val="99"/>
          <w:sz w:val="21"/>
          <w:szCs w:val="21"/>
        </w:rPr>
        <w:t>报</w:t>
      </w:r>
      <w:r>
        <w:rPr>
          <w:rFonts w:ascii="宋体" w:hAnsi="宋体" w:cs="宋体" w:eastAsia="宋体" w:hint="default"/>
          <w:spacing w:val="2"/>
          <w:w w:val="99"/>
          <w:sz w:val="21"/>
          <w:szCs w:val="21"/>
        </w:rPr>
        <w:t>表</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对</w:t>
      </w:r>
      <w:r>
        <w:rPr>
          <w:rFonts w:ascii="宋体" w:hAnsi="宋体" w:cs="宋体" w:eastAsia="宋体" w:hint="default"/>
          <w:spacing w:val="-1"/>
          <w:w w:val="99"/>
          <w:sz w:val="21"/>
          <w:szCs w:val="21"/>
        </w:rPr>
        <w:t>一</w:t>
      </w:r>
      <w:r>
        <w:rPr>
          <w:rFonts w:ascii="宋体" w:hAnsi="宋体" w:cs="宋体" w:eastAsia="宋体" w:hint="default"/>
          <w:spacing w:val="2"/>
          <w:w w:val="99"/>
          <w:sz w:val="21"/>
          <w:szCs w:val="21"/>
        </w:rPr>
        <w:t>般</w:t>
      </w:r>
      <w:r>
        <w:rPr>
          <w:rFonts w:ascii="宋体" w:hAnsi="宋体" w:cs="宋体" w:eastAsia="宋体" w:hint="default"/>
          <w:spacing w:val="-1"/>
          <w:w w:val="99"/>
          <w:sz w:val="21"/>
          <w:szCs w:val="21"/>
        </w:rPr>
        <w:t>企</w:t>
      </w:r>
      <w:r>
        <w:rPr>
          <w:rFonts w:ascii="宋体" w:hAnsi="宋体" w:cs="宋体" w:eastAsia="宋体" w:hint="default"/>
          <w:spacing w:val="2"/>
          <w:w w:val="99"/>
          <w:sz w:val="21"/>
          <w:szCs w:val="21"/>
        </w:rPr>
        <w:t>业</w:t>
      </w:r>
      <w:r>
        <w:rPr>
          <w:rFonts w:ascii="宋体" w:hAnsi="宋体" w:cs="宋体" w:eastAsia="宋体" w:hint="default"/>
          <w:spacing w:val="-1"/>
          <w:w w:val="99"/>
          <w:sz w:val="21"/>
          <w:szCs w:val="21"/>
        </w:rPr>
        <w:t>财</w:t>
      </w:r>
      <w:r>
        <w:rPr>
          <w:rFonts w:ascii="宋体" w:hAnsi="宋体" w:cs="宋体" w:eastAsia="宋体" w:hint="default"/>
          <w:spacing w:val="2"/>
          <w:w w:val="99"/>
          <w:sz w:val="21"/>
          <w:szCs w:val="21"/>
        </w:rPr>
        <w:t>务</w:t>
      </w:r>
      <w:r>
        <w:rPr>
          <w:rFonts w:ascii="宋体" w:hAnsi="宋体" w:cs="宋体" w:eastAsia="宋体" w:hint="default"/>
          <w:spacing w:val="-1"/>
          <w:w w:val="99"/>
          <w:sz w:val="21"/>
          <w:szCs w:val="21"/>
        </w:rPr>
        <w:t>报</w:t>
      </w:r>
      <w:r>
        <w:rPr>
          <w:rFonts w:ascii="宋体" w:hAnsi="宋体" w:cs="宋体" w:eastAsia="宋体" w:hint="default"/>
          <w:spacing w:val="2"/>
          <w:w w:val="99"/>
          <w:sz w:val="21"/>
          <w:szCs w:val="21"/>
        </w:rPr>
        <w:t>表</w:t>
      </w:r>
      <w:r>
        <w:rPr>
          <w:rFonts w:ascii="宋体" w:hAnsi="宋体" w:cs="宋体" w:eastAsia="宋体" w:hint="default"/>
          <w:spacing w:val="-1"/>
          <w:w w:val="99"/>
          <w:sz w:val="21"/>
          <w:szCs w:val="21"/>
        </w:rPr>
        <w:t>格</w:t>
      </w:r>
      <w:r>
        <w:rPr>
          <w:rFonts w:ascii="宋体" w:hAnsi="宋体" w:cs="宋体" w:eastAsia="宋体" w:hint="default"/>
          <w:spacing w:val="2"/>
          <w:w w:val="99"/>
          <w:sz w:val="21"/>
          <w:szCs w:val="21"/>
        </w:rPr>
        <w:t>式</w:t>
      </w:r>
      <w:r>
        <w:rPr>
          <w:rFonts w:ascii="宋体" w:hAnsi="宋体" w:cs="宋体" w:eastAsia="宋体" w:hint="default"/>
          <w:spacing w:val="-1"/>
          <w:w w:val="99"/>
          <w:sz w:val="21"/>
          <w:szCs w:val="21"/>
        </w:rPr>
        <w:t>进</w:t>
      </w:r>
      <w:r>
        <w:rPr>
          <w:rFonts w:ascii="宋体" w:hAnsi="宋体" w:cs="宋体" w:eastAsia="宋体" w:hint="default"/>
          <w:spacing w:val="2"/>
          <w:w w:val="99"/>
          <w:sz w:val="21"/>
          <w:szCs w:val="21"/>
        </w:rPr>
        <w:t>行</w:t>
      </w:r>
      <w:r>
        <w:rPr>
          <w:rFonts w:ascii="宋体" w:hAnsi="宋体" w:cs="宋体" w:eastAsia="宋体" w:hint="default"/>
          <w:spacing w:val="-1"/>
          <w:w w:val="99"/>
          <w:sz w:val="21"/>
          <w:szCs w:val="21"/>
        </w:rPr>
        <w:t>了</w:t>
      </w:r>
      <w:r>
        <w:rPr>
          <w:rFonts w:ascii="宋体" w:hAnsi="宋体" w:cs="宋体" w:eastAsia="宋体" w:hint="default"/>
          <w:spacing w:val="2"/>
          <w:w w:val="99"/>
          <w:sz w:val="21"/>
          <w:szCs w:val="21"/>
        </w:rPr>
        <w:t>修</w:t>
      </w:r>
      <w:r>
        <w:rPr>
          <w:rFonts w:ascii="宋体" w:hAnsi="宋体" w:cs="宋体" w:eastAsia="宋体" w:hint="default"/>
          <w:spacing w:val="-1"/>
          <w:w w:val="99"/>
          <w:sz w:val="21"/>
          <w:szCs w:val="21"/>
        </w:rPr>
        <w:t>订</w:t>
      </w:r>
      <w:r>
        <w:rPr>
          <w:rFonts w:ascii="宋体" w:hAnsi="宋体" w:cs="宋体" w:eastAsia="宋体" w:hint="default"/>
          <w:w w:val="99"/>
          <w:sz w:val="21"/>
          <w:szCs w:val="21"/>
        </w:rPr>
        <w:t>。</w:t>
      </w:r>
      <w:r>
        <w:rPr>
          <w:rFonts w:ascii="宋体" w:hAnsi="宋体" w:cs="宋体" w:eastAsia="宋体" w:hint="default"/>
          <w:sz w:val="21"/>
          <w:szCs w:val="21"/>
        </w:rPr>
      </w:r>
    </w:p>
    <w:p>
      <w:pPr>
        <w:spacing w:line="408" w:lineRule="auto" w:before="76"/>
        <w:ind w:left="112" w:right="1019" w:firstLine="420"/>
        <w:jc w:val="left"/>
        <w:rPr>
          <w:rFonts w:ascii="宋体" w:hAnsi="宋体" w:cs="宋体" w:eastAsia="宋体" w:hint="default"/>
          <w:sz w:val="21"/>
          <w:szCs w:val="21"/>
        </w:rPr>
      </w:pPr>
      <w:r>
        <w:rPr>
          <w:rFonts w:ascii="宋体" w:hAnsi="宋体" w:cs="宋体" w:eastAsia="宋体" w:hint="default"/>
          <w:spacing w:val="-3"/>
          <w:sz w:val="21"/>
          <w:szCs w:val="21"/>
        </w:rPr>
        <w:t>按照上述通知及上述企业会计准则的规定和要求，公司调整了财务报表列表，该变更对公司财务状况、</w:t>
      </w:r>
      <w:r>
        <w:rPr>
          <w:rFonts w:ascii="宋体" w:hAnsi="宋体" w:cs="宋体" w:eastAsia="宋体" w:hint="default"/>
          <w:w w:val="99"/>
          <w:sz w:val="21"/>
          <w:szCs w:val="21"/>
        </w:rPr>
        <w:t> </w:t>
      </w:r>
      <w:r>
        <w:rPr>
          <w:rFonts w:ascii="宋体" w:hAnsi="宋体" w:cs="宋体" w:eastAsia="宋体" w:hint="default"/>
          <w:sz w:val="21"/>
          <w:szCs w:val="21"/>
        </w:rPr>
        <w:t>经营成果和现金流量无重大影响。</w:t>
      </w:r>
    </w:p>
    <w:p>
      <w:pPr>
        <w:spacing w:line="386" w:lineRule="auto" w:before="87"/>
        <w:ind w:left="112" w:right="987" w:firstLine="420"/>
        <w:jc w:val="left"/>
        <w:rPr>
          <w:rFonts w:ascii="宋体" w:hAnsi="宋体" w:cs="宋体" w:eastAsia="宋体" w:hint="default"/>
          <w:sz w:val="21"/>
          <w:szCs w:val="21"/>
        </w:rPr>
      </w:pPr>
      <w:r>
        <w:rPr>
          <w:rFonts w:ascii="Times New Roman" w:hAnsi="Times New Roman" w:cs="Times New Roman" w:eastAsia="Times New Roman" w:hint="default"/>
          <w:spacing w:val="-18"/>
          <w:w w:val="99"/>
          <w:sz w:val="21"/>
          <w:szCs w:val="21"/>
        </w:rPr>
        <w:t>2</w:t>
      </w:r>
      <w:r>
        <w:rPr>
          <w:rFonts w:ascii="宋体" w:hAnsi="宋体" w:cs="宋体" w:eastAsia="宋体" w:hint="default"/>
          <w:spacing w:val="-18"/>
          <w:w w:val="99"/>
          <w:sz w:val="21"/>
          <w:szCs w:val="21"/>
        </w:rPr>
        <w:t>、</w:t>
      </w:r>
      <w:r>
        <w:rPr>
          <w:rFonts w:ascii="Times New Roman" w:hAnsi="Times New Roman" w:cs="Times New Roman" w:eastAsia="Times New Roman" w:hint="default"/>
          <w:spacing w:val="-18"/>
          <w:w w:val="99"/>
          <w:sz w:val="21"/>
          <w:szCs w:val="21"/>
        </w:rPr>
        <w:t>2018</w:t>
      </w:r>
      <w:r>
        <w:rPr>
          <w:rFonts w:ascii="Times New Roman" w:hAnsi="Times New Roman" w:cs="Times New Roman" w:eastAsia="Times New Roman" w:hint="default"/>
          <w:spacing w:val="-9"/>
          <w:w w:val="99"/>
          <w:sz w:val="21"/>
          <w:szCs w:val="21"/>
        </w:rPr>
        <w:t> </w:t>
      </w:r>
      <w:r>
        <w:rPr>
          <w:rFonts w:ascii="宋体" w:hAnsi="宋体" w:cs="宋体" w:eastAsia="宋体" w:hint="default"/>
          <w:w w:val="99"/>
          <w:sz w:val="21"/>
          <w:szCs w:val="21"/>
        </w:rPr>
        <w:t>年</w:t>
      </w:r>
      <w:r>
        <w:rPr>
          <w:rFonts w:ascii="宋体" w:hAnsi="宋体" w:cs="宋体" w:eastAsia="宋体" w:hint="default"/>
          <w:spacing w:val="-60"/>
          <w:w w:val="99"/>
          <w:sz w:val="21"/>
          <w:szCs w:val="21"/>
        </w:rPr>
        <w:t> </w:t>
      </w:r>
      <w:r>
        <w:rPr>
          <w:rFonts w:ascii="Times New Roman" w:hAnsi="Times New Roman" w:cs="Times New Roman" w:eastAsia="Times New Roman" w:hint="default"/>
          <w:w w:val="99"/>
          <w:sz w:val="21"/>
          <w:szCs w:val="21"/>
        </w:rPr>
        <w:t>10</w:t>
      </w:r>
      <w:r>
        <w:rPr>
          <w:rFonts w:ascii="Times New Roman" w:hAnsi="Times New Roman" w:cs="Times New Roman" w:eastAsia="Times New Roman" w:hint="default"/>
          <w:spacing w:val="-9"/>
          <w:w w:val="99"/>
          <w:sz w:val="21"/>
          <w:szCs w:val="21"/>
        </w:rPr>
        <w:t> </w:t>
      </w:r>
      <w:r>
        <w:rPr>
          <w:rFonts w:ascii="宋体" w:hAnsi="宋体" w:cs="宋体" w:eastAsia="宋体" w:hint="default"/>
          <w:w w:val="99"/>
          <w:sz w:val="21"/>
          <w:szCs w:val="21"/>
        </w:rPr>
        <w:t>月</w:t>
      </w:r>
      <w:r>
        <w:rPr>
          <w:rFonts w:ascii="宋体" w:hAnsi="宋体" w:cs="宋体" w:eastAsia="宋体" w:hint="default"/>
          <w:spacing w:val="-60"/>
          <w:w w:val="99"/>
          <w:sz w:val="21"/>
          <w:szCs w:val="21"/>
        </w:rPr>
        <w:t> </w:t>
      </w:r>
      <w:r>
        <w:rPr>
          <w:rFonts w:ascii="Times New Roman" w:hAnsi="Times New Roman" w:cs="Times New Roman" w:eastAsia="Times New Roman" w:hint="default"/>
          <w:w w:val="99"/>
          <w:sz w:val="21"/>
          <w:szCs w:val="21"/>
        </w:rPr>
        <w:t>26</w:t>
      </w:r>
      <w:r>
        <w:rPr>
          <w:rFonts w:ascii="Times New Roman" w:hAnsi="Times New Roman" w:cs="Times New Roman" w:eastAsia="Times New Roman" w:hint="default"/>
          <w:spacing w:val="-9"/>
          <w:w w:val="99"/>
          <w:sz w:val="21"/>
          <w:szCs w:val="21"/>
        </w:rPr>
        <w:t> </w:t>
      </w:r>
      <w:r>
        <w:rPr>
          <w:rFonts w:ascii="宋体" w:hAnsi="宋体" w:cs="宋体" w:eastAsia="宋体" w:hint="default"/>
          <w:w w:val="99"/>
          <w:sz w:val="21"/>
          <w:szCs w:val="21"/>
        </w:rPr>
        <w:t>日召开的第四届董事会</w:t>
      </w:r>
      <w:r>
        <w:rPr>
          <w:rFonts w:ascii="宋体" w:hAnsi="宋体" w:cs="宋体" w:eastAsia="宋体" w:hint="default"/>
          <w:spacing w:val="-60"/>
          <w:w w:val="99"/>
          <w:sz w:val="21"/>
          <w:szCs w:val="21"/>
        </w:rPr>
        <w:t> </w:t>
      </w:r>
      <w:r>
        <w:rPr>
          <w:rFonts w:ascii="Times New Roman" w:hAnsi="Times New Roman" w:cs="Times New Roman" w:eastAsia="Times New Roman" w:hint="default"/>
          <w:w w:val="99"/>
          <w:sz w:val="21"/>
          <w:szCs w:val="21"/>
        </w:rPr>
        <w:t>2018</w:t>
      </w:r>
      <w:r>
        <w:rPr>
          <w:rFonts w:ascii="Times New Roman" w:hAnsi="Times New Roman" w:cs="Times New Roman" w:eastAsia="Times New Roman" w:hint="default"/>
          <w:spacing w:val="-9"/>
          <w:w w:val="99"/>
          <w:sz w:val="21"/>
          <w:szCs w:val="21"/>
        </w:rPr>
        <w:t> </w:t>
      </w:r>
      <w:r>
        <w:rPr>
          <w:rFonts w:ascii="宋体" w:hAnsi="宋体" w:cs="宋体" w:eastAsia="宋体" w:hint="default"/>
          <w:spacing w:val="-8"/>
          <w:w w:val="99"/>
          <w:sz w:val="21"/>
          <w:szCs w:val="21"/>
        </w:rPr>
        <w:t>年第四次会议审议通过了《关于会计政策变更的议案》，</w:t>
      </w:r>
      <w:r>
        <w:rPr>
          <w:rFonts w:ascii="宋体" w:hAnsi="宋体" w:cs="宋体" w:eastAsia="宋体" w:hint="default"/>
          <w:w w:val="99"/>
          <w:sz w:val="21"/>
          <w:szCs w:val="21"/>
        </w:rPr>
        <w:t> </w:t>
      </w:r>
      <w:r>
        <w:rPr>
          <w:rFonts w:ascii="宋体" w:hAnsi="宋体" w:cs="宋体" w:eastAsia="宋体" w:hint="default"/>
          <w:sz w:val="21"/>
          <w:szCs w:val="21"/>
        </w:rPr>
        <w:t>现将具体情况如下：</w:t>
      </w:r>
    </w:p>
    <w:p>
      <w:pPr>
        <w:spacing w:before="103"/>
        <w:ind w:left="532" w:right="987" w:firstLine="0"/>
        <w:jc w:val="left"/>
        <w:rPr>
          <w:rFonts w:ascii="宋体" w:hAnsi="宋体" w:cs="宋体" w:eastAsia="宋体" w:hint="default"/>
          <w:sz w:val="21"/>
          <w:szCs w:val="21"/>
        </w:rPr>
      </w:pPr>
      <w:r>
        <w:rPr>
          <w:rFonts w:ascii="宋体" w:hAnsi="宋体" w:cs="宋体" w:eastAsia="宋体" w:hint="default"/>
          <w:spacing w:val="-1"/>
          <w:w w:val="99"/>
          <w:sz w:val="21"/>
          <w:szCs w:val="21"/>
        </w:rPr>
        <w:t>财</w:t>
      </w:r>
      <w:r>
        <w:rPr>
          <w:rFonts w:ascii="宋体" w:hAnsi="宋体" w:cs="宋体" w:eastAsia="宋体" w:hint="default"/>
          <w:spacing w:val="2"/>
          <w:w w:val="99"/>
          <w:sz w:val="21"/>
          <w:szCs w:val="21"/>
        </w:rPr>
        <w:t>政</w:t>
      </w:r>
      <w:r>
        <w:rPr>
          <w:rFonts w:ascii="宋体" w:hAnsi="宋体" w:cs="宋体" w:eastAsia="宋体" w:hint="default"/>
          <w:spacing w:val="-1"/>
          <w:w w:val="99"/>
          <w:sz w:val="21"/>
          <w:szCs w:val="21"/>
        </w:rPr>
        <w:t>部</w:t>
      </w:r>
      <w:r>
        <w:rPr>
          <w:rFonts w:ascii="宋体" w:hAnsi="宋体" w:cs="宋体" w:eastAsia="宋体" w:hint="default"/>
          <w:w w:val="99"/>
          <w:sz w:val="21"/>
          <w:szCs w:val="21"/>
        </w:rPr>
        <w:t>于</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99"/>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pacing w:val="-1"/>
          <w:w w:val="99"/>
          <w:sz w:val="21"/>
          <w:szCs w:val="21"/>
        </w:rPr>
        <w:t>日</w:t>
      </w:r>
      <w:r>
        <w:rPr>
          <w:rFonts w:ascii="宋体" w:hAnsi="宋体" w:cs="宋体" w:eastAsia="宋体" w:hint="default"/>
          <w:spacing w:val="2"/>
          <w:w w:val="99"/>
          <w:sz w:val="21"/>
          <w:szCs w:val="21"/>
        </w:rPr>
        <w:t>颁</w:t>
      </w:r>
      <w:r>
        <w:rPr>
          <w:rFonts w:ascii="宋体" w:hAnsi="宋体" w:cs="宋体" w:eastAsia="宋体" w:hint="default"/>
          <w:spacing w:val="-1"/>
          <w:w w:val="99"/>
          <w:sz w:val="21"/>
          <w:szCs w:val="21"/>
        </w:rPr>
        <w:t>布</w:t>
      </w:r>
      <w:r>
        <w:rPr>
          <w:rFonts w:ascii="宋体" w:hAnsi="宋体" w:cs="宋体" w:eastAsia="宋体" w:hint="default"/>
          <w:spacing w:val="2"/>
          <w:w w:val="99"/>
          <w:sz w:val="21"/>
          <w:szCs w:val="21"/>
        </w:rPr>
        <w:t>了</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关</w:t>
      </w:r>
      <w:r>
        <w:rPr>
          <w:rFonts w:ascii="宋体" w:hAnsi="宋体" w:cs="宋体" w:eastAsia="宋体" w:hint="default"/>
          <w:spacing w:val="-1"/>
          <w:w w:val="99"/>
          <w:sz w:val="21"/>
          <w:szCs w:val="21"/>
        </w:rPr>
        <w:t>于</w:t>
      </w:r>
      <w:r>
        <w:rPr>
          <w:rFonts w:ascii="宋体" w:hAnsi="宋体" w:cs="宋体" w:eastAsia="宋体" w:hint="default"/>
          <w:spacing w:val="2"/>
          <w:w w:val="99"/>
          <w:sz w:val="21"/>
          <w:szCs w:val="21"/>
        </w:rPr>
        <w:t>修</w:t>
      </w:r>
      <w:r>
        <w:rPr>
          <w:rFonts w:ascii="宋体" w:hAnsi="宋体" w:cs="宋体" w:eastAsia="宋体" w:hint="default"/>
          <w:spacing w:val="-1"/>
          <w:w w:val="99"/>
          <w:sz w:val="21"/>
          <w:szCs w:val="21"/>
        </w:rPr>
        <w:t>订</w:t>
      </w:r>
      <w:r>
        <w:rPr>
          <w:rFonts w:ascii="宋体" w:hAnsi="宋体" w:cs="宋体" w:eastAsia="宋体" w:hint="default"/>
          <w:spacing w:val="2"/>
          <w:w w:val="99"/>
          <w:sz w:val="21"/>
          <w:szCs w:val="21"/>
        </w:rPr>
        <w:t>印</w:t>
      </w:r>
      <w:r>
        <w:rPr>
          <w:rFonts w:ascii="宋体" w:hAnsi="宋体" w:cs="宋体" w:eastAsia="宋体" w:hint="default"/>
          <w:w w:val="99"/>
          <w:sz w:val="21"/>
          <w:szCs w:val="21"/>
        </w:rPr>
        <w:t>发</w:t>
      </w:r>
      <w:r>
        <w:rPr>
          <w:rFonts w:ascii="宋体" w:hAnsi="宋体" w:cs="宋体" w:eastAsia="宋体" w:hint="default"/>
          <w:sz w:val="21"/>
          <w:szCs w:val="21"/>
        </w:rPr>
        <w:t> </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8</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w w:val="99"/>
          <w:sz w:val="21"/>
          <w:szCs w:val="21"/>
        </w:rPr>
        <w:t>年</w:t>
      </w:r>
      <w:r>
        <w:rPr>
          <w:rFonts w:ascii="宋体" w:hAnsi="宋体" w:cs="宋体" w:eastAsia="宋体" w:hint="default"/>
          <w:spacing w:val="2"/>
          <w:w w:val="99"/>
          <w:sz w:val="21"/>
          <w:szCs w:val="21"/>
        </w:rPr>
        <w:t>度</w:t>
      </w:r>
      <w:r>
        <w:rPr>
          <w:rFonts w:ascii="宋体" w:hAnsi="宋体" w:cs="宋体" w:eastAsia="宋体" w:hint="default"/>
          <w:spacing w:val="-1"/>
          <w:w w:val="99"/>
          <w:sz w:val="21"/>
          <w:szCs w:val="21"/>
        </w:rPr>
        <w:t>一</w:t>
      </w:r>
      <w:r>
        <w:rPr>
          <w:rFonts w:ascii="宋体" w:hAnsi="宋体" w:cs="宋体" w:eastAsia="宋体" w:hint="default"/>
          <w:spacing w:val="2"/>
          <w:w w:val="99"/>
          <w:sz w:val="21"/>
          <w:szCs w:val="21"/>
        </w:rPr>
        <w:t>般</w:t>
      </w:r>
      <w:r>
        <w:rPr>
          <w:rFonts w:ascii="宋体" w:hAnsi="宋体" w:cs="宋体" w:eastAsia="宋体" w:hint="default"/>
          <w:spacing w:val="-1"/>
          <w:w w:val="99"/>
          <w:sz w:val="21"/>
          <w:szCs w:val="21"/>
        </w:rPr>
        <w:t>企</w:t>
      </w:r>
      <w:r>
        <w:rPr>
          <w:rFonts w:ascii="宋体" w:hAnsi="宋体" w:cs="宋体" w:eastAsia="宋体" w:hint="default"/>
          <w:spacing w:val="2"/>
          <w:w w:val="99"/>
          <w:sz w:val="21"/>
          <w:szCs w:val="21"/>
        </w:rPr>
        <w:t>业</w:t>
      </w:r>
      <w:r>
        <w:rPr>
          <w:rFonts w:ascii="宋体" w:hAnsi="宋体" w:cs="宋体" w:eastAsia="宋体" w:hint="default"/>
          <w:spacing w:val="-1"/>
          <w:w w:val="99"/>
          <w:sz w:val="21"/>
          <w:szCs w:val="21"/>
        </w:rPr>
        <w:t>财</w:t>
      </w:r>
      <w:r>
        <w:rPr>
          <w:rFonts w:ascii="宋体" w:hAnsi="宋体" w:cs="宋体" w:eastAsia="宋体" w:hint="default"/>
          <w:spacing w:val="2"/>
          <w:w w:val="99"/>
          <w:sz w:val="21"/>
          <w:szCs w:val="21"/>
        </w:rPr>
        <w:t>务</w:t>
      </w:r>
      <w:r>
        <w:rPr>
          <w:rFonts w:ascii="宋体" w:hAnsi="宋体" w:cs="宋体" w:eastAsia="宋体" w:hint="default"/>
          <w:spacing w:val="-1"/>
          <w:w w:val="99"/>
          <w:sz w:val="21"/>
          <w:szCs w:val="21"/>
        </w:rPr>
        <w:t>报</w:t>
      </w:r>
      <w:r>
        <w:rPr>
          <w:rFonts w:ascii="宋体" w:hAnsi="宋体" w:cs="宋体" w:eastAsia="宋体" w:hint="default"/>
          <w:spacing w:val="2"/>
          <w:w w:val="99"/>
          <w:sz w:val="21"/>
          <w:szCs w:val="21"/>
        </w:rPr>
        <w:t>表</w:t>
      </w:r>
      <w:r>
        <w:rPr>
          <w:rFonts w:ascii="宋体" w:hAnsi="宋体" w:cs="宋体" w:eastAsia="宋体" w:hint="default"/>
          <w:spacing w:val="-1"/>
          <w:w w:val="99"/>
          <w:sz w:val="21"/>
          <w:szCs w:val="21"/>
        </w:rPr>
        <w:t>格</w:t>
      </w:r>
      <w:r>
        <w:rPr>
          <w:rFonts w:ascii="宋体" w:hAnsi="宋体" w:cs="宋体" w:eastAsia="宋体" w:hint="default"/>
          <w:spacing w:val="2"/>
          <w:w w:val="99"/>
          <w:sz w:val="21"/>
          <w:szCs w:val="21"/>
        </w:rPr>
        <w:t>式</w:t>
      </w:r>
      <w:r>
        <w:rPr>
          <w:rFonts w:ascii="宋体" w:hAnsi="宋体" w:cs="宋体" w:eastAsia="宋体" w:hint="default"/>
          <w:spacing w:val="-1"/>
          <w:w w:val="99"/>
          <w:sz w:val="21"/>
          <w:szCs w:val="21"/>
        </w:rPr>
        <w:t>的</w:t>
      </w:r>
      <w:r>
        <w:rPr>
          <w:rFonts w:ascii="宋体" w:hAnsi="宋体" w:cs="宋体" w:eastAsia="宋体" w:hint="default"/>
          <w:spacing w:val="2"/>
          <w:w w:val="99"/>
          <w:sz w:val="21"/>
          <w:szCs w:val="21"/>
        </w:rPr>
        <w:t>通</w:t>
      </w:r>
      <w:r>
        <w:rPr>
          <w:rFonts w:ascii="宋体" w:hAnsi="宋体" w:cs="宋体" w:eastAsia="宋体" w:hint="default"/>
          <w:spacing w:val="-1"/>
          <w:w w:val="99"/>
          <w:sz w:val="21"/>
          <w:szCs w:val="21"/>
        </w:rPr>
        <w:t>知</w:t>
      </w:r>
      <w:r>
        <w:rPr>
          <w:rFonts w:ascii="宋体" w:hAnsi="宋体" w:cs="宋体" w:eastAsia="宋体" w:hint="default"/>
          <w:spacing w:val="-104"/>
          <w:w w:val="99"/>
          <w:sz w:val="21"/>
          <w:szCs w:val="21"/>
        </w:rPr>
        <w:t>》</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财</w:t>
      </w:r>
      <w:r>
        <w:rPr>
          <w:rFonts w:ascii="宋体" w:hAnsi="宋体" w:cs="宋体" w:eastAsia="宋体" w:hint="default"/>
          <w:w w:val="99"/>
          <w:sz w:val="21"/>
          <w:szCs w:val="21"/>
        </w:rPr>
        <w:t>会</w:t>
      </w:r>
      <w:r>
        <w:rPr>
          <w:rFonts w:ascii="宋体" w:hAnsi="宋体" w:cs="宋体" w:eastAsia="宋体" w:hint="default"/>
          <w:sz w:val="21"/>
          <w:szCs w:val="21"/>
        </w:rPr>
      </w:r>
    </w:p>
    <w:p>
      <w:pPr>
        <w:spacing w:line="240" w:lineRule="auto" w:before="12"/>
        <w:rPr>
          <w:rFonts w:ascii="宋体" w:hAnsi="宋体" w:cs="宋体" w:eastAsia="宋体" w:hint="default"/>
          <w:sz w:val="10"/>
          <w:szCs w:val="10"/>
        </w:rPr>
      </w:pPr>
    </w:p>
    <w:p>
      <w:pPr>
        <w:spacing w:before="34"/>
        <w:ind w:left="112" w:right="987" w:firstLine="0"/>
        <w:jc w:val="left"/>
        <w:rPr>
          <w:rFonts w:ascii="宋体" w:hAnsi="宋体" w:cs="宋体" w:eastAsia="宋体" w:hint="default"/>
          <w:sz w:val="21"/>
          <w:szCs w:val="21"/>
        </w:rPr>
      </w:pP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2018</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5</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w w:val="99"/>
          <w:sz w:val="21"/>
          <w:szCs w:val="21"/>
        </w:rPr>
        <w:t>号</w:t>
      </w:r>
      <w:r>
        <w:rPr>
          <w:rFonts w:ascii="宋体" w:hAnsi="宋体" w:cs="宋体" w:eastAsia="宋体" w:hint="default"/>
          <w:spacing w:val="-104"/>
          <w:w w:val="99"/>
          <w:sz w:val="21"/>
          <w:szCs w:val="21"/>
        </w:rPr>
        <w:t>）</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以</w:t>
      </w:r>
      <w:r>
        <w:rPr>
          <w:rFonts w:ascii="宋体" w:hAnsi="宋体" w:cs="宋体" w:eastAsia="宋体" w:hint="default"/>
          <w:spacing w:val="-1"/>
          <w:w w:val="99"/>
          <w:sz w:val="21"/>
          <w:szCs w:val="21"/>
        </w:rPr>
        <w:t>下</w:t>
      </w:r>
      <w:r>
        <w:rPr>
          <w:rFonts w:ascii="宋体" w:hAnsi="宋体" w:cs="宋体" w:eastAsia="宋体" w:hint="default"/>
          <w:spacing w:val="2"/>
          <w:w w:val="99"/>
          <w:sz w:val="21"/>
          <w:szCs w:val="21"/>
        </w:rPr>
        <w:t>简</w:t>
      </w:r>
      <w:r>
        <w:rPr>
          <w:rFonts w:ascii="宋体" w:hAnsi="宋体" w:cs="宋体" w:eastAsia="宋体" w:hint="default"/>
          <w:spacing w:val="-10"/>
          <w:w w:val="99"/>
          <w:sz w:val="21"/>
          <w:szCs w:val="21"/>
        </w:rPr>
        <w:t>称</w:t>
      </w:r>
      <w:r>
        <w:rPr>
          <w:rFonts w:ascii="宋体" w:hAnsi="宋体" w:cs="宋体" w:eastAsia="宋体" w:hint="default"/>
          <w:spacing w:val="-200"/>
          <w:w w:val="99"/>
          <w:sz w:val="21"/>
          <w:szCs w:val="21"/>
        </w:rPr>
        <w:t>《</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w w:val="99"/>
          <w:sz w:val="21"/>
          <w:szCs w:val="21"/>
        </w:rPr>
        <w:t>修</w:t>
      </w:r>
      <w:r>
        <w:rPr>
          <w:rFonts w:ascii="宋体" w:hAnsi="宋体" w:cs="宋体" w:eastAsia="宋体" w:hint="default"/>
          <w:spacing w:val="2"/>
          <w:w w:val="99"/>
          <w:sz w:val="21"/>
          <w:szCs w:val="21"/>
        </w:rPr>
        <w:t>订</w:t>
      </w:r>
      <w:r>
        <w:rPr>
          <w:rFonts w:ascii="宋体" w:hAnsi="宋体" w:cs="宋体" w:eastAsia="宋体" w:hint="default"/>
          <w:spacing w:val="-1"/>
          <w:w w:val="99"/>
          <w:sz w:val="21"/>
          <w:szCs w:val="21"/>
        </w:rPr>
        <w:t>通</w:t>
      </w:r>
      <w:r>
        <w:rPr>
          <w:rFonts w:ascii="宋体" w:hAnsi="宋体" w:cs="宋体" w:eastAsia="宋体" w:hint="default"/>
          <w:spacing w:val="2"/>
          <w:w w:val="99"/>
          <w:sz w:val="21"/>
          <w:szCs w:val="21"/>
        </w:rPr>
        <w:t>知》</w:t>
      </w:r>
      <w:r>
        <w:rPr>
          <w:rFonts w:ascii="Times New Roman" w:hAnsi="Times New Roman" w:cs="Times New Roman" w:eastAsia="Times New Roman" w:hint="default"/>
          <w:spacing w:val="1"/>
          <w:w w:val="99"/>
          <w:sz w:val="21"/>
          <w:szCs w:val="21"/>
        </w:rPr>
        <w:t>”</w:t>
      </w:r>
      <w:r>
        <w:rPr>
          <w:rFonts w:ascii="宋体" w:hAnsi="宋体" w:cs="宋体" w:eastAsia="宋体" w:hint="default"/>
          <w:spacing w:val="-106"/>
          <w:w w:val="99"/>
          <w:sz w:val="21"/>
          <w:szCs w:val="21"/>
        </w:rPr>
        <w:t>）</w:t>
      </w:r>
      <w:r>
        <w:rPr>
          <w:rFonts w:ascii="宋体" w:hAnsi="宋体" w:cs="宋体" w:eastAsia="宋体" w:hint="default"/>
          <w:spacing w:val="-1"/>
          <w:w w:val="99"/>
          <w:sz w:val="21"/>
          <w:szCs w:val="21"/>
        </w:rPr>
        <w:t>，</w:t>
      </w:r>
      <w:r>
        <w:rPr>
          <w:rFonts w:ascii="宋体" w:hAnsi="宋体" w:cs="宋体" w:eastAsia="宋体" w:hint="default"/>
          <w:w w:val="99"/>
          <w:sz w:val="21"/>
          <w:szCs w:val="21"/>
        </w:rPr>
        <w:t>于</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7</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w w:val="99"/>
          <w:sz w:val="21"/>
          <w:szCs w:val="21"/>
        </w:rPr>
        <w:t>5</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1"/>
          <w:w w:val="99"/>
          <w:sz w:val="21"/>
          <w:szCs w:val="21"/>
        </w:rPr>
        <w:t>日</w:t>
      </w:r>
      <w:r>
        <w:rPr>
          <w:rFonts w:ascii="宋体" w:hAnsi="宋体" w:cs="宋体" w:eastAsia="宋体" w:hint="default"/>
          <w:spacing w:val="2"/>
          <w:w w:val="99"/>
          <w:sz w:val="21"/>
          <w:szCs w:val="21"/>
        </w:rPr>
        <w:t>发</w:t>
      </w:r>
      <w:r>
        <w:rPr>
          <w:rFonts w:ascii="宋体" w:hAnsi="宋体" w:cs="宋体" w:eastAsia="宋体" w:hint="default"/>
          <w:spacing w:val="-1"/>
          <w:w w:val="99"/>
          <w:sz w:val="21"/>
          <w:szCs w:val="21"/>
        </w:rPr>
        <w:t>布</w:t>
      </w:r>
      <w:r>
        <w:rPr>
          <w:rFonts w:ascii="宋体" w:hAnsi="宋体" w:cs="宋体" w:eastAsia="宋体" w:hint="default"/>
          <w:spacing w:val="2"/>
          <w:w w:val="99"/>
          <w:sz w:val="21"/>
          <w:szCs w:val="21"/>
        </w:rPr>
        <w:t>的</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关</w:t>
      </w:r>
      <w:r>
        <w:rPr>
          <w:rFonts w:ascii="宋体" w:hAnsi="宋体" w:cs="宋体" w:eastAsia="宋体" w:hint="default"/>
          <w:spacing w:val="-1"/>
          <w:w w:val="99"/>
          <w:sz w:val="21"/>
          <w:szCs w:val="21"/>
        </w:rPr>
        <w:t>于</w:t>
      </w:r>
      <w:r>
        <w:rPr>
          <w:rFonts w:ascii="宋体" w:hAnsi="宋体" w:cs="宋体" w:eastAsia="宋体" w:hint="default"/>
          <w:spacing w:val="2"/>
          <w:w w:val="99"/>
          <w:sz w:val="21"/>
          <w:szCs w:val="21"/>
        </w:rPr>
        <w:t>修</w:t>
      </w:r>
      <w:r>
        <w:rPr>
          <w:rFonts w:ascii="宋体" w:hAnsi="宋体" w:cs="宋体" w:eastAsia="宋体" w:hint="default"/>
          <w:spacing w:val="-1"/>
          <w:w w:val="99"/>
          <w:sz w:val="21"/>
          <w:szCs w:val="21"/>
        </w:rPr>
        <w:t>订</w:t>
      </w:r>
      <w:r>
        <w:rPr>
          <w:rFonts w:ascii="宋体" w:hAnsi="宋体" w:cs="宋体" w:eastAsia="宋体" w:hint="default"/>
          <w:spacing w:val="2"/>
          <w:w w:val="99"/>
          <w:sz w:val="21"/>
          <w:szCs w:val="21"/>
        </w:rPr>
        <w:t>印</w:t>
      </w:r>
      <w:r>
        <w:rPr>
          <w:rFonts w:ascii="宋体" w:hAnsi="宋体" w:cs="宋体" w:eastAsia="宋体" w:hint="default"/>
          <w:spacing w:val="-1"/>
          <w:w w:val="99"/>
          <w:sz w:val="21"/>
          <w:szCs w:val="21"/>
        </w:rPr>
        <w:t>发</w:t>
      </w:r>
      <w:r>
        <w:rPr>
          <w:rFonts w:ascii="宋体" w:hAnsi="宋体" w:cs="宋体" w:eastAsia="宋体" w:hint="default"/>
          <w:spacing w:val="2"/>
          <w:w w:val="99"/>
          <w:sz w:val="21"/>
          <w:szCs w:val="21"/>
        </w:rPr>
        <w:t>一</w:t>
      </w:r>
      <w:r>
        <w:rPr>
          <w:rFonts w:ascii="宋体" w:hAnsi="宋体" w:cs="宋体" w:eastAsia="宋体" w:hint="default"/>
          <w:spacing w:val="-1"/>
          <w:w w:val="99"/>
          <w:sz w:val="21"/>
          <w:szCs w:val="21"/>
        </w:rPr>
        <w:t>般</w:t>
      </w:r>
      <w:r>
        <w:rPr>
          <w:rFonts w:ascii="宋体" w:hAnsi="宋体" w:cs="宋体" w:eastAsia="宋体" w:hint="default"/>
          <w:spacing w:val="2"/>
          <w:w w:val="99"/>
          <w:sz w:val="21"/>
          <w:szCs w:val="21"/>
        </w:rPr>
        <w:t>企</w:t>
      </w:r>
      <w:r>
        <w:rPr>
          <w:rFonts w:ascii="宋体" w:hAnsi="宋体" w:cs="宋体" w:eastAsia="宋体" w:hint="default"/>
          <w:spacing w:val="-1"/>
          <w:w w:val="99"/>
          <w:sz w:val="21"/>
          <w:szCs w:val="21"/>
        </w:rPr>
        <w:t>业</w:t>
      </w:r>
      <w:r>
        <w:rPr>
          <w:rFonts w:ascii="宋体" w:hAnsi="宋体" w:cs="宋体" w:eastAsia="宋体" w:hint="default"/>
          <w:spacing w:val="2"/>
          <w:w w:val="99"/>
          <w:sz w:val="21"/>
          <w:szCs w:val="21"/>
        </w:rPr>
        <w:t>财</w:t>
      </w:r>
      <w:r>
        <w:rPr>
          <w:rFonts w:ascii="宋体" w:hAnsi="宋体" w:cs="宋体" w:eastAsia="宋体" w:hint="default"/>
          <w:spacing w:val="-1"/>
          <w:w w:val="99"/>
          <w:sz w:val="21"/>
          <w:szCs w:val="21"/>
        </w:rPr>
        <w:t>务</w:t>
      </w:r>
      <w:r>
        <w:rPr>
          <w:rFonts w:ascii="宋体" w:hAnsi="宋体" w:cs="宋体" w:eastAsia="宋体" w:hint="default"/>
          <w:w w:val="99"/>
          <w:sz w:val="21"/>
          <w:szCs w:val="21"/>
        </w:rPr>
        <w:t>报</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line="386" w:lineRule="auto" w:before="34"/>
        <w:ind w:left="112" w:right="987" w:firstLine="0"/>
        <w:jc w:val="left"/>
        <w:rPr>
          <w:rFonts w:ascii="宋体" w:hAnsi="宋体" w:cs="宋体" w:eastAsia="宋体" w:hint="default"/>
          <w:sz w:val="21"/>
          <w:szCs w:val="21"/>
        </w:rPr>
      </w:pPr>
      <w:r>
        <w:rPr>
          <w:rFonts w:ascii="宋体" w:hAnsi="宋体" w:cs="宋体" w:eastAsia="宋体" w:hint="default"/>
          <w:spacing w:val="-6"/>
          <w:w w:val="99"/>
          <w:sz w:val="21"/>
          <w:szCs w:val="21"/>
        </w:rPr>
        <w:t>表格式的通知》（财会〔</w:t>
      </w:r>
      <w:r>
        <w:rPr>
          <w:rFonts w:ascii="Times New Roman" w:hAnsi="Times New Roman" w:cs="Times New Roman" w:eastAsia="Times New Roman" w:hint="default"/>
          <w:spacing w:val="-6"/>
          <w:w w:val="99"/>
          <w:sz w:val="21"/>
          <w:szCs w:val="21"/>
        </w:rPr>
        <w:t>2017</w:t>
      </w:r>
      <w:r>
        <w:rPr>
          <w:rFonts w:ascii="宋体" w:hAnsi="宋体" w:cs="宋体" w:eastAsia="宋体" w:hint="default"/>
          <w:spacing w:val="-6"/>
          <w:w w:val="99"/>
          <w:sz w:val="21"/>
          <w:szCs w:val="21"/>
        </w:rPr>
        <w:t>〕</w:t>
      </w:r>
      <w:r>
        <w:rPr>
          <w:rFonts w:ascii="Times New Roman" w:hAnsi="Times New Roman" w:cs="Times New Roman" w:eastAsia="Times New Roman" w:hint="default"/>
          <w:spacing w:val="-6"/>
          <w:w w:val="99"/>
          <w:sz w:val="21"/>
          <w:szCs w:val="21"/>
        </w:rPr>
        <w:t>30</w:t>
      </w:r>
      <w:r>
        <w:rPr>
          <w:rFonts w:ascii="Times New Roman" w:hAnsi="Times New Roman" w:cs="Times New Roman" w:eastAsia="Times New Roman" w:hint="default"/>
          <w:spacing w:val="1"/>
          <w:w w:val="99"/>
          <w:sz w:val="21"/>
          <w:szCs w:val="21"/>
        </w:rPr>
        <w:t> </w:t>
      </w:r>
      <w:r>
        <w:rPr>
          <w:rFonts w:ascii="宋体" w:hAnsi="宋体" w:cs="宋体" w:eastAsia="宋体" w:hint="default"/>
          <w:w w:val="99"/>
          <w:sz w:val="21"/>
          <w:szCs w:val="21"/>
        </w:rPr>
        <w:t>号）同时废止。公司将按照《修订通知》的规定和要求，对财务报表格 </w:t>
      </w:r>
      <w:r>
        <w:rPr>
          <w:rFonts w:ascii="宋体" w:hAnsi="宋体" w:cs="宋体" w:eastAsia="宋体" w:hint="default"/>
          <w:sz w:val="21"/>
          <w:szCs w:val="21"/>
        </w:rPr>
        <w:t>式进行相应变更。</w:t>
      </w:r>
    </w:p>
    <w:p>
      <w:pPr>
        <w:spacing w:line="408" w:lineRule="auto" w:before="106"/>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公司本次会计政策变更只涉及财务报表列报和调整，除上述项目变动影响外，不存在追溯调整事项，</w:t>
      </w:r>
      <w:r>
        <w:rPr>
          <w:rFonts w:ascii="宋体" w:hAnsi="宋体" w:cs="宋体" w:eastAsia="宋体" w:hint="default"/>
          <w:spacing w:val="-79"/>
          <w:w w:val="95"/>
          <w:sz w:val="21"/>
          <w:szCs w:val="21"/>
        </w:rPr>
        <w:t> </w:t>
      </w:r>
      <w:r>
        <w:rPr>
          <w:rFonts w:ascii="宋体" w:hAnsi="宋体" w:cs="宋体" w:eastAsia="宋体" w:hint="default"/>
          <w:spacing w:val="-79"/>
          <w:w w:val="95"/>
          <w:sz w:val="21"/>
          <w:szCs w:val="21"/>
        </w:rPr>
      </w:r>
      <w:r>
        <w:rPr>
          <w:rFonts w:ascii="宋体" w:hAnsi="宋体" w:cs="宋体" w:eastAsia="宋体" w:hint="default"/>
          <w:sz w:val="21"/>
          <w:szCs w:val="21"/>
        </w:rPr>
        <w:t>对公司资产总额、负债总额、净资产、营业收入、净利润均无实质性影响。</w:t>
      </w:r>
    </w:p>
    <w:p>
      <w:pPr>
        <w:spacing w:line="240" w:lineRule="auto" w:before="8"/>
        <w:rPr>
          <w:rFonts w:ascii="宋体" w:hAnsi="宋体" w:cs="宋体" w:eastAsia="宋体" w:hint="default"/>
          <w:sz w:val="18"/>
          <w:szCs w:val="18"/>
        </w:rPr>
      </w:pPr>
    </w:p>
    <w:p>
      <w:pPr>
        <w:spacing w:before="0"/>
        <w:ind w:left="112" w:right="987" w:firstLine="0"/>
        <w:jc w:val="left"/>
        <w:rPr>
          <w:rFonts w:ascii="宋体" w:hAnsi="宋体" w:cs="宋体" w:eastAsia="宋体" w:hint="default"/>
          <w:sz w:val="24"/>
          <w:szCs w:val="24"/>
        </w:rPr>
      </w:pPr>
      <w:bookmarkStart w:name="七、与上年度财务报告相比，合并报表范围发生变化的情况说明" w:id="63"/>
      <w:bookmarkEnd w:id="63"/>
      <w:r>
        <w:rPr/>
      </w:r>
      <w:r>
        <w:rPr>
          <w:rFonts w:ascii="宋体" w:hAnsi="宋体" w:cs="宋体" w:eastAsia="宋体" w:hint="default"/>
          <w:b/>
          <w:bCs/>
          <w:sz w:val="24"/>
          <w:szCs w:val="24"/>
        </w:rPr>
        <w:t>七、与上年度财务报告相比，合并报表范围发生变化的情况说明</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报告期内增加一个全资子公司：尤洛卡（广东）精准信息工程技术研究院有限公司。</w:t>
      </w:r>
    </w:p>
    <w:p>
      <w:pPr>
        <w:spacing w:line="240" w:lineRule="auto" w:before="0"/>
        <w:rPr>
          <w:rFonts w:ascii="宋体" w:hAnsi="宋体" w:cs="宋体" w:eastAsia="宋体" w:hint="default"/>
          <w:sz w:val="20"/>
          <w:szCs w:val="20"/>
        </w:rPr>
      </w:pPr>
    </w:p>
    <w:p>
      <w:pPr>
        <w:spacing w:before="131"/>
        <w:ind w:left="112" w:right="987" w:firstLine="0"/>
        <w:jc w:val="left"/>
        <w:rPr>
          <w:rFonts w:ascii="宋体" w:hAnsi="宋体" w:cs="宋体" w:eastAsia="宋体" w:hint="default"/>
          <w:sz w:val="24"/>
          <w:szCs w:val="24"/>
        </w:rPr>
      </w:pPr>
      <w:bookmarkStart w:name="八、聘任、解聘会计师事务所情况" w:id="64"/>
      <w:bookmarkEnd w:id="64"/>
      <w:r>
        <w:rPr/>
      </w:r>
      <w:r>
        <w:rPr>
          <w:rFonts w:ascii="宋体" w:hAnsi="宋体" w:cs="宋体" w:eastAsia="宋体" w:hint="default"/>
          <w:b/>
          <w:bCs/>
          <w:sz w:val="24"/>
          <w:szCs w:val="24"/>
        </w:rPr>
        <w:t>八、聘任、解聘会计师事务所情况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现聘任的会计事务所</w:t>
      </w:r>
    </w:p>
    <w:p>
      <w:pPr>
        <w:spacing w:line="240" w:lineRule="auto" w:before="13"/>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江涛、郭冬梅</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江涛</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年，郭冬梅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5"/>
          <w:szCs w:val="5"/>
        </w:rPr>
      </w:pPr>
    </w:p>
    <w:p>
      <w:pPr>
        <w:spacing w:line="444" w:lineRule="auto" w:before="34"/>
        <w:ind w:left="532" w:right="2895" w:firstLine="0"/>
        <w:jc w:val="left"/>
        <w:rPr>
          <w:rFonts w:ascii="宋体" w:hAnsi="宋体" w:cs="宋体" w:eastAsia="宋体" w:hint="default"/>
          <w:sz w:val="21"/>
          <w:szCs w:val="21"/>
        </w:rPr>
      </w:pPr>
      <w:r>
        <w:rPr>
          <w:rFonts w:ascii="宋体" w:hAnsi="宋体" w:cs="宋体" w:eastAsia="宋体" w:hint="default"/>
          <w:sz w:val="21"/>
          <w:szCs w:val="21"/>
        </w:rPr>
        <w:t>是否改聘会计师事务所：□ 是 √</w:t>
      </w:r>
      <w:r>
        <w:rPr>
          <w:rFonts w:ascii="宋体" w:hAnsi="宋体" w:cs="宋体" w:eastAsia="宋体" w:hint="default"/>
          <w:spacing w:val="1"/>
          <w:sz w:val="21"/>
          <w:szCs w:val="21"/>
        </w:rPr>
        <w:t> </w:t>
      </w:r>
      <w:r>
        <w:rPr>
          <w:rFonts w:ascii="宋体" w:hAnsi="宋体" w:cs="宋体" w:eastAsia="宋体" w:hint="default"/>
          <w:sz w:val="21"/>
          <w:szCs w:val="21"/>
        </w:rPr>
        <w:t>否</w:t>
      </w:r>
      <w:r>
        <w:rPr>
          <w:rFonts w:ascii="宋体" w:hAnsi="宋体" w:cs="宋体" w:eastAsia="宋体" w:hint="default"/>
          <w:w w:val="99"/>
          <w:sz w:val="21"/>
          <w:szCs w:val="21"/>
        </w:rPr>
        <w:t> </w:t>
      </w:r>
      <w:r>
        <w:rPr>
          <w:rFonts w:ascii="宋体" w:hAnsi="宋体" w:cs="宋体" w:eastAsia="宋体" w:hint="default"/>
          <w:sz w:val="21"/>
          <w:szCs w:val="21"/>
        </w:rPr>
        <w:t>聘请内部控制审计会计师事务所、财务顾问或保荐人情况：□ 适用 √</w:t>
      </w:r>
      <w:r>
        <w:rPr>
          <w:rFonts w:ascii="宋体" w:hAnsi="宋体" w:cs="宋体" w:eastAsia="宋体" w:hint="default"/>
          <w:spacing w:val="-17"/>
          <w:sz w:val="21"/>
          <w:szCs w:val="21"/>
        </w:rPr>
        <w:t> </w:t>
      </w:r>
      <w:r>
        <w:rPr>
          <w:rFonts w:ascii="宋体" w:hAnsi="宋体" w:cs="宋体" w:eastAsia="宋体" w:hint="default"/>
          <w:sz w:val="21"/>
          <w:szCs w:val="21"/>
        </w:rPr>
        <w:t>不适用</w:t>
      </w:r>
    </w:p>
    <w:p>
      <w:pPr>
        <w:spacing w:line="240" w:lineRule="auto" w:before="3"/>
        <w:rPr>
          <w:rFonts w:ascii="宋体" w:hAnsi="宋体" w:cs="宋体" w:eastAsia="宋体" w:hint="default"/>
          <w:sz w:val="16"/>
          <w:szCs w:val="16"/>
        </w:rPr>
      </w:pPr>
    </w:p>
    <w:p>
      <w:pPr>
        <w:spacing w:before="0"/>
        <w:ind w:left="112" w:right="987" w:firstLine="0"/>
        <w:jc w:val="left"/>
        <w:rPr>
          <w:rFonts w:ascii="宋体" w:hAnsi="宋体" w:cs="宋体" w:eastAsia="宋体" w:hint="default"/>
          <w:sz w:val="24"/>
          <w:szCs w:val="24"/>
        </w:rPr>
      </w:pPr>
      <w:bookmarkStart w:name="九、年度报告披露后面临暂停上市和终止上市情况" w:id="65"/>
      <w:bookmarkEnd w:id="65"/>
      <w:r>
        <w:rPr/>
      </w:r>
      <w:r>
        <w:rPr>
          <w:rFonts w:ascii="宋体" w:hAnsi="宋体" w:cs="宋体" w:eastAsia="宋体" w:hint="default"/>
          <w:b/>
          <w:bCs/>
          <w:sz w:val="24"/>
          <w:szCs w:val="24"/>
        </w:rPr>
        <w:t>九、年度报告披露后面临暂停上市和终止上市情况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31"/>
        <w:ind w:left="112" w:right="987" w:firstLine="0"/>
        <w:jc w:val="left"/>
        <w:rPr>
          <w:rFonts w:ascii="宋体" w:hAnsi="宋体" w:cs="宋体" w:eastAsia="宋体" w:hint="default"/>
          <w:sz w:val="24"/>
          <w:szCs w:val="24"/>
        </w:rPr>
      </w:pPr>
      <w:bookmarkStart w:name="十、破产重整相关事项" w:id="66"/>
      <w:bookmarkEnd w:id="66"/>
      <w:r>
        <w:rPr/>
      </w:r>
      <w:r>
        <w:rPr>
          <w:rFonts w:ascii="宋体" w:hAnsi="宋体" w:cs="宋体" w:eastAsia="宋体" w:hint="default"/>
          <w:b/>
          <w:bCs/>
          <w:sz w:val="24"/>
          <w:szCs w:val="24"/>
        </w:rPr>
        <w:t>十、破产重整相关事项</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公司报告期未发生破产重整相关事项。</w:t>
      </w:r>
    </w:p>
    <w:p>
      <w:pPr>
        <w:spacing w:line="240" w:lineRule="auto" w:before="0"/>
        <w:rPr>
          <w:rFonts w:ascii="宋体" w:hAnsi="宋体" w:cs="宋体" w:eastAsia="宋体" w:hint="default"/>
          <w:sz w:val="20"/>
          <w:szCs w:val="20"/>
        </w:rPr>
      </w:pPr>
    </w:p>
    <w:p>
      <w:pPr>
        <w:spacing w:before="131"/>
        <w:ind w:left="112" w:right="987" w:firstLine="0"/>
        <w:jc w:val="left"/>
        <w:rPr>
          <w:rFonts w:ascii="宋体" w:hAnsi="宋体" w:cs="宋体" w:eastAsia="宋体" w:hint="default"/>
          <w:sz w:val="24"/>
          <w:szCs w:val="24"/>
        </w:rPr>
      </w:pPr>
      <w:bookmarkStart w:name="十一、重大诉讼、仲裁事项" w:id="67"/>
      <w:bookmarkEnd w:id="67"/>
      <w:r>
        <w:rPr/>
      </w:r>
      <w:r>
        <w:rPr>
          <w:rFonts w:ascii="宋体" w:hAnsi="宋体" w:cs="宋体" w:eastAsia="宋体" w:hint="default"/>
          <w:b/>
          <w:bCs/>
          <w:sz w:val="24"/>
          <w:szCs w:val="24"/>
        </w:rPr>
        <w:t>十一、重大诉讼、仲裁事项</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本年度公司无重大诉讼、仲裁事项。</w:t>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987"/>
        <w:jc w:val="left"/>
        <w:rPr>
          <w:b w:val="0"/>
          <w:bCs w:val="0"/>
        </w:rPr>
      </w:pPr>
      <w:bookmarkStart w:name="十二、处罚及整改情况" w:id="68"/>
      <w:bookmarkEnd w:id="68"/>
      <w:r>
        <w:rPr>
          <w:b w:val="0"/>
          <w:bCs w:val="0"/>
        </w:rPr>
      </w:r>
      <w:r>
        <w:rPr/>
        <w:t>十二、处罚及整改情况</w:t>
      </w:r>
      <w:r>
        <w:rPr>
          <w:b w:val="0"/>
          <w:bCs w:val="0"/>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公司报告期不存在处罚及整改情况。</w:t>
      </w:r>
    </w:p>
    <w:p>
      <w:pPr>
        <w:spacing w:line="240" w:lineRule="auto" w:before="11"/>
        <w:rPr>
          <w:rFonts w:ascii="宋体" w:hAnsi="宋体" w:cs="宋体" w:eastAsia="宋体" w:hint="default"/>
          <w:sz w:val="29"/>
          <w:szCs w:val="29"/>
        </w:rPr>
      </w:pPr>
    </w:p>
    <w:p>
      <w:pPr>
        <w:spacing w:before="0"/>
        <w:ind w:left="112" w:right="987" w:firstLine="0"/>
        <w:jc w:val="left"/>
        <w:rPr>
          <w:rFonts w:ascii="宋体" w:hAnsi="宋体" w:cs="宋体" w:eastAsia="宋体" w:hint="default"/>
          <w:sz w:val="24"/>
          <w:szCs w:val="24"/>
        </w:rPr>
      </w:pPr>
      <w:bookmarkStart w:name="十三、公司及其控股股东、实际控制人的诚信状况" w:id="69"/>
      <w:bookmarkEnd w:id="69"/>
      <w:r>
        <w:rPr/>
      </w:r>
      <w:r>
        <w:rPr>
          <w:rFonts w:ascii="宋体" w:hAnsi="宋体" w:cs="宋体" w:eastAsia="宋体" w:hint="default"/>
          <w:b/>
          <w:bCs/>
          <w:sz w:val="24"/>
          <w:szCs w:val="24"/>
        </w:rPr>
        <w:t>十三、公司及其控股股东、实际控制人的诚信状况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31"/>
        <w:ind w:left="112" w:right="987" w:firstLine="0"/>
        <w:jc w:val="left"/>
        <w:rPr>
          <w:rFonts w:ascii="宋体" w:hAnsi="宋体" w:cs="宋体" w:eastAsia="宋体" w:hint="default"/>
          <w:sz w:val="24"/>
          <w:szCs w:val="24"/>
        </w:rPr>
      </w:pPr>
      <w:bookmarkStart w:name="十四、公司股权激励计划、员工持股计划或其他员工激励措施的实施情况" w:id="70"/>
      <w:bookmarkEnd w:id="70"/>
      <w:r>
        <w:rPr/>
      </w:r>
      <w:r>
        <w:rPr>
          <w:rFonts w:ascii="宋体" w:hAnsi="宋体" w:cs="宋体" w:eastAsia="宋体" w:hint="default"/>
          <w:b/>
          <w:bCs/>
          <w:sz w:val="24"/>
          <w:szCs w:val="24"/>
        </w:rPr>
        <w:t>十四、公司股权激励计划、员工持股计划或其他员工激励措施的实施情况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、限制性股票激励计划概述</w:t>
      </w:r>
    </w:p>
    <w:p>
      <w:pPr>
        <w:spacing w:line="240" w:lineRule="auto" w:before="6"/>
        <w:rPr>
          <w:rFonts w:ascii="宋体" w:hAnsi="宋体" w:cs="宋体" w:eastAsia="宋体" w:hint="default"/>
          <w:sz w:val="16"/>
          <w:szCs w:val="16"/>
        </w:rPr>
      </w:pPr>
    </w:p>
    <w:p>
      <w:pPr>
        <w:spacing w:line="386" w:lineRule="auto" w:before="0"/>
        <w:ind w:left="112" w:right="987" w:firstLine="420"/>
        <w:jc w:val="left"/>
        <w:rPr>
          <w:rFonts w:ascii="Times New Roman" w:hAnsi="Times New Roman" w:cs="Times New Roman" w:eastAsia="Times New Roman" w:hint="default"/>
          <w:sz w:val="21"/>
          <w:szCs w:val="21"/>
        </w:rPr>
      </w:pPr>
      <w:r>
        <w:rPr>
          <w:rFonts w:ascii="宋体" w:hAnsi="宋体" w:cs="宋体" w:eastAsia="宋体" w:hint="default"/>
          <w:spacing w:val="-4"/>
          <w:w w:val="99"/>
          <w:sz w:val="21"/>
          <w:szCs w:val="21"/>
        </w:rPr>
        <w:t>根据《尤洛卡精准信息工程股份有限公司限制性股票激励计划（</w:t>
      </w:r>
      <w:r>
        <w:rPr>
          <w:rFonts w:ascii="Times New Roman" w:hAnsi="Times New Roman" w:cs="Times New Roman" w:eastAsia="Times New Roman" w:hint="default"/>
          <w:spacing w:val="-4"/>
          <w:w w:val="99"/>
          <w:sz w:val="21"/>
          <w:szCs w:val="21"/>
        </w:rPr>
        <w:t>2017-2019</w:t>
      </w:r>
      <w:r>
        <w:rPr>
          <w:rFonts w:ascii="宋体" w:hAnsi="宋体" w:cs="宋体" w:eastAsia="宋体" w:hint="default"/>
          <w:spacing w:val="-4"/>
          <w:w w:val="99"/>
          <w:sz w:val="21"/>
          <w:szCs w:val="21"/>
        </w:rPr>
        <w:t>）》（以下简称</w:t>
      </w:r>
      <w:r>
        <w:rPr>
          <w:rFonts w:ascii="Times New Roman" w:hAnsi="Times New Roman" w:cs="Times New Roman" w:eastAsia="Times New Roman" w:hint="default"/>
          <w:spacing w:val="-4"/>
          <w:w w:val="99"/>
          <w:sz w:val="21"/>
          <w:szCs w:val="21"/>
        </w:rPr>
        <w:t>“</w:t>
      </w:r>
      <w:r>
        <w:rPr>
          <w:rFonts w:ascii="宋体" w:hAnsi="宋体" w:cs="宋体" w:eastAsia="宋体" w:hint="default"/>
          <w:spacing w:val="-4"/>
          <w:w w:val="99"/>
          <w:sz w:val="21"/>
          <w:szCs w:val="21"/>
        </w:rPr>
        <w:t>激励计划</w:t>
      </w:r>
      <w:r>
        <w:rPr>
          <w:rFonts w:ascii="Times New Roman" w:hAnsi="Times New Roman" w:cs="Times New Roman" w:eastAsia="Times New Roman" w:hint="default"/>
          <w:spacing w:val="-4"/>
          <w:w w:val="99"/>
          <w:sz w:val="21"/>
          <w:szCs w:val="21"/>
        </w:rPr>
        <w:t>”</w:t>
      </w:r>
      <w:r>
        <w:rPr>
          <w:rFonts w:ascii="宋体" w:hAnsi="宋体" w:cs="宋体" w:eastAsia="宋体" w:hint="default"/>
          <w:spacing w:val="-4"/>
          <w:w w:val="99"/>
          <w:sz w:val="21"/>
          <w:szCs w:val="21"/>
        </w:rPr>
        <w:t>）</w:t>
      </w:r>
      <w:r>
        <w:rPr>
          <w:rFonts w:ascii="宋体" w:hAnsi="宋体" w:cs="宋体" w:eastAsia="宋体" w:hint="default"/>
          <w:w w:val="99"/>
          <w:sz w:val="21"/>
          <w:szCs w:val="21"/>
        </w:rPr>
        <w:t> </w:t>
      </w:r>
      <w:r>
        <w:rPr>
          <w:rFonts w:ascii="宋体" w:hAnsi="宋体" w:cs="宋体" w:eastAsia="宋体" w:hint="default"/>
          <w:sz w:val="21"/>
          <w:szCs w:val="21"/>
        </w:rPr>
        <w:t>的规定及公司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年第二次临时股东大会的授权，公司于</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日分别召开第四届董事会</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2017</w:t>
      </w:r>
    </w:p>
    <w:p>
      <w:pPr>
        <w:spacing w:before="35"/>
        <w:ind w:left="112" w:right="987" w:firstLine="0"/>
        <w:jc w:val="left"/>
        <w:rPr>
          <w:rFonts w:ascii="宋体" w:hAnsi="宋体" w:cs="宋体" w:eastAsia="宋体" w:hint="default"/>
          <w:sz w:val="21"/>
          <w:szCs w:val="21"/>
        </w:rPr>
      </w:pPr>
      <w:r>
        <w:rPr>
          <w:rFonts w:ascii="宋体" w:hAnsi="宋体" w:cs="宋体" w:eastAsia="宋体" w:hint="default"/>
          <w:spacing w:val="-1"/>
          <w:w w:val="99"/>
          <w:sz w:val="21"/>
          <w:szCs w:val="21"/>
        </w:rPr>
        <w:t>年</w:t>
      </w:r>
      <w:r>
        <w:rPr>
          <w:rFonts w:ascii="宋体" w:hAnsi="宋体" w:cs="宋体" w:eastAsia="宋体" w:hint="default"/>
          <w:spacing w:val="2"/>
          <w:w w:val="99"/>
          <w:sz w:val="21"/>
          <w:szCs w:val="21"/>
        </w:rPr>
        <w:t>第</w:t>
      </w:r>
      <w:r>
        <w:rPr>
          <w:rFonts w:ascii="宋体" w:hAnsi="宋体" w:cs="宋体" w:eastAsia="宋体" w:hint="default"/>
          <w:spacing w:val="-1"/>
          <w:w w:val="99"/>
          <w:sz w:val="21"/>
          <w:szCs w:val="21"/>
        </w:rPr>
        <w:t>七</w:t>
      </w:r>
      <w:r>
        <w:rPr>
          <w:rFonts w:ascii="宋体" w:hAnsi="宋体" w:cs="宋体" w:eastAsia="宋体" w:hint="default"/>
          <w:spacing w:val="2"/>
          <w:w w:val="99"/>
          <w:sz w:val="21"/>
          <w:szCs w:val="21"/>
        </w:rPr>
        <w:t>次</w:t>
      </w:r>
      <w:r>
        <w:rPr>
          <w:rFonts w:ascii="宋体" w:hAnsi="宋体" w:cs="宋体" w:eastAsia="宋体" w:hint="default"/>
          <w:spacing w:val="-1"/>
          <w:w w:val="99"/>
          <w:sz w:val="21"/>
          <w:szCs w:val="21"/>
        </w:rPr>
        <w:t>会</w:t>
      </w:r>
      <w:r>
        <w:rPr>
          <w:rFonts w:ascii="宋体" w:hAnsi="宋体" w:cs="宋体" w:eastAsia="宋体" w:hint="default"/>
          <w:spacing w:val="2"/>
          <w:w w:val="99"/>
          <w:sz w:val="21"/>
          <w:szCs w:val="21"/>
        </w:rPr>
        <w:t>议</w:t>
      </w:r>
      <w:r>
        <w:rPr>
          <w:rFonts w:ascii="宋体" w:hAnsi="宋体" w:cs="宋体" w:eastAsia="宋体" w:hint="default"/>
          <w:spacing w:val="-1"/>
          <w:w w:val="99"/>
          <w:sz w:val="21"/>
          <w:szCs w:val="21"/>
        </w:rPr>
        <w:t>和</w:t>
      </w:r>
      <w:r>
        <w:rPr>
          <w:rFonts w:ascii="宋体" w:hAnsi="宋体" w:cs="宋体" w:eastAsia="宋体" w:hint="default"/>
          <w:spacing w:val="2"/>
          <w:w w:val="99"/>
          <w:sz w:val="21"/>
          <w:szCs w:val="21"/>
        </w:rPr>
        <w:t>第</w:t>
      </w:r>
      <w:r>
        <w:rPr>
          <w:rFonts w:ascii="宋体" w:hAnsi="宋体" w:cs="宋体" w:eastAsia="宋体" w:hint="default"/>
          <w:spacing w:val="-1"/>
          <w:w w:val="99"/>
          <w:sz w:val="21"/>
          <w:szCs w:val="21"/>
        </w:rPr>
        <w:t>四</w:t>
      </w:r>
      <w:r>
        <w:rPr>
          <w:rFonts w:ascii="宋体" w:hAnsi="宋体" w:cs="宋体" w:eastAsia="宋体" w:hint="default"/>
          <w:spacing w:val="2"/>
          <w:w w:val="99"/>
          <w:sz w:val="21"/>
          <w:szCs w:val="21"/>
        </w:rPr>
        <w:t>届</w:t>
      </w:r>
      <w:r>
        <w:rPr>
          <w:rFonts w:ascii="宋体" w:hAnsi="宋体" w:cs="宋体" w:eastAsia="宋体" w:hint="default"/>
          <w:spacing w:val="-1"/>
          <w:w w:val="99"/>
          <w:sz w:val="21"/>
          <w:szCs w:val="21"/>
        </w:rPr>
        <w:t>监</w:t>
      </w:r>
      <w:r>
        <w:rPr>
          <w:rFonts w:ascii="宋体" w:hAnsi="宋体" w:cs="宋体" w:eastAsia="宋体" w:hint="default"/>
          <w:spacing w:val="2"/>
          <w:w w:val="99"/>
          <w:sz w:val="21"/>
          <w:szCs w:val="21"/>
        </w:rPr>
        <w:t>事</w:t>
      </w:r>
      <w:r>
        <w:rPr>
          <w:rFonts w:ascii="宋体" w:hAnsi="宋体" w:cs="宋体" w:eastAsia="宋体" w:hint="default"/>
          <w:w w:val="99"/>
          <w:sz w:val="21"/>
          <w:szCs w:val="21"/>
        </w:rPr>
        <w:t>会</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2"/>
          <w:w w:val="99"/>
          <w:sz w:val="21"/>
          <w:szCs w:val="21"/>
        </w:rPr>
        <w:t>1</w:t>
      </w:r>
      <w:r>
        <w:rPr>
          <w:rFonts w:ascii="Times New Roman" w:hAnsi="Times New Roman" w:cs="Times New Roman" w:eastAsia="Times New Roman" w:hint="default"/>
          <w:w w:val="99"/>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pacing w:val="-1"/>
          <w:w w:val="99"/>
          <w:sz w:val="21"/>
          <w:szCs w:val="21"/>
        </w:rPr>
        <w:t>年</w:t>
      </w:r>
      <w:r>
        <w:rPr>
          <w:rFonts w:ascii="宋体" w:hAnsi="宋体" w:cs="宋体" w:eastAsia="宋体" w:hint="default"/>
          <w:spacing w:val="2"/>
          <w:w w:val="99"/>
          <w:sz w:val="21"/>
          <w:szCs w:val="21"/>
        </w:rPr>
        <w:t>第</w:t>
      </w:r>
      <w:r>
        <w:rPr>
          <w:rFonts w:ascii="宋体" w:hAnsi="宋体" w:cs="宋体" w:eastAsia="宋体" w:hint="default"/>
          <w:spacing w:val="-1"/>
          <w:w w:val="99"/>
          <w:sz w:val="21"/>
          <w:szCs w:val="21"/>
        </w:rPr>
        <w:t>七</w:t>
      </w:r>
      <w:r>
        <w:rPr>
          <w:rFonts w:ascii="宋体" w:hAnsi="宋体" w:cs="宋体" w:eastAsia="宋体" w:hint="default"/>
          <w:spacing w:val="2"/>
          <w:w w:val="99"/>
          <w:sz w:val="21"/>
          <w:szCs w:val="21"/>
        </w:rPr>
        <w:t>次</w:t>
      </w:r>
      <w:r>
        <w:rPr>
          <w:rFonts w:ascii="宋体" w:hAnsi="宋体" w:cs="宋体" w:eastAsia="宋体" w:hint="default"/>
          <w:spacing w:val="-1"/>
          <w:w w:val="99"/>
          <w:sz w:val="21"/>
          <w:szCs w:val="21"/>
        </w:rPr>
        <w:t>会</w:t>
      </w:r>
      <w:r>
        <w:rPr>
          <w:rFonts w:ascii="宋体" w:hAnsi="宋体" w:cs="宋体" w:eastAsia="宋体" w:hint="default"/>
          <w:spacing w:val="2"/>
          <w:w w:val="99"/>
          <w:sz w:val="21"/>
          <w:szCs w:val="21"/>
        </w:rPr>
        <w:t>议</w:t>
      </w:r>
      <w:r>
        <w:rPr>
          <w:rFonts w:ascii="宋体" w:hAnsi="宋体" w:cs="宋体" w:eastAsia="宋体" w:hint="default"/>
          <w:spacing w:val="-101"/>
          <w:w w:val="99"/>
          <w:sz w:val="21"/>
          <w:szCs w:val="21"/>
        </w:rPr>
        <w:t>，</w:t>
      </w:r>
      <w:r>
        <w:rPr>
          <w:rFonts w:ascii="宋体" w:hAnsi="宋体" w:cs="宋体" w:eastAsia="宋体" w:hint="default"/>
          <w:spacing w:val="-1"/>
          <w:w w:val="99"/>
          <w:sz w:val="21"/>
          <w:szCs w:val="21"/>
        </w:rPr>
        <w:t>审</w:t>
      </w:r>
      <w:r>
        <w:rPr>
          <w:rFonts w:ascii="宋体" w:hAnsi="宋体" w:cs="宋体" w:eastAsia="宋体" w:hint="default"/>
          <w:spacing w:val="2"/>
          <w:w w:val="99"/>
          <w:sz w:val="21"/>
          <w:szCs w:val="21"/>
        </w:rPr>
        <w:t>议</w:t>
      </w:r>
      <w:r>
        <w:rPr>
          <w:rFonts w:ascii="宋体" w:hAnsi="宋体" w:cs="宋体" w:eastAsia="宋体" w:hint="default"/>
          <w:spacing w:val="-1"/>
          <w:w w:val="99"/>
          <w:sz w:val="21"/>
          <w:szCs w:val="21"/>
        </w:rPr>
        <w:t>通</w:t>
      </w:r>
      <w:r>
        <w:rPr>
          <w:rFonts w:ascii="宋体" w:hAnsi="宋体" w:cs="宋体" w:eastAsia="宋体" w:hint="default"/>
          <w:spacing w:val="2"/>
          <w:w w:val="99"/>
          <w:sz w:val="21"/>
          <w:szCs w:val="21"/>
        </w:rPr>
        <w:t>过</w:t>
      </w:r>
      <w:r>
        <w:rPr>
          <w:rFonts w:ascii="宋体" w:hAnsi="宋体" w:cs="宋体" w:eastAsia="宋体" w:hint="default"/>
          <w:spacing w:val="-99"/>
          <w:w w:val="99"/>
          <w:sz w:val="21"/>
          <w:szCs w:val="21"/>
        </w:rPr>
        <w:t>了</w:t>
      </w:r>
      <w:r>
        <w:rPr>
          <w:rFonts w:ascii="宋体" w:hAnsi="宋体" w:cs="宋体" w:eastAsia="宋体" w:hint="default"/>
          <w:spacing w:val="-1"/>
          <w:w w:val="99"/>
          <w:sz w:val="21"/>
          <w:szCs w:val="21"/>
        </w:rPr>
        <w:t>《关</w:t>
      </w:r>
      <w:r>
        <w:rPr>
          <w:rFonts w:ascii="宋体" w:hAnsi="宋体" w:cs="宋体" w:eastAsia="宋体" w:hint="default"/>
          <w:spacing w:val="2"/>
          <w:w w:val="99"/>
          <w:sz w:val="21"/>
          <w:szCs w:val="21"/>
        </w:rPr>
        <w:t>于</w:t>
      </w:r>
      <w:r>
        <w:rPr>
          <w:rFonts w:ascii="宋体" w:hAnsi="宋体" w:cs="宋体" w:eastAsia="宋体" w:hint="default"/>
          <w:spacing w:val="-1"/>
          <w:w w:val="99"/>
          <w:sz w:val="21"/>
          <w:szCs w:val="21"/>
        </w:rPr>
        <w:t>调</w:t>
      </w:r>
      <w:r>
        <w:rPr>
          <w:rFonts w:ascii="宋体" w:hAnsi="宋体" w:cs="宋体" w:eastAsia="宋体" w:hint="default"/>
          <w:spacing w:val="2"/>
          <w:w w:val="99"/>
          <w:sz w:val="21"/>
          <w:szCs w:val="21"/>
        </w:rPr>
        <w:t>整</w:t>
      </w:r>
      <w:r>
        <w:rPr>
          <w:rFonts w:ascii="宋体" w:hAnsi="宋体" w:cs="宋体" w:eastAsia="宋体" w:hint="default"/>
          <w:spacing w:val="-1"/>
          <w:w w:val="99"/>
          <w:sz w:val="21"/>
          <w:szCs w:val="21"/>
        </w:rPr>
        <w:t>限</w:t>
      </w:r>
      <w:r>
        <w:rPr>
          <w:rFonts w:ascii="宋体" w:hAnsi="宋体" w:cs="宋体" w:eastAsia="宋体" w:hint="default"/>
          <w:spacing w:val="2"/>
          <w:w w:val="99"/>
          <w:sz w:val="21"/>
          <w:szCs w:val="21"/>
        </w:rPr>
        <w:t>制</w:t>
      </w:r>
      <w:r>
        <w:rPr>
          <w:rFonts w:ascii="宋体" w:hAnsi="宋体" w:cs="宋体" w:eastAsia="宋体" w:hint="default"/>
          <w:spacing w:val="-1"/>
          <w:w w:val="99"/>
          <w:sz w:val="21"/>
          <w:szCs w:val="21"/>
        </w:rPr>
        <w:t>性</w:t>
      </w:r>
      <w:r>
        <w:rPr>
          <w:rFonts w:ascii="宋体" w:hAnsi="宋体" w:cs="宋体" w:eastAsia="宋体" w:hint="default"/>
          <w:spacing w:val="2"/>
          <w:w w:val="99"/>
          <w:sz w:val="21"/>
          <w:szCs w:val="21"/>
        </w:rPr>
        <w:t>股</w:t>
      </w:r>
      <w:r>
        <w:rPr>
          <w:rFonts w:ascii="宋体" w:hAnsi="宋体" w:cs="宋体" w:eastAsia="宋体" w:hint="default"/>
          <w:spacing w:val="-1"/>
          <w:w w:val="99"/>
          <w:sz w:val="21"/>
          <w:szCs w:val="21"/>
        </w:rPr>
        <w:t>票</w:t>
      </w:r>
      <w:r>
        <w:rPr>
          <w:rFonts w:ascii="宋体" w:hAnsi="宋体" w:cs="宋体" w:eastAsia="宋体" w:hint="default"/>
          <w:spacing w:val="2"/>
          <w:w w:val="99"/>
          <w:sz w:val="21"/>
          <w:szCs w:val="21"/>
        </w:rPr>
        <w:t>激</w:t>
      </w:r>
      <w:r>
        <w:rPr>
          <w:rFonts w:ascii="宋体" w:hAnsi="宋体" w:cs="宋体" w:eastAsia="宋体" w:hint="default"/>
          <w:spacing w:val="-1"/>
          <w:w w:val="99"/>
          <w:sz w:val="21"/>
          <w:szCs w:val="21"/>
        </w:rPr>
        <w:t>励</w:t>
      </w:r>
      <w:r>
        <w:rPr>
          <w:rFonts w:ascii="宋体" w:hAnsi="宋体" w:cs="宋体" w:eastAsia="宋体" w:hint="default"/>
          <w:spacing w:val="2"/>
          <w:w w:val="99"/>
          <w:sz w:val="21"/>
          <w:szCs w:val="21"/>
        </w:rPr>
        <w:t>计</w:t>
      </w:r>
      <w:r>
        <w:rPr>
          <w:rFonts w:ascii="宋体" w:hAnsi="宋体" w:cs="宋体" w:eastAsia="宋体" w:hint="default"/>
          <w:spacing w:val="-99"/>
          <w:w w:val="99"/>
          <w:sz w:val="21"/>
          <w:szCs w:val="21"/>
        </w:rPr>
        <w:t>划</w:t>
      </w:r>
      <w:r>
        <w:rPr>
          <w:rFonts w:ascii="宋体" w:hAnsi="宋体" w:cs="宋体" w:eastAsia="宋体" w:hint="default"/>
          <w:spacing w:val="-1"/>
          <w:w w:val="99"/>
          <w:sz w:val="21"/>
          <w:szCs w:val="21"/>
        </w:rPr>
        <w:t>（</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spacing w:val="-2"/>
          <w:w w:val="99"/>
          <w:sz w:val="21"/>
          <w:szCs w:val="21"/>
        </w:rPr>
        <w:t>7</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2019</w:t>
      </w:r>
      <w:r>
        <w:rPr>
          <w:rFonts w:ascii="宋体" w:hAnsi="宋体" w:cs="宋体" w:eastAsia="宋体" w:hint="default"/>
          <w:w w:val="99"/>
          <w:sz w:val="21"/>
          <w:szCs w:val="21"/>
        </w:rPr>
        <w:t>）</w:t>
      </w:r>
      <w:r>
        <w:rPr>
          <w:rFonts w:ascii="宋体" w:hAnsi="宋体" w:cs="宋体" w:eastAsia="宋体" w:hint="default"/>
          <w:sz w:val="21"/>
          <w:szCs w:val="21"/>
        </w:rPr>
      </w:r>
    </w:p>
    <w:p>
      <w:pPr>
        <w:spacing w:before="177"/>
        <w:ind w:left="112" w:right="987" w:firstLine="0"/>
        <w:jc w:val="left"/>
        <w:rPr>
          <w:rFonts w:ascii="宋体" w:hAnsi="宋体" w:cs="宋体" w:eastAsia="宋体" w:hint="default"/>
          <w:sz w:val="21"/>
          <w:szCs w:val="21"/>
        </w:rPr>
      </w:pPr>
      <w:r>
        <w:rPr>
          <w:rFonts w:ascii="宋体" w:hAnsi="宋体" w:cs="宋体" w:eastAsia="宋体" w:hint="default"/>
          <w:spacing w:val="-1"/>
          <w:w w:val="99"/>
          <w:sz w:val="21"/>
          <w:szCs w:val="21"/>
        </w:rPr>
        <w:t>授</w:t>
      </w:r>
      <w:r>
        <w:rPr>
          <w:rFonts w:ascii="宋体" w:hAnsi="宋体" w:cs="宋体" w:eastAsia="宋体" w:hint="default"/>
          <w:spacing w:val="2"/>
          <w:w w:val="99"/>
          <w:sz w:val="21"/>
          <w:szCs w:val="21"/>
        </w:rPr>
        <w:t>予</w:t>
      </w:r>
      <w:r>
        <w:rPr>
          <w:rFonts w:ascii="宋体" w:hAnsi="宋体" w:cs="宋体" w:eastAsia="宋体" w:hint="default"/>
          <w:spacing w:val="-1"/>
          <w:w w:val="99"/>
          <w:sz w:val="21"/>
          <w:szCs w:val="21"/>
        </w:rPr>
        <w:t>数</w:t>
      </w:r>
      <w:r>
        <w:rPr>
          <w:rFonts w:ascii="宋体" w:hAnsi="宋体" w:cs="宋体" w:eastAsia="宋体" w:hint="default"/>
          <w:spacing w:val="2"/>
          <w:w w:val="99"/>
          <w:sz w:val="21"/>
          <w:szCs w:val="21"/>
        </w:rPr>
        <w:t>量</w:t>
      </w:r>
      <w:r>
        <w:rPr>
          <w:rFonts w:ascii="宋体" w:hAnsi="宋体" w:cs="宋体" w:eastAsia="宋体" w:hint="default"/>
          <w:spacing w:val="-1"/>
          <w:w w:val="99"/>
          <w:sz w:val="21"/>
          <w:szCs w:val="21"/>
        </w:rPr>
        <w:t>的</w:t>
      </w:r>
      <w:r>
        <w:rPr>
          <w:rFonts w:ascii="宋体" w:hAnsi="宋体" w:cs="宋体" w:eastAsia="宋体" w:hint="default"/>
          <w:spacing w:val="2"/>
          <w:w w:val="99"/>
          <w:sz w:val="21"/>
          <w:szCs w:val="21"/>
        </w:rPr>
        <w:t>议案</w:t>
      </w:r>
      <w:r>
        <w:rPr>
          <w:rFonts w:ascii="宋体" w:hAnsi="宋体" w:cs="宋体" w:eastAsia="宋体" w:hint="default"/>
          <w:spacing w:val="-104"/>
          <w:w w:val="99"/>
          <w:sz w:val="21"/>
          <w:szCs w:val="21"/>
        </w:rPr>
        <w:t>》</w:t>
      </w:r>
      <w:r>
        <w:rPr>
          <w:rFonts w:ascii="宋体" w:hAnsi="宋体" w:cs="宋体" w:eastAsia="宋体" w:hint="default"/>
          <w:spacing w:val="-106"/>
          <w:w w:val="99"/>
          <w:sz w:val="21"/>
          <w:szCs w:val="21"/>
        </w:rPr>
        <w:t>、</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关</w:t>
      </w:r>
      <w:r>
        <w:rPr>
          <w:rFonts w:ascii="宋体" w:hAnsi="宋体" w:cs="宋体" w:eastAsia="宋体" w:hint="default"/>
          <w:spacing w:val="-1"/>
          <w:w w:val="99"/>
          <w:sz w:val="21"/>
          <w:szCs w:val="21"/>
        </w:rPr>
        <w:t>于</w:t>
      </w:r>
      <w:r>
        <w:rPr>
          <w:rFonts w:ascii="宋体" w:hAnsi="宋体" w:cs="宋体" w:eastAsia="宋体" w:hint="default"/>
          <w:spacing w:val="2"/>
          <w:w w:val="99"/>
          <w:sz w:val="21"/>
          <w:szCs w:val="21"/>
        </w:rPr>
        <w:t>向</w:t>
      </w:r>
      <w:r>
        <w:rPr>
          <w:rFonts w:ascii="宋体" w:hAnsi="宋体" w:cs="宋体" w:eastAsia="宋体" w:hint="default"/>
          <w:spacing w:val="-1"/>
          <w:w w:val="99"/>
          <w:sz w:val="21"/>
          <w:szCs w:val="21"/>
        </w:rPr>
        <w:t>激</w:t>
      </w:r>
      <w:r>
        <w:rPr>
          <w:rFonts w:ascii="宋体" w:hAnsi="宋体" w:cs="宋体" w:eastAsia="宋体" w:hint="default"/>
          <w:spacing w:val="2"/>
          <w:w w:val="99"/>
          <w:sz w:val="21"/>
          <w:szCs w:val="21"/>
        </w:rPr>
        <w:t>励</w:t>
      </w:r>
      <w:r>
        <w:rPr>
          <w:rFonts w:ascii="宋体" w:hAnsi="宋体" w:cs="宋体" w:eastAsia="宋体" w:hint="default"/>
          <w:spacing w:val="-1"/>
          <w:w w:val="99"/>
          <w:sz w:val="21"/>
          <w:szCs w:val="21"/>
        </w:rPr>
        <w:t>对</w:t>
      </w:r>
      <w:r>
        <w:rPr>
          <w:rFonts w:ascii="宋体" w:hAnsi="宋体" w:cs="宋体" w:eastAsia="宋体" w:hint="default"/>
          <w:spacing w:val="2"/>
          <w:w w:val="99"/>
          <w:sz w:val="21"/>
          <w:szCs w:val="21"/>
        </w:rPr>
        <w:t>象</w:t>
      </w:r>
      <w:r>
        <w:rPr>
          <w:rFonts w:ascii="宋体" w:hAnsi="宋体" w:cs="宋体" w:eastAsia="宋体" w:hint="default"/>
          <w:spacing w:val="-1"/>
          <w:w w:val="99"/>
          <w:sz w:val="21"/>
          <w:szCs w:val="21"/>
        </w:rPr>
        <w:t>首</w:t>
      </w:r>
      <w:r>
        <w:rPr>
          <w:rFonts w:ascii="宋体" w:hAnsi="宋体" w:cs="宋体" w:eastAsia="宋体" w:hint="default"/>
          <w:spacing w:val="2"/>
          <w:w w:val="99"/>
          <w:sz w:val="21"/>
          <w:szCs w:val="21"/>
        </w:rPr>
        <w:t>次</w:t>
      </w:r>
      <w:r>
        <w:rPr>
          <w:rFonts w:ascii="宋体" w:hAnsi="宋体" w:cs="宋体" w:eastAsia="宋体" w:hint="default"/>
          <w:spacing w:val="-1"/>
          <w:w w:val="99"/>
          <w:sz w:val="21"/>
          <w:szCs w:val="21"/>
        </w:rPr>
        <w:t>授</w:t>
      </w:r>
      <w:r>
        <w:rPr>
          <w:rFonts w:ascii="宋体" w:hAnsi="宋体" w:cs="宋体" w:eastAsia="宋体" w:hint="default"/>
          <w:spacing w:val="2"/>
          <w:w w:val="99"/>
          <w:sz w:val="21"/>
          <w:szCs w:val="21"/>
        </w:rPr>
        <w:t>予</w:t>
      </w:r>
      <w:r>
        <w:rPr>
          <w:rFonts w:ascii="宋体" w:hAnsi="宋体" w:cs="宋体" w:eastAsia="宋体" w:hint="default"/>
          <w:spacing w:val="-1"/>
          <w:w w:val="99"/>
          <w:sz w:val="21"/>
          <w:szCs w:val="21"/>
        </w:rPr>
        <w:t>限</w:t>
      </w:r>
      <w:r>
        <w:rPr>
          <w:rFonts w:ascii="宋体" w:hAnsi="宋体" w:cs="宋体" w:eastAsia="宋体" w:hint="default"/>
          <w:spacing w:val="2"/>
          <w:w w:val="99"/>
          <w:sz w:val="21"/>
          <w:szCs w:val="21"/>
        </w:rPr>
        <w:t>制</w:t>
      </w:r>
      <w:r>
        <w:rPr>
          <w:rFonts w:ascii="宋体" w:hAnsi="宋体" w:cs="宋体" w:eastAsia="宋体" w:hint="default"/>
          <w:spacing w:val="-1"/>
          <w:w w:val="99"/>
          <w:sz w:val="21"/>
          <w:szCs w:val="21"/>
        </w:rPr>
        <w:t>性</w:t>
      </w:r>
      <w:r>
        <w:rPr>
          <w:rFonts w:ascii="宋体" w:hAnsi="宋体" w:cs="宋体" w:eastAsia="宋体" w:hint="default"/>
          <w:spacing w:val="2"/>
          <w:w w:val="99"/>
          <w:sz w:val="21"/>
          <w:szCs w:val="21"/>
        </w:rPr>
        <w:t>股</w:t>
      </w:r>
      <w:r>
        <w:rPr>
          <w:rFonts w:ascii="宋体" w:hAnsi="宋体" w:cs="宋体" w:eastAsia="宋体" w:hint="default"/>
          <w:spacing w:val="-1"/>
          <w:w w:val="99"/>
          <w:sz w:val="21"/>
          <w:szCs w:val="21"/>
        </w:rPr>
        <w:t>票</w:t>
      </w:r>
      <w:r>
        <w:rPr>
          <w:rFonts w:ascii="宋体" w:hAnsi="宋体" w:cs="宋体" w:eastAsia="宋体" w:hint="default"/>
          <w:spacing w:val="2"/>
          <w:w w:val="99"/>
          <w:sz w:val="21"/>
          <w:szCs w:val="21"/>
        </w:rPr>
        <w:t>的</w:t>
      </w:r>
      <w:r>
        <w:rPr>
          <w:rFonts w:ascii="宋体" w:hAnsi="宋体" w:cs="宋体" w:eastAsia="宋体" w:hint="default"/>
          <w:spacing w:val="-1"/>
          <w:w w:val="99"/>
          <w:sz w:val="21"/>
          <w:szCs w:val="21"/>
        </w:rPr>
        <w:t>议</w:t>
      </w:r>
      <w:r>
        <w:rPr>
          <w:rFonts w:ascii="宋体" w:hAnsi="宋体" w:cs="宋体" w:eastAsia="宋体" w:hint="default"/>
          <w:spacing w:val="2"/>
          <w:w w:val="99"/>
          <w:sz w:val="21"/>
          <w:szCs w:val="21"/>
        </w:rPr>
        <w:t>案</w:t>
      </w:r>
      <w:r>
        <w:rPr>
          <w:rFonts w:ascii="宋体" w:hAnsi="宋体" w:cs="宋体" w:eastAsia="宋体" w:hint="default"/>
          <w:spacing w:val="-104"/>
          <w:w w:val="99"/>
          <w:sz w:val="21"/>
          <w:szCs w:val="21"/>
        </w:rPr>
        <w:t>》</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确</w:t>
      </w:r>
      <w:r>
        <w:rPr>
          <w:rFonts w:ascii="宋体" w:hAnsi="宋体" w:cs="宋体" w:eastAsia="宋体" w:hint="default"/>
          <w:spacing w:val="-1"/>
          <w:w w:val="99"/>
          <w:sz w:val="21"/>
          <w:szCs w:val="21"/>
        </w:rPr>
        <w:t>定</w:t>
      </w:r>
      <w:r>
        <w:rPr>
          <w:rFonts w:ascii="宋体" w:hAnsi="宋体" w:cs="宋体" w:eastAsia="宋体" w:hint="default"/>
          <w:w w:val="99"/>
          <w:sz w:val="21"/>
          <w:szCs w:val="21"/>
        </w:rPr>
        <w:t>了</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4"/>
          <w:w w:val="99"/>
          <w:sz w:val="21"/>
          <w:szCs w:val="21"/>
        </w:rPr>
        <w:t>1</w:t>
      </w:r>
      <w:r>
        <w:rPr>
          <w:rFonts w:ascii="Times New Roman" w:hAnsi="Times New Roman" w:cs="Times New Roman" w:eastAsia="Times New Roman" w:hint="default"/>
          <w:w w:val="99"/>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w w:val="99"/>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2</w:t>
      </w:r>
      <w:r>
        <w:rPr>
          <w:rFonts w:ascii="Times New Roman" w:hAnsi="Times New Roman" w:cs="Times New Roman" w:eastAsia="Times New Roman" w:hint="default"/>
          <w:w w:val="99"/>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pacing w:val="-1"/>
          <w:w w:val="99"/>
          <w:sz w:val="21"/>
          <w:szCs w:val="21"/>
        </w:rPr>
        <w:t>日</w:t>
      </w:r>
      <w:r>
        <w:rPr>
          <w:rFonts w:ascii="宋体" w:hAnsi="宋体" w:cs="宋体" w:eastAsia="宋体" w:hint="default"/>
          <w:spacing w:val="2"/>
          <w:w w:val="99"/>
          <w:sz w:val="21"/>
          <w:szCs w:val="21"/>
        </w:rPr>
        <w:t>为</w:t>
      </w:r>
      <w:r>
        <w:rPr>
          <w:rFonts w:ascii="宋体" w:hAnsi="宋体" w:cs="宋体" w:eastAsia="宋体" w:hint="default"/>
          <w:spacing w:val="-1"/>
          <w:w w:val="99"/>
          <w:sz w:val="21"/>
          <w:szCs w:val="21"/>
        </w:rPr>
        <w:t>授</w:t>
      </w:r>
      <w:r>
        <w:rPr>
          <w:rFonts w:ascii="宋体" w:hAnsi="宋体" w:cs="宋体" w:eastAsia="宋体" w:hint="default"/>
          <w:spacing w:val="2"/>
          <w:w w:val="99"/>
          <w:sz w:val="21"/>
          <w:szCs w:val="21"/>
        </w:rPr>
        <w:t>予日</w:t>
      </w:r>
      <w:r>
        <w:rPr>
          <w:rFonts w:ascii="宋体" w:hAnsi="宋体" w:cs="宋体" w:eastAsia="宋体" w:hint="default"/>
          <w:w w:val="99"/>
          <w:sz w:val="21"/>
          <w:szCs w:val="21"/>
        </w:rPr>
        <w:t>，</w:t>
      </w:r>
      <w:r>
        <w:rPr>
          <w:rFonts w:ascii="宋体" w:hAnsi="宋体" w:cs="宋体" w:eastAsia="宋体" w:hint="default"/>
          <w:sz w:val="21"/>
          <w:szCs w:val="21"/>
        </w:rPr>
      </w:r>
    </w:p>
    <w:p>
      <w:pPr>
        <w:spacing w:before="177"/>
        <w:ind w:left="112" w:right="987" w:firstLine="0"/>
        <w:jc w:val="left"/>
        <w:rPr>
          <w:rFonts w:ascii="宋体" w:hAnsi="宋体" w:cs="宋体" w:eastAsia="宋体" w:hint="default"/>
          <w:sz w:val="21"/>
          <w:szCs w:val="21"/>
        </w:rPr>
      </w:pPr>
      <w:r>
        <w:rPr>
          <w:rFonts w:ascii="宋体" w:hAnsi="宋体" w:cs="宋体" w:eastAsia="宋体" w:hint="default"/>
          <w:sz w:val="21"/>
          <w:szCs w:val="21"/>
        </w:rPr>
        <w:t>向符合条件的</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174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名激励对象授予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888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万股限制性股票。其主要内容如下：</w:t>
      </w:r>
    </w:p>
    <w:p>
      <w:pPr>
        <w:spacing w:line="240" w:lineRule="auto" w:before="9"/>
        <w:rPr>
          <w:rFonts w:ascii="宋体" w:hAnsi="宋体" w:cs="宋体" w:eastAsia="宋体" w:hint="default"/>
          <w:sz w:val="16"/>
          <w:szCs w:val="16"/>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）授予日：本次限制性股票的授予日为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p>
      <w:pPr>
        <w:spacing w:line="240" w:lineRule="auto" w:before="9"/>
        <w:rPr>
          <w:rFonts w:ascii="宋体" w:hAnsi="宋体" w:cs="宋体" w:eastAsia="宋体" w:hint="default"/>
          <w:sz w:val="16"/>
          <w:szCs w:val="16"/>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）授予数量：本次限制性股票的授予数量为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888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万股。</w:t>
      </w:r>
    </w:p>
    <w:p>
      <w:pPr>
        <w:spacing w:line="240" w:lineRule="auto" w:before="6"/>
        <w:rPr>
          <w:rFonts w:ascii="宋体" w:hAnsi="宋体" w:cs="宋体" w:eastAsia="宋体" w:hint="default"/>
          <w:sz w:val="16"/>
          <w:szCs w:val="16"/>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）授予人数：本次限制性股票的授予人数为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174</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人。</w:t>
      </w:r>
    </w:p>
    <w:p>
      <w:pPr>
        <w:spacing w:line="240" w:lineRule="auto" w:before="9"/>
        <w:rPr>
          <w:rFonts w:ascii="宋体" w:hAnsi="宋体" w:cs="宋体" w:eastAsia="宋体" w:hint="default"/>
          <w:sz w:val="16"/>
          <w:szCs w:val="16"/>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）授予价格：本次限制性股票的授予价格为</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4.03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p>
      <w:pPr>
        <w:spacing w:line="240" w:lineRule="auto" w:before="9"/>
        <w:rPr>
          <w:rFonts w:ascii="宋体" w:hAnsi="宋体" w:cs="宋体" w:eastAsia="宋体" w:hint="default"/>
          <w:sz w:val="16"/>
          <w:szCs w:val="16"/>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）股票来源：公司向激励对象定向发行公司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股普通股。</w:t>
      </w:r>
    </w:p>
    <w:p>
      <w:pPr>
        <w:spacing w:line="240" w:lineRule="auto" w:before="6"/>
        <w:rPr>
          <w:rFonts w:ascii="宋体" w:hAnsi="宋体" w:cs="宋体" w:eastAsia="宋体" w:hint="default"/>
          <w:sz w:val="16"/>
          <w:szCs w:val="16"/>
        </w:rPr>
      </w:pPr>
    </w:p>
    <w:p>
      <w:pPr>
        <w:spacing w:before="0"/>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、激励计划的有效期、解锁期和解锁安排情况</w:t>
      </w:r>
    </w:p>
    <w:p>
      <w:pPr>
        <w:spacing w:line="240" w:lineRule="auto" w:before="9"/>
        <w:rPr>
          <w:rFonts w:ascii="宋体" w:hAnsi="宋体" w:cs="宋体" w:eastAsia="宋体" w:hint="default"/>
          <w:sz w:val="16"/>
          <w:szCs w:val="16"/>
        </w:rPr>
      </w:pPr>
    </w:p>
    <w:p>
      <w:pPr>
        <w:spacing w:line="386" w:lineRule="auto" w:before="0"/>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）本激励计划有效期自限制性股票首次授予完成之日起至激励对象获授的限制性股票全部解除限</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sz w:val="21"/>
          <w:szCs w:val="21"/>
        </w:rPr>
        <w:t>售或回购注销之日止，最长不超过</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个月。</w:t>
      </w:r>
    </w:p>
    <w:p>
      <w:pPr>
        <w:spacing w:line="403" w:lineRule="auto" w:before="76"/>
        <w:ind w:left="112" w:right="1132"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）本次授予的限制性股票限售期为自首次授予完成之日起</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个月。激励对象根据本激励计划获授</w:t>
      </w:r>
      <w:r>
        <w:rPr>
          <w:rFonts w:ascii="宋体" w:hAnsi="宋体" w:cs="宋体" w:eastAsia="宋体" w:hint="default"/>
          <w:w w:val="99"/>
          <w:sz w:val="21"/>
          <w:szCs w:val="21"/>
        </w:rPr>
        <w:t> </w:t>
      </w:r>
      <w:r>
        <w:rPr>
          <w:rFonts w:ascii="宋体" w:hAnsi="宋体" w:cs="宋体" w:eastAsia="宋体" w:hint="default"/>
          <w:w w:val="95"/>
          <w:sz w:val="21"/>
          <w:szCs w:val="21"/>
        </w:rPr>
        <w:t>的限制性股票在限售期内不得转让、用于担保或偿还债务。激励对象获授的限制性股票由于资本公积金转</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增股本、股票红利、股票拆细而取得的股份同时限售，不得在二级市场出售或以其他方式转让，该等股份</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w w:val="95"/>
          <w:sz w:val="21"/>
          <w:szCs w:val="21"/>
        </w:rPr>
        <w:t>的解除限售期与限制性股票解除限售期相同。限售期满后，公司为满足解除限售条件的激励对象办理解除</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限售事宜，未满足解除限售条件的激励对象持有的限制性股票由公司回购注销。</w:t>
      </w:r>
    </w:p>
    <w:p>
      <w:pPr>
        <w:spacing w:before="88"/>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、已履行的相关审批程序</w:t>
      </w:r>
    </w:p>
    <w:p>
      <w:pPr>
        <w:spacing w:line="240" w:lineRule="auto" w:before="9"/>
        <w:rPr>
          <w:rFonts w:ascii="宋体" w:hAnsi="宋体" w:cs="宋体" w:eastAsia="宋体" w:hint="default"/>
          <w:sz w:val="16"/>
          <w:szCs w:val="16"/>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2017</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日，公司分别召开了第四届董事会第六次会议和第四届监事会第六次会议，审议</w:t>
      </w:r>
    </w:p>
    <w:p>
      <w:pPr>
        <w:spacing w:after="0"/>
        <w:jc w:val="left"/>
        <w:rPr>
          <w:rFonts w:ascii="宋体" w:hAnsi="宋体" w:cs="宋体" w:eastAsia="宋体" w:hint="default"/>
          <w:sz w:val="21"/>
          <w:szCs w:val="21"/>
        </w:rPr>
        <w:sectPr>
          <w:headerReference w:type="default" r:id="rId22"/>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line="386" w:lineRule="auto" w:before="34"/>
        <w:ind w:left="112" w:right="1132" w:firstLine="0"/>
        <w:jc w:val="left"/>
        <w:rPr>
          <w:rFonts w:ascii="宋体" w:hAnsi="宋体" w:cs="宋体" w:eastAsia="宋体" w:hint="default"/>
          <w:sz w:val="21"/>
          <w:szCs w:val="21"/>
        </w:rPr>
      </w:pPr>
      <w:r>
        <w:rPr>
          <w:rFonts w:ascii="宋体" w:hAnsi="宋体" w:cs="宋体" w:eastAsia="宋体" w:hint="default"/>
          <w:spacing w:val="-1"/>
          <w:w w:val="99"/>
          <w:sz w:val="21"/>
          <w:szCs w:val="21"/>
        </w:rPr>
        <w:t>通</w:t>
      </w:r>
      <w:r>
        <w:rPr>
          <w:rFonts w:ascii="宋体" w:hAnsi="宋体" w:cs="宋体" w:eastAsia="宋体" w:hint="default"/>
          <w:spacing w:val="2"/>
          <w:w w:val="99"/>
          <w:sz w:val="21"/>
          <w:szCs w:val="21"/>
        </w:rPr>
        <w:t>过</w:t>
      </w:r>
      <w:r>
        <w:rPr>
          <w:rFonts w:ascii="宋体" w:hAnsi="宋体" w:cs="宋体" w:eastAsia="宋体" w:hint="default"/>
          <w:spacing w:val="-1"/>
          <w:w w:val="99"/>
          <w:sz w:val="21"/>
          <w:szCs w:val="21"/>
        </w:rPr>
        <w:t>了</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关</w:t>
      </w:r>
      <w:r>
        <w:rPr>
          <w:rFonts w:ascii="宋体" w:hAnsi="宋体" w:cs="宋体" w:eastAsia="宋体" w:hint="default"/>
          <w:spacing w:val="2"/>
          <w:w w:val="99"/>
          <w:sz w:val="21"/>
          <w:szCs w:val="21"/>
        </w:rPr>
        <w:t>于</w:t>
      </w:r>
      <w:r>
        <w:rPr>
          <w:rFonts w:ascii="宋体" w:hAnsi="宋体" w:cs="宋体" w:eastAsia="宋体" w:hint="default"/>
          <w:spacing w:val="-1"/>
          <w:w w:val="99"/>
          <w:sz w:val="21"/>
          <w:szCs w:val="21"/>
        </w:rPr>
        <w:t>公</w:t>
      </w:r>
      <w:r>
        <w:rPr>
          <w:rFonts w:ascii="宋体" w:hAnsi="宋体" w:cs="宋体" w:eastAsia="宋体" w:hint="default"/>
          <w:spacing w:val="2"/>
          <w:w w:val="99"/>
          <w:sz w:val="21"/>
          <w:szCs w:val="21"/>
        </w:rPr>
        <w:t>司</w:t>
      </w:r>
      <w:r>
        <w:rPr>
          <w:rFonts w:ascii="Times New Roman" w:hAnsi="Times New Roman" w:cs="Times New Roman" w:eastAsia="Times New Roman" w:hint="default"/>
          <w:spacing w:val="2"/>
          <w:w w:val="99"/>
          <w:sz w:val="21"/>
          <w:szCs w:val="21"/>
        </w:rPr>
        <w:t>&lt;</w:t>
      </w:r>
      <w:r>
        <w:rPr>
          <w:rFonts w:ascii="宋体" w:hAnsi="宋体" w:cs="宋体" w:eastAsia="宋体" w:hint="default"/>
          <w:spacing w:val="-1"/>
          <w:w w:val="99"/>
          <w:sz w:val="21"/>
          <w:szCs w:val="21"/>
        </w:rPr>
        <w:t>限</w:t>
      </w:r>
      <w:r>
        <w:rPr>
          <w:rFonts w:ascii="宋体" w:hAnsi="宋体" w:cs="宋体" w:eastAsia="宋体" w:hint="default"/>
          <w:spacing w:val="2"/>
          <w:w w:val="99"/>
          <w:sz w:val="21"/>
          <w:szCs w:val="21"/>
        </w:rPr>
        <w:t>制</w:t>
      </w:r>
      <w:r>
        <w:rPr>
          <w:rFonts w:ascii="宋体" w:hAnsi="宋体" w:cs="宋体" w:eastAsia="宋体" w:hint="default"/>
          <w:spacing w:val="-1"/>
          <w:w w:val="99"/>
          <w:sz w:val="21"/>
          <w:szCs w:val="21"/>
        </w:rPr>
        <w:t>性</w:t>
      </w:r>
      <w:r>
        <w:rPr>
          <w:rFonts w:ascii="宋体" w:hAnsi="宋体" w:cs="宋体" w:eastAsia="宋体" w:hint="default"/>
          <w:spacing w:val="2"/>
          <w:w w:val="99"/>
          <w:sz w:val="21"/>
          <w:szCs w:val="21"/>
        </w:rPr>
        <w:t>股</w:t>
      </w:r>
      <w:r>
        <w:rPr>
          <w:rFonts w:ascii="宋体" w:hAnsi="宋体" w:cs="宋体" w:eastAsia="宋体" w:hint="default"/>
          <w:spacing w:val="-1"/>
          <w:w w:val="99"/>
          <w:sz w:val="21"/>
          <w:szCs w:val="21"/>
        </w:rPr>
        <w:t>票</w:t>
      </w:r>
      <w:r>
        <w:rPr>
          <w:rFonts w:ascii="宋体" w:hAnsi="宋体" w:cs="宋体" w:eastAsia="宋体" w:hint="default"/>
          <w:spacing w:val="2"/>
          <w:w w:val="99"/>
          <w:sz w:val="21"/>
          <w:szCs w:val="21"/>
        </w:rPr>
        <w:t>激</w:t>
      </w:r>
      <w:r>
        <w:rPr>
          <w:rFonts w:ascii="宋体" w:hAnsi="宋体" w:cs="宋体" w:eastAsia="宋体" w:hint="default"/>
          <w:spacing w:val="-1"/>
          <w:w w:val="99"/>
          <w:sz w:val="21"/>
          <w:szCs w:val="21"/>
        </w:rPr>
        <w:t>励</w:t>
      </w:r>
      <w:r>
        <w:rPr>
          <w:rFonts w:ascii="宋体" w:hAnsi="宋体" w:cs="宋体" w:eastAsia="宋体" w:hint="default"/>
          <w:spacing w:val="2"/>
          <w:w w:val="99"/>
          <w:sz w:val="21"/>
          <w:szCs w:val="21"/>
        </w:rPr>
        <w:t>计</w:t>
      </w:r>
      <w:r>
        <w:rPr>
          <w:rFonts w:ascii="宋体" w:hAnsi="宋体" w:cs="宋体" w:eastAsia="宋体" w:hint="default"/>
          <w:spacing w:val="-1"/>
          <w:w w:val="99"/>
          <w:sz w:val="21"/>
          <w:szCs w:val="21"/>
        </w:rPr>
        <w:t>划</w:t>
      </w:r>
      <w:r>
        <w:rPr>
          <w:rFonts w:ascii="宋体" w:hAnsi="宋体" w:cs="宋体" w:eastAsia="宋体" w:hint="default"/>
          <w:spacing w:val="2"/>
          <w:w w:val="99"/>
          <w:sz w:val="21"/>
          <w:szCs w:val="21"/>
        </w:rPr>
        <w:t>（</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2"/>
          <w:w w:val="99"/>
          <w:sz w:val="21"/>
          <w:szCs w:val="21"/>
        </w:rPr>
        <w:t>1</w:t>
      </w:r>
      <w:r>
        <w:rPr>
          <w:rFonts w:ascii="Times New Roman" w:hAnsi="Times New Roman" w:cs="Times New Roman" w:eastAsia="Times New Roman" w:hint="default"/>
          <w:spacing w:val="1"/>
          <w:w w:val="99"/>
          <w:sz w:val="21"/>
          <w:szCs w:val="21"/>
        </w:rPr>
        <w:t>7</w:t>
      </w:r>
      <w:r>
        <w:rPr>
          <w:rFonts w:ascii="Times New Roman" w:hAnsi="Times New Roman" w:cs="Times New Roman" w:eastAsia="Times New Roman" w:hint="default"/>
          <w:spacing w:val="-3"/>
          <w:w w:val="99"/>
          <w:sz w:val="21"/>
          <w:szCs w:val="21"/>
        </w:rPr>
        <w:t>-</w:t>
      </w:r>
      <w:r>
        <w:rPr>
          <w:rFonts w:ascii="Times New Roman" w:hAnsi="Times New Roman" w:cs="Times New Roman" w:eastAsia="Times New Roman" w:hint="default"/>
          <w:spacing w:val="1"/>
          <w:w w:val="99"/>
          <w:sz w:val="21"/>
          <w:szCs w:val="21"/>
        </w:rPr>
        <w:t>2019</w:t>
      </w:r>
      <w:r>
        <w:rPr>
          <w:rFonts w:ascii="宋体" w:hAnsi="宋体" w:cs="宋体" w:eastAsia="宋体" w:hint="default"/>
          <w:spacing w:val="-104"/>
          <w:w w:val="99"/>
          <w:sz w:val="21"/>
          <w:szCs w:val="21"/>
        </w:rPr>
        <w:t>）</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草</w:t>
      </w:r>
      <w:r>
        <w:rPr>
          <w:rFonts w:ascii="宋体" w:hAnsi="宋体" w:cs="宋体" w:eastAsia="宋体" w:hint="default"/>
          <w:spacing w:val="-1"/>
          <w:w w:val="99"/>
          <w:sz w:val="21"/>
          <w:szCs w:val="21"/>
        </w:rPr>
        <w:t>案</w:t>
      </w:r>
      <w:r>
        <w:rPr>
          <w:rFonts w:ascii="宋体" w:hAnsi="宋体" w:cs="宋体" w:eastAsia="宋体" w:hint="default"/>
          <w:spacing w:val="2"/>
          <w:w w:val="99"/>
          <w:sz w:val="21"/>
          <w:szCs w:val="21"/>
        </w:rPr>
        <w:t>）</w:t>
      </w:r>
      <w:r>
        <w:rPr>
          <w:rFonts w:ascii="Times New Roman" w:hAnsi="Times New Roman" w:cs="Times New Roman" w:eastAsia="Times New Roman" w:hint="default"/>
          <w:spacing w:val="-1"/>
          <w:w w:val="99"/>
          <w:sz w:val="21"/>
          <w:szCs w:val="21"/>
        </w:rPr>
        <w:t>&gt;</w:t>
      </w:r>
      <w:r>
        <w:rPr>
          <w:rFonts w:ascii="宋体" w:hAnsi="宋体" w:cs="宋体" w:eastAsia="宋体" w:hint="default"/>
          <w:spacing w:val="-1"/>
          <w:w w:val="99"/>
          <w:sz w:val="21"/>
          <w:szCs w:val="21"/>
        </w:rPr>
        <w:t>及</w:t>
      </w:r>
      <w:r>
        <w:rPr>
          <w:rFonts w:ascii="宋体" w:hAnsi="宋体" w:cs="宋体" w:eastAsia="宋体" w:hint="default"/>
          <w:spacing w:val="2"/>
          <w:w w:val="99"/>
          <w:sz w:val="21"/>
          <w:szCs w:val="21"/>
        </w:rPr>
        <w:t>其</w:t>
      </w:r>
      <w:r>
        <w:rPr>
          <w:rFonts w:ascii="宋体" w:hAnsi="宋体" w:cs="宋体" w:eastAsia="宋体" w:hint="default"/>
          <w:spacing w:val="-1"/>
          <w:w w:val="99"/>
          <w:sz w:val="21"/>
          <w:szCs w:val="21"/>
        </w:rPr>
        <w:t>摘</w:t>
      </w:r>
      <w:r>
        <w:rPr>
          <w:rFonts w:ascii="宋体" w:hAnsi="宋体" w:cs="宋体" w:eastAsia="宋体" w:hint="default"/>
          <w:spacing w:val="2"/>
          <w:w w:val="99"/>
          <w:sz w:val="21"/>
          <w:szCs w:val="21"/>
        </w:rPr>
        <w:t>要</w:t>
      </w:r>
      <w:r>
        <w:rPr>
          <w:rFonts w:ascii="宋体" w:hAnsi="宋体" w:cs="宋体" w:eastAsia="宋体" w:hint="default"/>
          <w:spacing w:val="-1"/>
          <w:w w:val="99"/>
          <w:sz w:val="21"/>
          <w:szCs w:val="21"/>
        </w:rPr>
        <w:t>的</w:t>
      </w:r>
      <w:r>
        <w:rPr>
          <w:rFonts w:ascii="宋体" w:hAnsi="宋体" w:cs="宋体" w:eastAsia="宋体" w:hint="default"/>
          <w:spacing w:val="2"/>
          <w:w w:val="99"/>
          <w:sz w:val="21"/>
          <w:szCs w:val="21"/>
        </w:rPr>
        <w:t>议</w:t>
      </w:r>
      <w:r>
        <w:rPr>
          <w:rFonts w:ascii="宋体" w:hAnsi="宋体" w:cs="宋体" w:eastAsia="宋体" w:hint="default"/>
          <w:spacing w:val="-1"/>
          <w:w w:val="99"/>
          <w:sz w:val="21"/>
          <w:szCs w:val="21"/>
        </w:rPr>
        <w:t>案</w:t>
      </w:r>
      <w:r>
        <w:rPr>
          <w:rFonts w:ascii="宋体" w:hAnsi="宋体" w:cs="宋体" w:eastAsia="宋体" w:hint="default"/>
          <w:spacing w:val="-104"/>
          <w:w w:val="99"/>
          <w:sz w:val="21"/>
          <w:szCs w:val="21"/>
        </w:rPr>
        <w:t>》、</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关</w:t>
      </w:r>
      <w:r>
        <w:rPr>
          <w:rFonts w:ascii="宋体" w:hAnsi="宋体" w:cs="宋体" w:eastAsia="宋体" w:hint="default"/>
          <w:spacing w:val="-1"/>
          <w:w w:val="99"/>
          <w:sz w:val="21"/>
          <w:szCs w:val="21"/>
        </w:rPr>
        <w:t>于</w:t>
      </w:r>
      <w:r>
        <w:rPr>
          <w:rFonts w:ascii="宋体" w:hAnsi="宋体" w:cs="宋体" w:eastAsia="宋体" w:hint="default"/>
          <w:spacing w:val="2"/>
          <w:w w:val="99"/>
          <w:sz w:val="21"/>
          <w:szCs w:val="21"/>
        </w:rPr>
        <w:t>公</w:t>
      </w:r>
      <w:r>
        <w:rPr>
          <w:rFonts w:ascii="宋体" w:hAnsi="宋体" w:cs="宋体" w:eastAsia="宋体" w:hint="default"/>
          <w:spacing w:val="-1"/>
          <w:w w:val="99"/>
          <w:sz w:val="21"/>
          <w:szCs w:val="21"/>
        </w:rPr>
        <w:t>司</w:t>
      </w:r>
      <w:r>
        <w:rPr>
          <w:rFonts w:ascii="Times New Roman" w:hAnsi="Times New Roman" w:cs="Times New Roman" w:eastAsia="Times New Roman" w:hint="default"/>
          <w:spacing w:val="2"/>
          <w:w w:val="99"/>
          <w:sz w:val="21"/>
          <w:szCs w:val="21"/>
        </w:rPr>
        <w:t>&lt;</w:t>
      </w:r>
      <w:r>
        <w:rPr>
          <w:rFonts w:ascii="宋体" w:hAnsi="宋体" w:cs="宋体" w:eastAsia="宋体" w:hint="default"/>
          <w:spacing w:val="-1"/>
          <w:w w:val="99"/>
          <w:sz w:val="21"/>
          <w:szCs w:val="21"/>
        </w:rPr>
        <w:t>限</w:t>
      </w:r>
      <w:r>
        <w:rPr>
          <w:rFonts w:ascii="宋体" w:hAnsi="宋体" w:cs="宋体" w:eastAsia="宋体" w:hint="default"/>
          <w:spacing w:val="2"/>
          <w:w w:val="99"/>
          <w:sz w:val="21"/>
          <w:szCs w:val="21"/>
        </w:rPr>
        <w:t>制</w:t>
      </w:r>
      <w:r>
        <w:rPr>
          <w:rFonts w:ascii="宋体" w:hAnsi="宋体" w:cs="宋体" w:eastAsia="宋体" w:hint="default"/>
          <w:spacing w:val="-1"/>
          <w:w w:val="99"/>
          <w:sz w:val="21"/>
          <w:szCs w:val="21"/>
        </w:rPr>
        <w:t>性</w:t>
      </w:r>
      <w:r>
        <w:rPr>
          <w:rFonts w:ascii="宋体" w:hAnsi="宋体" w:cs="宋体" w:eastAsia="宋体" w:hint="default"/>
          <w:w w:val="99"/>
          <w:sz w:val="21"/>
          <w:szCs w:val="21"/>
        </w:rPr>
        <w:t>股</w:t>
      </w:r>
      <w:r>
        <w:rPr>
          <w:rFonts w:ascii="宋体" w:hAnsi="宋体" w:cs="宋体" w:eastAsia="宋体" w:hint="default"/>
          <w:w w:val="99"/>
          <w:sz w:val="21"/>
          <w:szCs w:val="21"/>
        </w:rPr>
        <w:t> </w:t>
      </w:r>
      <w:r>
        <w:rPr>
          <w:rFonts w:ascii="宋体" w:hAnsi="宋体" w:cs="宋体" w:eastAsia="宋体" w:hint="default"/>
          <w:spacing w:val="-1"/>
          <w:w w:val="99"/>
          <w:sz w:val="21"/>
          <w:szCs w:val="21"/>
        </w:rPr>
        <w:t>票</w:t>
      </w:r>
      <w:r>
        <w:rPr>
          <w:rFonts w:ascii="宋体" w:hAnsi="宋体" w:cs="宋体" w:eastAsia="宋体" w:hint="default"/>
          <w:spacing w:val="2"/>
          <w:w w:val="99"/>
          <w:sz w:val="21"/>
          <w:szCs w:val="21"/>
        </w:rPr>
        <w:t>激</w:t>
      </w:r>
      <w:r>
        <w:rPr>
          <w:rFonts w:ascii="宋体" w:hAnsi="宋体" w:cs="宋体" w:eastAsia="宋体" w:hint="default"/>
          <w:spacing w:val="-1"/>
          <w:w w:val="99"/>
          <w:sz w:val="21"/>
          <w:szCs w:val="21"/>
        </w:rPr>
        <w:t>励</w:t>
      </w:r>
      <w:r>
        <w:rPr>
          <w:rFonts w:ascii="宋体" w:hAnsi="宋体" w:cs="宋体" w:eastAsia="宋体" w:hint="default"/>
          <w:spacing w:val="2"/>
          <w:w w:val="99"/>
          <w:sz w:val="21"/>
          <w:szCs w:val="21"/>
        </w:rPr>
        <w:t>计划</w:t>
      </w:r>
      <w:r>
        <w:rPr>
          <w:rFonts w:ascii="宋体" w:hAnsi="宋体" w:cs="宋体" w:eastAsia="宋体" w:hint="default"/>
          <w:spacing w:val="-1"/>
          <w:w w:val="99"/>
          <w:sz w:val="21"/>
          <w:szCs w:val="21"/>
        </w:rPr>
        <w:t>（</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spacing w:val="-2"/>
          <w:w w:val="99"/>
          <w:sz w:val="21"/>
          <w:szCs w:val="21"/>
        </w:rPr>
        <w:t>7</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spacing w:val="-2"/>
          <w:w w:val="99"/>
          <w:sz w:val="21"/>
          <w:szCs w:val="21"/>
        </w:rPr>
        <w:t>9</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实</w:t>
      </w:r>
      <w:r>
        <w:rPr>
          <w:rFonts w:ascii="宋体" w:hAnsi="宋体" w:cs="宋体" w:eastAsia="宋体" w:hint="default"/>
          <w:spacing w:val="2"/>
          <w:w w:val="99"/>
          <w:sz w:val="21"/>
          <w:szCs w:val="21"/>
        </w:rPr>
        <w:t>施</w:t>
      </w:r>
      <w:r>
        <w:rPr>
          <w:rFonts w:ascii="宋体" w:hAnsi="宋体" w:cs="宋体" w:eastAsia="宋体" w:hint="default"/>
          <w:spacing w:val="-1"/>
          <w:w w:val="99"/>
          <w:sz w:val="21"/>
          <w:szCs w:val="21"/>
        </w:rPr>
        <w:t>考</w:t>
      </w:r>
      <w:r>
        <w:rPr>
          <w:rFonts w:ascii="宋体" w:hAnsi="宋体" w:cs="宋体" w:eastAsia="宋体" w:hint="default"/>
          <w:spacing w:val="2"/>
          <w:w w:val="99"/>
          <w:sz w:val="21"/>
          <w:szCs w:val="21"/>
        </w:rPr>
        <w:t>核</w:t>
      </w:r>
      <w:r>
        <w:rPr>
          <w:rFonts w:ascii="宋体" w:hAnsi="宋体" w:cs="宋体" w:eastAsia="宋体" w:hint="default"/>
          <w:spacing w:val="-1"/>
          <w:w w:val="99"/>
          <w:sz w:val="21"/>
          <w:szCs w:val="21"/>
        </w:rPr>
        <w:t>管</w:t>
      </w:r>
      <w:r>
        <w:rPr>
          <w:rFonts w:ascii="宋体" w:hAnsi="宋体" w:cs="宋体" w:eastAsia="宋体" w:hint="default"/>
          <w:spacing w:val="2"/>
          <w:w w:val="99"/>
          <w:sz w:val="21"/>
          <w:szCs w:val="21"/>
        </w:rPr>
        <w:t>理</w:t>
      </w:r>
      <w:r>
        <w:rPr>
          <w:rFonts w:ascii="宋体" w:hAnsi="宋体" w:cs="宋体" w:eastAsia="宋体" w:hint="default"/>
          <w:spacing w:val="-1"/>
          <w:w w:val="99"/>
          <w:sz w:val="21"/>
          <w:szCs w:val="21"/>
        </w:rPr>
        <w:t>办</w:t>
      </w:r>
      <w:r>
        <w:rPr>
          <w:rFonts w:ascii="宋体" w:hAnsi="宋体" w:cs="宋体" w:eastAsia="宋体" w:hint="default"/>
          <w:spacing w:val="2"/>
          <w:w w:val="99"/>
          <w:sz w:val="21"/>
          <w:szCs w:val="21"/>
        </w:rPr>
        <w:t>法</w:t>
      </w:r>
      <w:r>
        <w:rPr>
          <w:rFonts w:ascii="Times New Roman" w:hAnsi="Times New Roman" w:cs="Times New Roman" w:eastAsia="Times New Roman" w:hint="default"/>
          <w:spacing w:val="-1"/>
          <w:w w:val="99"/>
          <w:sz w:val="21"/>
          <w:szCs w:val="21"/>
        </w:rPr>
        <w:t>&gt;</w:t>
      </w:r>
      <w:r>
        <w:rPr>
          <w:rFonts w:ascii="宋体" w:hAnsi="宋体" w:cs="宋体" w:eastAsia="宋体" w:hint="default"/>
          <w:spacing w:val="-1"/>
          <w:w w:val="99"/>
          <w:sz w:val="21"/>
          <w:szCs w:val="21"/>
        </w:rPr>
        <w:t>的</w:t>
      </w:r>
      <w:r>
        <w:rPr>
          <w:rFonts w:ascii="宋体" w:hAnsi="宋体" w:cs="宋体" w:eastAsia="宋体" w:hint="default"/>
          <w:spacing w:val="2"/>
          <w:w w:val="99"/>
          <w:sz w:val="21"/>
          <w:szCs w:val="21"/>
        </w:rPr>
        <w:t>议案</w:t>
      </w:r>
      <w:r>
        <w:rPr>
          <w:rFonts w:ascii="宋体" w:hAnsi="宋体" w:cs="宋体" w:eastAsia="宋体" w:hint="default"/>
          <w:spacing w:val="-104"/>
          <w:w w:val="99"/>
          <w:sz w:val="21"/>
          <w:szCs w:val="21"/>
        </w:rPr>
        <w:t>》</w:t>
      </w:r>
      <w:r>
        <w:rPr>
          <w:rFonts w:ascii="宋体" w:hAnsi="宋体" w:cs="宋体" w:eastAsia="宋体" w:hint="default"/>
          <w:spacing w:val="-106"/>
          <w:w w:val="99"/>
          <w:sz w:val="21"/>
          <w:szCs w:val="21"/>
        </w:rPr>
        <w:t>、</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关</w:t>
      </w:r>
      <w:r>
        <w:rPr>
          <w:rFonts w:ascii="宋体" w:hAnsi="宋体" w:cs="宋体" w:eastAsia="宋体" w:hint="default"/>
          <w:spacing w:val="2"/>
          <w:w w:val="99"/>
          <w:sz w:val="21"/>
          <w:szCs w:val="21"/>
        </w:rPr>
        <w:t>于</w:t>
      </w:r>
      <w:r>
        <w:rPr>
          <w:rFonts w:ascii="宋体" w:hAnsi="宋体" w:cs="宋体" w:eastAsia="宋体" w:hint="default"/>
          <w:spacing w:val="-1"/>
          <w:w w:val="99"/>
          <w:sz w:val="21"/>
          <w:szCs w:val="21"/>
        </w:rPr>
        <w:t>提</w:t>
      </w:r>
      <w:r>
        <w:rPr>
          <w:rFonts w:ascii="宋体" w:hAnsi="宋体" w:cs="宋体" w:eastAsia="宋体" w:hint="default"/>
          <w:spacing w:val="2"/>
          <w:w w:val="99"/>
          <w:sz w:val="21"/>
          <w:szCs w:val="21"/>
        </w:rPr>
        <w:t>请</w:t>
      </w:r>
      <w:r>
        <w:rPr>
          <w:rFonts w:ascii="宋体" w:hAnsi="宋体" w:cs="宋体" w:eastAsia="宋体" w:hint="default"/>
          <w:spacing w:val="-1"/>
          <w:w w:val="99"/>
          <w:sz w:val="21"/>
          <w:szCs w:val="21"/>
        </w:rPr>
        <w:t>股</w:t>
      </w:r>
      <w:r>
        <w:rPr>
          <w:rFonts w:ascii="宋体" w:hAnsi="宋体" w:cs="宋体" w:eastAsia="宋体" w:hint="default"/>
          <w:spacing w:val="2"/>
          <w:w w:val="99"/>
          <w:sz w:val="21"/>
          <w:szCs w:val="21"/>
        </w:rPr>
        <w:t>东</w:t>
      </w:r>
      <w:r>
        <w:rPr>
          <w:rFonts w:ascii="宋体" w:hAnsi="宋体" w:cs="宋体" w:eastAsia="宋体" w:hint="default"/>
          <w:spacing w:val="-1"/>
          <w:w w:val="99"/>
          <w:sz w:val="21"/>
          <w:szCs w:val="21"/>
        </w:rPr>
        <w:t>大</w:t>
      </w:r>
      <w:r>
        <w:rPr>
          <w:rFonts w:ascii="宋体" w:hAnsi="宋体" w:cs="宋体" w:eastAsia="宋体" w:hint="default"/>
          <w:spacing w:val="2"/>
          <w:w w:val="99"/>
          <w:sz w:val="21"/>
          <w:szCs w:val="21"/>
        </w:rPr>
        <w:t>会</w:t>
      </w:r>
      <w:r>
        <w:rPr>
          <w:rFonts w:ascii="宋体" w:hAnsi="宋体" w:cs="宋体" w:eastAsia="宋体" w:hint="default"/>
          <w:spacing w:val="-1"/>
          <w:w w:val="99"/>
          <w:sz w:val="21"/>
          <w:szCs w:val="21"/>
        </w:rPr>
        <w:t>授</w:t>
      </w:r>
      <w:r>
        <w:rPr>
          <w:rFonts w:ascii="宋体" w:hAnsi="宋体" w:cs="宋体" w:eastAsia="宋体" w:hint="default"/>
          <w:spacing w:val="2"/>
          <w:w w:val="99"/>
          <w:sz w:val="21"/>
          <w:szCs w:val="21"/>
        </w:rPr>
        <w:t>权</w:t>
      </w:r>
      <w:r>
        <w:rPr>
          <w:rFonts w:ascii="宋体" w:hAnsi="宋体" w:cs="宋体" w:eastAsia="宋体" w:hint="default"/>
          <w:spacing w:val="-1"/>
          <w:w w:val="99"/>
          <w:sz w:val="21"/>
          <w:szCs w:val="21"/>
        </w:rPr>
        <w:t>董</w:t>
      </w:r>
      <w:r>
        <w:rPr>
          <w:rFonts w:ascii="宋体" w:hAnsi="宋体" w:cs="宋体" w:eastAsia="宋体" w:hint="default"/>
          <w:spacing w:val="2"/>
          <w:w w:val="99"/>
          <w:sz w:val="21"/>
          <w:szCs w:val="21"/>
        </w:rPr>
        <w:t>事</w:t>
      </w:r>
      <w:r>
        <w:rPr>
          <w:rFonts w:ascii="宋体" w:hAnsi="宋体" w:cs="宋体" w:eastAsia="宋体" w:hint="default"/>
          <w:spacing w:val="-1"/>
          <w:w w:val="99"/>
          <w:sz w:val="21"/>
          <w:szCs w:val="21"/>
        </w:rPr>
        <w:t>会</w:t>
      </w:r>
      <w:r>
        <w:rPr>
          <w:rFonts w:ascii="宋体" w:hAnsi="宋体" w:cs="宋体" w:eastAsia="宋体" w:hint="default"/>
          <w:spacing w:val="2"/>
          <w:w w:val="99"/>
          <w:sz w:val="21"/>
          <w:szCs w:val="21"/>
        </w:rPr>
        <w:t>办</w:t>
      </w:r>
      <w:r>
        <w:rPr>
          <w:rFonts w:ascii="宋体" w:hAnsi="宋体" w:cs="宋体" w:eastAsia="宋体" w:hint="default"/>
          <w:spacing w:val="-1"/>
          <w:w w:val="99"/>
          <w:sz w:val="21"/>
          <w:szCs w:val="21"/>
        </w:rPr>
        <w:t>理</w:t>
      </w:r>
      <w:r>
        <w:rPr>
          <w:rFonts w:ascii="宋体" w:hAnsi="宋体" w:cs="宋体" w:eastAsia="宋体" w:hint="default"/>
          <w:spacing w:val="2"/>
          <w:w w:val="99"/>
          <w:sz w:val="21"/>
          <w:szCs w:val="21"/>
        </w:rPr>
        <w:t>公</w:t>
      </w:r>
      <w:r>
        <w:rPr>
          <w:rFonts w:ascii="宋体" w:hAnsi="宋体" w:cs="宋体" w:eastAsia="宋体" w:hint="default"/>
          <w:spacing w:val="-1"/>
          <w:w w:val="99"/>
          <w:sz w:val="21"/>
          <w:szCs w:val="21"/>
        </w:rPr>
        <w:t>司</w:t>
      </w:r>
      <w:r>
        <w:rPr>
          <w:rFonts w:ascii="宋体" w:hAnsi="宋体" w:cs="宋体" w:eastAsia="宋体" w:hint="default"/>
          <w:spacing w:val="2"/>
          <w:w w:val="99"/>
          <w:sz w:val="21"/>
          <w:szCs w:val="21"/>
        </w:rPr>
        <w:t>限</w:t>
      </w:r>
      <w:r>
        <w:rPr>
          <w:rFonts w:ascii="宋体" w:hAnsi="宋体" w:cs="宋体" w:eastAsia="宋体" w:hint="default"/>
          <w:spacing w:val="-1"/>
          <w:w w:val="99"/>
          <w:sz w:val="21"/>
          <w:szCs w:val="21"/>
        </w:rPr>
        <w:t>制</w:t>
      </w:r>
      <w:r>
        <w:rPr>
          <w:rFonts w:ascii="宋体" w:hAnsi="宋体" w:cs="宋体" w:eastAsia="宋体" w:hint="default"/>
          <w:spacing w:val="2"/>
          <w:w w:val="99"/>
          <w:sz w:val="21"/>
          <w:szCs w:val="21"/>
        </w:rPr>
        <w:t>性</w:t>
      </w:r>
      <w:r>
        <w:rPr>
          <w:rFonts w:ascii="宋体" w:hAnsi="宋体" w:cs="宋体" w:eastAsia="宋体" w:hint="default"/>
          <w:w w:val="99"/>
          <w:sz w:val="21"/>
          <w:szCs w:val="21"/>
        </w:rPr>
        <w:t>股</w:t>
      </w:r>
      <w:r>
        <w:rPr>
          <w:rFonts w:ascii="宋体" w:hAnsi="宋体" w:cs="宋体" w:eastAsia="宋体" w:hint="default"/>
          <w:w w:val="99"/>
          <w:sz w:val="21"/>
          <w:szCs w:val="21"/>
        </w:rPr>
        <w:t> </w:t>
      </w:r>
      <w:r>
        <w:rPr>
          <w:rFonts w:ascii="宋体" w:hAnsi="宋体" w:cs="宋体" w:eastAsia="宋体" w:hint="default"/>
          <w:spacing w:val="-1"/>
          <w:w w:val="99"/>
          <w:sz w:val="21"/>
          <w:szCs w:val="21"/>
        </w:rPr>
        <w:t>票</w:t>
      </w:r>
      <w:r>
        <w:rPr>
          <w:rFonts w:ascii="宋体" w:hAnsi="宋体" w:cs="宋体" w:eastAsia="宋体" w:hint="default"/>
          <w:spacing w:val="2"/>
          <w:w w:val="99"/>
          <w:sz w:val="21"/>
          <w:szCs w:val="21"/>
        </w:rPr>
        <w:t>激</w:t>
      </w:r>
      <w:r>
        <w:rPr>
          <w:rFonts w:ascii="宋体" w:hAnsi="宋体" w:cs="宋体" w:eastAsia="宋体" w:hint="default"/>
          <w:spacing w:val="-1"/>
          <w:w w:val="99"/>
          <w:sz w:val="21"/>
          <w:szCs w:val="21"/>
        </w:rPr>
        <w:t>励</w:t>
      </w:r>
      <w:r>
        <w:rPr>
          <w:rFonts w:ascii="宋体" w:hAnsi="宋体" w:cs="宋体" w:eastAsia="宋体" w:hint="default"/>
          <w:spacing w:val="2"/>
          <w:w w:val="99"/>
          <w:sz w:val="21"/>
          <w:szCs w:val="21"/>
        </w:rPr>
        <w:t>计</w:t>
      </w:r>
      <w:r>
        <w:rPr>
          <w:rFonts w:ascii="宋体" w:hAnsi="宋体" w:cs="宋体" w:eastAsia="宋体" w:hint="default"/>
          <w:spacing w:val="-1"/>
          <w:w w:val="99"/>
          <w:sz w:val="21"/>
          <w:szCs w:val="21"/>
        </w:rPr>
        <w:t>划</w:t>
      </w:r>
      <w:r>
        <w:rPr>
          <w:rFonts w:ascii="宋体" w:hAnsi="宋体" w:cs="宋体" w:eastAsia="宋体" w:hint="default"/>
          <w:spacing w:val="2"/>
          <w:w w:val="99"/>
          <w:sz w:val="21"/>
          <w:szCs w:val="21"/>
        </w:rPr>
        <w:t>（</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spacing w:val="-2"/>
          <w:w w:val="99"/>
          <w:sz w:val="21"/>
          <w:szCs w:val="21"/>
        </w:rPr>
        <w:t>7</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spacing w:val="-2"/>
          <w:w w:val="99"/>
          <w:sz w:val="21"/>
          <w:szCs w:val="21"/>
        </w:rPr>
        <w:t>9</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有</w:t>
      </w:r>
      <w:r>
        <w:rPr>
          <w:rFonts w:ascii="宋体" w:hAnsi="宋体" w:cs="宋体" w:eastAsia="宋体" w:hint="default"/>
          <w:spacing w:val="-1"/>
          <w:w w:val="99"/>
          <w:sz w:val="21"/>
          <w:szCs w:val="21"/>
        </w:rPr>
        <w:t>关</w:t>
      </w:r>
      <w:r>
        <w:rPr>
          <w:rFonts w:ascii="宋体" w:hAnsi="宋体" w:cs="宋体" w:eastAsia="宋体" w:hint="default"/>
          <w:spacing w:val="2"/>
          <w:w w:val="99"/>
          <w:sz w:val="21"/>
          <w:szCs w:val="21"/>
        </w:rPr>
        <w:t>事</w:t>
      </w:r>
      <w:r>
        <w:rPr>
          <w:rFonts w:ascii="宋体" w:hAnsi="宋体" w:cs="宋体" w:eastAsia="宋体" w:hint="default"/>
          <w:spacing w:val="-1"/>
          <w:w w:val="99"/>
          <w:sz w:val="21"/>
          <w:szCs w:val="21"/>
        </w:rPr>
        <w:t>项</w:t>
      </w:r>
      <w:r>
        <w:rPr>
          <w:rFonts w:ascii="宋体" w:hAnsi="宋体" w:cs="宋体" w:eastAsia="宋体" w:hint="default"/>
          <w:spacing w:val="2"/>
          <w:w w:val="99"/>
          <w:sz w:val="21"/>
          <w:szCs w:val="21"/>
        </w:rPr>
        <w:t>的</w:t>
      </w:r>
      <w:r>
        <w:rPr>
          <w:rFonts w:ascii="宋体" w:hAnsi="宋体" w:cs="宋体" w:eastAsia="宋体" w:hint="default"/>
          <w:spacing w:val="-1"/>
          <w:w w:val="99"/>
          <w:sz w:val="21"/>
          <w:szCs w:val="21"/>
        </w:rPr>
        <w:t>议</w:t>
      </w:r>
      <w:r>
        <w:rPr>
          <w:rFonts w:ascii="宋体" w:hAnsi="宋体" w:cs="宋体" w:eastAsia="宋体" w:hint="default"/>
          <w:spacing w:val="2"/>
          <w:w w:val="99"/>
          <w:sz w:val="21"/>
          <w:szCs w:val="21"/>
        </w:rPr>
        <w:t>案</w:t>
      </w:r>
      <w:r>
        <w:rPr>
          <w:rFonts w:ascii="宋体" w:hAnsi="宋体" w:cs="宋体" w:eastAsia="宋体" w:hint="default"/>
          <w:spacing w:val="-104"/>
          <w:w w:val="99"/>
          <w:sz w:val="21"/>
          <w:szCs w:val="21"/>
        </w:rPr>
        <w:t>》</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公</w:t>
      </w:r>
      <w:r>
        <w:rPr>
          <w:rFonts w:ascii="宋体" w:hAnsi="宋体" w:cs="宋体" w:eastAsia="宋体" w:hint="default"/>
          <w:spacing w:val="-1"/>
          <w:w w:val="99"/>
          <w:sz w:val="21"/>
          <w:szCs w:val="21"/>
        </w:rPr>
        <w:t>司</w:t>
      </w:r>
      <w:r>
        <w:rPr>
          <w:rFonts w:ascii="宋体" w:hAnsi="宋体" w:cs="宋体" w:eastAsia="宋体" w:hint="default"/>
          <w:spacing w:val="2"/>
          <w:w w:val="99"/>
          <w:sz w:val="21"/>
          <w:szCs w:val="21"/>
        </w:rPr>
        <w:t>独</w:t>
      </w:r>
      <w:r>
        <w:rPr>
          <w:rFonts w:ascii="宋体" w:hAnsi="宋体" w:cs="宋体" w:eastAsia="宋体" w:hint="default"/>
          <w:spacing w:val="-1"/>
          <w:w w:val="99"/>
          <w:sz w:val="21"/>
          <w:szCs w:val="21"/>
        </w:rPr>
        <w:t>立</w:t>
      </w:r>
      <w:r>
        <w:rPr>
          <w:rFonts w:ascii="宋体" w:hAnsi="宋体" w:cs="宋体" w:eastAsia="宋体" w:hint="default"/>
          <w:spacing w:val="2"/>
          <w:w w:val="99"/>
          <w:sz w:val="21"/>
          <w:szCs w:val="21"/>
        </w:rPr>
        <w:t>董</w:t>
      </w:r>
      <w:r>
        <w:rPr>
          <w:rFonts w:ascii="宋体" w:hAnsi="宋体" w:cs="宋体" w:eastAsia="宋体" w:hint="default"/>
          <w:spacing w:val="-1"/>
          <w:w w:val="99"/>
          <w:sz w:val="21"/>
          <w:szCs w:val="21"/>
        </w:rPr>
        <w:t>事</w:t>
      </w:r>
      <w:r>
        <w:rPr>
          <w:rFonts w:ascii="宋体" w:hAnsi="宋体" w:cs="宋体" w:eastAsia="宋体" w:hint="default"/>
          <w:spacing w:val="2"/>
          <w:w w:val="99"/>
          <w:sz w:val="21"/>
          <w:szCs w:val="21"/>
        </w:rPr>
        <w:t>对</w:t>
      </w:r>
      <w:r>
        <w:rPr>
          <w:rFonts w:ascii="宋体" w:hAnsi="宋体" w:cs="宋体" w:eastAsia="宋体" w:hint="default"/>
          <w:spacing w:val="-1"/>
          <w:w w:val="99"/>
          <w:sz w:val="21"/>
          <w:szCs w:val="21"/>
        </w:rPr>
        <w:t>此</w:t>
      </w:r>
      <w:r>
        <w:rPr>
          <w:rFonts w:ascii="宋体" w:hAnsi="宋体" w:cs="宋体" w:eastAsia="宋体" w:hint="default"/>
          <w:spacing w:val="2"/>
          <w:w w:val="99"/>
          <w:sz w:val="21"/>
          <w:szCs w:val="21"/>
        </w:rPr>
        <w:t>发</w:t>
      </w:r>
      <w:r>
        <w:rPr>
          <w:rFonts w:ascii="宋体" w:hAnsi="宋体" w:cs="宋体" w:eastAsia="宋体" w:hint="default"/>
          <w:spacing w:val="-1"/>
          <w:w w:val="99"/>
          <w:sz w:val="21"/>
          <w:szCs w:val="21"/>
        </w:rPr>
        <w:t>表</w:t>
      </w:r>
      <w:r>
        <w:rPr>
          <w:rFonts w:ascii="宋体" w:hAnsi="宋体" w:cs="宋体" w:eastAsia="宋体" w:hint="default"/>
          <w:spacing w:val="2"/>
          <w:w w:val="99"/>
          <w:sz w:val="21"/>
          <w:szCs w:val="21"/>
        </w:rPr>
        <w:t>了</w:t>
      </w:r>
      <w:r>
        <w:rPr>
          <w:rFonts w:ascii="宋体" w:hAnsi="宋体" w:cs="宋体" w:eastAsia="宋体" w:hint="default"/>
          <w:spacing w:val="-1"/>
          <w:w w:val="99"/>
          <w:sz w:val="21"/>
          <w:szCs w:val="21"/>
        </w:rPr>
        <w:t>独</w:t>
      </w:r>
      <w:r>
        <w:rPr>
          <w:rFonts w:ascii="宋体" w:hAnsi="宋体" w:cs="宋体" w:eastAsia="宋体" w:hint="default"/>
          <w:spacing w:val="2"/>
          <w:w w:val="99"/>
          <w:sz w:val="21"/>
          <w:szCs w:val="21"/>
        </w:rPr>
        <w:t>立</w:t>
      </w:r>
      <w:r>
        <w:rPr>
          <w:rFonts w:ascii="宋体" w:hAnsi="宋体" w:cs="宋体" w:eastAsia="宋体" w:hint="default"/>
          <w:spacing w:val="-1"/>
          <w:w w:val="99"/>
          <w:sz w:val="21"/>
          <w:szCs w:val="21"/>
        </w:rPr>
        <w:t>意</w:t>
      </w:r>
      <w:r>
        <w:rPr>
          <w:rFonts w:ascii="宋体" w:hAnsi="宋体" w:cs="宋体" w:eastAsia="宋体" w:hint="default"/>
          <w:spacing w:val="2"/>
          <w:w w:val="99"/>
          <w:sz w:val="21"/>
          <w:szCs w:val="21"/>
        </w:rPr>
        <w:t>见</w:t>
      </w:r>
      <w:r>
        <w:rPr>
          <w:rFonts w:ascii="宋体" w:hAnsi="宋体" w:cs="宋体" w:eastAsia="宋体" w:hint="default"/>
          <w:w w:val="99"/>
          <w:sz w:val="21"/>
          <w:szCs w:val="21"/>
        </w:rPr>
        <w:t>。</w:t>
      </w:r>
      <w:r>
        <w:rPr>
          <w:rFonts w:ascii="宋体" w:hAnsi="宋体" w:cs="宋体" w:eastAsia="宋体" w:hint="default"/>
          <w:sz w:val="21"/>
          <w:szCs w:val="21"/>
        </w:rPr>
      </w:r>
    </w:p>
    <w:p>
      <w:pPr>
        <w:spacing w:line="393" w:lineRule="auto" w:before="76"/>
        <w:ind w:left="112" w:right="1135" w:firstLine="42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日，公司对授予激励对象名单的姓名和职务通过公司内部</w:t>
      </w:r>
      <w:r>
        <w:rPr>
          <w:rFonts w:ascii="宋体" w:hAnsi="宋体" w:cs="宋体" w:eastAsia="宋体" w:hint="default"/>
          <w:w w:val="99"/>
          <w:sz w:val="21"/>
          <w:szCs w:val="21"/>
        </w:rPr>
        <w:t> </w:t>
      </w:r>
      <w:r>
        <w:rPr>
          <w:rFonts w:ascii="宋体" w:hAnsi="宋体" w:cs="宋体" w:eastAsia="宋体" w:hint="default"/>
          <w:w w:val="95"/>
          <w:sz w:val="21"/>
          <w:szCs w:val="21"/>
        </w:rPr>
        <w:t>网站和内部张贴的方式进行了公示，在公示期内，公司监事会未接到与激励计划拟激励对象有关的任何异</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议。</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日，公司监事会发表了《关于限制性股票激励计划（</w:t>
      </w:r>
      <w:r>
        <w:rPr>
          <w:rFonts w:ascii="Times New Roman" w:hAnsi="Times New Roman" w:cs="Times New Roman" w:eastAsia="Times New Roman" w:hint="default"/>
          <w:sz w:val="21"/>
          <w:szCs w:val="21"/>
        </w:rPr>
        <w:t>2017-2019</w:t>
      </w:r>
      <w:r>
        <w:rPr>
          <w:rFonts w:ascii="宋体" w:hAnsi="宋体" w:cs="宋体" w:eastAsia="宋体" w:hint="default"/>
          <w:sz w:val="21"/>
          <w:szCs w:val="21"/>
        </w:rPr>
        <w:t>）激励对象名单的审</w:t>
      </w:r>
      <w:r>
        <w:rPr>
          <w:rFonts w:ascii="宋体" w:hAnsi="宋体" w:cs="宋体" w:eastAsia="宋体" w:hint="default"/>
          <w:w w:val="99"/>
          <w:sz w:val="21"/>
          <w:szCs w:val="21"/>
        </w:rPr>
        <w:t> </w:t>
      </w:r>
      <w:r>
        <w:rPr>
          <w:rFonts w:ascii="宋体" w:hAnsi="宋体" w:cs="宋体" w:eastAsia="宋体" w:hint="default"/>
          <w:spacing w:val="-9"/>
          <w:w w:val="99"/>
          <w:sz w:val="21"/>
          <w:szCs w:val="21"/>
        </w:rPr>
        <w:t>核意见及公示情况说明》。</w:t>
      </w:r>
      <w:r>
        <w:rPr>
          <w:rFonts w:ascii="宋体" w:hAnsi="宋体" w:cs="宋体" w:eastAsia="宋体" w:hint="default"/>
          <w:spacing w:val="-9"/>
          <w:sz w:val="21"/>
          <w:szCs w:val="21"/>
        </w:rPr>
      </w:r>
    </w:p>
    <w:p>
      <w:pPr>
        <w:spacing w:line="391" w:lineRule="auto" w:before="99"/>
        <w:ind w:left="112" w:right="1028"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日，公司召开了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年第二次临时股东大会，审议通过了《关于公司</w:t>
      </w:r>
      <w:r>
        <w:rPr>
          <w:rFonts w:ascii="Times New Roman" w:hAnsi="Times New Roman" w:cs="Times New Roman" w:eastAsia="Times New Roman" w:hint="default"/>
          <w:sz w:val="21"/>
          <w:szCs w:val="21"/>
        </w:rPr>
        <w:t>&lt;</w:t>
      </w:r>
      <w:r>
        <w:rPr>
          <w:rFonts w:ascii="宋体" w:hAnsi="宋体" w:cs="宋体" w:eastAsia="宋体" w:hint="default"/>
          <w:sz w:val="21"/>
          <w:szCs w:val="21"/>
        </w:rPr>
        <w:t>限制性</w:t>
      </w:r>
      <w:r>
        <w:rPr>
          <w:rFonts w:ascii="宋体" w:hAnsi="宋体" w:cs="宋体" w:eastAsia="宋体" w:hint="default"/>
          <w:w w:val="99"/>
          <w:sz w:val="21"/>
          <w:szCs w:val="21"/>
        </w:rPr>
        <w:t> </w:t>
      </w:r>
      <w:r>
        <w:rPr>
          <w:rFonts w:ascii="宋体" w:hAnsi="宋体" w:cs="宋体" w:eastAsia="宋体" w:hint="default"/>
          <w:spacing w:val="-7"/>
          <w:w w:val="99"/>
          <w:sz w:val="21"/>
          <w:szCs w:val="21"/>
        </w:rPr>
        <w:t>股票激励计划（</w:t>
      </w:r>
      <w:r>
        <w:rPr>
          <w:rFonts w:ascii="Times New Roman" w:hAnsi="Times New Roman" w:cs="Times New Roman" w:eastAsia="Times New Roman" w:hint="default"/>
          <w:spacing w:val="-7"/>
          <w:w w:val="99"/>
          <w:sz w:val="21"/>
          <w:szCs w:val="21"/>
        </w:rPr>
        <w:t>2017-2019</w:t>
      </w:r>
      <w:r>
        <w:rPr>
          <w:rFonts w:ascii="宋体" w:hAnsi="宋体" w:cs="宋体" w:eastAsia="宋体" w:hint="default"/>
          <w:spacing w:val="-7"/>
          <w:w w:val="99"/>
          <w:sz w:val="21"/>
          <w:szCs w:val="21"/>
        </w:rPr>
        <w:t>）（草案）</w:t>
      </w:r>
      <w:r>
        <w:rPr>
          <w:rFonts w:ascii="Times New Roman" w:hAnsi="Times New Roman" w:cs="Times New Roman" w:eastAsia="Times New Roman" w:hint="default"/>
          <w:spacing w:val="-7"/>
          <w:w w:val="99"/>
          <w:sz w:val="21"/>
          <w:szCs w:val="21"/>
        </w:rPr>
        <w:t>&gt;</w:t>
      </w:r>
      <w:r>
        <w:rPr>
          <w:rFonts w:ascii="宋体" w:hAnsi="宋体" w:cs="宋体" w:eastAsia="宋体" w:hint="default"/>
          <w:spacing w:val="-7"/>
          <w:w w:val="99"/>
          <w:sz w:val="21"/>
          <w:szCs w:val="21"/>
        </w:rPr>
        <w:t>及其摘要的议案》、《关于公司</w:t>
      </w:r>
      <w:r>
        <w:rPr>
          <w:rFonts w:ascii="Times New Roman" w:hAnsi="Times New Roman" w:cs="Times New Roman" w:eastAsia="Times New Roman" w:hint="default"/>
          <w:spacing w:val="-7"/>
          <w:w w:val="99"/>
          <w:sz w:val="21"/>
          <w:szCs w:val="21"/>
        </w:rPr>
        <w:t>&lt;</w:t>
      </w:r>
      <w:r>
        <w:rPr>
          <w:rFonts w:ascii="宋体" w:hAnsi="宋体" w:cs="宋体" w:eastAsia="宋体" w:hint="default"/>
          <w:spacing w:val="-7"/>
          <w:w w:val="99"/>
          <w:sz w:val="21"/>
          <w:szCs w:val="21"/>
        </w:rPr>
        <w:t>限制性股票激励计划（</w:t>
      </w:r>
      <w:r>
        <w:rPr>
          <w:rFonts w:ascii="Times New Roman" w:hAnsi="Times New Roman" w:cs="Times New Roman" w:eastAsia="Times New Roman" w:hint="default"/>
          <w:spacing w:val="-7"/>
          <w:w w:val="99"/>
          <w:sz w:val="21"/>
          <w:szCs w:val="21"/>
        </w:rPr>
        <w:t>2017-2019</w:t>
      </w:r>
      <w:r>
        <w:rPr>
          <w:rFonts w:ascii="宋体" w:hAnsi="宋体" w:cs="宋体" w:eastAsia="宋体" w:hint="default"/>
          <w:spacing w:val="-7"/>
          <w:w w:val="99"/>
          <w:sz w:val="21"/>
          <w:szCs w:val="21"/>
        </w:rPr>
        <w:t>）实</w:t>
      </w:r>
      <w:r>
        <w:rPr>
          <w:rFonts w:ascii="宋体" w:hAnsi="宋体" w:cs="宋体" w:eastAsia="宋体" w:hint="default"/>
          <w:spacing w:val="-73"/>
          <w:w w:val="99"/>
          <w:sz w:val="21"/>
          <w:szCs w:val="21"/>
        </w:rPr>
        <w:t> </w:t>
      </w:r>
      <w:r>
        <w:rPr>
          <w:rFonts w:ascii="宋体" w:hAnsi="宋体" w:cs="宋体" w:eastAsia="宋体" w:hint="default"/>
          <w:spacing w:val="-73"/>
          <w:w w:val="99"/>
          <w:sz w:val="21"/>
          <w:szCs w:val="21"/>
        </w:rPr>
      </w:r>
      <w:r>
        <w:rPr>
          <w:rFonts w:ascii="宋体" w:hAnsi="宋体" w:cs="宋体" w:eastAsia="宋体" w:hint="default"/>
          <w:spacing w:val="-6"/>
          <w:w w:val="99"/>
          <w:sz w:val="21"/>
          <w:szCs w:val="21"/>
        </w:rPr>
        <w:t>施考核管理办法</w:t>
      </w:r>
      <w:r>
        <w:rPr>
          <w:rFonts w:ascii="Times New Roman" w:hAnsi="Times New Roman" w:cs="Times New Roman" w:eastAsia="Times New Roman" w:hint="default"/>
          <w:spacing w:val="-6"/>
          <w:w w:val="99"/>
          <w:sz w:val="21"/>
          <w:szCs w:val="21"/>
        </w:rPr>
        <w:t>&gt;</w:t>
      </w:r>
      <w:r>
        <w:rPr>
          <w:rFonts w:ascii="宋体" w:hAnsi="宋体" w:cs="宋体" w:eastAsia="宋体" w:hint="default"/>
          <w:spacing w:val="-6"/>
          <w:w w:val="99"/>
          <w:sz w:val="21"/>
          <w:szCs w:val="21"/>
        </w:rPr>
        <w:t>的议案》、以及《关于提请股东大会授权董事会办理公司限制性股票激励计划（</w:t>
      </w:r>
      <w:r>
        <w:rPr>
          <w:rFonts w:ascii="Times New Roman" w:hAnsi="Times New Roman" w:cs="Times New Roman" w:eastAsia="Times New Roman" w:hint="default"/>
          <w:spacing w:val="-6"/>
          <w:w w:val="99"/>
          <w:sz w:val="21"/>
          <w:szCs w:val="21"/>
        </w:rPr>
        <w:t>2017-2019</w:t>
      </w:r>
      <w:r>
        <w:rPr>
          <w:rFonts w:ascii="宋体" w:hAnsi="宋体" w:cs="宋体" w:eastAsia="宋体" w:hint="default"/>
          <w:spacing w:val="-6"/>
          <w:w w:val="99"/>
          <w:sz w:val="21"/>
          <w:szCs w:val="21"/>
        </w:rPr>
        <w:t>）</w:t>
      </w:r>
      <w:r>
        <w:rPr>
          <w:rFonts w:ascii="宋体" w:hAnsi="宋体" w:cs="宋体" w:eastAsia="宋体" w:hint="default"/>
          <w:spacing w:val="-77"/>
          <w:w w:val="99"/>
          <w:sz w:val="21"/>
          <w:szCs w:val="21"/>
        </w:rPr>
        <w:t> </w:t>
      </w:r>
      <w:r>
        <w:rPr>
          <w:rFonts w:ascii="宋体" w:hAnsi="宋体" w:cs="宋体" w:eastAsia="宋体" w:hint="default"/>
          <w:spacing w:val="-2"/>
          <w:w w:val="99"/>
          <w:sz w:val="21"/>
          <w:szCs w:val="21"/>
        </w:rPr>
        <w:t>有关事项的议案》。董事会被授权确定限制性股票授予日及在公司与激励对象符合条件时办理限制性股票</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w w:val="95"/>
          <w:sz w:val="21"/>
          <w:szCs w:val="21"/>
        </w:rPr>
        <w:t>解除限售所必须的全部事宜。并披露了《关于限制性股票激励计划（</w:t>
      </w:r>
      <w:r>
        <w:rPr>
          <w:rFonts w:ascii="Times New Roman" w:hAnsi="Times New Roman" w:cs="Times New Roman" w:eastAsia="Times New Roman" w:hint="default"/>
          <w:w w:val="95"/>
          <w:sz w:val="21"/>
          <w:szCs w:val="21"/>
        </w:rPr>
        <w:t>2017-2019</w:t>
      </w:r>
      <w:r>
        <w:rPr>
          <w:rFonts w:ascii="宋体" w:hAnsi="宋体" w:cs="宋体" w:eastAsia="宋体" w:hint="default"/>
          <w:w w:val="95"/>
          <w:sz w:val="21"/>
          <w:szCs w:val="21"/>
        </w:rPr>
        <w:t>）内幕信息知情人及首次授</w:t>
      </w:r>
      <w:r>
        <w:rPr>
          <w:rFonts w:ascii="宋体" w:hAnsi="宋体" w:cs="宋体" w:eastAsia="宋体" w:hint="default"/>
          <w:spacing w:val="71"/>
          <w:w w:val="95"/>
          <w:sz w:val="21"/>
          <w:szCs w:val="21"/>
        </w:rPr>
        <w:t> </w:t>
      </w:r>
      <w:r>
        <w:rPr>
          <w:rFonts w:ascii="宋体" w:hAnsi="宋体" w:cs="宋体" w:eastAsia="宋体" w:hint="default"/>
          <w:spacing w:val="71"/>
          <w:w w:val="95"/>
          <w:sz w:val="21"/>
          <w:szCs w:val="21"/>
        </w:rPr>
      </w:r>
      <w:r>
        <w:rPr>
          <w:rFonts w:ascii="宋体" w:hAnsi="宋体" w:cs="宋体" w:eastAsia="宋体" w:hint="default"/>
          <w:spacing w:val="-5"/>
          <w:w w:val="99"/>
          <w:sz w:val="21"/>
          <w:szCs w:val="21"/>
        </w:rPr>
        <w:t>予激励对象买卖公司股票情况的自查报告》。</w:t>
      </w:r>
      <w:r>
        <w:rPr>
          <w:rFonts w:ascii="宋体" w:hAnsi="宋体" w:cs="宋体" w:eastAsia="宋体" w:hint="default"/>
          <w:spacing w:val="-5"/>
          <w:sz w:val="21"/>
          <w:szCs w:val="21"/>
        </w:rPr>
      </w:r>
    </w:p>
    <w:p>
      <w:pPr>
        <w:spacing w:line="386" w:lineRule="auto" w:before="99"/>
        <w:ind w:left="112" w:right="1148"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日，公司分别召开了第四届董事会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年第七次会议和第四届监事会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w w:val="99"/>
          <w:sz w:val="21"/>
          <w:szCs w:val="21"/>
        </w:rPr>
        <w:t> </w:t>
      </w:r>
      <w:r>
        <w:rPr>
          <w:rFonts w:ascii="宋体" w:hAnsi="宋体" w:cs="宋体" w:eastAsia="宋体" w:hint="default"/>
          <w:spacing w:val="-2"/>
          <w:w w:val="99"/>
          <w:sz w:val="21"/>
          <w:szCs w:val="21"/>
        </w:rPr>
        <w:t>第七次会议，审议通过了《关于调整限制性股票激励计划（</w:t>
      </w:r>
      <w:r>
        <w:rPr>
          <w:rFonts w:ascii="Times New Roman" w:hAnsi="Times New Roman" w:cs="Times New Roman" w:eastAsia="Times New Roman" w:hint="default"/>
          <w:spacing w:val="-2"/>
          <w:w w:val="99"/>
          <w:sz w:val="21"/>
          <w:szCs w:val="21"/>
        </w:rPr>
        <w:t>2017-2019</w:t>
      </w:r>
      <w:r>
        <w:rPr>
          <w:rFonts w:ascii="宋体" w:hAnsi="宋体" w:cs="宋体" w:eastAsia="宋体" w:hint="default"/>
          <w:spacing w:val="-2"/>
          <w:w w:val="99"/>
          <w:sz w:val="21"/>
          <w:szCs w:val="21"/>
        </w:rPr>
        <w:t>）首次授予部分授予数量的议案》、</w:t>
      </w:r>
      <w:r>
        <w:rPr>
          <w:rFonts w:ascii="宋体" w:hAnsi="宋体" w:cs="宋体" w:eastAsia="宋体" w:hint="default"/>
          <w:spacing w:val="-2"/>
          <w:sz w:val="21"/>
          <w:szCs w:val="21"/>
        </w:rPr>
      </w:r>
    </w:p>
    <w:p>
      <w:pPr>
        <w:spacing w:line="408" w:lineRule="auto" w:before="35"/>
        <w:ind w:left="112" w:right="987" w:firstLine="0"/>
        <w:jc w:val="left"/>
        <w:rPr>
          <w:rFonts w:ascii="宋体" w:hAnsi="宋体" w:cs="宋体" w:eastAsia="宋体" w:hint="default"/>
          <w:sz w:val="21"/>
          <w:szCs w:val="21"/>
        </w:rPr>
      </w:pPr>
      <w:r>
        <w:rPr>
          <w:rFonts w:ascii="宋体" w:hAnsi="宋体" w:cs="宋体" w:eastAsia="宋体" w:hint="default"/>
          <w:spacing w:val="-2"/>
          <w:w w:val="99"/>
          <w:sz w:val="21"/>
          <w:szCs w:val="21"/>
        </w:rPr>
        <w:t>《关于向激励对象首次授予限制性股票的议案》。独立董事对相关事项发表了独立意见，监事会对本次授</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sz w:val="21"/>
          <w:szCs w:val="21"/>
        </w:rPr>
        <w:t>予限制性股票的激励对象名单进行了核实。</w:t>
      </w:r>
    </w:p>
    <w:p>
      <w:pPr>
        <w:spacing w:before="87"/>
        <w:ind w:left="532" w:right="9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日，限制性股票激励计划（</w:t>
      </w:r>
      <w:r>
        <w:rPr>
          <w:rFonts w:ascii="Times New Roman" w:hAnsi="Times New Roman" w:cs="Times New Roman" w:eastAsia="Times New Roman" w:hint="default"/>
          <w:sz w:val="21"/>
          <w:szCs w:val="21"/>
        </w:rPr>
        <w:t>2017-2019</w:t>
      </w:r>
      <w:r>
        <w:rPr>
          <w:rFonts w:ascii="宋体" w:hAnsi="宋体" w:cs="宋体" w:eastAsia="宋体" w:hint="default"/>
          <w:sz w:val="21"/>
          <w:szCs w:val="21"/>
        </w:rPr>
        <w:t>）首次授予完成，并在中国证监会指定创</w:t>
      </w:r>
    </w:p>
    <w:p>
      <w:pPr>
        <w:spacing w:before="177"/>
        <w:ind w:left="112" w:right="987" w:firstLine="0"/>
        <w:jc w:val="left"/>
        <w:rPr>
          <w:rFonts w:ascii="宋体" w:hAnsi="宋体" w:cs="宋体" w:eastAsia="宋体" w:hint="default"/>
          <w:sz w:val="21"/>
          <w:szCs w:val="21"/>
        </w:rPr>
      </w:pPr>
      <w:r>
        <w:rPr>
          <w:rFonts w:ascii="宋体" w:hAnsi="宋体" w:cs="宋体" w:eastAsia="宋体" w:hint="default"/>
          <w:spacing w:val="-1"/>
          <w:w w:val="99"/>
          <w:sz w:val="21"/>
          <w:szCs w:val="21"/>
        </w:rPr>
        <w:t>业</w:t>
      </w:r>
      <w:r>
        <w:rPr>
          <w:rFonts w:ascii="宋体" w:hAnsi="宋体" w:cs="宋体" w:eastAsia="宋体" w:hint="default"/>
          <w:spacing w:val="2"/>
          <w:w w:val="99"/>
          <w:sz w:val="21"/>
          <w:szCs w:val="21"/>
        </w:rPr>
        <w:t>板</w:t>
      </w:r>
      <w:r>
        <w:rPr>
          <w:rFonts w:ascii="宋体" w:hAnsi="宋体" w:cs="宋体" w:eastAsia="宋体" w:hint="default"/>
          <w:spacing w:val="-1"/>
          <w:w w:val="99"/>
          <w:sz w:val="21"/>
          <w:szCs w:val="21"/>
        </w:rPr>
        <w:t>信</w:t>
      </w:r>
      <w:r>
        <w:rPr>
          <w:rFonts w:ascii="宋体" w:hAnsi="宋体" w:cs="宋体" w:eastAsia="宋体" w:hint="default"/>
          <w:spacing w:val="2"/>
          <w:w w:val="99"/>
          <w:sz w:val="21"/>
          <w:szCs w:val="21"/>
        </w:rPr>
        <w:t>息</w:t>
      </w:r>
      <w:r>
        <w:rPr>
          <w:rFonts w:ascii="宋体" w:hAnsi="宋体" w:cs="宋体" w:eastAsia="宋体" w:hint="default"/>
          <w:spacing w:val="-1"/>
          <w:w w:val="99"/>
          <w:sz w:val="21"/>
          <w:szCs w:val="21"/>
        </w:rPr>
        <w:t>披</w:t>
      </w:r>
      <w:r>
        <w:rPr>
          <w:rFonts w:ascii="宋体" w:hAnsi="宋体" w:cs="宋体" w:eastAsia="宋体" w:hint="default"/>
          <w:spacing w:val="2"/>
          <w:w w:val="99"/>
          <w:sz w:val="21"/>
          <w:szCs w:val="21"/>
        </w:rPr>
        <w:t>露</w:t>
      </w:r>
      <w:r>
        <w:rPr>
          <w:rFonts w:ascii="宋体" w:hAnsi="宋体" w:cs="宋体" w:eastAsia="宋体" w:hint="default"/>
          <w:spacing w:val="-1"/>
          <w:w w:val="99"/>
          <w:sz w:val="21"/>
          <w:szCs w:val="21"/>
        </w:rPr>
        <w:t>网</w:t>
      </w:r>
      <w:r>
        <w:rPr>
          <w:rFonts w:ascii="宋体" w:hAnsi="宋体" w:cs="宋体" w:eastAsia="宋体" w:hint="default"/>
          <w:spacing w:val="2"/>
          <w:w w:val="99"/>
          <w:sz w:val="21"/>
          <w:szCs w:val="21"/>
        </w:rPr>
        <w:t>站</w:t>
      </w:r>
      <w:r>
        <w:rPr>
          <w:rFonts w:ascii="宋体" w:hAnsi="宋体" w:cs="宋体" w:eastAsia="宋体" w:hint="default"/>
          <w:spacing w:val="-1"/>
          <w:w w:val="99"/>
          <w:sz w:val="21"/>
          <w:szCs w:val="21"/>
        </w:rPr>
        <w:t>公</w:t>
      </w:r>
      <w:r>
        <w:rPr>
          <w:rFonts w:ascii="宋体" w:hAnsi="宋体" w:cs="宋体" w:eastAsia="宋体" w:hint="default"/>
          <w:spacing w:val="2"/>
          <w:w w:val="99"/>
          <w:sz w:val="21"/>
          <w:szCs w:val="21"/>
        </w:rPr>
        <w:t>告</w:t>
      </w:r>
      <w:r>
        <w:rPr>
          <w:rFonts w:ascii="宋体" w:hAnsi="宋体" w:cs="宋体" w:eastAsia="宋体" w:hint="default"/>
          <w:spacing w:val="-1"/>
          <w:w w:val="99"/>
          <w:sz w:val="21"/>
          <w:szCs w:val="21"/>
        </w:rPr>
        <w:t>了</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关</w:t>
      </w:r>
      <w:r>
        <w:rPr>
          <w:rFonts w:ascii="宋体" w:hAnsi="宋体" w:cs="宋体" w:eastAsia="宋体" w:hint="default"/>
          <w:spacing w:val="2"/>
          <w:w w:val="99"/>
          <w:sz w:val="21"/>
          <w:szCs w:val="21"/>
        </w:rPr>
        <w:t>于</w:t>
      </w:r>
      <w:r>
        <w:rPr>
          <w:rFonts w:ascii="宋体" w:hAnsi="宋体" w:cs="宋体" w:eastAsia="宋体" w:hint="default"/>
          <w:spacing w:val="-1"/>
          <w:w w:val="99"/>
          <w:sz w:val="21"/>
          <w:szCs w:val="21"/>
        </w:rPr>
        <w:t>限</w:t>
      </w:r>
      <w:r>
        <w:rPr>
          <w:rFonts w:ascii="宋体" w:hAnsi="宋体" w:cs="宋体" w:eastAsia="宋体" w:hint="default"/>
          <w:spacing w:val="2"/>
          <w:w w:val="99"/>
          <w:sz w:val="21"/>
          <w:szCs w:val="21"/>
        </w:rPr>
        <w:t>制</w:t>
      </w:r>
      <w:r>
        <w:rPr>
          <w:rFonts w:ascii="宋体" w:hAnsi="宋体" w:cs="宋体" w:eastAsia="宋体" w:hint="default"/>
          <w:spacing w:val="-1"/>
          <w:w w:val="99"/>
          <w:sz w:val="21"/>
          <w:szCs w:val="21"/>
        </w:rPr>
        <w:t>性</w:t>
      </w:r>
      <w:r>
        <w:rPr>
          <w:rFonts w:ascii="宋体" w:hAnsi="宋体" w:cs="宋体" w:eastAsia="宋体" w:hint="default"/>
          <w:spacing w:val="2"/>
          <w:w w:val="99"/>
          <w:sz w:val="21"/>
          <w:szCs w:val="21"/>
        </w:rPr>
        <w:t>股</w:t>
      </w:r>
      <w:r>
        <w:rPr>
          <w:rFonts w:ascii="宋体" w:hAnsi="宋体" w:cs="宋体" w:eastAsia="宋体" w:hint="default"/>
          <w:spacing w:val="-1"/>
          <w:w w:val="99"/>
          <w:sz w:val="21"/>
          <w:szCs w:val="21"/>
        </w:rPr>
        <w:t>票</w:t>
      </w:r>
      <w:r>
        <w:rPr>
          <w:rFonts w:ascii="宋体" w:hAnsi="宋体" w:cs="宋体" w:eastAsia="宋体" w:hint="default"/>
          <w:spacing w:val="2"/>
          <w:w w:val="99"/>
          <w:sz w:val="21"/>
          <w:szCs w:val="21"/>
        </w:rPr>
        <w:t>激</w:t>
      </w:r>
      <w:r>
        <w:rPr>
          <w:rFonts w:ascii="宋体" w:hAnsi="宋体" w:cs="宋体" w:eastAsia="宋体" w:hint="default"/>
          <w:spacing w:val="-1"/>
          <w:w w:val="99"/>
          <w:sz w:val="21"/>
          <w:szCs w:val="21"/>
        </w:rPr>
        <w:t>励</w:t>
      </w:r>
      <w:r>
        <w:rPr>
          <w:rFonts w:ascii="宋体" w:hAnsi="宋体" w:cs="宋体" w:eastAsia="宋体" w:hint="default"/>
          <w:spacing w:val="2"/>
          <w:w w:val="99"/>
          <w:sz w:val="21"/>
          <w:szCs w:val="21"/>
        </w:rPr>
        <w:t>计</w:t>
      </w:r>
      <w:r>
        <w:rPr>
          <w:rFonts w:ascii="宋体" w:hAnsi="宋体" w:cs="宋体" w:eastAsia="宋体" w:hint="default"/>
          <w:spacing w:val="-1"/>
          <w:w w:val="99"/>
          <w:sz w:val="21"/>
          <w:szCs w:val="21"/>
        </w:rPr>
        <w:t>划</w:t>
      </w:r>
      <w:r>
        <w:rPr>
          <w:rFonts w:ascii="宋体" w:hAnsi="宋体" w:cs="宋体" w:eastAsia="宋体" w:hint="default"/>
          <w:spacing w:val="2"/>
          <w:w w:val="99"/>
          <w:sz w:val="21"/>
          <w:szCs w:val="21"/>
        </w:rPr>
        <w:t>（</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spacing w:val="-2"/>
          <w:w w:val="99"/>
          <w:sz w:val="21"/>
          <w:szCs w:val="21"/>
        </w:rPr>
        <w:t>7</w:t>
      </w:r>
      <w:r>
        <w:rPr>
          <w:rFonts w:ascii="Times New Roman" w:hAnsi="Times New Roman" w:cs="Times New Roman" w:eastAsia="Times New Roman" w:hint="default"/>
          <w:w w:val="99"/>
          <w:sz w:val="21"/>
          <w:szCs w:val="21"/>
        </w:rPr>
        <w:t>-</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spacing w:val="-2"/>
          <w:w w:val="99"/>
          <w:sz w:val="21"/>
          <w:szCs w:val="21"/>
        </w:rPr>
        <w:t>9</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首</w:t>
      </w:r>
      <w:r>
        <w:rPr>
          <w:rFonts w:ascii="宋体" w:hAnsi="宋体" w:cs="宋体" w:eastAsia="宋体" w:hint="default"/>
          <w:spacing w:val="-1"/>
          <w:w w:val="99"/>
          <w:sz w:val="21"/>
          <w:szCs w:val="21"/>
        </w:rPr>
        <w:t>次</w:t>
      </w:r>
      <w:r>
        <w:rPr>
          <w:rFonts w:ascii="宋体" w:hAnsi="宋体" w:cs="宋体" w:eastAsia="宋体" w:hint="default"/>
          <w:spacing w:val="2"/>
          <w:w w:val="99"/>
          <w:sz w:val="21"/>
          <w:szCs w:val="21"/>
        </w:rPr>
        <w:t>授</w:t>
      </w:r>
      <w:r>
        <w:rPr>
          <w:rFonts w:ascii="宋体" w:hAnsi="宋体" w:cs="宋体" w:eastAsia="宋体" w:hint="default"/>
          <w:spacing w:val="-1"/>
          <w:w w:val="99"/>
          <w:sz w:val="21"/>
          <w:szCs w:val="21"/>
        </w:rPr>
        <w:t>予</w:t>
      </w:r>
      <w:r>
        <w:rPr>
          <w:rFonts w:ascii="宋体" w:hAnsi="宋体" w:cs="宋体" w:eastAsia="宋体" w:hint="default"/>
          <w:spacing w:val="2"/>
          <w:w w:val="99"/>
          <w:sz w:val="21"/>
          <w:szCs w:val="21"/>
        </w:rPr>
        <w:t>完</w:t>
      </w:r>
      <w:r>
        <w:rPr>
          <w:rFonts w:ascii="宋体" w:hAnsi="宋体" w:cs="宋体" w:eastAsia="宋体" w:hint="default"/>
          <w:spacing w:val="-1"/>
          <w:w w:val="99"/>
          <w:sz w:val="21"/>
          <w:szCs w:val="21"/>
        </w:rPr>
        <w:t>成</w:t>
      </w:r>
      <w:r>
        <w:rPr>
          <w:rFonts w:ascii="宋体" w:hAnsi="宋体" w:cs="宋体" w:eastAsia="宋体" w:hint="default"/>
          <w:spacing w:val="2"/>
          <w:w w:val="99"/>
          <w:sz w:val="21"/>
          <w:szCs w:val="21"/>
        </w:rPr>
        <w:t>的</w:t>
      </w:r>
      <w:r>
        <w:rPr>
          <w:rFonts w:ascii="宋体" w:hAnsi="宋体" w:cs="宋体" w:eastAsia="宋体" w:hint="default"/>
          <w:spacing w:val="-1"/>
          <w:w w:val="99"/>
          <w:sz w:val="21"/>
          <w:szCs w:val="21"/>
        </w:rPr>
        <w:t>公</w:t>
      </w:r>
      <w:r>
        <w:rPr>
          <w:rFonts w:ascii="宋体" w:hAnsi="宋体" w:cs="宋体" w:eastAsia="宋体" w:hint="default"/>
          <w:spacing w:val="2"/>
          <w:w w:val="99"/>
          <w:sz w:val="21"/>
          <w:szCs w:val="21"/>
        </w:rPr>
        <w:t>告</w:t>
      </w:r>
      <w:r>
        <w:rPr>
          <w:rFonts w:ascii="宋体" w:hAnsi="宋体" w:cs="宋体" w:eastAsia="宋体" w:hint="default"/>
          <w:spacing w:val="-104"/>
          <w:w w:val="99"/>
          <w:sz w:val="21"/>
          <w:szCs w:val="21"/>
        </w:rPr>
        <w:t>》</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并</w:t>
      </w:r>
      <w:r>
        <w:rPr>
          <w:rFonts w:ascii="宋体" w:hAnsi="宋体" w:cs="宋体" w:eastAsia="宋体" w:hint="default"/>
          <w:w w:val="99"/>
          <w:sz w:val="21"/>
          <w:szCs w:val="21"/>
        </w:rPr>
        <w:t>于</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2"/>
          <w:w w:val="99"/>
          <w:sz w:val="21"/>
          <w:szCs w:val="21"/>
        </w:rPr>
        <w:t>1</w:t>
      </w:r>
      <w:r>
        <w:rPr>
          <w:rFonts w:ascii="Times New Roman" w:hAnsi="Times New Roman" w:cs="Times New Roman" w:eastAsia="Times New Roman" w:hint="default"/>
          <w:w w:val="99"/>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年</w:t>
      </w:r>
      <w:r>
        <w:rPr>
          <w:rFonts w:ascii="宋体" w:hAnsi="宋体" w:cs="宋体" w:eastAsia="宋体" w:hint="default"/>
          <w:sz w:val="21"/>
          <w:szCs w:val="21"/>
        </w:rPr>
      </w:r>
    </w:p>
    <w:p>
      <w:pPr>
        <w:spacing w:before="177"/>
        <w:ind w:left="11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日上市。</w:t>
      </w:r>
    </w:p>
    <w:p>
      <w:pPr>
        <w:spacing w:line="240" w:lineRule="auto" w:before="9"/>
        <w:rPr>
          <w:rFonts w:ascii="宋体" w:hAnsi="宋体" w:cs="宋体" w:eastAsia="宋体" w:hint="default"/>
          <w:sz w:val="16"/>
          <w:szCs w:val="16"/>
        </w:rPr>
      </w:pPr>
    </w:p>
    <w:p>
      <w:pPr>
        <w:spacing w:line="386" w:lineRule="auto" w:before="0"/>
        <w:ind w:left="112" w:right="113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日，公司第四届董事会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年第五次会议审议通过了《关于限制性股票激励计</w:t>
      </w:r>
      <w:r>
        <w:rPr>
          <w:rFonts w:ascii="宋体" w:hAnsi="宋体" w:cs="宋体" w:eastAsia="宋体" w:hint="default"/>
          <w:w w:val="99"/>
          <w:sz w:val="21"/>
          <w:szCs w:val="21"/>
        </w:rPr>
        <w:t> </w:t>
      </w:r>
      <w:r>
        <w:rPr>
          <w:rFonts w:ascii="宋体" w:hAnsi="宋体" w:cs="宋体" w:eastAsia="宋体" w:hint="default"/>
          <w:spacing w:val="-6"/>
          <w:w w:val="99"/>
          <w:sz w:val="21"/>
          <w:szCs w:val="21"/>
        </w:rPr>
        <w:t>划（</w:t>
      </w:r>
      <w:r>
        <w:rPr>
          <w:rFonts w:ascii="Times New Roman" w:hAnsi="Times New Roman" w:cs="Times New Roman" w:eastAsia="Times New Roman" w:hint="default"/>
          <w:spacing w:val="-6"/>
          <w:w w:val="99"/>
          <w:sz w:val="21"/>
          <w:szCs w:val="21"/>
        </w:rPr>
        <w:t>2017-2019</w:t>
      </w:r>
      <w:r>
        <w:rPr>
          <w:rFonts w:ascii="宋体" w:hAnsi="宋体" w:cs="宋体" w:eastAsia="宋体" w:hint="default"/>
          <w:spacing w:val="-6"/>
          <w:w w:val="99"/>
          <w:sz w:val="21"/>
          <w:szCs w:val="21"/>
        </w:rPr>
        <w:t>）首次授予部分第一个解除限售期解除条件成就的议案》、《关于回购注销部分激励对象已获</w:t>
      </w:r>
      <w:r>
        <w:rPr>
          <w:rFonts w:ascii="宋体" w:hAnsi="宋体" w:cs="宋体" w:eastAsia="宋体" w:hint="default"/>
          <w:spacing w:val="-72"/>
          <w:w w:val="99"/>
          <w:sz w:val="21"/>
          <w:szCs w:val="21"/>
        </w:rPr>
        <w:t> </w:t>
      </w:r>
      <w:r>
        <w:rPr>
          <w:rFonts w:ascii="宋体" w:hAnsi="宋体" w:cs="宋体" w:eastAsia="宋体" w:hint="default"/>
          <w:spacing w:val="-72"/>
          <w:w w:val="99"/>
          <w:sz w:val="21"/>
          <w:szCs w:val="21"/>
        </w:rPr>
      </w:r>
      <w:r>
        <w:rPr>
          <w:rFonts w:ascii="宋体" w:hAnsi="宋体" w:cs="宋体" w:eastAsia="宋体" w:hint="default"/>
          <w:spacing w:val="-6"/>
          <w:w w:val="99"/>
          <w:sz w:val="21"/>
          <w:szCs w:val="21"/>
        </w:rPr>
        <w:t>授但尚未解除限售的限制性股票的议案》、《关于调整公司限制性股票激励计划（</w:t>
      </w:r>
      <w:r>
        <w:rPr>
          <w:rFonts w:ascii="Times New Roman" w:hAnsi="Times New Roman" w:cs="Times New Roman" w:eastAsia="Times New Roman" w:hint="default"/>
          <w:spacing w:val="-6"/>
          <w:w w:val="99"/>
          <w:sz w:val="21"/>
          <w:szCs w:val="21"/>
        </w:rPr>
        <w:t>2017-2019</w:t>
      </w:r>
      <w:r>
        <w:rPr>
          <w:rFonts w:ascii="宋体" w:hAnsi="宋体" w:cs="宋体" w:eastAsia="宋体" w:hint="default"/>
          <w:spacing w:val="-6"/>
          <w:w w:val="99"/>
          <w:sz w:val="21"/>
          <w:szCs w:val="21"/>
        </w:rPr>
        <w:t>）回购价格的议</w:t>
      </w:r>
      <w:r>
        <w:rPr>
          <w:rFonts w:ascii="宋体" w:hAnsi="宋体" w:cs="宋体" w:eastAsia="宋体" w:hint="default"/>
          <w:spacing w:val="-72"/>
          <w:w w:val="99"/>
          <w:sz w:val="21"/>
          <w:szCs w:val="21"/>
        </w:rPr>
        <w:t> </w:t>
      </w:r>
      <w:r>
        <w:rPr>
          <w:rFonts w:ascii="宋体" w:hAnsi="宋体" w:cs="宋体" w:eastAsia="宋体" w:hint="default"/>
          <w:spacing w:val="-72"/>
          <w:w w:val="99"/>
          <w:sz w:val="21"/>
          <w:szCs w:val="21"/>
        </w:rPr>
      </w:r>
      <w:r>
        <w:rPr>
          <w:rFonts w:ascii="宋体" w:hAnsi="宋体" w:cs="宋体" w:eastAsia="宋体" w:hint="default"/>
          <w:spacing w:val="-35"/>
          <w:w w:val="99"/>
          <w:sz w:val="21"/>
          <w:szCs w:val="21"/>
        </w:rPr>
        <w:t>案》。</w:t>
      </w:r>
      <w:r>
        <w:rPr>
          <w:rFonts w:ascii="宋体" w:hAnsi="宋体" w:cs="宋体" w:eastAsia="宋体" w:hint="default"/>
          <w:spacing w:val="-35"/>
          <w:sz w:val="21"/>
          <w:szCs w:val="21"/>
        </w:rPr>
      </w:r>
    </w:p>
    <w:p>
      <w:pPr>
        <w:spacing w:line="386" w:lineRule="auto" w:before="103"/>
        <w:ind w:left="112" w:right="1135"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日，公司第四届监事会</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年第五次会议审议通过了《关于限制性股票激励计</w:t>
      </w:r>
      <w:r>
        <w:rPr>
          <w:rFonts w:ascii="宋体" w:hAnsi="宋体" w:cs="宋体" w:eastAsia="宋体" w:hint="default"/>
          <w:w w:val="99"/>
          <w:sz w:val="21"/>
          <w:szCs w:val="21"/>
        </w:rPr>
        <w:t> </w:t>
      </w:r>
      <w:r>
        <w:rPr>
          <w:rFonts w:ascii="宋体" w:hAnsi="宋体" w:cs="宋体" w:eastAsia="宋体" w:hint="default"/>
          <w:spacing w:val="-6"/>
          <w:w w:val="99"/>
          <w:sz w:val="21"/>
          <w:szCs w:val="21"/>
        </w:rPr>
        <w:t>划（</w:t>
      </w:r>
      <w:r>
        <w:rPr>
          <w:rFonts w:ascii="Times New Roman" w:hAnsi="Times New Roman" w:cs="Times New Roman" w:eastAsia="Times New Roman" w:hint="default"/>
          <w:spacing w:val="-6"/>
          <w:w w:val="99"/>
          <w:sz w:val="21"/>
          <w:szCs w:val="21"/>
        </w:rPr>
        <w:t>2017-2019</w:t>
      </w:r>
      <w:r>
        <w:rPr>
          <w:rFonts w:ascii="宋体" w:hAnsi="宋体" w:cs="宋体" w:eastAsia="宋体" w:hint="default"/>
          <w:spacing w:val="-6"/>
          <w:w w:val="99"/>
          <w:sz w:val="21"/>
          <w:szCs w:val="21"/>
        </w:rPr>
        <w:t>）首次授予部分第一个解除限售期解除条件成就的议案》、《关于回购注销部分激励对象已获</w:t>
      </w:r>
      <w:r>
        <w:rPr>
          <w:rFonts w:ascii="宋体" w:hAnsi="宋体" w:cs="宋体" w:eastAsia="宋体" w:hint="default"/>
          <w:spacing w:val="-72"/>
          <w:w w:val="99"/>
          <w:sz w:val="21"/>
          <w:szCs w:val="21"/>
        </w:rPr>
        <w:t> </w:t>
      </w:r>
      <w:r>
        <w:rPr>
          <w:rFonts w:ascii="宋体" w:hAnsi="宋体" w:cs="宋体" w:eastAsia="宋体" w:hint="default"/>
          <w:spacing w:val="-72"/>
          <w:w w:val="99"/>
          <w:sz w:val="21"/>
          <w:szCs w:val="21"/>
        </w:rPr>
      </w:r>
      <w:r>
        <w:rPr>
          <w:rFonts w:ascii="宋体" w:hAnsi="宋体" w:cs="宋体" w:eastAsia="宋体" w:hint="default"/>
          <w:spacing w:val="-6"/>
          <w:w w:val="99"/>
          <w:sz w:val="21"/>
          <w:szCs w:val="21"/>
        </w:rPr>
        <w:t>授但尚未解除限售的限制性股票的议案》、《关于调整公司限制性股票激励计划（</w:t>
      </w:r>
      <w:r>
        <w:rPr>
          <w:rFonts w:ascii="Times New Roman" w:hAnsi="Times New Roman" w:cs="Times New Roman" w:eastAsia="Times New Roman" w:hint="default"/>
          <w:spacing w:val="-6"/>
          <w:w w:val="99"/>
          <w:sz w:val="21"/>
          <w:szCs w:val="21"/>
        </w:rPr>
        <w:t>2017-2019</w:t>
      </w:r>
      <w:r>
        <w:rPr>
          <w:rFonts w:ascii="宋体" w:hAnsi="宋体" w:cs="宋体" w:eastAsia="宋体" w:hint="default"/>
          <w:spacing w:val="-6"/>
          <w:w w:val="99"/>
          <w:sz w:val="21"/>
          <w:szCs w:val="21"/>
        </w:rPr>
        <w:t>）回购价格的议</w:t>
      </w:r>
      <w:r>
        <w:rPr>
          <w:rFonts w:ascii="宋体" w:hAnsi="宋体" w:cs="宋体" w:eastAsia="宋体" w:hint="default"/>
          <w:spacing w:val="-72"/>
          <w:w w:val="99"/>
          <w:sz w:val="21"/>
          <w:szCs w:val="21"/>
        </w:rPr>
        <w:t> </w:t>
      </w:r>
      <w:r>
        <w:rPr>
          <w:rFonts w:ascii="宋体" w:hAnsi="宋体" w:cs="宋体" w:eastAsia="宋体" w:hint="default"/>
          <w:spacing w:val="-72"/>
          <w:w w:val="99"/>
          <w:sz w:val="21"/>
          <w:szCs w:val="21"/>
        </w:rPr>
      </w:r>
      <w:r>
        <w:rPr>
          <w:rFonts w:ascii="宋体" w:hAnsi="宋体" w:cs="宋体" w:eastAsia="宋体" w:hint="default"/>
          <w:spacing w:val="-35"/>
          <w:w w:val="99"/>
          <w:sz w:val="21"/>
          <w:szCs w:val="21"/>
        </w:rPr>
        <w:t>案》。</w:t>
      </w:r>
      <w:r>
        <w:rPr>
          <w:rFonts w:ascii="宋体" w:hAnsi="宋体" w:cs="宋体" w:eastAsia="宋体" w:hint="default"/>
          <w:spacing w:val="-35"/>
          <w:sz w:val="21"/>
          <w:szCs w:val="21"/>
        </w:rPr>
      </w:r>
    </w:p>
    <w:p>
      <w:pPr>
        <w:spacing w:after="0" w:line="386" w:lineRule="auto"/>
        <w:jc w:val="left"/>
        <w:rPr>
          <w:rFonts w:ascii="宋体" w:hAnsi="宋体" w:cs="宋体" w:eastAsia="宋体" w:hint="default"/>
          <w:sz w:val="21"/>
          <w:szCs w:val="21"/>
        </w:rPr>
        <w:sectPr>
          <w:headerReference w:type="default" r:id="rId23"/>
          <w:pgSz w:w="11910" w:h="16840"/>
          <w:pgMar w:header="907" w:footer="1028"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987"/>
        <w:jc w:val="left"/>
        <w:rPr>
          <w:b w:val="0"/>
          <w:bCs w:val="0"/>
        </w:rPr>
      </w:pPr>
      <w:bookmarkStart w:name="十五、重大关联交易" w:id="71"/>
      <w:bookmarkEnd w:id="71"/>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spacing w:line="568" w:lineRule="auto" w:before="0"/>
        <w:ind w:left="532" w:right="5924" w:hanging="420"/>
        <w:jc w:val="left"/>
        <w:rPr>
          <w:rFonts w:ascii="宋体" w:hAnsi="宋体" w:cs="宋体" w:eastAsia="宋体" w:hint="default"/>
          <w:sz w:val="21"/>
          <w:szCs w:val="21"/>
        </w:rPr>
      </w:pPr>
      <w:bookmarkStart w:name="1、与日常经营相关的关联交易" w:id="72"/>
      <w:bookmarkEnd w:id="7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b/>
          <w:bCs/>
          <w:w w:val="99"/>
          <w:sz w:val="21"/>
          <w:szCs w:val="21"/>
        </w:rPr>
        <w:t> </w:t>
      </w:r>
      <w:r>
        <w:rPr>
          <w:rFonts w:ascii="宋体" w:hAnsi="宋体" w:cs="宋体" w:eastAsia="宋体" w:hint="default"/>
          <w:sz w:val="21"/>
          <w:szCs w:val="21"/>
        </w:rPr>
        <w:t>公司报告期未发生与日常经营相关的关联交易。</w:t>
      </w:r>
    </w:p>
    <w:p>
      <w:pPr>
        <w:spacing w:line="571" w:lineRule="auto" w:before="128"/>
        <w:ind w:left="532" w:right="3733" w:hanging="420"/>
        <w:jc w:val="left"/>
        <w:rPr>
          <w:rFonts w:ascii="宋体" w:hAnsi="宋体" w:cs="宋体" w:eastAsia="宋体" w:hint="default"/>
          <w:sz w:val="21"/>
          <w:szCs w:val="21"/>
        </w:rPr>
      </w:pPr>
      <w:bookmarkStart w:name="2、资产或股权收购、出售发生的关联交易" w:id="73"/>
      <w:bookmarkEnd w:id="7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w w:val="95"/>
          <w:sz w:val="21"/>
          <w:szCs w:val="21"/>
        </w:rPr>
        <w:t>公司报告期未发生资产或股权收购、出售的关联交易。</w:t>
      </w:r>
      <w:r>
        <w:rPr>
          <w:rFonts w:ascii="宋体" w:hAnsi="宋体" w:cs="宋体" w:eastAsia="宋体" w:hint="default"/>
          <w:sz w:val="21"/>
          <w:szCs w:val="21"/>
        </w:rPr>
      </w:r>
    </w:p>
    <w:p>
      <w:pPr>
        <w:spacing w:line="571" w:lineRule="auto" w:before="124"/>
        <w:ind w:left="532" w:right="5095" w:hanging="420"/>
        <w:jc w:val="left"/>
        <w:rPr>
          <w:rFonts w:ascii="宋体" w:hAnsi="宋体" w:cs="宋体" w:eastAsia="宋体" w:hint="default"/>
          <w:sz w:val="21"/>
          <w:szCs w:val="21"/>
        </w:rPr>
      </w:pPr>
      <w:bookmarkStart w:name="3、共同对外投资的关联交易" w:id="74"/>
      <w:bookmarkEnd w:id="7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b/>
          <w:bCs/>
          <w:w w:val="99"/>
          <w:sz w:val="21"/>
          <w:szCs w:val="21"/>
        </w:rPr>
        <w:t> </w:t>
      </w:r>
      <w:r>
        <w:rPr>
          <w:rFonts w:ascii="宋体" w:hAnsi="宋体" w:cs="宋体" w:eastAsia="宋体" w:hint="default"/>
          <w:w w:val="95"/>
          <w:sz w:val="21"/>
          <w:szCs w:val="21"/>
        </w:rPr>
        <w:t>公司报告期未发生共同对外投资的关联交易。</w:t>
      </w:r>
      <w:r>
        <w:rPr>
          <w:rFonts w:ascii="宋体" w:hAnsi="宋体" w:cs="宋体" w:eastAsia="宋体" w:hint="default"/>
          <w:sz w:val="21"/>
          <w:szCs w:val="21"/>
        </w:rPr>
      </w:r>
    </w:p>
    <w:p>
      <w:pPr>
        <w:spacing w:line="571" w:lineRule="auto" w:before="126"/>
        <w:ind w:left="532" w:right="6764" w:hanging="420"/>
        <w:jc w:val="left"/>
        <w:rPr>
          <w:rFonts w:ascii="宋体" w:hAnsi="宋体" w:cs="宋体" w:eastAsia="宋体" w:hint="default"/>
          <w:sz w:val="21"/>
          <w:szCs w:val="21"/>
        </w:rPr>
      </w:pPr>
      <w:bookmarkStart w:name="4、关联债权债务往来 " w:id="75"/>
      <w:bookmarkEnd w:id="7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b/>
          <w:bCs/>
          <w:w w:val="99"/>
          <w:sz w:val="21"/>
          <w:szCs w:val="21"/>
        </w:rPr>
        <w:t> </w:t>
      </w:r>
      <w:r>
        <w:rPr>
          <w:rFonts w:ascii="宋体" w:hAnsi="宋体" w:cs="宋体" w:eastAsia="宋体" w:hint="default"/>
          <w:sz w:val="21"/>
          <w:szCs w:val="21"/>
        </w:rPr>
        <w:t>公司报告期不存在关联债权债务往来。</w:t>
      </w:r>
    </w:p>
    <w:p>
      <w:pPr>
        <w:spacing w:line="568" w:lineRule="auto" w:before="126"/>
        <w:ind w:left="532" w:right="7184" w:hanging="420"/>
        <w:jc w:val="left"/>
        <w:rPr>
          <w:rFonts w:ascii="宋体" w:hAnsi="宋体" w:cs="宋体" w:eastAsia="宋体" w:hint="default"/>
          <w:sz w:val="21"/>
          <w:szCs w:val="21"/>
        </w:rPr>
      </w:pPr>
      <w:bookmarkStart w:name="5、其他重大关联交易 " w:id="76"/>
      <w:bookmarkEnd w:id="7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b/>
          <w:bCs/>
          <w:w w:val="99"/>
          <w:sz w:val="21"/>
          <w:szCs w:val="21"/>
        </w:rPr>
        <w:t> </w:t>
      </w:r>
      <w:r>
        <w:rPr>
          <w:rFonts w:ascii="宋体" w:hAnsi="宋体" w:cs="宋体" w:eastAsia="宋体" w:hint="default"/>
          <w:sz w:val="21"/>
          <w:szCs w:val="21"/>
        </w:rPr>
        <w:t>公司报告期无其他重大关联交易。</w:t>
      </w:r>
    </w:p>
    <w:p>
      <w:pPr>
        <w:pStyle w:val="Heading2"/>
        <w:spacing w:line="240" w:lineRule="auto" w:before="105"/>
        <w:ind w:right="987"/>
        <w:jc w:val="left"/>
        <w:rPr>
          <w:b w:val="0"/>
          <w:bCs w:val="0"/>
        </w:rPr>
      </w:pPr>
      <w:bookmarkStart w:name="十六、重大合同及其履行情况" w:id="77"/>
      <w:bookmarkEnd w:id="77"/>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7"/>
        <w:jc w:val="left"/>
        <w:rPr>
          <w:b w:val="0"/>
          <w:bCs w:val="0"/>
        </w:rPr>
      </w:pPr>
      <w:bookmarkStart w:name="1、托管、承包、租赁事项情况" w:id="78"/>
      <w:bookmarkEnd w:id="7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托管情况" w:id="79"/>
      <w:bookmarkEnd w:id="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公司报告期不存在托管情况。</w:t>
      </w:r>
    </w:p>
    <w:p>
      <w:pPr>
        <w:spacing w:line="240" w:lineRule="auto" w:before="0"/>
        <w:rPr>
          <w:rFonts w:ascii="宋体" w:hAnsi="宋体" w:cs="宋体" w:eastAsia="宋体" w:hint="default"/>
          <w:sz w:val="20"/>
          <w:szCs w:val="20"/>
        </w:rPr>
      </w:pPr>
    </w:p>
    <w:p>
      <w:pPr>
        <w:spacing w:before="154"/>
        <w:ind w:left="112" w:right="987" w:firstLine="0"/>
        <w:jc w:val="left"/>
        <w:rPr>
          <w:rFonts w:ascii="宋体" w:hAnsi="宋体" w:cs="宋体" w:eastAsia="宋体" w:hint="default"/>
          <w:sz w:val="21"/>
          <w:szCs w:val="21"/>
        </w:rPr>
      </w:pPr>
      <w:bookmarkStart w:name="（2）承包情况" w:id="80"/>
      <w:bookmarkEnd w:id="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公司报告期不存在承包情况。</w:t>
      </w:r>
    </w:p>
    <w:p>
      <w:pPr>
        <w:spacing w:line="240" w:lineRule="auto" w:before="0"/>
        <w:rPr>
          <w:rFonts w:ascii="宋体" w:hAnsi="宋体" w:cs="宋体" w:eastAsia="宋体" w:hint="default"/>
          <w:sz w:val="20"/>
          <w:szCs w:val="20"/>
        </w:rPr>
      </w:pPr>
    </w:p>
    <w:p>
      <w:pPr>
        <w:spacing w:before="154"/>
        <w:ind w:left="112" w:right="987" w:firstLine="0"/>
        <w:jc w:val="left"/>
        <w:rPr>
          <w:rFonts w:ascii="宋体" w:hAnsi="宋体" w:cs="宋体" w:eastAsia="宋体" w:hint="default"/>
          <w:sz w:val="21"/>
          <w:szCs w:val="21"/>
        </w:rPr>
      </w:pPr>
      <w:bookmarkStart w:name="（3）租赁情况 " w:id="81"/>
      <w:bookmarkEnd w:id="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公司报告期不存在租赁情况。</w:t>
      </w:r>
    </w:p>
    <w:p>
      <w:pPr>
        <w:spacing w:after="0"/>
        <w:jc w:val="left"/>
        <w:rPr>
          <w:rFonts w:ascii="宋体" w:hAnsi="宋体" w:cs="宋体" w:eastAsia="宋体" w:hint="default"/>
          <w:sz w:val="21"/>
          <w:szCs w:val="21"/>
        </w:rPr>
        <w:sectPr>
          <w:headerReference w:type="default" r:id="rId24"/>
          <w:pgSz w:w="11910" w:h="16840"/>
          <w:pgMar w:header="907" w:footer="1028" w:top="1100" w:bottom="1220" w:left="1020" w:right="0"/>
        </w:sectPr>
      </w:pPr>
    </w:p>
    <w:p>
      <w:pPr>
        <w:spacing w:line="240" w:lineRule="auto" w:before="10"/>
        <w:rPr>
          <w:rFonts w:ascii="宋体" w:hAnsi="宋体" w:cs="宋体" w:eastAsia="宋体" w:hint="default"/>
          <w:sz w:val="21"/>
          <w:szCs w:val="21"/>
        </w:rPr>
      </w:pPr>
    </w:p>
    <w:p>
      <w:pPr>
        <w:pStyle w:val="Heading4"/>
        <w:spacing w:line="240" w:lineRule="auto" w:before="34"/>
        <w:ind w:right="987"/>
        <w:jc w:val="left"/>
        <w:rPr>
          <w:b w:val="0"/>
          <w:bCs w:val="0"/>
        </w:rPr>
      </w:pPr>
      <w:bookmarkStart w:name="2、重大担保" w:id="82"/>
      <w:bookmarkEnd w:id="8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0"/>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担保情况" w:id="83"/>
      <w:bookmarkEnd w:id="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7"/>
        <w:gridCol w:w="923"/>
        <w:gridCol w:w="919"/>
        <w:gridCol w:w="1300"/>
        <w:gridCol w:w="1057"/>
        <w:gridCol w:w="1041"/>
        <w:gridCol w:w="1047"/>
        <w:gridCol w:w="790"/>
        <w:gridCol w:w="782"/>
      </w:tblGrid>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8"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8"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2" w:right="179"/>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72" w:right="174"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59" w:right="188" w:hanging="360"/>
              <w:jc w:val="left"/>
              <w:rPr>
                <w:rFonts w:ascii="宋体" w:hAnsi="宋体" w:cs="宋体" w:eastAsia="宋体" w:hint="default"/>
                <w:sz w:val="18"/>
                <w:szCs w:val="18"/>
              </w:rPr>
            </w:pPr>
            <w:r>
              <w:rPr>
                <w:rFonts w:ascii="宋体" w:hAnsi="宋体" w:cs="宋体" w:eastAsia="宋体" w:hint="default"/>
                <w:sz w:val="18"/>
                <w:szCs w:val="18"/>
              </w:rPr>
              <w:t>实际发生日 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7" w:right="157"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2" w:right="116"/>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7"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7" w:right="184"/>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68" w:right="179"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7" w:right="157"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0" w:right="118"/>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7"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3522"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101" w:right="153"/>
              <w:jc w:val="left"/>
              <w:rPr>
                <w:rFonts w:ascii="宋体" w:hAnsi="宋体" w:cs="宋体" w:eastAsia="宋体" w:hint="default"/>
                <w:sz w:val="18"/>
                <w:szCs w:val="18"/>
              </w:rPr>
            </w:pPr>
            <w:r>
              <w:rPr>
                <w:rFonts w:ascii="宋体" w:hAnsi="宋体" w:cs="宋体" w:eastAsia="宋体" w:hint="default"/>
                <w:sz w:val="18"/>
                <w:szCs w:val="18"/>
              </w:rPr>
              <w:t>北京富华宇祺信息 技术有限公司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2,101.93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0" w:right="0"/>
              <w:jc w:val="left"/>
              <w:rPr>
                <w:rFonts w:ascii="Times New Roman" w:hAnsi="Times New Roman" w:cs="Times New Roman" w:eastAsia="Times New Roman" w:hint="default"/>
                <w:sz w:val="18"/>
                <w:szCs w:val="18"/>
              </w:rPr>
            </w:pPr>
            <w:r>
              <w:rPr>
                <w:rFonts w:ascii="Times New Roman"/>
                <w:sz w:val="18"/>
              </w:rPr>
              <w:t>2,101.93</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316" w:lineRule="auto"/>
              <w:ind w:left="108"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101" w:right="33"/>
              <w:jc w:val="left"/>
              <w:rPr>
                <w:rFonts w:ascii="宋体" w:hAnsi="宋体" w:cs="宋体" w:eastAsia="宋体" w:hint="default"/>
                <w:sz w:val="18"/>
                <w:szCs w:val="18"/>
              </w:rPr>
            </w:pPr>
            <w:r>
              <w:rPr>
                <w:rFonts w:ascii="宋体" w:hAnsi="宋体" w:cs="宋体" w:eastAsia="宋体" w:hint="default"/>
                <w:spacing w:val="-14"/>
                <w:sz w:val="18"/>
                <w:szCs w:val="18"/>
              </w:rPr>
              <w:t>自《技术开</w:t>
            </w:r>
            <w:r>
              <w:rPr>
                <w:rFonts w:ascii="宋体" w:hAnsi="宋体" w:cs="宋体" w:eastAsia="宋体" w:hint="default"/>
                <w:sz w:val="18"/>
                <w:szCs w:val="18"/>
              </w:rPr>
              <w:t> 发</w:t>
            </w:r>
            <w:r>
              <w:rPr>
                <w:rFonts w:ascii="Times New Roman" w:hAnsi="Times New Roman" w:cs="Times New Roman" w:eastAsia="Times New Roman" w:hint="default"/>
                <w:sz w:val="18"/>
                <w:szCs w:val="18"/>
              </w:rPr>
              <w:t>(</w:t>
            </w:r>
            <w:r>
              <w:rPr>
                <w:rFonts w:ascii="宋体" w:hAnsi="宋体" w:cs="宋体" w:eastAsia="宋体" w:hint="default"/>
                <w:sz w:val="18"/>
                <w:szCs w:val="18"/>
              </w:rPr>
              <w:t>委托</w:t>
            </w:r>
            <w:r>
              <w:rPr>
                <w:rFonts w:ascii="Times New Roman" w:hAnsi="Times New Roman" w:cs="Times New Roman" w:eastAsia="Times New Roman" w:hint="default"/>
                <w:sz w:val="18"/>
                <w:szCs w:val="18"/>
              </w:rPr>
              <w:t>) </w:t>
            </w:r>
            <w:r>
              <w:rPr>
                <w:rFonts w:ascii="宋体" w:hAnsi="宋体" w:cs="宋体" w:eastAsia="宋体" w:hint="default"/>
                <w:spacing w:val="-14"/>
                <w:sz w:val="18"/>
                <w:szCs w:val="18"/>
              </w:rPr>
              <w:t>合同》签署</w:t>
            </w:r>
            <w:r>
              <w:rPr>
                <w:rFonts w:ascii="宋体" w:hAnsi="宋体" w:cs="宋体" w:eastAsia="宋体" w:hint="default"/>
                <w:sz w:val="18"/>
                <w:szCs w:val="18"/>
              </w:rPr>
              <w:t> 生效日起 至富华宇 </w:t>
            </w:r>
            <w:r>
              <w:rPr>
                <w:rFonts w:ascii="宋体" w:hAnsi="宋体" w:cs="宋体" w:eastAsia="宋体" w:hint="default"/>
                <w:spacing w:val="-14"/>
                <w:sz w:val="18"/>
                <w:szCs w:val="18"/>
              </w:rPr>
              <w:t>祺在《技术</w:t>
            </w:r>
            <w:r>
              <w:rPr>
                <w:rFonts w:ascii="宋体" w:hAnsi="宋体" w:cs="宋体" w:eastAsia="宋体" w:hint="default"/>
                <w:sz w:val="18"/>
                <w:szCs w:val="18"/>
              </w:rPr>
              <w:t> 开发</w:t>
            </w:r>
            <w:r>
              <w:rPr>
                <w:rFonts w:ascii="Times New Roman" w:hAnsi="Times New Roman" w:cs="Times New Roman" w:eastAsia="Times New Roman" w:hint="default"/>
                <w:sz w:val="18"/>
                <w:szCs w:val="18"/>
              </w:rPr>
              <w:t>(</w:t>
            </w:r>
            <w:r>
              <w:rPr>
                <w:rFonts w:ascii="宋体" w:hAnsi="宋体" w:cs="宋体" w:eastAsia="宋体" w:hint="default"/>
                <w:sz w:val="18"/>
                <w:szCs w:val="18"/>
              </w:rPr>
              <w:t>委 托</w:t>
            </w:r>
            <w:r>
              <w:rPr>
                <w:rFonts w:ascii="Times New Roman" w:hAnsi="Times New Roman" w:cs="Times New Roman" w:eastAsia="Times New Roman" w:hint="default"/>
                <w:sz w:val="18"/>
                <w:szCs w:val="18"/>
              </w:rPr>
              <w:t>)</w:t>
            </w:r>
            <w:r>
              <w:rPr>
                <w:rFonts w:ascii="宋体" w:hAnsi="宋体" w:cs="宋体" w:eastAsia="宋体" w:hint="default"/>
                <w:sz w:val="18"/>
                <w:szCs w:val="18"/>
              </w:rPr>
              <w:t>合同》 项下的义 务履行完 毕之日止。</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77"/>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7"/>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84"/>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2,101.93</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8" w:hRule="exact"/>
        </w:trPr>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0" w:right="191"/>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51" w:right="196"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7" w:right="167"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5" w:right="123"/>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2" w:right="118"/>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84"/>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712" w:hRule="exact"/>
        </w:trPr>
        <w:tc>
          <w:tcPr>
            <w:tcW w:w="26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77"/>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84"/>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2,101.93</w:t>
            </w:r>
          </w:p>
        </w:tc>
      </w:tr>
    </w:tbl>
    <w:p>
      <w:pPr>
        <w:spacing w:after="0" w:line="240" w:lineRule="auto"/>
        <w:jc w:val="right"/>
        <w:rPr>
          <w:rFonts w:ascii="Times New Roman" w:hAnsi="Times New Roman" w:cs="Times New Roman" w:eastAsia="Times New Roman" w:hint="default"/>
          <w:sz w:val="18"/>
          <w:szCs w:val="18"/>
        </w:rPr>
        <w:sectPr>
          <w:headerReference w:type="default" r:id="rId25"/>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850"/>
        <w:gridCol w:w="4718"/>
      </w:tblGrid>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1.19%</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2"/>
              <w:jc w:val="left"/>
              <w:rPr>
                <w:rFonts w:ascii="宋体" w:hAnsi="宋体" w:cs="宋体" w:eastAsia="宋体" w:hint="default"/>
                <w:sz w:val="18"/>
                <w:szCs w:val="18"/>
              </w:rPr>
            </w:pPr>
            <w:r>
              <w:rPr>
                <w:rFonts w:ascii="宋体" w:hAnsi="宋体" w:cs="宋体" w:eastAsia="宋体" w:hint="default"/>
                <w:spacing w:val="-2"/>
                <w:sz w:val="18"/>
                <w:szCs w:val="18"/>
              </w:rPr>
              <w:t>对未到期担保，报告期内已发生担保责任或可能承担连带清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偿责任的情况说明（如有）</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0"/>
        <w:ind w:right="987"/>
        <w:jc w:val="left"/>
      </w:pPr>
      <w:r>
        <w:rPr/>
        <w:t>采用复合方式担保的具体情况说明</w:t>
      </w:r>
    </w:p>
    <w:p>
      <w:pPr>
        <w:spacing w:line="240" w:lineRule="auto" w:before="0"/>
        <w:rPr>
          <w:rFonts w:ascii="宋体" w:hAnsi="宋体" w:cs="宋体" w:eastAsia="宋体" w:hint="default"/>
          <w:sz w:val="18"/>
          <w:szCs w:val="18"/>
        </w:rPr>
      </w:pPr>
    </w:p>
    <w:p>
      <w:pPr>
        <w:spacing w:line="571" w:lineRule="auto" w:before="118"/>
        <w:ind w:left="532" w:right="7184" w:hanging="420"/>
        <w:jc w:val="left"/>
        <w:rPr>
          <w:rFonts w:ascii="宋体" w:hAnsi="宋体" w:cs="宋体" w:eastAsia="宋体" w:hint="default"/>
          <w:sz w:val="21"/>
          <w:szCs w:val="21"/>
        </w:rPr>
      </w:pPr>
      <w:bookmarkStart w:name="（2）违规对外担保情况" w:id="84"/>
      <w:bookmarkEnd w:id="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b/>
          <w:bCs/>
          <w:w w:val="99"/>
          <w:sz w:val="21"/>
          <w:szCs w:val="21"/>
        </w:rPr>
        <w:t> </w:t>
      </w:r>
      <w:r>
        <w:rPr>
          <w:rFonts w:ascii="宋体" w:hAnsi="宋体" w:cs="宋体" w:eastAsia="宋体" w:hint="default"/>
          <w:sz w:val="21"/>
          <w:szCs w:val="21"/>
        </w:rPr>
        <w:t>公司报告期无违规对外担保情况。</w:t>
      </w:r>
    </w:p>
    <w:p>
      <w:pPr>
        <w:pStyle w:val="Heading4"/>
        <w:spacing w:line="240" w:lineRule="auto" w:before="124"/>
        <w:ind w:right="987"/>
        <w:jc w:val="left"/>
        <w:rPr>
          <w:b w:val="0"/>
          <w:bCs w:val="0"/>
        </w:rPr>
      </w:pPr>
      <w:bookmarkStart w:name="3、委托他人进行现金资产管理情况" w:id="85"/>
      <w:bookmarkEnd w:id="8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688" w:lineRule="exact" w:before="18"/>
        <w:ind w:left="532" w:right="8234" w:hanging="420"/>
        <w:jc w:val="left"/>
        <w:rPr>
          <w:rFonts w:ascii="宋体" w:hAnsi="宋体" w:cs="宋体" w:eastAsia="宋体" w:hint="default"/>
          <w:sz w:val="21"/>
          <w:szCs w:val="21"/>
        </w:rPr>
      </w:pPr>
      <w:bookmarkStart w:name="（1）委托理财情况" w:id="86"/>
      <w:bookmarkEnd w:id="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报告期内委托理财概况</w:t>
      </w:r>
    </w:p>
    <w:p>
      <w:pPr>
        <w:pStyle w:val="BodyText"/>
        <w:spacing w:line="240" w:lineRule="auto" w:before="72"/>
        <w:ind w:left="0" w:right="1132"/>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68"/>
        <w:gridCol w:w="1962"/>
        <w:gridCol w:w="1981"/>
        <w:gridCol w:w="1909"/>
        <w:gridCol w:w="1847"/>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4"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51,904</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10,800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10,800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62,704</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18,700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4"/>
        <w:rPr>
          <w:rFonts w:ascii="宋体" w:hAnsi="宋体" w:cs="宋体" w:eastAsia="宋体" w:hint="default"/>
          <w:sz w:val="5"/>
          <w:szCs w:val="5"/>
        </w:rPr>
      </w:pPr>
    </w:p>
    <w:p>
      <w:pPr>
        <w:spacing w:line="441" w:lineRule="auto" w:before="34"/>
        <w:ind w:left="532" w:right="987" w:firstLine="0"/>
        <w:jc w:val="left"/>
        <w:rPr>
          <w:rFonts w:ascii="宋体" w:hAnsi="宋体" w:cs="宋体" w:eastAsia="宋体" w:hint="default"/>
          <w:sz w:val="21"/>
          <w:szCs w:val="21"/>
        </w:rPr>
      </w:pPr>
      <w:r>
        <w:rPr>
          <w:rFonts w:ascii="宋体" w:hAnsi="宋体" w:cs="宋体" w:eastAsia="宋体" w:hint="default"/>
          <w:sz w:val="21"/>
          <w:szCs w:val="21"/>
        </w:rPr>
        <w:t>单项金额重大或安全性较低、流动性较差、不保本的高风险委托理财具体情况：□ 适用 √</w:t>
      </w:r>
      <w:r>
        <w:rPr>
          <w:rFonts w:ascii="宋体" w:hAnsi="宋体" w:cs="宋体" w:eastAsia="宋体" w:hint="default"/>
          <w:spacing w:val="-20"/>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委托理财出现预期无法收回本金或存在其他可能导致减值的情形：□ 适用 √</w:t>
      </w:r>
      <w:r>
        <w:rPr>
          <w:rFonts w:ascii="宋体" w:hAnsi="宋体" w:cs="宋体" w:eastAsia="宋体" w:hint="default"/>
          <w:spacing w:val="-19"/>
          <w:sz w:val="21"/>
          <w:szCs w:val="21"/>
        </w:rPr>
        <w:t> </w:t>
      </w:r>
      <w:r>
        <w:rPr>
          <w:rFonts w:ascii="宋体" w:hAnsi="宋体" w:cs="宋体" w:eastAsia="宋体" w:hint="default"/>
          <w:sz w:val="21"/>
          <w:szCs w:val="21"/>
        </w:rPr>
        <w:t>不适用</w:t>
      </w:r>
    </w:p>
    <w:p>
      <w:pPr>
        <w:spacing w:line="240" w:lineRule="auto" w:before="4"/>
        <w:rPr>
          <w:rFonts w:ascii="宋体" w:hAnsi="宋体" w:cs="宋体" w:eastAsia="宋体" w:hint="default"/>
          <w:sz w:val="18"/>
          <w:szCs w:val="18"/>
        </w:rPr>
      </w:pPr>
    </w:p>
    <w:p>
      <w:pPr>
        <w:spacing w:line="571" w:lineRule="auto" w:before="0"/>
        <w:ind w:left="532" w:right="7604" w:hanging="420"/>
        <w:jc w:val="left"/>
        <w:rPr>
          <w:rFonts w:ascii="宋体" w:hAnsi="宋体" w:cs="宋体" w:eastAsia="宋体" w:hint="default"/>
          <w:sz w:val="21"/>
          <w:szCs w:val="21"/>
        </w:rPr>
      </w:pPr>
      <w:bookmarkStart w:name="（2）委托贷款情况" w:id="87"/>
      <w:bookmarkEnd w:id="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t>公司报告期不存在委托贷款。</w:t>
      </w:r>
    </w:p>
    <w:p>
      <w:pPr>
        <w:spacing w:line="568" w:lineRule="auto" w:before="126"/>
        <w:ind w:left="532" w:right="7184" w:hanging="420"/>
        <w:jc w:val="left"/>
        <w:rPr>
          <w:rFonts w:ascii="宋体" w:hAnsi="宋体" w:cs="宋体" w:eastAsia="宋体" w:hint="default"/>
          <w:sz w:val="21"/>
          <w:szCs w:val="21"/>
        </w:rPr>
      </w:pPr>
      <w:bookmarkStart w:name="4、其他重大合同 " w:id="88"/>
      <w:bookmarkEnd w:id="8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b/>
          <w:bCs/>
          <w:w w:val="99"/>
          <w:sz w:val="21"/>
          <w:szCs w:val="21"/>
        </w:rPr>
        <w:t> </w:t>
      </w:r>
      <w:r>
        <w:rPr>
          <w:rFonts w:ascii="宋体" w:hAnsi="宋体" w:cs="宋体" w:eastAsia="宋体" w:hint="default"/>
          <w:sz w:val="21"/>
          <w:szCs w:val="21"/>
        </w:rPr>
        <w:t>公司报告期不存在其他重大合同。</w:t>
      </w:r>
    </w:p>
    <w:p>
      <w:pPr>
        <w:spacing w:after="0" w:line="568" w:lineRule="auto"/>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987"/>
        <w:jc w:val="left"/>
        <w:rPr>
          <w:b w:val="0"/>
          <w:bCs w:val="0"/>
        </w:rPr>
      </w:pPr>
      <w:bookmarkStart w:name="十七、社会责任情况" w:id="89"/>
      <w:bookmarkEnd w:id="89"/>
      <w:r>
        <w:rPr>
          <w:b w:val="0"/>
          <w:bCs w:val="0"/>
        </w:rPr>
      </w:r>
      <w:r>
        <w:rPr/>
        <w:t>十七、社会责任情况</w:t>
      </w:r>
      <w:r>
        <w:rPr>
          <w:b w:val="0"/>
          <w:bCs w:val="0"/>
        </w:rPr>
      </w:r>
    </w:p>
    <w:p>
      <w:pPr>
        <w:spacing w:line="688" w:lineRule="exact" w:before="18"/>
        <w:ind w:left="532" w:right="987" w:hanging="420"/>
        <w:jc w:val="left"/>
        <w:rPr>
          <w:rFonts w:ascii="宋体" w:hAnsi="宋体" w:cs="宋体" w:eastAsia="宋体" w:hint="default"/>
          <w:sz w:val="21"/>
          <w:szCs w:val="21"/>
        </w:rPr>
      </w:pPr>
      <w:bookmarkStart w:name="1、履行社会责任情况" w:id="90"/>
      <w:bookmarkEnd w:id="9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w w:val="95"/>
          <w:sz w:val="21"/>
          <w:szCs w:val="21"/>
        </w:rPr>
        <w:t>公司积极履行企业应尽的义务，承担社会责任。公司在不断为股东创造价值的同时，也积极承担对职</w:t>
      </w:r>
      <w:r>
        <w:rPr>
          <w:rFonts w:ascii="宋体" w:hAnsi="宋体" w:cs="宋体" w:eastAsia="宋体" w:hint="default"/>
          <w:sz w:val="21"/>
          <w:szCs w:val="21"/>
        </w:rPr>
      </w:r>
    </w:p>
    <w:p>
      <w:pPr>
        <w:spacing w:line="444" w:lineRule="auto" w:before="85"/>
        <w:ind w:left="638" w:right="987" w:hanging="526"/>
        <w:jc w:val="left"/>
        <w:rPr>
          <w:rFonts w:ascii="宋体" w:hAnsi="宋体" w:cs="宋体" w:eastAsia="宋体" w:hint="default"/>
          <w:sz w:val="21"/>
          <w:szCs w:val="21"/>
        </w:rPr>
      </w:pPr>
      <w:r>
        <w:rPr>
          <w:rFonts w:ascii="宋体" w:hAnsi="宋体" w:cs="宋体" w:eastAsia="宋体" w:hint="default"/>
          <w:sz w:val="21"/>
          <w:szCs w:val="21"/>
        </w:rPr>
        <w:t>工、客户、社会等其他利益相关者的责任。</w:t>
      </w:r>
      <w:r>
        <w:rPr>
          <w:rFonts w:ascii="宋体" w:hAnsi="宋体" w:cs="宋体" w:eastAsia="宋体" w:hint="default"/>
          <w:w w:val="99"/>
          <w:sz w:val="21"/>
          <w:szCs w:val="21"/>
        </w:rPr>
        <w:t> </w:t>
      </w:r>
      <w:r>
        <w:rPr>
          <w:rFonts w:ascii="宋体" w:hAnsi="宋体" w:cs="宋体" w:eastAsia="宋体" w:hint="default"/>
          <w:spacing w:val="-9"/>
          <w:w w:val="99"/>
          <w:sz w:val="21"/>
          <w:szCs w:val="21"/>
        </w:rPr>
        <w:t>对股东方面，公司严格按照《公司法》、《深圳证券交易所创业板股票上市规则》、《上市公司信息披</w:t>
      </w:r>
      <w:r>
        <w:rPr>
          <w:rFonts w:ascii="宋体" w:hAnsi="宋体" w:cs="宋体" w:eastAsia="宋体" w:hint="default"/>
          <w:spacing w:val="-9"/>
          <w:sz w:val="21"/>
          <w:szCs w:val="21"/>
        </w:rPr>
      </w:r>
    </w:p>
    <w:p>
      <w:pPr>
        <w:spacing w:line="408" w:lineRule="auto" w:before="14"/>
        <w:ind w:left="112" w:right="1025" w:firstLine="0"/>
        <w:jc w:val="left"/>
        <w:rPr>
          <w:rFonts w:ascii="宋体" w:hAnsi="宋体" w:cs="宋体" w:eastAsia="宋体" w:hint="default"/>
          <w:sz w:val="21"/>
          <w:szCs w:val="21"/>
        </w:rPr>
      </w:pPr>
      <w:r>
        <w:rPr>
          <w:rFonts w:ascii="宋体" w:hAnsi="宋体" w:cs="宋体" w:eastAsia="宋体" w:hint="default"/>
          <w:sz w:val="21"/>
          <w:szCs w:val="21"/>
        </w:rPr>
        <w:t>露管理办法》等相关法律法规的要求，及时、准确、真实、完整地进行信息披露，通过投资者电话、电子</w:t>
      </w:r>
      <w:r>
        <w:rPr>
          <w:rFonts w:ascii="宋体" w:hAnsi="宋体" w:cs="宋体" w:eastAsia="宋体" w:hint="default"/>
          <w:w w:val="99"/>
          <w:sz w:val="21"/>
          <w:szCs w:val="21"/>
        </w:rPr>
        <w:t> </w:t>
      </w:r>
      <w:r>
        <w:rPr>
          <w:rFonts w:ascii="宋体" w:hAnsi="宋体" w:cs="宋体" w:eastAsia="宋体" w:hint="default"/>
          <w:spacing w:val="-3"/>
          <w:sz w:val="21"/>
          <w:szCs w:val="21"/>
        </w:rPr>
        <w:t>邮箱、公司网站和投资者关系互动平台等多种方式与投资者进行沟通交流，提高了公司的透明度和诚信度。</w:t>
      </w:r>
      <w:r>
        <w:rPr>
          <w:rFonts w:ascii="宋体" w:hAnsi="宋体" w:cs="宋体" w:eastAsia="宋体" w:hint="default"/>
          <w:w w:val="99"/>
          <w:sz w:val="21"/>
          <w:szCs w:val="21"/>
        </w:rPr>
        <w:t> </w:t>
      </w:r>
      <w:r>
        <w:rPr>
          <w:rFonts w:ascii="宋体" w:hAnsi="宋体" w:cs="宋体" w:eastAsia="宋体" w:hint="default"/>
          <w:sz w:val="21"/>
          <w:szCs w:val="21"/>
        </w:rPr>
        <w:t>公司非常重视对投资者的合理回报，制定了相对稳定的利润分配政策和分红方案以回报股东。</w:t>
      </w:r>
    </w:p>
    <w:p>
      <w:pPr>
        <w:spacing w:line="408" w:lineRule="auto" w:before="84"/>
        <w:ind w:left="112" w:right="1132" w:firstLine="420"/>
        <w:jc w:val="both"/>
        <w:rPr>
          <w:rFonts w:ascii="宋体" w:hAnsi="宋体" w:cs="宋体" w:eastAsia="宋体" w:hint="default"/>
          <w:sz w:val="21"/>
          <w:szCs w:val="21"/>
        </w:rPr>
      </w:pPr>
      <w:r>
        <w:rPr>
          <w:rFonts w:ascii="宋体" w:hAnsi="宋体" w:cs="宋体" w:eastAsia="宋体" w:hint="default"/>
          <w:spacing w:val="-5"/>
          <w:w w:val="99"/>
          <w:sz w:val="21"/>
          <w:szCs w:val="21"/>
        </w:rPr>
        <w:t>对员工方面，公司一致坚持以人为本的人才理念，实施企业人才战略，严格遵守《劳动法》、《劳动合</w:t>
      </w:r>
      <w:r>
        <w:rPr>
          <w:rFonts w:ascii="宋体" w:hAnsi="宋体" w:cs="宋体" w:eastAsia="宋体" w:hint="default"/>
          <w:w w:val="99"/>
          <w:sz w:val="21"/>
          <w:szCs w:val="21"/>
        </w:rPr>
        <w:t> </w:t>
      </w:r>
      <w:r>
        <w:rPr>
          <w:rFonts w:ascii="宋体" w:hAnsi="宋体" w:cs="宋体" w:eastAsia="宋体" w:hint="default"/>
          <w:w w:val="95"/>
          <w:sz w:val="21"/>
          <w:szCs w:val="21"/>
        </w:rPr>
        <w:t>同法》等相关法律法规，尊重和维护员工的个人权益，切实关注员工健康、安全和满意度；通过知识技能</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的理论培训及实践操作技能培训等方式使员工得到切实的提高和发展，维护员工权益。</w:t>
      </w:r>
    </w:p>
    <w:p>
      <w:pPr>
        <w:spacing w:line="408" w:lineRule="auto" w:before="87"/>
        <w:ind w:left="112" w:right="1132" w:firstLine="420"/>
        <w:jc w:val="both"/>
        <w:rPr>
          <w:rFonts w:ascii="宋体" w:hAnsi="宋体" w:cs="宋体" w:eastAsia="宋体" w:hint="default"/>
          <w:sz w:val="21"/>
          <w:szCs w:val="21"/>
        </w:rPr>
      </w:pPr>
      <w:r>
        <w:rPr>
          <w:rFonts w:ascii="宋体" w:hAnsi="宋体" w:cs="宋体" w:eastAsia="宋体" w:hint="default"/>
          <w:w w:val="95"/>
          <w:sz w:val="21"/>
          <w:szCs w:val="21"/>
        </w:rPr>
        <w:t>最后在社会责任方面，公司始终将依法经营作为公司运行的基本原则，注重企业经济效益与社会效益</w:t>
      </w:r>
      <w:r>
        <w:rPr>
          <w:rFonts w:ascii="宋体" w:hAnsi="宋体" w:cs="宋体" w:eastAsia="宋体" w:hint="default"/>
          <w:w w:val="99"/>
          <w:sz w:val="21"/>
          <w:szCs w:val="21"/>
        </w:rPr>
        <w:t> </w:t>
      </w:r>
      <w:r>
        <w:rPr>
          <w:rFonts w:ascii="宋体" w:hAnsi="宋体" w:cs="宋体" w:eastAsia="宋体" w:hint="default"/>
          <w:w w:val="95"/>
          <w:sz w:val="21"/>
          <w:szCs w:val="21"/>
        </w:rPr>
        <w:t>的同步共赢。公司严格遵守国家法律、法规、政策的规定，始终依法经营，积极纳税，发展就业岗位，支</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持地方经济的发展。</w:t>
      </w:r>
    </w:p>
    <w:p>
      <w:pPr>
        <w:spacing w:line="240" w:lineRule="auto" w:before="8"/>
        <w:rPr>
          <w:rFonts w:ascii="宋体" w:hAnsi="宋体" w:cs="宋体" w:eastAsia="宋体" w:hint="default"/>
          <w:sz w:val="20"/>
          <w:szCs w:val="20"/>
        </w:rPr>
      </w:pPr>
    </w:p>
    <w:p>
      <w:pPr>
        <w:spacing w:before="0"/>
        <w:ind w:left="112" w:right="987" w:firstLine="0"/>
        <w:jc w:val="left"/>
        <w:rPr>
          <w:rFonts w:ascii="宋体" w:hAnsi="宋体" w:cs="宋体" w:eastAsia="宋体" w:hint="default"/>
          <w:sz w:val="21"/>
          <w:szCs w:val="21"/>
        </w:rPr>
      </w:pPr>
      <w:bookmarkStart w:name="2、履行精准扶贫社会责任情况" w:id="91"/>
      <w:bookmarkEnd w:id="9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571" w:lineRule="auto" w:before="0"/>
        <w:ind w:left="532" w:right="3733" w:hanging="420"/>
        <w:jc w:val="left"/>
        <w:rPr>
          <w:rFonts w:ascii="宋体" w:hAnsi="宋体" w:cs="宋体" w:eastAsia="宋体" w:hint="default"/>
          <w:sz w:val="21"/>
          <w:szCs w:val="21"/>
        </w:rPr>
      </w:pPr>
      <w:bookmarkStart w:name="（1）精准扶贫规划" w:id="92"/>
      <w:bookmarkEnd w:id="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w w:val="95"/>
          <w:sz w:val="21"/>
          <w:szCs w:val="21"/>
        </w:rPr>
        <w:t>公司报告内暂未开展精准扶贫工作，也暂无后续精准扶贫计划。</w:t>
      </w:r>
      <w:r>
        <w:rPr>
          <w:rFonts w:ascii="宋体" w:hAnsi="宋体" w:cs="宋体" w:eastAsia="宋体" w:hint="default"/>
          <w:sz w:val="21"/>
          <w:szCs w:val="21"/>
        </w:rPr>
      </w:r>
    </w:p>
    <w:p>
      <w:pPr>
        <w:spacing w:before="126"/>
        <w:ind w:left="112" w:right="987" w:firstLine="0"/>
        <w:jc w:val="left"/>
        <w:rPr>
          <w:rFonts w:ascii="宋体" w:hAnsi="宋体" w:cs="宋体" w:eastAsia="宋体" w:hint="default"/>
          <w:sz w:val="21"/>
          <w:szCs w:val="21"/>
        </w:rPr>
      </w:pPr>
      <w:bookmarkStart w:name="（2）年度精准扶贫概要" w:id="93"/>
      <w:bookmarkEnd w:id="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）年度精准扶贫概要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3）精准扶贫成效" w:id="94"/>
      <w:bookmarkEnd w:id="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）精准扶贫成效</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0"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4"/>
        <w:rPr>
          <w:rFonts w:ascii="宋体" w:hAnsi="宋体" w:cs="宋体" w:eastAsia="宋体" w:hint="default"/>
          <w:b/>
          <w:bCs/>
          <w:sz w:val="19"/>
          <w:szCs w:val="19"/>
        </w:rPr>
      </w:pPr>
    </w:p>
    <w:p>
      <w:pPr>
        <w:spacing w:line="568" w:lineRule="auto" w:before="34"/>
        <w:ind w:left="532" w:right="8540" w:hanging="420"/>
        <w:jc w:val="left"/>
        <w:rPr>
          <w:rFonts w:ascii="宋体" w:hAnsi="宋体" w:cs="宋体" w:eastAsia="宋体" w:hint="default"/>
          <w:sz w:val="21"/>
          <w:szCs w:val="21"/>
        </w:rPr>
      </w:pPr>
      <w:bookmarkStart w:name="（4）后续精准扶贫计划" w:id="95"/>
      <w:bookmarkEnd w:id="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before="128"/>
        <w:ind w:left="112" w:right="0" w:firstLine="0"/>
        <w:jc w:val="both"/>
        <w:rPr>
          <w:rFonts w:ascii="宋体" w:hAnsi="宋体" w:cs="宋体" w:eastAsia="宋体" w:hint="default"/>
          <w:sz w:val="21"/>
          <w:szCs w:val="21"/>
        </w:rPr>
      </w:pPr>
      <w:bookmarkStart w:name="3、环境保护相关的情况" w:id="96"/>
      <w:bookmarkEnd w:id="9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41" w:lineRule="auto"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上市公司及其子公司是否属于环境保护部门公布的重点排污单位：否</w:t>
      </w:r>
      <w:r>
        <w:rPr>
          <w:rFonts w:ascii="宋体" w:hAnsi="宋体" w:cs="宋体" w:eastAsia="宋体" w:hint="default"/>
          <w:w w:val="99"/>
          <w:sz w:val="21"/>
          <w:szCs w:val="21"/>
        </w:rPr>
        <w:t> </w:t>
      </w:r>
      <w:r>
        <w:rPr>
          <w:rFonts w:ascii="宋体" w:hAnsi="宋体" w:cs="宋体" w:eastAsia="宋体" w:hint="default"/>
          <w:spacing w:val="-5"/>
          <w:w w:val="99"/>
          <w:sz w:val="21"/>
          <w:szCs w:val="21"/>
        </w:rPr>
        <w:t>公司及其控股子公司在日常生产经营中认真执行《中华人民共和国环境保护法》、《中华人民共和国水</w:t>
      </w:r>
      <w:r>
        <w:rPr>
          <w:rFonts w:ascii="宋体" w:hAnsi="宋体" w:cs="宋体" w:eastAsia="宋体" w:hint="default"/>
          <w:spacing w:val="-5"/>
          <w:sz w:val="21"/>
          <w:szCs w:val="21"/>
        </w:rPr>
      </w:r>
    </w:p>
    <w:p>
      <w:pPr>
        <w:spacing w:line="408" w:lineRule="auto" w:before="16"/>
        <w:ind w:left="112" w:right="1132" w:firstLine="0"/>
        <w:jc w:val="both"/>
        <w:rPr>
          <w:rFonts w:ascii="宋体" w:hAnsi="宋体" w:cs="宋体" w:eastAsia="宋体" w:hint="default"/>
          <w:sz w:val="21"/>
          <w:szCs w:val="21"/>
        </w:rPr>
      </w:pPr>
      <w:r>
        <w:rPr>
          <w:rFonts w:ascii="宋体" w:hAnsi="宋体" w:cs="宋体" w:eastAsia="宋体" w:hint="default"/>
          <w:spacing w:val="-13"/>
          <w:w w:val="99"/>
          <w:sz w:val="21"/>
          <w:szCs w:val="21"/>
        </w:rPr>
        <w:t>污染防治法》、《中华人民共和国大气污染防治法》、《中华人民共和国环境噪声污染防治法》、《中华人民共</w:t>
      </w:r>
      <w:r>
        <w:rPr>
          <w:rFonts w:ascii="宋体" w:hAnsi="宋体" w:cs="宋体" w:eastAsia="宋体" w:hint="default"/>
          <w:spacing w:val="-93"/>
          <w:w w:val="99"/>
          <w:sz w:val="21"/>
          <w:szCs w:val="21"/>
        </w:rPr>
        <w:t> </w:t>
      </w:r>
      <w:r>
        <w:rPr>
          <w:rFonts w:ascii="宋体" w:hAnsi="宋体" w:cs="宋体" w:eastAsia="宋体" w:hint="default"/>
          <w:spacing w:val="-93"/>
          <w:w w:val="99"/>
          <w:sz w:val="21"/>
          <w:szCs w:val="21"/>
        </w:rPr>
      </w:r>
      <w:r>
        <w:rPr>
          <w:rFonts w:ascii="宋体" w:hAnsi="宋体" w:cs="宋体" w:eastAsia="宋体" w:hint="default"/>
          <w:w w:val="95"/>
          <w:sz w:val="21"/>
          <w:szCs w:val="21"/>
        </w:rPr>
        <w:t>和国固体废物污染防治法》等环保方面的法律法规。报告期内，公司未出现因环保违法违规而受到处罚的  </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情况。</w:t>
      </w:r>
    </w:p>
    <w:p>
      <w:pPr>
        <w:spacing w:line="240" w:lineRule="auto" w:before="11"/>
        <w:rPr>
          <w:rFonts w:ascii="宋体" w:hAnsi="宋体" w:cs="宋体" w:eastAsia="宋体" w:hint="default"/>
          <w:sz w:val="18"/>
          <w:szCs w:val="18"/>
        </w:rPr>
      </w:pPr>
    </w:p>
    <w:p>
      <w:pPr>
        <w:spacing w:before="0"/>
        <w:ind w:left="112" w:right="0" w:firstLine="0"/>
        <w:jc w:val="both"/>
        <w:rPr>
          <w:rFonts w:ascii="宋体" w:hAnsi="宋体" w:cs="宋体" w:eastAsia="宋体" w:hint="default"/>
          <w:sz w:val="24"/>
          <w:szCs w:val="24"/>
        </w:rPr>
      </w:pPr>
      <w:bookmarkStart w:name="十八、其他重大事项的说明" w:id="97"/>
      <w:bookmarkEnd w:id="97"/>
      <w:r>
        <w:rPr/>
      </w:r>
      <w:r>
        <w:rPr>
          <w:rFonts w:ascii="宋体" w:hAnsi="宋体" w:cs="宋体" w:eastAsia="宋体" w:hint="default"/>
          <w:b/>
          <w:bCs/>
          <w:sz w:val="24"/>
          <w:szCs w:val="24"/>
        </w:rPr>
        <w:t>十八、其他重大事项的说明</w:t>
      </w:r>
      <w:r>
        <w:rPr>
          <w:rFonts w:ascii="宋体" w:hAnsi="宋体" w:cs="宋体" w:eastAsia="宋体" w:hint="default"/>
          <w:sz w:val="24"/>
          <w:szCs w:val="24"/>
        </w:rPr>
      </w:r>
    </w:p>
    <w:p>
      <w:pPr>
        <w:spacing w:line="240" w:lineRule="auto" w:before="7"/>
        <w:rPr>
          <w:rFonts w:ascii="宋体" w:hAnsi="宋体" w:cs="宋体" w:eastAsia="宋体" w:hint="default"/>
          <w:b/>
          <w:bCs/>
          <w:sz w:val="32"/>
          <w:szCs w:val="32"/>
        </w:rPr>
      </w:pPr>
    </w:p>
    <w:p>
      <w:pPr>
        <w:pStyle w:val="BodyText"/>
        <w:spacing w:line="240" w:lineRule="auto" w:before="0"/>
        <w:ind w:left="472" w:right="987"/>
        <w:jc w:val="left"/>
      </w:pPr>
      <w:r>
        <w:rPr/>
        <w:t>公司报告期不存在需要说明的其他重大事项。</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both"/>
        <w:rPr>
          <w:b w:val="0"/>
          <w:bCs w:val="0"/>
        </w:rPr>
      </w:pPr>
      <w:bookmarkStart w:name="十九、公司子公司重大事项" w:id="98"/>
      <w:bookmarkEnd w:id="98"/>
      <w:r>
        <w:rPr>
          <w:b w:val="0"/>
          <w:bCs w:val="0"/>
        </w:rPr>
      </w:r>
      <w:r>
        <w:rPr/>
        <w:t>十九、公司子公司重大事项</w:t>
      </w:r>
      <w:r>
        <w:rPr>
          <w:b w:val="0"/>
          <w:bCs w:val="0"/>
        </w:rPr>
      </w:r>
    </w:p>
    <w:p>
      <w:pPr>
        <w:spacing w:line="240" w:lineRule="auto" w:before="10"/>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footerReference w:type="default" r:id="rId26"/>
          <w:pgSz w:w="11910" w:h="16840"/>
          <w:pgMar w:footer="1028" w:header="907" w:top="1100" w:bottom="1220" w:left="1020" w:right="0"/>
          <w:pgNumType w:start="5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2928" w:right="987" w:firstLine="0"/>
        <w:jc w:val="left"/>
        <w:rPr>
          <w:rFonts w:ascii="宋体" w:hAnsi="宋体" w:cs="宋体" w:eastAsia="宋体" w:hint="default"/>
          <w:sz w:val="32"/>
          <w:szCs w:val="32"/>
        </w:rPr>
      </w:pPr>
      <w:bookmarkStart w:name="第六节 股份变动及股东情况" w:id="99"/>
      <w:bookmarkEnd w:id="99"/>
      <w:r>
        <w:rPr/>
      </w:r>
      <w:r>
        <w:rPr>
          <w:rFonts w:ascii="宋体" w:hAnsi="宋体" w:cs="宋体" w:eastAsia="宋体" w:hint="default"/>
          <w:b/>
          <w:bCs/>
          <w:sz w:val="32"/>
          <w:szCs w:val="32"/>
        </w:rPr>
        <w:t>第六节</w:t>
      </w:r>
      <w:r>
        <w:rPr>
          <w:rFonts w:ascii="宋体" w:hAnsi="宋体" w:cs="宋体" w:eastAsia="宋体" w:hint="default"/>
          <w:b/>
          <w:bCs/>
          <w:spacing w:val="-13"/>
          <w:sz w:val="32"/>
          <w:szCs w:val="32"/>
        </w:rPr>
        <w:t> </w:t>
      </w:r>
      <w:r>
        <w:rPr>
          <w:rFonts w:ascii="宋体" w:hAnsi="宋体" w:cs="宋体" w:eastAsia="宋体" w:hint="default"/>
          <w:b/>
          <w:bCs/>
          <w:sz w:val="32"/>
          <w:szCs w:val="32"/>
        </w:rPr>
        <w:t>股份变动及股东情况</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before="26"/>
        <w:ind w:left="112" w:right="987" w:firstLine="0"/>
        <w:jc w:val="left"/>
        <w:rPr>
          <w:rFonts w:ascii="宋体" w:hAnsi="宋体" w:cs="宋体" w:eastAsia="宋体" w:hint="default"/>
          <w:sz w:val="24"/>
          <w:szCs w:val="24"/>
        </w:rPr>
      </w:pPr>
      <w:bookmarkStart w:name="一、股份变动情况" w:id="100"/>
      <w:bookmarkEnd w:id="100"/>
      <w:r>
        <w:rPr/>
      </w:r>
      <w:r>
        <w:rPr>
          <w:rFonts w:ascii="宋体" w:hAnsi="宋体" w:cs="宋体" w:eastAsia="宋体" w:hint="default"/>
          <w:b/>
          <w:bCs/>
          <w:sz w:val="24"/>
          <w:szCs w:val="24"/>
        </w:rPr>
        <w:t>一、股份变动情况</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股份变动情况" w:id="101"/>
      <w:bookmarkEnd w:id="10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823"/>
        <w:gridCol w:w="823"/>
        <w:gridCol w:w="823"/>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6" w:right="135"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6" w:right="135"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299,022</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,150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44.68%</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-21,417,</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803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-21,417,</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803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277,60</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4,347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41.48%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4,400,9</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78</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0.66%</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-4,400,9</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78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-4,400,9</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78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294,621</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,172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44.02%</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-17,016,</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825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-17,016,</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825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277,60</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4,347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41.48%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294,621</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,172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44.02%</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-17,016,</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825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 w:right="0"/>
              <w:jc w:val="left"/>
              <w:rPr>
                <w:rFonts w:ascii="Times New Roman" w:hAnsi="Times New Roman" w:cs="Times New Roman" w:eastAsia="Times New Roman" w:hint="default"/>
                <w:sz w:val="18"/>
                <w:szCs w:val="18"/>
              </w:rPr>
            </w:pPr>
            <w:r>
              <w:rPr>
                <w:rFonts w:ascii="Times New Roman"/>
                <w:sz w:val="18"/>
              </w:rPr>
              <w:t>-17,016,</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825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277,60</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4,347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41.48%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370,257</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,105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55.32%</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21,417,</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803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21,417,</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803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391,67</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4,908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58.52%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370,257</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,105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55.32%</w:t>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0" w:right="0"/>
              <w:jc w:val="left"/>
              <w:rPr>
                <w:rFonts w:ascii="Times New Roman" w:hAnsi="Times New Roman" w:cs="Times New Roman" w:eastAsia="Times New Roman" w:hint="default"/>
                <w:sz w:val="18"/>
                <w:szCs w:val="18"/>
              </w:rPr>
            </w:pPr>
            <w:r>
              <w:rPr>
                <w:rFonts w:ascii="Times New Roman"/>
                <w:sz w:val="18"/>
              </w:rPr>
              <w:t>21,417,</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803</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21,417,</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803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391,67</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4,908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58.52%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669,279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,255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669,27</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9,255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4"/>
        <w:rPr>
          <w:rFonts w:ascii="宋体" w:hAnsi="宋体" w:cs="宋体" w:eastAsia="宋体" w:hint="default"/>
          <w:sz w:val="5"/>
          <w:szCs w:val="5"/>
        </w:rPr>
      </w:pPr>
    </w:p>
    <w:p>
      <w:pPr>
        <w:spacing w:line="444" w:lineRule="auto" w:before="34"/>
        <w:ind w:left="532" w:right="6039" w:firstLine="0"/>
        <w:jc w:val="left"/>
        <w:rPr>
          <w:rFonts w:ascii="宋体" w:hAnsi="宋体" w:cs="宋体" w:eastAsia="宋体" w:hint="default"/>
          <w:sz w:val="21"/>
          <w:szCs w:val="21"/>
        </w:rPr>
      </w:pPr>
      <w:r>
        <w:rPr>
          <w:rFonts w:ascii="宋体" w:hAnsi="宋体" w:cs="宋体" w:eastAsia="宋体" w:hint="default"/>
          <w:sz w:val="21"/>
          <w:szCs w:val="21"/>
        </w:rPr>
        <w:t>股份变动的原因：□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股份变动的批准情况：□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股份变动的过户情况：□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股份回购的实施进展情况：□ 适用 √</w:t>
      </w:r>
      <w:r>
        <w:rPr>
          <w:rFonts w:ascii="宋体" w:hAnsi="宋体" w:cs="宋体" w:eastAsia="宋体" w:hint="default"/>
          <w:spacing w:val="-10"/>
          <w:sz w:val="21"/>
          <w:szCs w:val="21"/>
        </w:rPr>
        <w:t> </w:t>
      </w:r>
      <w:r>
        <w:rPr>
          <w:rFonts w:ascii="宋体" w:hAnsi="宋体" w:cs="宋体" w:eastAsia="宋体" w:hint="default"/>
          <w:sz w:val="21"/>
          <w:szCs w:val="21"/>
        </w:rPr>
        <w:t>不适用</w:t>
      </w:r>
    </w:p>
    <w:p>
      <w:pPr>
        <w:spacing w:line="441" w:lineRule="auto" w:before="55"/>
        <w:ind w:left="532" w:right="987" w:firstLine="0"/>
        <w:jc w:val="left"/>
        <w:rPr>
          <w:rFonts w:ascii="宋体" w:hAnsi="宋体" w:cs="宋体" w:eastAsia="宋体" w:hint="default"/>
          <w:sz w:val="21"/>
          <w:szCs w:val="21"/>
        </w:rPr>
      </w:pPr>
      <w:r>
        <w:rPr>
          <w:rFonts w:ascii="宋体" w:hAnsi="宋体" w:cs="宋体" w:eastAsia="宋体" w:hint="default"/>
          <w:sz w:val="21"/>
          <w:szCs w:val="21"/>
        </w:rPr>
        <w:t>采用集中竞价方式减持回购股份的实施进展情况：□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w w:val="95"/>
          <w:sz w:val="21"/>
          <w:szCs w:val="21"/>
        </w:rPr>
        <w:t>股份变动对最近一年和最近一期基本每股收益和稀释每股收益、归属于公司普通股股东的每股净资产</w:t>
      </w:r>
      <w:r>
        <w:rPr>
          <w:rFonts w:ascii="宋体" w:hAnsi="宋体" w:cs="宋体" w:eastAsia="宋体" w:hint="default"/>
          <w:sz w:val="21"/>
          <w:szCs w:val="21"/>
        </w:rPr>
      </w:r>
    </w:p>
    <w:p>
      <w:pPr>
        <w:spacing w:line="444" w:lineRule="auto" w:before="16"/>
        <w:ind w:left="532" w:right="3735" w:hanging="420"/>
        <w:jc w:val="left"/>
        <w:rPr>
          <w:rFonts w:ascii="宋体" w:hAnsi="宋体" w:cs="宋体" w:eastAsia="宋体" w:hint="default"/>
          <w:sz w:val="21"/>
          <w:szCs w:val="21"/>
        </w:rPr>
      </w:pPr>
      <w:r>
        <w:rPr>
          <w:rFonts w:ascii="宋体" w:hAnsi="宋体" w:cs="宋体" w:eastAsia="宋体" w:hint="default"/>
          <w:sz w:val="21"/>
          <w:szCs w:val="21"/>
        </w:rPr>
        <w:t>等财务指标的影响：□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公司认为必要或证券监管机构要求披露的其他内容：□ 适用 √</w:t>
      </w:r>
      <w:r>
        <w:rPr>
          <w:rFonts w:ascii="宋体" w:hAnsi="宋体" w:cs="宋体" w:eastAsia="宋体" w:hint="default"/>
          <w:spacing w:val="-16"/>
          <w:sz w:val="21"/>
          <w:szCs w:val="21"/>
        </w:rPr>
        <w:t> </w:t>
      </w:r>
      <w:r>
        <w:rPr>
          <w:rFonts w:ascii="宋体" w:hAnsi="宋体" w:cs="宋体" w:eastAsia="宋体" w:hint="default"/>
          <w:sz w:val="21"/>
          <w:szCs w:val="21"/>
        </w:rPr>
        <w:t>不适用</w:t>
      </w:r>
    </w:p>
    <w:p>
      <w:pPr>
        <w:spacing w:after="0" w:line="444" w:lineRule="auto"/>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10"/>
        <w:rPr>
          <w:rFonts w:ascii="宋体" w:hAnsi="宋体" w:cs="宋体" w:eastAsia="宋体" w:hint="default"/>
          <w:sz w:val="21"/>
          <w:szCs w:val="21"/>
        </w:rPr>
      </w:pPr>
    </w:p>
    <w:p>
      <w:pPr>
        <w:spacing w:before="34"/>
        <w:ind w:left="112" w:right="987" w:firstLine="0"/>
        <w:jc w:val="left"/>
        <w:rPr>
          <w:rFonts w:ascii="宋体" w:hAnsi="宋体" w:cs="宋体" w:eastAsia="宋体" w:hint="default"/>
          <w:sz w:val="21"/>
          <w:szCs w:val="21"/>
        </w:rPr>
      </w:pPr>
      <w:bookmarkStart w:name="2、限售股份变动情况" w:id="102"/>
      <w:bookmarkEnd w:id="10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2"/>
        <w:gridCol w:w="1132"/>
        <w:gridCol w:w="1050"/>
        <w:gridCol w:w="1080"/>
        <w:gridCol w:w="1110"/>
        <w:gridCol w:w="1440"/>
        <w:gridCol w:w="2395"/>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0" w:right="110"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59" w:right="159"/>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4" w:right="173"/>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69" w:right="189"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68"/>
              <w:jc w:val="left"/>
              <w:rPr>
                <w:rFonts w:ascii="宋体" w:hAnsi="宋体" w:cs="宋体" w:eastAsia="宋体" w:hint="default"/>
                <w:sz w:val="18"/>
                <w:szCs w:val="18"/>
              </w:rPr>
            </w:pPr>
            <w:r>
              <w:rPr>
                <w:rFonts w:ascii="宋体" w:hAnsi="宋体" w:cs="宋体" w:eastAsia="宋体" w:hint="default"/>
                <w:sz w:val="18"/>
                <w:szCs w:val="18"/>
              </w:rPr>
              <w:t>长江证券股份 有限公司</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4,400,978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4,400,978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售并上市</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68"/>
              <w:jc w:val="both"/>
              <w:rPr>
                <w:rFonts w:ascii="宋体" w:hAnsi="宋体" w:cs="宋体" w:eastAsia="宋体" w:hint="default"/>
                <w:sz w:val="18"/>
                <w:szCs w:val="18"/>
              </w:rPr>
            </w:pPr>
            <w:r>
              <w:rPr>
                <w:rFonts w:ascii="宋体" w:hAnsi="宋体" w:cs="宋体" w:eastAsia="宋体" w:hint="default"/>
                <w:sz w:val="18"/>
                <w:szCs w:val="18"/>
              </w:rPr>
              <w:t>创业创新资本 管理有限公司</w:t>
            </w:r>
          </w:p>
          <w:p>
            <w:pPr>
              <w:pStyle w:val="TableParagraph"/>
              <w:spacing w:line="316" w:lineRule="auto" w:before="19"/>
              <w:ind w:left="101" w:right="168"/>
              <w:jc w:val="both"/>
              <w:rPr>
                <w:rFonts w:ascii="宋体" w:hAnsi="宋体" w:cs="宋体" w:eastAsia="宋体" w:hint="default"/>
                <w:sz w:val="18"/>
                <w:szCs w:val="18"/>
              </w:rPr>
            </w:pPr>
            <w:r>
              <w:rPr>
                <w:rFonts w:ascii="宋体" w:hAnsi="宋体" w:cs="宋体" w:eastAsia="宋体" w:hint="default"/>
                <w:sz w:val="18"/>
                <w:szCs w:val="18"/>
              </w:rPr>
              <w:t>－一创资本可 交债卧龙一号 私募投资基金</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4,400,978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4,400,978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0" w:lineRule="auto"/>
              <w:ind w:left="103" w:right="119"/>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售并上市</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高伟</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3,924,205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3,924,205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19"/>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售并上市</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68"/>
              <w:jc w:val="left"/>
              <w:rPr>
                <w:rFonts w:ascii="宋体" w:hAnsi="宋体" w:cs="宋体" w:eastAsia="宋体" w:hint="default"/>
                <w:sz w:val="18"/>
                <w:szCs w:val="18"/>
              </w:rPr>
            </w:pPr>
            <w:r>
              <w:rPr>
                <w:rFonts w:ascii="宋体" w:hAnsi="宋体" w:cs="宋体" w:eastAsia="宋体" w:hint="default"/>
                <w:sz w:val="18"/>
                <w:szCs w:val="18"/>
              </w:rPr>
              <w:t>财通基金管理 有限公司</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9,278,728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9,278,728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19"/>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 售并上市</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152,820,610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152,820,61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董监高限售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both"/>
              <w:rPr>
                <w:rFonts w:ascii="宋体" w:hAnsi="宋体" w:cs="宋体" w:eastAsia="宋体" w:hint="default"/>
                <w:sz w:val="18"/>
                <w:szCs w:val="18"/>
              </w:rPr>
            </w:pPr>
            <w:r>
              <w:rPr>
                <w:rFonts w:ascii="宋体" w:hAnsi="宋体" w:cs="宋体" w:eastAsia="宋体" w:hint="default"/>
                <w:sz w:val="18"/>
                <w:szCs w:val="18"/>
              </w:rPr>
              <w:t>任职期间每年减持股份的数 量不超过其所持股份总数的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10,575,815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10,575,815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任期内离职</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9"/>
              <w:jc w:val="both"/>
              <w:rPr>
                <w:rFonts w:ascii="宋体" w:hAnsi="宋体" w:cs="宋体" w:eastAsia="宋体" w:hint="default"/>
                <w:sz w:val="18"/>
                <w:szCs w:val="18"/>
              </w:rPr>
            </w:pPr>
            <w:r>
              <w:rPr>
                <w:rFonts w:ascii="宋体" w:hAnsi="宋体" w:cs="宋体" w:eastAsia="宋体" w:hint="default"/>
                <w:sz w:val="18"/>
                <w:szCs w:val="18"/>
              </w:rPr>
              <w:t>任职期间离职每年减持股份 的数量不超过其所持股份总 数的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孙兆华</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281,998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281,998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董监高限售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both"/>
              <w:rPr>
                <w:rFonts w:ascii="宋体" w:hAnsi="宋体" w:cs="宋体" w:eastAsia="宋体" w:hint="default"/>
                <w:sz w:val="18"/>
                <w:szCs w:val="18"/>
              </w:rPr>
            </w:pPr>
            <w:r>
              <w:rPr>
                <w:rFonts w:ascii="宋体" w:hAnsi="宋体" w:cs="宋体" w:eastAsia="宋体" w:hint="default"/>
                <w:sz w:val="18"/>
                <w:szCs w:val="18"/>
              </w:rPr>
              <w:t>任职期间每年减持股份的数 量不超过其所持股份总数的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2,563,104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2,563,104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董监高限售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19"/>
              <w:jc w:val="both"/>
              <w:rPr>
                <w:rFonts w:ascii="宋体" w:hAnsi="宋体" w:cs="宋体" w:eastAsia="宋体" w:hint="default"/>
                <w:sz w:val="18"/>
                <w:szCs w:val="18"/>
              </w:rPr>
            </w:pPr>
            <w:r>
              <w:rPr>
                <w:rFonts w:ascii="宋体" w:hAnsi="宋体" w:cs="宋体" w:eastAsia="宋体" w:hint="default"/>
                <w:sz w:val="18"/>
                <w:szCs w:val="18"/>
              </w:rPr>
              <w:t>任职期间每年减持股份的数 量不超过其所持股份总数的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赵志刚</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24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第一个解除限售期股份上市 流通日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 任职期间每年减持股份的数 量不超过其所持股份总数的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李彬</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6"/>
                <w:sz w:val="18"/>
                <w:szCs w:val="18"/>
              </w:rPr>
              <w:t>股、任期内离职</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1"/>
              <w:jc w:val="left"/>
              <w:rPr>
                <w:rFonts w:ascii="宋体" w:hAnsi="宋体" w:cs="宋体" w:eastAsia="宋体" w:hint="default"/>
                <w:sz w:val="18"/>
                <w:szCs w:val="18"/>
              </w:rPr>
            </w:pPr>
            <w:r>
              <w:rPr>
                <w:rFonts w:ascii="宋体" w:hAnsi="宋体" w:cs="宋体" w:eastAsia="宋体" w:hint="default"/>
                <w:sz w:val="18"/>
                <w:szCs w:val="18"/>
              </w:rPr>
              <w:t>第一个解除限售期股份上市 流通日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 任职期间离职每年减持股份 的数量不超过其所持股份总 数的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w:t>
            </w:r>
          </w:p>
        </w:tc>
      </w:tr>
      <w:tr>
        <w:trPr>
          <w:trHeight w:val="102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6"/>
                <w:sz w:val="18"/>
                <w:szCs w:val="18"/>
              </w:rPr>
              <w:t>股、任期内离职</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both"/>
              <w:rPr>
                <w:rFonts w:ascii="宋体" w:hAnsi="宋体" w:cs="宋体" w:eastAsia="宋体" w:hint="default"/>
                <w:sz w:val="18"/>
                <w:szCs w:val="18"/>
              </w:rPr>
            </w:pPr>
            <w:r>
              <w:rPr>
                <w:rFonts w:ascii="宋体" w:hAnsi="宋体" w:cs="宋体" w:eastAsia="宋体" w:hint="default"/>
                <w:sz w:val="18"/>
                <w:szCs w:val="18"/>
              </w:rPr>
              <w:t>任职期间离职每年减持股份 的数量不超过其所持股份总 数的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w:t>
            </w:r>
          </w:p>
        </w:tc>
      </w:tr>
    </w:tbl>
    <w:p>
      <w:pPr>
        <w:spacing w:after="0" w:line="316" w:lineRule="auto"/>
        <w:jc w:val="both"/>
        <w:rPr>
          <w:rFonts w:ascii="宋体" w:hAnsi="宋体" w:cs="宋体" w:eastAsia="宋体"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2"/>
        <w:gridCol w:w="1132"/>
        <w:gridCol w:w="1050"/>
        <w:gridCol w:w="1080"/>
        <w:gridCol w:w="1110"/>
        <w:gridCol w:w="1440"/>
        <w:gridCol w:w="2395"/>
      </w:tblGrid>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姚明远</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6"/>
                <w:sz w:val="18"/>
                <w:szCs w:val="18"/>
              </w:rPr>
              <w:t>股、任期内离职</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19"/>
              <w:jc w:val="both"/>
              <w:rPr>
                <w:rFonts w:ascii="宋体" w:hAnsi="宋体" w:cs="宋体" w:eastAsia="宋体" w:hint="default"/>
                <w:sz w:val="18"/>
                <w:szCs w:val="18"/>
              </w:rPr>
            </w:pPr>
            <w:r>
              <w:rPr>
                <w:rFonts w:ascii="宋体" w:hAnsi="宋体" w:cs="宋体" w:eastAsia="宋体" w:hint="default"/>
                <w:sz w:val="18"/>
                <w:szCs w:val="18"/>
              </w:rPr>
              <w:t>任职期间离职每年减持股份 的数量不超过其所持股份总 数的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路飞</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6"/>
                <w:sz w:val="18"/>
                <w:szCs w:val="18"/>
              </w:rPr>
              <w:t>股、任期内离职</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9"/>
              <w:jc w:val="both"/>
              <w:rPr>
                <w:rFonts w:ascii="宋体" w:hAnsi="宋体" w:cs="宋体" w:eastAsia="宋体" w:hint="default"/>
                <w:sz w:val="18"/>
                <w:szCs w:val="18"/>
              </w:rPr>
            </w:pPr>
            <w:r>
              <w:rPr>
                <w:rFonts w:ascii="宋体" w:hAnsi="宋体" w:cs="宋体" w:eastAsia="宋体" w:hint="default"/>
                <w:sz w:val="18"/>
                <w:szCs w:val="18"/>
              </w:rPr>
              <w:t>任职期间离职每年减持股份 的数量不超过其所持股份总 数的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6"/>
                <w:sz w:val="18"/>
                <w:szCs w:val="18"/>
              </w:rPr>
              <w:t>股、董监高限售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103" w:right="11"/>
              <w:jc w:val="left"/>
              <w:rPr>
                <w:rFonts w:ascii="宋体" w:hAnsi="宋体" w:cs="宋体" w:eastAsia="宋体" w:hint="default"/>
                <w:sz w:val="18"/>
                <w:szCs w:val="18"/>
              </w:rPr>
            </w:pPr>
            <w:r>
              <w:rPr>
                <w:rFonts w:ascii="宋体" w:hAnsi="宋体" w:cs="宋体" w:eastAsia="宋体" w:hint="default"/>
                <w:sz w:val="18"/>
                <w:szCs w:val="18"/>
              </w:rPr>
              <w:t>第一个解除限售期股份上市 流通日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 任职期间每年减持股份的数 量不超过其所持股份总数的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崔保航</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00"/>
              <w:jc w:val="left"/>
              <w:rPr>
                <w:rFonts w:ascii="宋体" w:hAnsi="宋体" w:cs="宋体" w:eastAsia="宋体" w:hint="default"/>
                <w:sz w:val="18"/>
                <w:szCs w:val="18"/>
              </w:rPr>
            </w:pPr>
            <w:r>
              <w:rPr>
                <w:rFonts w:ascii="宋体" w:hAnsi="宋体" w:cs="宋体" w:eastAsia="宋体" w:hint="default"/>
                <w:sz w:val="18"/>
                <w:szCs w:val="18"/>
              </w:rPr>
              <w:t>股权激励限售 </w:t>
            </w:r>
            <w:r>
              <w:rPr>
                <w:rFonts w:ascii="宋体" w:hAnsi="宋体" w:cs="宋体" w:eastAsia="宋体" w:hint="default"/>
                <w:spacing w:val="-6"/>
                <w:sz w:val="18"/>
                <w:szCs w:val="18"/>
              </w:rPr>
              <w:t>股、董监高限售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第一个解除限售期股份上市 流通日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 任职期间每年减持股份的数 量不超过其所持股份总数的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3,937,086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3,937,086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董监高限售</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19"/>
              <w:jc w:val="both"/>
              <w:rPr>
                <w:rFonts w:ascii="宋体" w:hAnsi="宋体" w:cs="宋体" w:eastAsia="宋体" w:hint="default"/>
                <w:sz w:val="18"/>
                <w:szCs w:val="18"/>
              </w:rPr>
            </w:pPr>
            <w:r>
              <w:rPr>
                <w:rFonts w:ascii="宋体" w:hAnsi="宋体" w:cs="宋体" w:eastAsia="宋体" w:hint="default"/>
                <w:sz w:val="18"/>
                <w:szCs w:val="18"/>
              </w:rPr>
              <w:t>任职期间每年减持股份的数 量不超过其所持股份总数的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68"/>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名激 励对象</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7,840,000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3,090,000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4,750,000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4"/>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第一个解除限售期股份上市 流通日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47,381,516</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47,381,516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44"/>
              <w:jc w:val="left"/>
              <w:rPr>
                <w:rFonts w:ascii="宋体" w:hAnsi="宋体" w:cs="宋体" w:eastAsia="宋体" w:hint="default"/>
                <w:sz w:val="18"/>
                <w:szCs w:val="18"/>
              </w:rPr>
            </w:pPr>
            <w:r>
              <w:rPr>
                <w:rFonts w:ascii="宋体" w:hAnsi="宋体" w:cs="宋体" w:eastAsia="宋体" w:hint="default"/>
                <w:sz w:val="18"/>
                <w:szCs w:val="18"/>
              </w:rPr>
              <w:t>首发后个人类 限售股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自上市日期</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日限售三年。</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李继昌</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16,812,796</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16,812,796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4"/>
              <w:jc w:val="left"/>
              <w:rPr>
                <w:rFonts w:ascii="宋体" w:hAnsi="宋体" w:cs="宋体" w:eastAsia="宋体" w:hint="default"/>
                <w:sz w:val="18"/>
                <w:szCs w:val="18"/>
              </w:rPr>
            </w:pPr>
            <w:r>
              <w:rPr>
                <w:rFonts w:ascii="宋体" w:hAnsi="宋体" w:cs="宋体" w:eastAsia="宋体" w:hint="default"/>
                <w:sz w:val="18"/>
                <w:szCs w:val="18"/>
              </w:rPr>
              <w:t>首发后个人类 限售股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自上市日期</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日限售三年。</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16,812,796</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16,812,796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44"/>
              <w:jc w:val="left"/>
              <w:rPr>
                <w:rFonts w:ascii="宋体" w:hAnsi="宋体" w:cs="宋体" w:eastAsia="宋体" w:hint="default"/>
                <w:sz w:val="18"/>
                <w:szCs w:val="18"/>
              </w:rPr>
            </w:pPr>
            <w:r>
              <w:rPr>
                <w:rFonts w:ascii="宋体" w:hAnsi="宋体" w:cs="宋体" w:eastAsia="宋体" w:hint="default"/>
                <w:sz w:val="18"/>
                <w:szCs w:val="18"/>
              </w:rPr>
              <w:t>首发后个人类 限售股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自上市日期</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日限售三年。</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王敬之</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15,284,360</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15,284,360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4"/>
              <w:jc w:val="left"/>
              <w:rPr>
                <w:rFonts w:ascii="宋体" w:hAnsi="宋体" w:cs="宋体" w:eastAsia="宋体" w:hint="default"/>
                <w:sz w:val="18"/>
                <w:szCs w:val="18"/>
              </w:rPr>
            </w:pPr>
            <w:r>
              <w:rPr>
                <w:rFonts w:ascii="宋体" w:hAnsi="宋体" w:cs="宋体" w:eastAsia="宋体" w:hint="default"/>
                <w:sz w:val="18"/>
                <w:szCs w:val="18"/>
              </w:rPr>
              <w:t>首发后个人类 限售股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自上市日期</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日限售三年。</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李巍峰</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5,604,266</w:t>
            </w:r>
          </w:p>
        </w:tc>
        <w:tc>
          <w:tcPr>
            <w:tcW w:w="105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5,604,266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44"/>
              <w:jc w:val="left"/>
              <w:rPr>
                <w:rFonts w:ascii="宋体" w:hAnsi="宋体" w:cs="宋体" w:eastAsia="宋体" w:hint="default"/>
                <w:sz w:val="18"/>
                <w:szCs w:val="18"/>
              </w:rPr>
            </w:pPr>
            <w:r>
              <w:rPr>
                <w:rFonts w:ascii="宋体" w:hAnsi="宋体" w:cs="宋体" w:eastAsia="宋体" w:hint="default"/>
                <w:sz w:val="18"/>
                <w:szCs w:val="18"/>
              </w:rPr>
              <w:t>首发后个人类 限售股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自上市日期</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日限售三年。</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299,022,150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25,354,889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3,937,086</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277,604,34</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987"/>
        <w:jc w:val="left"/>
        <w:rPr>
          <w:b w:val="0"/>
          <w:bCs w:val="0"/>
        </w:rPr>
      </w:pPr>
      <w:bookmarkStart w:name="二、证券发行与上市情况" w:id="103"/>
      <w:bookmarkEnd w:id="103"/>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7"/>
        <w:jc w:val="left"/>
        <w:rPr>
          <w:b w:val="0"/>
          <w:bCs w:val="0"/>
        </w:rPr>
      </w:pPr>
      <w:bookmarkStart w:name="1、报告期内证券发行（不含优先股）情况" w:id="104"/>
      <w:bookmarkEnd w:id="10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6"/>
        <w:rPr>
          <w:rFonts w:ascii="宋体" w:hAnsi="宋体" w:cs="宋体" w:eastAsia="宋体" w:hint="default"/>
          <w:b/>
          <w:bCs/>
          <w:sz w:val="30"/>
          <w:szCs w:val="30"/>
        </w:rPr>
      </w:pPr>
    </w:p>
    <w:p>
      <w:pPr>
        <w:spacing w:before="0"/>
        <w:ind w:left="93" w:right="8125" w:firstLine="0"/>
        <w:jc w:val="center"/>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after="0"/>
        <w:jc w:val="center"/>
        <w:rPr>
          <w:rFonts w:ascii="宋体" w:hAnsi="宋体" w:cs="宋体" w:eastAsia="宋体" w:hint="default"/>
          <w:sz w:val="21"/>
          <w:szCs w:val="21"/>
        </w:rPr>
        <w:sectPr>
          <w:pgSz w:w="11910" w:h="16840"/>
          <w:pgMar w:header="907" w:footer="1028" w:top="1100" w:bottom="1220" w:left="1020" w:right="0"/>
        </w:sectPr>
      </w:pPr>
    </w:p>
    <w:p>
      <w:pPr>
        <w:spacing w:line="240" w:lineRule="auto" w:before="10"/>
        <w:rPr>
          <w:rFonts w:ascii="宋体" w:hAnsi="宋体" w:cs="宋体" w:eastAsia="宋体" w:hint="default"/>
          <w:sz w:val="21"/>
          <w:szCs w:val="21"/>
        </w:rPr>
      </w:pPr>
    </w:p>
    <w:p>
      <w:pPr>
        <w:spacing w:before="34"/>
        <w:ind w:left="112" w:right="987" w:firstLine="0"/>
        <w:jc w:val="left"/>
        <w:rPr>
          <w:rFonts w:ascii="宋体" w:hAnsi="宋体" w:cs="宋体" w:eastAsia="宋体" w:hint="default"/>
          <w:sz w:val="21"/>
          <w:szCs w:val="21"/>
        </w:rPr>
      </w:pPr>
      <w:bookmarkStart w:name="2、公司股份总数及股东结构的变动、公司资产和负债结构的变动情况说明" w:id="105"/>
      <w:bookmarkEnd w:id="10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93" w:right="8125" w:firstLine="0"/>
        <w:jc w:val="center"/>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54"/>
        <w:ind w:left="112" w:right="987" w:firstLine="0"/>
        <w:jc w:val="left"/>
        <w:rPr>
          <w:rFonts w:ascii="宋体" w:hAnsi="宋体" w:cs="宋体" w:eastAsia="宋体" w:hint="default"/>
          <w:sz w:val="21"/>
          <w:szCs w:val="21"/>
        </w:rPr>
      </w:pPr>
      <w:bookmarkStart w:name="3、现存的内部职工股情况" w:id="106"/>
      <w:bookmarkEnd w:id="10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before="0"/>
        <w:ind w:left="93" w:right="8125" w:firstLine="0"/>
        <w:jc w:val="center"/>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31"/>
        <w:ind w:left="112" w:right="987" w:firstLine="0"/>
        <w:jc w:val="left"/>
        <w:rPr>
          <w:rFonts w:ascii="宋体" w:hAnsi="宋体" w:cs="宋体" w:eastAsia="宋体" w:hint="default"/>
          <w:sz w:val="24"/>
          <w:szCs w:val="24"/>
        </w:rPr>
      </w:pPr>
      <w:bookmarkStart w:name="三、股东和实际控制人情况" w:id="107"/>
      <w:bookmarkEnd w:id="107"/>
      <w:r>
        <w:rPr/>
      </w: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公司股东数量及持股情况" w:id="108"/>
      <w:bookmarkEnd w:id="10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ind w:left="0" w:right="1132"/>
        <w:jc w:val="right"/>
      </w:pPr>
      <w:r>
        <w:rPr/>
        <w:t>单位：股</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4"/>
        <w:gridCol w:w="135"/>
        <w:gridCol w:w="661"/>
        <w:gridCol w:w="750"/>
        <w:gridCol w:w="750"/>
        <w:gridCol w:w="824"/>
        <w:gridCol w:w="333"/>
        <w:gridCol w:w="456"/>
        <w:gridCol w:w="829"/>
        <w:gridCol w:w="796"/>
        <w:gridCol w:w="310"/>
        <w:gridCol w:w="1039"/>
        <w:gridCol w:w="290"/>
        <w:gridCol w:w="1059"/>
      </w:tblGrid>
      <w:tr>
        <w:trPr>
          <w:trHeight w:val="1962"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01" w:right="14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29,680</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3" w:right="305"/>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28,935</w:t>
            </w:r>
          </w:p>
        </w:tc>
        <w:tc>
          <w:tcPr>
            <w:tcW w:w="12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2" w:right="90"/>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02" w:right="57"/>
              <w:jc w:val="both"/>
              <w:rPr>
                <w:rFonts w:ascii="宋体" w:hAnsi="宋体" w:cs="宋体" w:eastAsia="宋体" w:hint="default"/>
                <w:sz w:val="18"/>
                <w:szCs w:val="18"/>
              </w:rPr>
            </w:pPr>
            <w:r>
              <w:rPr>
                <w:rFonts w:ascii="宋体" w:hAnsi="宋体" w:cs="宋体" w:eastAsia="宋体" w:hint="default"/>
                <w:spacing w:val="-21"/>
                <w:sz w:val="18"/>
                <w:szCs w:val="18"/>
              </w:rPr>
              <w:t>（如有）（参见</w:t>
            </w:r>
            <w:r>
              <w:rPr>
                <w:rFonts w:ascii="宋体" w:hAnsi="宋体" w:cs="宋体" w:eastAsia="宋体" w:hint="default"/>
                <w:sz w:val="18"/>
                <w:szCs w:val="18"/>
              </w:rPr>
              <w:t> 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3" w:right="102"/>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2"/>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7"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298"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6" w:right="116"/>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19" w:right="118"/>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8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17" w:right="160"/>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01" w:right="143"/>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6"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829"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pacing w:val="-1"/>
                <w:sz w:val="18"/>
              </w:rPr>
              <w:t>30.44%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6" w:right="0"/>
              <w:jc w:val="left"/>
              <w:rPr>
                <w:rFonts w:ascii="Times New Roman" w:hAnsi="Times New Roman" w:cs="Times New Roman" w:eastAsia="Times New Roman" w:hint="default"/>
                <w:sz w:val="18"/>
                <w:szCs w:val="18"/>
              </w:rPr>
            </w:pPr>
            <w:r>
              <w:rPr>
                <w:rFonts w:ascii="Times New Roman"/>
                <w:sz w:val="18"/>
              </w:rPr>
              <w:t>203,76</w:t>
            </w:r>
          </w:p>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0,813</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152,82</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0,610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50,940,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203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7.08%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0" w:right="0"/>
              <w:jc w:val="left"/>
              <w:rPr>
                <w:rFonts w:ascii="Times New Roman" w:hAnsi="Times New Roman" w:cs="Times New Roman" w:eastAsia="Times New Roman" w:hint="default"/>
                <w:sz w:val="18"/>
                <w:szCs w:val="18"/>
              </w:rPr>
            </w:pPr>
            <w:r>
              <w:rPr>
                <w:rFonts w:ascii="Times New Roman"/>
                <w:sz w:val="18"/>
              </w:rPr>
              <w:t>47,381,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516</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47,381,</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516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5.78%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38,708,</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522</w:t>
            </w:r>
          </w:p>
        </w:tc>
        <w:tc>
          <w:tcPr>
            <w:tcW w:w="7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w:t>
            </w: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38,708,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522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2.51%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0" w:right="0"/>
              <w:jc w:val="left"/>
              <w:rPr>
                <w:rFonts w:ascii="Times New Roman" w:hAnsi="Times New Roman" w:cs="Times New Roman" w:eastAsia="Times New Roman" w:hint="default"/>
                <w:sz w:val="18"/>
                <w:szCs w:val="18"/>
              </w:rPr>
            </w:pPr>
            <w:r>
              <w:rPr>
                <w:rFonts w:ascii="Times New Roman"/>
                <w:sz w:val="18"/>
              </w:rPr>
              <w:t>16,812,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796</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16,812,</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796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李继昌</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2.51%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16,812,</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796</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16,812,</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796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王敬芝</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2.28%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0" w:right="0"/>
              <w:jc w:val="left"/>
              <w:rPr>
                <w:rFonts w:ascii="Times New Roman" w:hAnsi="Times New Roman" w:cs="Times New Roman" w:eastAsia="Times New Roman" w:hint="default"/>
                <w:sz w:val="18"/>
                <w:szCs w:val="18"/>
              </w:rPr>
            </w:pPr>
            <w:r>
              <w:rPr>
                <w:rFonts w:ascii="Times New Roman"/>
                <w:sz w:val="18"/>
              </w:rPr>
              <w:t>15,284,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360</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15,284,</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360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pacing w:val="-2"/>
                <w:sz w:val="18"/>
              </w:rPr>
              <w:t>2.11%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14,101,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087</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10,575,</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815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left"/>
              <w:rPr>
                <w:rFonts w:ascii="Times New Roman" w:hAnsi="Times New Roman" w:cs="Times New Roman" w:eastAsia="Times New Roman" w:hint="default"/>
                <w:sz w:val="18"/>
                <w:szCs w:val="18"/>
              </w:rPr>
            </w:pPr>
            <w:r>
              <w:rPr>
                <w:rFonts w:ascii="Times New Roman"/>
                <w:sz w:val="18"/>
              </w:rPr>
              <w:t>3,525,2</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72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李巍峰</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61"/>
              <w:jc w:val="right"/>
              <w:rPr>
                <w:rFonts w:ascii="Times New Roman" w:hAnsi="Times New Roman" w:cs="Times New Roman" w:eastAsia="Times New Roman" w:hint="default"/>
                <w:sz w:val="18"/>
                <w:szCs w:val="18"/>
              </w:rPr>
            </w:pPr>
            <w:r>
              <w:rPr>
                <w:rFonts w:ascii="Times New Roman"/>
                <w:sz w:val="18"/>
              </w:rPr>
              <w:t>0.84%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0" w:right="0"/>
              <w:jc w:val="left"/>
              <w:rPr>
                <w:rFonts w:ascii="Times New Roman" w:hAnsi="Times New Roman" w:cs="Times New Roman" w:eastAsia="Times New Roman" w:hint="default"/>
                <w:sz w:val="18"/>
                <w:szCs w:val="18"/>
              </w:rPr>
            </w:pPr>
            <w:r>
              <w:rPr>
                <w:rFonts w:ascii="Times New Roman"/>
                <w:sz w:val="18"/>
              </w:rPr>
              <w:t>5,604,2</w:t>
            </w:r>
          </w:p>
          <w:p>
            <w:pPr>
              <w:pStyle w:val="TableParagraph"/>
              <w:spacing w:line="240" w:lineRule="auto" w:before="105"/>
              <w:ind w:left="530" w:right="0"/>
              <w:jc w:val="left"/>
              <w:rPr>
                <w:rFonts w:ascii="Times New Roman" w:hAnsi="Times New Roman" w:cs="Times New Roman" w:eastAsia="Times New Roman" w:hint="default"/>
                <w:sz w:val="18"/>
                <w:szCs w:val="18"/>
              </w:rPr>
            </w:pPr>
            <w:r>
              <w:rPr>
                <w:rFonts w:ascii="Times New Roman"/>
                <w:sz w:val="18"/>
              </w:rPr>
              <w:t>66</w:t>
            </w:r>
          </w:p>
        </w:tc>
        <w:tc>
          <w:tcPr>
            <w:tcW w:w="789" w:type="dxa"/>
            <w:gridSpan w:val="2"/>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5,604,2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66</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69"/>
        <w:gridCol w:w="1411"/>
        <w:gridCol w:w="788"/>
        <w:gridCol w:w="786"/>
        <w:gridCol w:w="789"/>
        <w:gridCol w:w="786"/>
        <w:gridCol w:w="840"/>
        <w:gridCol w:w="1349"/>
        <w:gridCol w:w="1349"/>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0.78%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left"/>
              <w:rPr>
                <w:rFonts w:ascii="Times New Roman" w:hAnsi="Times New Roman" w:cs="Times New Roman" w:eastAsia="Times New Roman" w:hint="default"/>
                <w:sz w:val="18"/>
                <w:szCs w:val="18"/>
              </w:rPr>
            </w:pPr>
            <w:r>
              <w:rPr>
                <w:rFonts w:ascii="Times New Roman"/>
                <w:sz w:val="18"/>
              </w:rPr>
              <w:t>5,249,4</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48</w:t>
            </w:r>
          </w:p>
        </w:tc>
        <w:tc>
          <w:tcPr>
            <w:tcW w:w="78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3,937,0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86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1,312,3</w:t>
            </w:r>
          </w:p>
          <w:p>
            <w:pPr>
              <w:pStyle w:val="TableParagraph"/>
              <w:spacing w:line="240" w:lineRule="auto" w:before="105"/>
              <w:ind w:left="548" w:right="0"/>
              <w:jc w:val="left"/>
              <w:rPr>
                <w:rFonts w:ascii="Times New Roman" w:hAnsi="Times New Roman" w:cs="Times New Roman" w:eastAsia="Times New Roman" w:hint="default"/>
                <w:sz w:val="18"/>
                <w:szCs w:val="18"/>
              </w:rPr>
            </w:pPr>
            <w:r>
              <w:rPr>
                <w:rFonts w:ascii="Times New Roman"/>
                <w:sz w:val="18"/>
              </w:rPr>
              <w:t>62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5,249,447</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75"/>
              <w:jc w:val="left"/>
              <w:rPr>
                <w:rFonts w:ascii="宋体" w:hAnsi="宋体" w:cs="宋体" w:eastAsia="宋体" w:hint="default"/>
                <w:sz w:val="18"/>
                <w:szCs w:val="18"/>
              </w:rPr>
            </w:pPr>
            <w:r>
              <w:rPr>
                <w:rFonts w:ascii="宋体" w:hAnsi="宋体" w:cs="宋体" w:eastAsia="宋体" w:hint="default"/>
                <w:sz w:val="18"/>
                <w:szCs w:val="18"/>
              </w:rPr>
              <w:t>长江证券股份 有限公司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0.66%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 w:right="0"/>
              <w:jc w:val="left"/>
              <w:rPr>
                <w:rFonts w:ascii="Times New Roman" w:hAnsi="Times New Roman" w:cs="Times New Roman" w:eastAsia="Times New Roman" w:hint="default"/>
                <w:sz w:val="18"/>
                <w:szCs w:val="18"/>
              </w:rPr>
            </w:pPr>
            <w:r>
              <w:rPr>
                <w:rFonts w:ascii="Times New Roman"/>
                <w:sz w:val="18"/>
              </w:rPr>
              <w:t>4,400,9</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78</w:t>
            </w:r>
          </w:p>
        </w:tc>
        <w:tc>
          <w:tcPr>
            <w:tcW w:w="789"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4,400,9</w:t>
            </w:r>
          </w:p>
          <w:p>
            <w:pPr>
              <w:pStyle w:val="TableParagraph"/>
              <w:spacing w:line="240" w:lineRule="auto" w:before="105"/>
              <w:ind w:left="548" w:right="0"/>
              <w:jc w:val="left"/>
              <w:rPr>
                <w:rFonts w:ascii="Times New Roman" w:hAnsi="Times New Roman" w:cs="Times New Roman" w:eastAsia="Times New Roman" w:hint="default"/>
                <w:sz w:val="18"/>
                <w:szCs w:val="18"/>
              </w:rPr>
            </w:pPr>
            <w:r>
              <w:rPr>
                <w:rFonts w:ascii="Times New Roman"/>
                <w:sz w:val="18"/>
              </w:rPr>
              <w:t>78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名股东的情况（如有）</w:t>
            </w:r>
          </w:p>
          <w:p>
            <w:pPr>
              <w:pStyle w:val="TableParagraph"/>
              <w:spacing w:line="248" w:lineRule="exact"/>
              <w:ind w:left="10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042"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101" w:right="2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、股东李新安是王晶华的丈夫的妹夫。</w:t>
            </w:r>
          </w:p>
          <w:p>
            <w:pPr>
              <w:pStyle w:val="TableParagraph"/>
              <w:spacing w:line="309" w:lineRule="auto" w:before="103"/>
              <w:ind w:left="101"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、股东李巍屹与股东李巍岩、股东李巍峰为兄弟关系，股东李继昌与股东李巍屹、 股东李巍岩和股东李巍峰为父子关系，股东王敬芝与股东李巍屹、股东李巍岩和股 </w:t>
            </w:r>
            <w:r>
              <w:rPr>
                <w:rFonts w:ascii="宋体" w:hAnsi="宋体" w:cs="宋体" w:eastAsia="宋体" w:hint="default"/>
                <w:spacing w:val="-4"/>
                <w:sz w:val="18"/>
                <w:szCs w:val="18"/>
              </w:rPr>
              <w:t>东李巍峰为母子关系，按照《收购管理办法》，构成一致行动人。</w:t>
            </w:r>
          </w:p>
          <w:p>
            <w:pPr>
              <w:pStyle w:val="TableParagraph"/>
              <w:spacing w:line="300" w:lineRule="auto" w:before="62"/>
              <w:ind w:left="101" w:right="1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、除此之外，公司未知其他股东之间是否存在关联关系，也未知其他股东之间是 否属于《上市公司收购管理办法》规定的一致行动人。</w:t>
            </w:r>
          </w:p>
        </w:tc>
      </w:tr>
      <w:tr>
        <w:trPr>
          <w:trHeight w:val="402"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gridSpan w:val="2"/>
            <w:vMerge/>
            <w:tcBorders>
              <w:left w:val="single" w:sz="4" w:space="0" w:color="000000"/>
              <w:bottom w:val="single" w:sz="4" w:space="0" w:color="000000"/>
              <w:right w:val="single" w:sz="4" w:space="0" w:color="000000"/>
            </w:tcBorders>
            <w:shd w:val="clear" w:color="auto" w:fill="D2D2D2"/>
          </w:tcPr>
          <w:p>
            <w:pPr/>
          </w:p>
        </w:tc>
        <w:tc>
          <w:tcPr>
            <w:tcW w:w="3989"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50,940,203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50,940,203</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38,708,522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38,708,522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长江证券股份有限公司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4,400,978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4,400,978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倪福初</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4,135,432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4,135,432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3,686,040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3,686,040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3,525,272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3,525,272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冯钊</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2,788,022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2,788,022</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46"/>
              <w:jc w:val="both"/>
              <w:rPr>
                <w:rFonts w:ascii="宋体" w:hAnsi="宋体" w:cs="宋体" w:eastAsia="宋体" w:hint="default"/>
                <w:sz w:val="18"/>
                <w:szCs w:val="18"/>
              </w:rPr>
            </w:pPr>
            <w:r>
              <w:rPr>
                <w:rFonts w:ascii="宋体" w:hAnsi="宋体" w:cs="宋体" w:eastAsia="宋体" w:hint="default"/>
                <w:sz w:val="18"/>
                <w:szCs w:val="18"/>
              </w:rPr>
              <w:t>深圳第一创业创新资本管理有限 公司－一创资本可交债卧龙一号 私募投资基金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2,204,078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2,204,078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高伟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1,964,205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1,964,205</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卢存方</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1,961,398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1,961,398</w:t>
            </w:r>
          </w:p>
        </w:tc>
      </w:tr>
      <w:tr>
        <w:trPr>
          <w:trHeight w:val="133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0" w:lineRule="auto" w:before="63"/>
              <w:ind w:left="101" w:right="15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、股东李新安是王晶华的丈夫的妹夫。</w:t>
            </w:r>
          </w:p>
          <w:p>
            <w:pPr>
              <w:pStyle w:val="TableParagraph"/>
              <w:spacing w:line="300" w:lineRule="auto" w:before="103"/>
              <w:ind w:left="101" w:right="1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、除此之外，公司未知其他股东之间是否存在关联关系，也未知其他股东之间是 否属于《上市公司收购管理办法》规定的一致行动人。</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89"/>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、股东倪福初通过普通证券账户持有</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242,720</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股，通过华鑫证券有限责任公司客户</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3,892,712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4,135,432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bl>
    <w:p>
      <w:pPr>
        <w:spacing w:line="240" w:lineRule="auto" w:before="4"/>
        <w:rPr>
          <w:rFonts w:ascii="宋体" w:hAnsi="宋体" w:cs="宋体" w:eastAsia="宋体" w:hint="default"/>
          <w:sz w:val="5"/>
          <w:szCs w:val="5"/>
        </w:rPr>
      </w:pPr>
    </w:p>
    <w:p>
      <w:pPr>
        <w:spacing w:before="34"/>
        <w:ind w:left="532" w:right="987" w:firstLine="0"/>
        <w:jc w:val="left"/>
        <w:rPr>
          <w:rFonts w:ascii="宋体" w:hAnsi="宋体" w:cs="宋体" w:eastAsia="宋体" w:hint="default"/>
          <w:sz w:val="21"/>
          <w:szCs w:val="21"/>
        </w:rPr>
      </w:pPr>
      <w:r>
        <w:rPr>
          <w:rFonts w:ascii="宋体" w:hAnsi="宋体" w:cs="宋体" w:eastAsia="宋体" w:hint="default"/>
          <w:spacing w:val="-1"/>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pacing w:val="-2"/>
          <w:w w:val="99"/>
          <w:sz w:val="21"/>
          <w:szCs w:val="21"/>
        </w:rPr>
        <w:t>1</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4"/>
          <w:sz w:val="21"/>
          <w:szCs w:val="21"/>
        </w:rPr>
        <w:t> </w:t>
      </w:r>
      <w:r>
        <w:rPr>
          <w:rFonts w:ascii="宋体" w:hAnsi="宋体" w:cs="宋体" w:eastAsia="宋体" w:hint="default"/>
          <w:spacing w:val="-1"/>
          <w:w w:val="99"/>
          <w:sz w:val="21"/>
          <w:szCs w:val="21"/>
        </w:rPr>
        <w:t>名</w:t>
      </w:r>
      <w:r>
        <w:rPr>
          <w:rFonts w:ascii="宋体" w:hAnsi="宋体" w:cs="宋体" w:eastAsia="宋体" w:hint="default"/>
          <w:spacing w:val="2"/>
          <w:w w:val="99"/>
          <w:sz w:val="21"/>
          <w:szCs w:val="21"/>
        </w:rPr>
        <w:t>普</w:t>
      </w:r>
      <w:r>
        <w:rPr>
          <w:rFonts w:ascii="宋体" w:hAnsi="宋体" w:cs="宋体" w:eastAsia="宋体" w:hint="default"/>
          <w:spacing w:val="-1"/>
          <w:w w:val="99"/>
          <w:sz w:val="21"/>
          <w:szCs w:val="21"/>
        </w:rPr>
        <w:t>通</w:t>
      </w:r>
      <w:r>
        <w:rPr>
          <w:rFonts w:ascii="宋体" w:hAnsi="宋体" w:cs="宋体" w:eastAsia="宋体" w:hint="default"/>
          <w:spacing w:val="2"/>
          <w:w w:val="99"/>
          <w:sz w:val="21"/>
          <w:szCs w:val="21"/>
        </w:rPr>
        <w:t>股</w:t>
      </w:r>
      <w:r>
        <w:rPr>
          <w:rFonts w:ascii="宋体" w:hAnsi="宋体" w:cs="宋体" w:eastAsia="宋体" w:hint="default"/>
          <w:spacing w:val="-1"/>
          <w:w w:val="99"/>
          <w:sz w:val="21"/>
          <w:szCs w:val="21"/>
        </w:rPr>
        <w:t>股</w:t>
      </w:r>
      <w:r>
        <w:rPr>
          <w:rFonts w:ascii="宋体" w:hAnsi="宋体" w:cs="宋体" w:eastAsia="宋体" w:hint="default"/>
          <w:spacing w:val="2"/>
          <w:w w:val="99"/>
          <w:sz w:val="21"/>
          <w:szCs w:val="21"/>
        </w:rPr>
        <w:t>东</w:t>
      </w:r>
      <w:r>
        <w:rPr>
          <w:rFonts w:ascii="宋体" w:hAnsi="宋体" w:cs="宋体" w:eastAsia="宋体" w:hint="default"/>
          <w:spacing w:val="-106"/>
          <w:w w:val="99"/>
          <w:sz w:val="21"/>
          <w:szCs w:val="21"/>
        </w:rPr>
        <w:t>、</w:t>
      </w:r>
      <w:r>
        <w:rPr>
          <w:rFonts w:ascii="宋体" w:hAnsi="宋体" w:cs="宋体" w:eastAsia="宋体" w:hint="default"/>
          <w:w w:val="99"/>
          <w:sz w:val="21"/>
          <w:szCs w:val="21"/>
        </w:rPr>
        <w:t>前</w:t>
      </w:r>
      <w:r>
        <w:rPr>
          <w:rFonts w:ascii="宋体" w:hAnsi="宋体" w:cs="宋体" w:eastAsia="宋体" w:hint="default"/>
          <w:spacing w:val="-58"/>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0</w:t>
      </w:r>
      <w:r>
        <w:rPr>
          <w:rFonts w:ascii="Times New Roman" w:hAnsi="Times New Roman" w:cs="Times New Roman" w:eastAsia="Times New Roman" w:hint="default"/>
          <w:spacing w:val="-4"/>
          <w:sz w:val="21"/>
          <w:szCs w:val="21"/>
        </w:rPr>
        <w:t> </w:t>
      </w:r>
      <w:r>
        <w:rPr>
          <w:rFonts w:ascii="宋体" w:hAnsi="宋体" w:cs="宋体" w:eastAsia="宋体" w:hint="default"/>
          <w:spacing w:val="-1"/>
          <w:w w:val="99"/>
          <w:sz w:val="21"/>
          <w:szCs w:val="21"/>
        </w:rPr>
        <w:t>名</w:t>
      </w:r>
      <w:r>
        <w:rPr>
          <w:rFonts w:ascii="宋体" w:hAnsi="宋体" w:cs="宋体" w:eastAsia="宋体" w:hint="default"/>
          <w:spacing w:val="2"/>
          <w:w w:val="99"/>
          <w:sz w:val="21"/>
          <w:szCs w:val="21"/>
        </w:rPr>
        <w:t>无</w:t>
      </w:r>
      <w:r>
        <w:rPr>
          <w:rFonts w:ascii="宋体" w:hAnsi="宋体" w:cs="宋体" w:eastAsia="宋体" w:hint="default"/>
          <w:spacing w:val="-1"/>
          <w:w w:val="99"/>
          <w:sz w:val="21"/>
          <w:szCs w:val="21"/>
        </w:rPr>
        <w:t>限</w:t>
      </w:r>
      <w:r>
        <w:rPr>
          <w:rFonts w:ascii="宋体" w:hAnsi="宋体" w:cs="宋体" w:eastAsia="宋体" w:hint="default"/>
          <w:spacing w:val="2"/>
          <w:w w:val="99"/>
          <w:sz w:val="21"/>
          <w:szCs w:val="21"/>
        </w:rPr>
        <w:t>售</w:t>
      </w:r>
      <w:r>
        <w:rPr>
          <w:rFonts w:ascii="宋体" w:hAnsi="宋体" w:cs="宋体" w:eastAsia="宋体" w:hint="default"/>
          <w:spacing w:val="-1"/>
          <w:w w:val="99"/>
          <w:sz w:val="21"/>
          <w:szCs w:val="21"/>
        </w:rPr>
        <w:t>条</w:t>
      </w:r>
      <w:r>
        <w:rPr>
          <w:rFonts w:ascii="宋体" w:hAnsi="宋体" w:cs="宋体" w:eastAsia="宋体" w:hint="default"/>
          <w:spacing w:val="2"/>
          <w:w w:val="99"/>
          <w:sz w:val="21"/>
          <w:szCs w:val="21"/>
        </w:rPr>
        <w:t>件</w:t>
      </w:r>
      <w:r>
        <w:rPr>
          <w:rFonts w:ascii="宋体" w:hAnsi="宋体" w:cs="宋体" w:eastAsia="宋体" w:hint="default"/>
          <w:spacing w:val="-1"/>
          <w:w w:val="99"/>
          <w:sz w:val="21"/>
          <w:szCs w:val="21"/>
        </w:rPr>
        <w:t>普</w:t>
      </w:r>
      <w:r>
        <w:rPr>
          <w:rFonts w:ascii="宋体" w:hAnsi="宋体" w:cs="宋体" w:eastAsia="宋体" w:hint="default"/>
          <w:spacing w:val="2"/>
          <w:w w:val="99"/>
          <w:sz w:val="21"/>
          <w:szCs w:val="21"/>
        </w:rPr>
        <w:t>通</w:t>
      </w:r>
      <w:r>
        <w:rPr>
          <w:rFonts w:ascii="宋体" w:hAnsi="宋体" w:cs="宋体" w:eastAsia="宋体" w:hint="default"/>
          <w:spacing w:val="-1"/>
          <w:w w:val="99"/>
          <w:sz w:val="21"/>
          <w:szCs w:val="21"/>
        </w:rPr>
        <w:t>股</w:t>
      </w:r>
      <w:r>
        <w:rPr>
          <w:rFonts w:ascii="宋体" w:hAnsi="宋体" w:cs="宋体" w:eastAsia="宋体" w:hint="default"/>
          <w:spacing w:val="2"/>
          <w:w w:val="99"/>
          <w:sz w:val="21"/>
          <w:szCs w:val="21"/>
        </w:rPr>
        <w:t>股</w:t>
      </w:r>
      <w:r>
        <w:rPr>
          <w:rFonts w:ascii="宋体" w:hAnsi="宋体" w:cs="宋体" w:eastAsia="宋体" w:hint="default"/>
          <w:spacing w:val="-1"/>
          <w:w w:val="99"/>
          <w:sz w:val="21"/>
          <w:szCs w:val="21"/>
        </w:rPr>
        <w:t>东</w:t>
      </w:r>
      <w:r>
        <w:rPr>
          <w:rFonts w:ascii="宋体" w:hAnsi="宋体" w:cs="宋体" w:eastAsia="宋体" w:hint="default"/>
          <w:spacing w:val="2"/>
          <w:w w:val="99"/>
          <w:sz w:val="21"/>
          <w:szCs w:val="21"/>
        </w:rPr>
        <w:t>在</w:t>
      </w:r>
      <w:r>
        <w:rPr>
          <w:rFonts w:ascii="宋体" w:hAnsi="宋体" w:cs="宋体" w:eastAsia="宋体" w:hint="default"/>
          <w:spacing w:val="-1"/>
          <w:w w:val="99"/>
          <w:sz w:val="21"/>
          <w:szCs w:val="21"/>
        </w:rPr>
        <w:t>报</w:t>
      </w:r>
      <w:r>
        <w:rPr>
          <w:rFonts w:ascii="宋体" w:hAnsi="宋体" w:cs="宋体" w:eastAsia="宋体" w:hint="default"/>
          <w:spacing w:val="2"/>
          <w:w w:val="99"/>
          <w:sz w:val="21"/>
          <w:szCs w:val="21"/>
        </w:rPr>
        <w:t>告</w:t>
      </w:r>
      <w:r>
        <w:rPr>
          <w:rFonts w:ascii="宋体" w:hAnsi="宋体" w:cs="宋体" w:eastAsia="宋体" w:hint="default"/>
          <w:spacing w:val="-1"/>
          <w:w w:val="99"/>
          <w:sz w:val="21"/>
          <w:szCs w:val="21"/>
        </w:rPr>
        <w:t>期</w:t>
      </w:r>
      <w:r>
        <w:rPr>
          <w:rFonts w:ascii="宋体" w:hAnsi="宋体" w:cs="宋体" w:eastAsia="宋体" w:hint="default"/>
          <w:spacing w:val="2"/>
          <w:w w:val="99"/>
          <w:sz w:val="21"/>
          <w:szCs w:val="21"/>
        </w:rPr>
        <w:t>内</w:t>
      </w:r>
      <w:r>
        <w:rPr>
          <w:rFonts w:ascii="宋体" w:hAnsi="宋体" w:cs="宋体" w:eastAsia="宋体" w:hint="default"/>
          <w:spacing w:val="-1"/>
          <w:w w:val="99"/>
          <w:sz w:val="21"/>
          <w:szCs w:val="21"/>
        </w:rPr>
        <w:t>是</w:t>
      </w:r>
      <w:r>
        <w:rPr>
          <w:rFonts w:ascii="宋体" w:hAnsi="宋体" w:cs="宋体" w:eastAsia="宋体" w:hint="default"/>
          <w:spacing w:val="2"/>
          <w:w w:val="99"/>
          <w:sz w:val="21"/>
          <w:szCs w:val="21"/>
        </w:rPr>
        <w:t>否</w:t>
      </w:r>
      <w:r>
        <w:rPr>
          <w:rFonts w:ascii="宋体" w:hAnsi="宋体" w:cs="宋体" w:eastAsia="宋体" w:hint="default"/>
          <w:spacing w:val="-1"/>
          <w:w w:val="99"/>
          <w:sz w:val="21"/>
          <w:szCs w:val="21"/>
        </w:rPr>
        <w:t>进</w:t>
      </w:r>
      <w:r>
        <w:rPr>
          <w:rFonts w:ascii="宋体" w:hAnsi="宋体" w:cs="宋体" w:eastAsia="宋体" w:hint="default"/>
          <w:spacing w:val="2"/>
          <w:w w:val="99"/>
          <w:sz w:val="21"/>
          <w:szCs w:val="21"/>
        </w:rPr>
        <w:t>行</w:t>
      </w:r>
      <w:r>
        <w:rPr>
          <w:rFonts w:ascii="宋体" w:hAnsi="宋体" w:cs="宋体" w:eastAsia="宋体" w:hint="default"/>
          <w:spacing w:val="-1"/>
          <w:w w:val="99"/>
          <w:sz w:val="21"/>
          <w:szCs w:val="21"/>
        </w:rPr>
        <w:t>约</w:t>
      </w:r>
      <w:r>
        <w:rPr>
          <w:rFonts w:ascii="宋体" w:hAnsi="宋体" w:cs="宋体" w:eastAsia="宋体" w:hint="default"/>
          <w:spacing w:val="2"/>
          <w:w w:val="99"/>
          <w:sz w:val="21"/>
          <w:szCs w:val="21"/>
        </w:rPr>
        <w:t>定</w:t>
      </w:r>
      <w:r>
        <w:rPr>
          <w:rFonts w:ascii="宋体" w:hAnsi="宋体" w:cs="宋体" w:eastAsia="宋体" w:hint="default"/>
          <w:spacing w:val="-1"/>
          <w:w w:val="99"/>
          <w:sz w:val="21"/>
          <w:szCs w:val="21"/>
        </w:rPr>
        <w:t>购</w:t>
      </w:r>
      <w:r>
        <w:rPr>
          <w:rFonts w:ascii="宋体" w:hAnsi="宋体" w:cs="宋体" w:eastAsia="宋体" w:hint="default"/>
          <w:spacing w:val="2"/>
          <w:w w:val="99"/>
          <w:sz w:val="21"/>
          <w:szCs w:val="21"/>
        </w:rPr>
        <w:t>回</w:t>
      </w:r>
      <w:r>
        <w:rPr>
          <w:rFonts w:ascii="宋体" w:hAnsi="宋体" w:cs="宋体" w:eastAsia="宋体" w:hint="default"/>
          <w:spacing w:val="-1"/>
          <w:w w:val="99"/>
          <w:sz w:val="21"/>
          <w:szCs w:val="21"/>
        </w:rPr>
        <w:t>交</w:t>
      </w:r>
      <w:r>
        <w:rPr>
          <w:rFonts w:ascii="宋体" w:hAnsi="宋体" w:cs="宋体" w:eastAsia="宋体" w:hint="default"/>
          <w:spacing w:val="2"/>
          <w:w w:val="99"/>
          <w:sz w:val="21"/>
          <w:szCs w:val="21"/>
        </w:rPr>
        <w:t>易</w:t>
      </w:r>
      <w:r>
        <w:rPr>
          <w:rFonts w:ascii="宋体" w:hAnsi="宋体" w:cs="宋体" w:eastAsia="宋体" w:hint="default"/>
          <w:spacing w:val="-106"/>
          <w:w w:val="99"/>
          <w:sz w:val="21"/>
          <w:szCs w:val="21"/>
        </w:rPr>
        <w:t>：</w:t>
      </w:r>
      <w:r>
        <w:rPr>
          <w:rFonts w:ascii="宋体" w:hAnsi="宋体" w:cs="宋体" w:eastAsia="宋体" w:hint="default"/>
          <w:w w:val="99"/>
          <w:sz w:val="21"/>
          <w:szCs w:val="21"/>
        </w:rPr>
        <w:t>□</w:t>
      </w:r>
      <w:r>
        <w:rPr>
          <w:rFonts w:ascii="宋体" w:hAnsi="宋体" w:cs="宋体" w:eastAsia="宋体" w:hint="default"/>
          <w:spacing w:val="2"/>
          <w:sz w:val="21"/>
          <w:szCs w:val="21"/>
        </w:rPr>
        <w:t> </w:t>
      </w:r>
      <w:r>
        <w:rPr>
          <w:rFonts w:ascii="宋体" w:hAnsi="宋体" w:cs="宋体" w:eastAsia="宋体" w:hint="default"/>
          <w:w w:val="99"/>
          <w:sz w:val="21"/>
          <w:szCs w:val="21"/>
        </w:rPr>
        <w:t>是</w:t>
      </w:r>
      <w:r>
        <w:rPr>
          <w:rFonts w:ascii="宋体" w:hAnsi="宋体" w:cs="宋体" w:eastAsia="宋体" w:hint="default"/>
          <w:sz w:val="21"/>
          <w:szCs w:val="21"/>
        </w:rPr>
        <w:t> </w:t>
      </w:r>
      <w:r>
        <w:rPr>
          <w:rFonts w:ascii="宋体" w:hAnsi="宋体" w:cs="宋体" w:eastAsia="宋体" w:hint="default"/>
          <w:w w:val="99"/>
          <w:sz w:val="21"/>
          <w:szCs w:val="21"/>
        </w:rPr>
        <w:t>√</w:t>
      </w:r>
      <w:r>
        <w:rPr>
          <w:rFonts w:ascii="宋体" w:hAnsi="宋体" w:cs="宋体" w:eastAsia="宋体" w:hint="default"/>
          <w:sz w:val="21"/>
          <w:szCs w:val="21"/>
        </w:rPr>
      </w:r>
    </w:p>
    <w:p>
      <w:pPr>
        <w:spacing w:line="240" w:lineRule="auto" w:before="12"/>
        <w:rPr>
          <w:rFonts w:ascii="宋体" w:hAnsi="宋体" w:cs="宋体" w:eastAsia="宋体" w:hint="default"/>
          <w:sz w:val="10"/>
          <w:szCs w:val="10"/>
        </w:rPr>
      </w:pPr>
    </w:p>
    <w:p>
      <w:pPr>
        <w:spacing w:before="34"/>
        <w:ind w:left="112" w:right="987" w:firstLine="0"/>
        <w:jc w:val="left"/>
        <w:rPr>
          <w:rFonts w:ascii="宋体" w:hAnsi="宋体" w:cs="宋体" w:eastAsia="宋体" w:hint="default"/>
          <w:sz w:val="21"/>
          <w:szCs w:val="21"/>
        </w:rPr>
      </w:pPr>
      <w:r>
        <w:rPr>
          <w:rFonts w:ascii="宋体" w:hAnsi="宋体" w:cs="宋体" w:eastAsia="宋体" w:hint="default"/>
          <w:w w:val="99"/>
          <w:sz w:val="21"/>
          <w:szCs w:val="21"/>
        </w:rPr>
        <w:t>否</w:t>
      </w:r>
      <w:r>
        <w:rPr>
          <w:rFonts w:ascii="宋体" w:hAnsi="宋体" w:cs="宋体" w:eastAsia="宋体" w:hint="default"/>
          <w:sz w:val="21"/>
          <w:szCs w:val="21"/>
        </w:rPr>
      </w:r>
    </w:p>
    <w:p>
      <w:pPr>
        <w:spacing w:line="240" w:lineRule="auto" w:before="3"/>
        <w:rPr>
          <w:rFonts w:ascii="宋体" w:hAnsi="宋体" w:cs="宋体" w:eastAsia="宋体" w:hint="default"/>
          <w:sz w:val="15"/>
          <w:szCs w:val="15"/>
        </w:rPr>
      </w:pPr>
    </w:p>
    <w:p>
      <w:pPr>
        <w:spacing w:before="34"/>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名普通股股东、前</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名无限售条件普通股股东在报告期内未进行约定购回交易。</w:t>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10"/>
        <w:rPr>
          <w:rFonts w:ascii="宋体" w:hAnsi="宋体" w:cs="宋体" w:eastAsia="宋体" w:hint="default"/>
          <w:sz w:val="21"/>
          <w:szCs w:val="21"/>
        </w:rPr>
      </w:pPr>
    </w:p>
    <w:p>
      <w:pPr>
        <w:spacing w:before="34"/>
        <w:ind w:left="112" w:right="987" w:firstLine="0"/>
        <w:jc w:val="left"/>
        <w:rPr>
          <w:rFonts w:ascii="宋体" w:hAnsi="宋体" w:cs="宋体" w:eastAsia="宋体" w:hint="default"/>
          <w:sz w:val="21"/>
          <w:szCs w:val="21"/>
        </w:rPr>
      </w:pPr>
      <w:bookmarkStart w:name="2、公司控股股东情况" w:id="109"/>
      <w:bookmarkEnd w:id="10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41" w:lineRule="auto" w:before="0"/>
        <w:ind w:left="532" w:right="7814" w:firstLine="0"/>
        <w:jc w:val="left"/>
        <w:rPr>
          <w:rFonts w:ascii="宋体" w:hAnsi="宋体" w:cs="宋体" w:eastAsia="宋体" w:hint="default"/>
          <w:sz w:val="21"/>
          <w:szCs w:val="21"/>
        </w:rPr>
      </w:pPr>
      <w:r>
        <w:rPr>
          <w:rFonts w:ascii="宋体" w:hAnsi="宋体" w:cs="宋体" w:eastAsia="宋体" w:hint="default"/>
          <w:sz w:val="21"/>
          <w:szCs w:val="21"/>
        </w:rPr>
        <w:t>控股股东性质：自然人控股</w:t>
      </w:r>
      <w:r>
        <w:rPr>
          <w:rFonts w:ascii="宋体" w:hAnsi="宋体" w:cs="宋体" w:eastAsia="宋体" w:hint="default"/>
          <w:w w:val="99"/>
          <w:sz w:val="21"/>
          <w:szCs w:val="21"/>
        </w:rPr>
        <w:t> </w:t>
      </w:r>
      <w:r>
        <w:rPr>
          <w:rFonts w:ascii="宋体" w:hAnsi="宋体" w:cs="宋体" w:eastAsia="宋体" w:hint="default"/>
          <w:sz w:val="21"/>
          <w:szCs w:val="21"/>
        </w:rPr>
        <w:t>控股股东类型：自然人</w:t>
      </w: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1"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101" w:right="2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 公司的股权情况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2"/>
        <w:rPr>
          <w:rFonts w:ascii="宋体" w:hAnsi="宋体" w:cs="宋体" w:eastAsia="宋体" w:hint="default"/>
          <w:sz w:val="4"/>
          <w:szCs w:val="4"/>
        </w:rPr>
      </w:pPr>
    </w:p>
    <w:p>
      <w:pPr>
        <w:spacing w:before="34"/>
        <w:ind w:left="532" w:right="987" w:firstLine="0"/>
        <w:jc w:val="left"/>
        <w:rPr>
          <w:rFonts w:ascii="宋体" w:hAnsi="宋体" w:cs="宋体" w:eastAsia="宋体" w:hint="default"/>
          <w:sz w:val="21"/>
          <w:szCs w:val="21"/>
        </w:rPr>
      </w:pPr>
      <w:r>
        <w:rPr>
          <w:rFonts w:ascii="宋体" w:hAnsi="宋体" w:cs="宋体" w:eastAsia="宋体" w:hint="default"/>
          <w:sz w:val="21"/>
          <w:szCs w:val="21"/>
        </w:rPr>
        <w:t>控股股东报告期内变更</w:t>
      </w:r>
      <w:r>
        <w:rPr>
          <w:rFonts w:ascii="宋体" w:hAnsi="宋体" w:cs="宋体" w:eastAsia="宋体" w:hint="default"/>
          <w:spacing w:val="-16"/>
          <w:sz w:val="21"/>
          <w:szCs w:val="21"/>
        </w:rPr>
        <w:t> </w:t>
      </w:r>
      <w:r>
        <w:rPr>
          <w:rFonts w:ascii="宋体" w:hAnsi="宋体" w:cs="宋体" w:eastAsia="宋体" w:hint="default"/>
          <w:sz w:val="21"/>
          <w:szCs w:val="21"/>
        </w:rPr>
        <w:t>：公司报告期控股股东未发生变更。</w:t>
      </w:r>
    </w:p>
    <w:p>
      <w:pPr>
        <w:spacing w:line="240" w:lineRule="auto" w:before="0"/>
        <w:rPr>
          <w:rFonts w:ascii="宋体" w:hAnsi="宋体" w:cs="宋体" w:eastAsia="宋体" w:hint="default"/>
          <w:sz w:val="20"/>
          <w:szCs w:val="20"/>
        </w:rPr>
      </w:pPr>
    </w:p>
    <w:p>
      <w:pPr>
        <w:spacing w:before="154"/>
        <w:ind w:left="112" w:right="987" w:firstLine="0"/>
        <w:jc w:val="left"/>
        <w:rPr>
          <w:rFonts w:ascii="宋体" w:hAnsi="宋体" w:cs="宋体" w:eastAsia="宋体" w:hint="default"/>
          <w:sz w:val="21"/>
          <w:szCs w:val="21"/>
        </w:rPr>
      </w:pPr>
      <w:bookmarkStart w:name="3、公司实际控制人及其一致行动人" w:id="110"/>
      <w:bookmarkEnd w:id="11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line="444" w:lineRule="auto" w:before="0"/>
        <w:ind w:left="532" w:right="7604" w:firstLine="0"/>
        <w:jc w:val="left"/>
        <w:rPr>
          <w:rFonts w:ascii="宋体" w:hAnsi="宋体" w:cs="宋体" w:eastAsia="宋体" w:hint="default"/>
          <w:sz w:val="21"/>
          <w:szCs w:val="21"/>
        </w:rPr>
      </w:pPr>
      <w:r>
        <w:rPr>
          <w:rFonts w:ascii="宋体" w:hAnsi="宋体" w:cs="宋体" w:eastAsia="宋体" w:hint="default"/>
          <w:sz w:val="21"/>
          <w:szCs w:val="21"/>
        </w:rPr>
        <w:t>实际控制人性质：境内自然人</w:t>
      </w:r>
      <w:r>
        <w:rPr>
          <w:rFonts w:ascii="宋体" w:hAnsi="宋体" w:cs="宋体" w:eastAsia="宋体" w:hint="default"/>
          <w:w w:val="99"/>
          <w:sz w:val="21"/>
          <w:szCs w:val="21"/>
        </w:rPr>
        <w:t> </w:t>
      </w:r>
      <w:r>
        <w:rPr>
          <w:rFonts w:ascii="宋体" w:hAnsi="宋体" w:cs="宋体" w:eastAsia="宋体" w:hint="default"/>
          <w:sz w:val="21"/>
          <w:szCs w:val="21"/>
        </w:rPr>
        <w:t>实际控制人类型：自然人</w:t>
      </w: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2"/>
              <w:ind w:left="1011" w:right="108"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1"/>
              <w:ind w:left="102" w:right="117"/>
              <w:jc w:val="left"/>
              <w:rPr>
                <w:rFonts w:ascii="宋体" w:hAnsi="宋体" w:cs="宋体" w:eastAsia="宋体" w:hint="default"/>
                <w:sz w:val="18"/>
                <w:szCs w:val="18"/>
              </w:rPr>
            </w:pPr>
            <w:r>
              <w:rPr>
                <w:rFonts w:ascii="宋体" w:hAnsi="宋体" w:cs="宋体" w:eastAsia="宋体" w:hint="default"/>
                <w:sz w:val="18"/>
                <w:szCs w:val="18"/>
              </w:rPr>
              <w:t>一致行动（含协议、亲属、 同一控制）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黄自伟担任尤洛卡公司董事长、总经理，王晶华担任尤洛卡董事职务</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2"/>
              <w:ind w:left="101" w:right="2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p>
        </w:tc>
        <w:tc>
          <w:tcPr>
            <w:tcW w:w="71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8"/>
        <w:rPr>
          <w:rFonts w:ascii="宋体" w:hAnsi="宋体" w:cs="宋体" w:eastAsia="宋体" w:hint="default"/>
          <w:sz w:val="4"/>
          <w:szCs w:val="4"/>
        </w:rPr>
      </w:pPr>
    </w:p>
    <w:p>
      <w:pPr>
        <w:spacing w:line="444" w:lineRule="auto" w:before="34"/>
        <w:ind w:left="532" w:right="987" w:firstLine="0"/>
        <w:jc w:val="left"/>
        <w:rPr>
          <w:rFonts w:ascii="宋体" w:hAnsi="宋体" w:cs="宋体" w:eastAsia="宋体" w:hint="default"/>
          <w:sz w:val="21"/>
          <w:szCs w:val="21"/>
        </w:rPr>
      </w:pPr>
      <w:r>
        <w:rPr>
          <w:rFonts w:ascii="宋体" w:hAnsi="宋体" w:cs="宋体" w:eastAsia="宋体" w:hint="default"/>
          <w:w w:val="95"/>
          <w:sz w:val="21"/>
          <w:szCs w:val="21"/>
        </w:rPr>
        <w:t>实际控制人报告期内变更：公司报告期实际控制人未发生变更。</w:t>
      </w:r>
      <w:r>
        <w:rPr>
          <w:rFonts w:ascii="宋体" w:hAnsi="宋体" w:cs="宋体" w:eastAsia="宋体" w:hint="default"/>
          <w:spacing w:val="78"/>
          <w:w w:val="95"/>
          <w:sz w:val="21"/>
          <w:szCs w:val="21"/>
        </w:rPr>
        <w:t> </w:t>
      </w:r>
      <w:r>
        <w:rPr>
          <w:rFonts w:ascii="宋体" w:hAnsi="宋体" w:cs="宋体" w:eastAsia="宋体" w:hint="default"/>
          <w:spacing w:val="78"/>
          <w:w w:val="95"/>
          <w:sz w:val="21"/>
          <w:szCs w:val="21"/>
        </w:rPr>
      </w:r>
      <w:r>
        <w:rPr>
          <w:rFonts w:ascii="宋体" w:hAnsi="宋体" w:cs="宋体" w:eastAsia="宋体" w:hint="default"/>
          <w:sz w:val="21"/>
          <w:szCs w:val="21"/>
        </w:rPr>
        <w:t>公司与实际控制人之间的产权及控制关系的方框图</w:t>
      </w:r>
    </w:p>
    <w:p>
      <w:pPr>
        <w:spacing w:line="240" w:lineRule="auto" w:before="12"/>
        <w:rPr>
          <w:rFonts w:ascii="宋体" w:hAnsi="宋体" w:cs="宋体" w:eastAsia="宋体" w:hint="default"/>
          <w:sz w:val="15"/>
          <w:szCs w:val="15"/>
        </w:rPr>
      </w:pPr>
    </w:p>
    <w:p>
      <w:pPr>
        <w:spacing w:line="3281" w:lineRule="exact"/>
        <w:ind w:left="1317"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4545207" cy="2083974"/>
            <wp:effectExtent l="0" t="0" r="0" b="0"/>
            <wp:docPr id="3" name="image4.jpeg" descr=""/>
            <wp:cNvGraphicFramePr>
              <a:graphicFrameLocks noChangeAspect="1"/>
            </wp:cNvGraphicFramePr>
            <a:graphic>
              <a:graphicData uri="http://schemas.openxmlformats.org/drawingml/2006/picture">
                <pic:pic>
                  <pic:nvPicPr>
                    <pic:cNvPr id="4" name="image4.jpeg"/>
                    <pic:cNvPicPr/>
                  </pic:nvPicPr>
                  <pic:blipFill>
                    <a:blip r:embed="rId27" cstate="print"/>
                    <a:stretch>
                      <a:fillRect/>
                    </a:stretch>
                  </pic:blipFill>
                  <pic:spPr>
                    <a:xfrm>
                      <a:off x="0" y="0"/>
                      <a:ext cx="4545207" cy="2083974"/>
                    </a:xfrm>
                    <a:prstGeom prst="rect">
                      <a:avLst/>
                    </a:prstGeom>
                  </pic:spPr>
                </pic:pic>
              </a:graphicData>
            </a:graphic>
          </wp:inline>
        </w:drawing>
      </w:r>
      <w:r>
        <w:rPr>
          <w:rFonts w:ascii="宋体" w:hAnsi="宋体" w:cs="宋体" w:eastAsia="宋体" w:hint="default"/>
          <w:position w:val="-65"/>
          <w:sz w:val="20"/>
          <w:szCs w:val="20"/>
        </w:rPr>
      </w:r>
    </w:p>
    <w:p>
      <w:pPr>
        <w:spacing w:after="0" w:line="3281" w:lineRule="exact"/>
        <w:rPr>
          <w:rFonts w:ascii="宋体" w:hAnsi="宋体" w:cs="宋体" w:eastAsia="宋体" w:hint="default"/>
          <w:sz w:val="20"/>
          <w:szCs w:val="20"/>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before="34"/>
        <w:ind w:left="532" w:right="987" w:firstLine="0"/>
        <w:jc w:val="left"/>
        <w:rPr>
          <w:rFonts w:ascii="宋体" w:hAnsi="宋体" w:cs="宋体" w:eastAsia="宋体" w:hint="default"/>
          <w:sz w:val="21"/>
          <w:szCs w:val="21"/>
        </w:rPr>
      </w:pPr>
      <w:r>
        <w:rPr>
          <w:rFonts w:ascii="宋体" w:hAnsi="宋体" w:cs="宋体" w:eastAsia="宋体" w:hint="default"/>
          <w:sz w:val="21"/>
          <w:szCs w:val="21"/>
        </w:rPr>
        <w:t>实际控制人通过信托或其他资产管理方式控制公司：□ 适用 √</w:t>
      </w:r>
      <w:r>
        <w:rPr>
          <w:rFonts w:ascii="宋体" w:hAnsi="宋体" w:cs="宋体" w:eastAsia="宋体" w:hint="default"/>
          <w:spacing w:val="-16"/>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54"/>
        <w:ind w:left="112" w:right="987" w:firstLine="0"/>
        <w:jc w:val="left"/>
        <w:rPr>
          <w:rFonts w:ascii="宋体" w:hAnsi="宋体" w:cs="宋体" w:eastAsia="宋体" w:hint="default"/>
          <w:sz w:val="21"/>
          <w:szCs w:val="21"/>
        </w:rPr>
      </w:pPr>
      <w:bookmarkStart w:name="4、其他持股在10%以上的法人股东" w:id="111"/>
      <w:bookmarkEnd w:id="11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60"/>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54"/>
        <w:ind w:left="112" w:right="987" w:firstLine="0"/>
        <w:jc w:val="left"/>
        <w:rPr>
          <w:rFonts w:ascii="宋体" w:hAnsi="宋体" w:cs="宋体" w:eastAsia="宋体" w:hint="default"/>
          <w:sz w:val="21"/>
          <w:szCs w:val="21"/>
        </w:rPr>
      </w:pPr>
      <w:bookmarkStart w:name="5、控股股东、实际控制人、重组方及其他承诺主体股份限制减持情况" w:id="112"/>
      <w:bookmarkEnd w:id="11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3247" w:right="987" w:firstLine="0"/>
        <w:jc w:val="left"/>
        <w:rPr>
          <w:rFonts w:ascii="宋体" w:hAnsi="宋体" w:cs="宋体" w:eastAsia="宋体" w:hint="default"/>
          <w:sz w:val="32"/>
          <w:szCs w:val="32"/>
        </w:rPr>
      </w:pPr>
      <w:bookmarkStart w:name="第七节 优先股相关情况" w:id="113"/>
      <w:bookmarkEnd w:id="113"/>
      <w:r>
        <w:rPr/>
      </w:r>
      <w:r>
        <w:rPr>
          <w:rFonts w:ascii="宋体" w:hAnsi="宋体" w:cs="宋体" w:eastAsia="宋体" w:hint="default"/>
          <w:b/>
          <w:bCs/>
          <w:sz w:val="32"/>
          <w:szCs w:val="32"/>
        </w:rPr>
        <w:t>第七节</w:t>
      </w:r>
      <w:r>
        <w:rPr>
          <w:rFonts w:ascii="宋体" w:hAnsi="宋体" w:cs="宋体" w:eastAsia="宋体" w:hint="default"/>
          <w:b/>
          <w:bCs/>
          <w:spacing w:val="-10"/>
          <w:sz w:val="32"/>
          <w:szCs w:val="32"/>
        </w:rPr>
        <w:t> </w:t>
      </w:r>
      <w:r>
        <w:rPr>
          <w:rFonts w:ascii="宋体" w:hAnsi="宋体" w:cs="宋体" w:eastAsia="宋体" w:hint="default"/>
          <w:b/>
          <w:bCs/>
          <w:sz w:val="32"/>
          <w:szCs w:val="32"/>
        </w:rPr>
        <w:t>优先股相关情况</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3"/>
          <w:szCs w:val="23"/>
        </w:rPr>
      </w:pPr>
    </w:p>
    <w:p>
      <w:pPr>
        <w:spacing w:line="441" w:lineRule="auto" w:before="34"/>
        <w:ind w:left="532" w:right="781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报告期公司不存在优先股。</w:t>
      </w:r>
    </w:p>
    <w:p>
      <w:pPr>
        <w:spacing w:after="0" w:line="441" w:lineRule="auto"/>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1643" w:right="987" w:firstLine="0"/>
        <w:jc w:val="left"/>
        <w:rPr>
          <w:rFonts w:ascii="宋体" w:hAnsi="宋体" w:cs="宋体" w:eastAsia="宋体" w:hint="default"/>
          <w:sz w:val="32"/>
          <w:szCs w:val="32"/>
        </w:rPr>
      </w:pPr>
      <w:bookmarkStart w:name="第八节 董事、监事、高级管理人员和员工情况" w:id="114"/>
      <w:bookmarkEnd w:id="114"/>
      <w:r>
        <w:rPr/>
      </w:r>
      <w:r>
        <w:rPr>
          <w:rFonts w:ascii="宋体" w:hAnsi="宋体" w:cs="宋体" w:eastAsia="宋体" w:hint="default"/>
          <w:b/>
          <w:bCs/>
          <w:sz w:val="32"/>
          <w:szCs w:val="32"/>
        </w:rPr>
        <w:t>第八节</w:t>
      </w:r>
      <w:r>
        <w:rPr>
          <w:rFonts w:ascii="宋体" w:hAnsi="宋体" w:cs="宋体" w:eastAsia="宋体" w:hint="default"/>
          <w:b/>
          <w:bCs/>
          <w:spacing w:val="-17"/>
          <w:sz w:val="32"/>
          <w:szCs w:val="32"/>
        </w:rPr>
        <w:t> </w:t>
      </w:r>
      <w:r>
        <w:rPr>
          <w:rFonts w:ascii="宋体" w:hAnsi="宋体" w:cs="宋体" w:eastAsia="宋体" w:hint="default"/>
          <w:b/>
          <w:bCs/>
          <w:sz w:val="32"/>
          <w:szCs w:val="32"/>
        </w:rPr>
        <w:t>董事、监事、高级管理人员和员工情况</w:t>
      </w:r>
      <w:r>
        <w:rPr>
          <w:rFonts w:ascii="宋体" w:hAnsi="宋体" w:cs="宋体" w:eastAsia="宋体" w:hint="default"/>
          <w:sz w:val="32"/>
          <w:szCs w:val="32"/>
        </w:rPr>
      </w:r>
    </w:p>
    <w:p>
      <w:pPr>
        <w:spacing w:line="240" w:lineRule="auto" w:before="10"/>
        <w:rPr>
          <w:rFonts w:ascii="宋体" w:hAnsi="宋体" w:cs="宋体" w:eastAsia="宋体" w:hint="default"/>
          <w:b/>
          <w:bCs/>
          <w:sz w:val="38"/>
          <w:szCs w:val="38"/>
        </w:rPr>
      </w:pPr>
    </w:p>
    <w:p>
      <w:pPr>
        <w:spacing w:before="0"/>
        <w:ind w:left="112" w:right="987" w:firstLine="0"/>
        <w:jc w:val="left"/>
        <w:rPr>
          <w:rFonts w:ascii="宋体" w:hAnsi="宋体" w:cs="宋体" w:eastAsia="宋体" w:hint="default"/>
          <w:sz w:val="24"/>
          <w:szCs w:val="24"/>
        </w:rPr>
      </w:pPr>
      <w:bookmarkStart w:name="一、董事、监事和高级管理人员持股变动" w:id="115"/>
      <w:bookmarkEnd w:id="115"/>
      <w:r>
        <w:rPr/>
      </w:r>
      <w:r>
        <w:rPr>
          <w:rFonts w:ascii="宋体" w:hAnsi="宋体" w:cs="宋体" w:eastAsia="宋体" w:hint="default"/>
          <w:b/>
          <w:bCs/>
          <w:sz w:val="24"/>
          <w:szCs w:val="24"/>
        </w:rPr>
        <w:t>一、董事、监事和高级管理人员持股变动</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02" w:right="123"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5" w:right="121"/>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5" w:right="121"/>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2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5" w:right="121"/>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left"/>
              <w:rPr>
                <w:rFonts w:ascii="宋体" w:hAnsi="宋体" w:cs="宋体" w:eastAsia="宋体" w:hint="default"/>
                <w:sz w:val="18"/>
                <w:szCs w:val="18"/>
              </w:rPr>
            </w:pPr>
            <w:r>
              <w:rPr>
                <w:rFonts w:ascii="宋体" w:hAnsi="宋体" w:cs="宋体" w:eastAsia="宋体" w:hint="default"/>
                <w:sz w:val="18"/>
                <w:szCs w:val="18"/>
              </w:rPr>
              <w:t>董事 长、总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3,417,4</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3,417,4</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72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203,76</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0,813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203,76</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0,813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黄屹峰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副董事 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2"/>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47,381,</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516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47,381,</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516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16,812,</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796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16,812,</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796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14,101,</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087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14,101,</w:t>
            </w:r>
          </w:p>
          <w:p>
            <w:pPr>
              <w:pStyle w:val="TableParagraph"/>
              <w:spacing w:line="240" w:lineRule="auto" w:before="105"/>
              <w:ind w:left="414" w:right="0"/>
              <w:jc w:val="left"/>
              <w:rPr>
                <w:rFonts w:ascii="Times New Roman" w:hAnsi="Times New Roman" w:cs="Times New Roman" w:eastAsia="Times New Roman" w:hint="default"/>
                <w:sz w:val="18"/>
                <w:szCs w:val="18"/>
              </w:rPr>
            </w:pPr>
            <w:r>
              <w:rPr>
                <w:rFonts w:ascii="Times New Roman"/>
                <w:sz w:val="18"/>
              </w:rPr>
              <w:t>087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王同孝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江霞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马训波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王道银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孙兆华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375,99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375,99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李霞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赵志刚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both"/>
              <w:rPr>
                <w:rFonts w:ascii="宋体" w:hAnsi="宋体" w:cs="宋体" w:eastAsia="宋体" w:hint="default"/>
                <w:sz w:val="18"/>
                <w:szCs w:val="18"/>
              </w:rPr>
            </w:pPr>
            <w:r>
              <w:rPr>
                <w:rFonts w:ascii="宋体" w:hAnsi="宋体" w:cs="宋体" w:eastAsia="宋体" w:hint="default"/>
                <w:sz w:val="18"/>
                <w:szCs w:val="18"/>
              </w:rPr>
              <w:t>董事、 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李彬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姚明远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2"/>
              <w:jc w:val="both"/>
              <w:rPr>
                <w:rFonts w:ascii="宋体" w:hAnsi="宋体" w:cs="宋体" w:eastAsia="宋体" w:hint="default"/>
                <w:sz w:val="18"/>
                <w:szCs w:val="18"/>
              </w:rPr>
            </w:pPr>
            <w:r>
              <w:rPr>
                <w:rFonts w:ascii="宋体" w:hAnsi="宋体" w:cs="宋体" w:eastAsia="宋体" w:hint="default"/>
                <w:sz w:val="18"/>
                <w:szCs w:val="18"/>
              </w:rPr>
              <w:t>副总经 理、董 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崔保航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路飞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22"/>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3" w:right="142"/>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5,249,4</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5,249,4</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48</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332"/>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 w:right="0"/>
              <w:jc w:val="left"/>
              <w:rPr>
                <w:rFonts w:ascii="Times New Roman" w:hAnsi="Times New Roman" w:cs="Times New Roman" w:eastAsia="Times New Roman" w:hint="default"/>
                <w:sz w:val="18"/>
                <w:szCs w:val="18"/>
              </w:rPr>
            </w:pPr>
            <w:r>
              <w:rPr>
                <w:rFonts w:ascii="Times New Roman"/>
                <w:sz w:val="18"/>
              </w:rPr>
              <w:t>292,13</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9,129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 w:right="0"/>
              <w:jc w:val="left"/>
              <w:rPr>
                <w:rFonts w:ascii="Times New Roman" w:hAnsi="Times New Roman" w:cs="Times New Roman" w:eastAsia="Times New Roman" w:hint="default"/>
                <w:sz w:val="18"/>
                <w:szCs w:val="18"/>
              </w:rPr>
            </w:pPr>
            <w:r>
              <w:rPr>
                <w:rFonts w:ascii="Times New Roman"/>
                <w:sz w:val="18"/>
              </w:rPr>
              <w:t>292,13</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9,129</w:t>
            </w:r>
          </w:p>
        </w:tc>
      </w:tr>
    </w:tbl>
    <w:p>
      <w:pPr>
        <w:spacing w:line="240" w:lineRule="auto" w:before="0"/>
        <w:rPr>
          <w:rFonts w:ascii="宋体" w:hAnsi="宋体" w:cs="宋体" w:eastAsia="宋体" w:hint="default"/>
          <w:b/>
          <w:bCs/>
          <w:sz w:val="18"/>
          <w:szCs w:val="18"/>
        </w:rPr>
      </w:pPr>
    </w:p>
    <w:p>
      <w:pPr>
        <w:spacing w:before="26"/>
        <w:ind w:left="112" w:right="987" w:firstLine="0"/>
        <w:jc w:val="left"/>
        <w:rPr>
          <w:rFonts w:ascii="宋体" w:hAnsi="宋体" w:cs="宋体" w:eastAsia="宋体" w:hint="default"/>
          <w:sz w:val="24"/>
          <w:szCs w:val="24"/>
        </w:rPr>
      </w:pPr>
      <w:bookmarkStart w:name="二、公司董事、监事、高级管理人员变动情况 " w:id="116"/>
      <w:bookmarkEnd w:id="116"/>
      <w:r>
        <w:rPr/>
      </w: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29"/>
        <w:gridCol w:w="1330"/>
        <w:gridCol w:w="1330"/>
        <w:gridCol w:w="1330"/>
        <w:gridCol w:w="4248"/>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聘任为总经理</w:t>
            </w:r>
          </w:p>
        </w:tc>
      </w:tr>
      <w:tr>
        <w:trPr>
          <w:trHeight w:val="400"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聘任为副总经理</w:t>
            </w:r>
          </w:p>
        </w:tc>
      </w:tr>
    </w:tbl>
    <w:p>
      <w:pPr>
        <w:spacing w:after="0" w:line="240" w:lineRule="auto"/>
        <w:jc w:val="left"/>
        <w:rPr>
          <w:rFonts w:ascii="宋体" w:hAnsi="宋体" w:cs="宋体" w:eastAsia="宋体" w:hint="default"/>
          <w:sz w:val="18"/>
          <w:szCs w:val="18"/>
        </w:rPr>
        <w:sectPr>
          <w:footerReference w:type="default" r:id="rId28"/>
          <w:pgSz w:w="11910" w:h="16840"/>
          <w:pgMar w:footer="1028" w:header="907" w:top="1100" w:bottom="1220" w:left="1020" w:right="0"/>
          <w:pgNumType w:start="6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29"/>
        <w:gridCol w:w="1330"/>
        <w:gridCol w:w="1330"/>
        <w:gridCol w:w="1330"/>
        <w:gridCol w:w="4248"/>
      </w:tblGrid>
      <w:tr>
        <w:trPr>
          <w:trHeight w:val="362" w:hRule="exact"/>
        </w:trPr>
        <w:tc>
          <w:tcPr>
            <w:tcW w:w="1329"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聘任为副总经理</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赵志刚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被选举董事</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赵志刚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聘任为副总经理</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赵志刚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工作变动不再担任总经理</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工作变动不再担任副总经理</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工作变动不再担任副总经理</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姚明远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工作变动不再担任副总经理</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路飞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工作变动不再担任副总经理</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主动离职</w:t>
            </w:r>
          </w:p>
        </w:tc>
      </w:tr>
    </w:tbl>
    <w:p>
      <w:pPr>
        <w:spacing w:line="240" w:lineRule="auto" w:before="1"/>
        <w:rPr>
          <w:rFonts w:ascii="宋体" w:hAnsi="宋体" w:cs="宋体" w:eastAsia="宋体" w:hint="default"/>
          <w:b/>
          <w:bCs/>
          <w:sz w:val="18"/>
          <w:szCs w:val="18"/>
        </w:rPr>
      </w:pPr>
    </w:p>
    <w:p>
      <w:pPr>
        <w:spacing w:before="26"/>
        <w:ind w:left="112" w:right="987" w:firstLine="0"/>
        <w:jc w:val="left"/>
        <w:rPr>
          <w:rFonts w:ascii="宋体" w:hAnsi="宋体" w:cs="宋体" w:eastAsia="宋体" w:hint="default"/>
          <w:sz w:val="24"/>
          <w:szCs w:val="24"/>
        </w:rPr>
      </w:pPr>
      <w:bookmarkStart w:name="三、任职情况" w:id="117"/>
      <w:bookmarkEnd w:id="117"/>
      <w:r>
        <w:rPr/>
      </w:r>
      <w:r>
        <w:rPr>
          <w:rFonts w:ascii="宋体" w:hAnsi="宋体" w:cs="宋体" w:eastAsia="宋体" w:hint="default"/>
          <w:b/>
          <w:bCs/>
          <w:sz w:val="24"/>
          <w:szCs w:val="24"/>
        </w:rPr>
        <w:t>三、任职情况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公司现任董事、监事、高级管理人员专业背景、主要工作经历以及目前在公司的主要职责</w:t>
      </w:r>
    </w:p>
    <w:p>
      <w:pPr>
        <w:spacing w:line="240" w:lineRule="auto" w:before="12"/>
        <w:rPr>
          <w:rFonts w:ascii="宋体" w:hAnsi="宋体" w:cs="宋体" w:eastAsia="宋体" w:hint="default"/>
          <w:sz w:val="17"/>
          <w:szCs w:val="17"/>
        </w:rPr>
      </w:pPr>
    </w:p>
    <w:p>
      <w:pPr>
        <w:spacing w:before="0"/>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、董事</w:t>
      </w:r>
    </w:p>
    <w:p>
      <w:pPr>
        <w:spacing w:line="240" w:lineRule="auto" w:before="9"/>
        <w:rPr>
          <w:rFonts w:ascii="宋体" w:hAnsi="宋体" w:cs="宋体" w:eastAsia="宋体" w:hint="default"/>
          <w:sz w:val="16"/>
          <w:szCs w:val="16"/>
        </w:rPr>
      </w:pPr>
    </w:p>
    <w:p>
      <w:pPr>
        <w:spacing w:line="386" w:lineRule="auto" w:before="0"/>
        <w:ind w:left="112" w:right="1163" w:firstLine="420"/>
        <w:jc w:val="both"/>
        <w:rPr>
          <w:rFonts w:ascii="宋体" w:hAnsi="宋体" w:cs="宋体" w:eastAsia="宋体" w:hint="default"/>
          <w:sz w:val="21"/>
          <w:szCs w:val="21"/>
        </w:rPr>
      </w:pPr>
      <w:r>
        <w:rPr>
          <w:rFonts w:ascii="宋体" w:hAnsi="宋体" w:cs="宋体" w:eastAsia="宋体" w:hint="default"/>
          <w:sz w:val="21"/>
          <w:szCs w:val="21"/>
        </w:rPr>
        <w:t>黄自伟，男，</w:t>
      </w:r>
      <w:r>
        <w:rPr>
          <w:rFonts w:ascii="Times New Roman" w:hAnsi="Times New Roman" w:cs="Times New Roman" w:eastAsia="Times New Roman" w:hint="default"/>
          <w:sz w:val="21"/>
          <w:szCs w:val="21"/>
        </w:rPr>
        <w:t>1946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月出生，中国国籍，硕士，教授级高级工程师。未有任何国家和地区的永久</w:t>
      </w:r>
      <w:r>
        <w:rPr>
          <w:rFonts w:ascii="宋体" w:hAnsi="宋体" w:cs="宋体" w:eastAsia="宋体" w:hint="default"/>
          <w:w w:val="99"/>
          <w:sz w:val="21"/>
          <w:szCs w:val="21"/>
        </w:rPr>
        <w:t> </w:t>
      </w:r>
      <w:r>
        <w:rPr>
          <w:rFonts w:ascii="宋体" w:hAnsi="宋体" w:cs="宋体" w:eastAsia="宋体" w:hint="default"/>
          <w:sz w:val="21"/>
          <w:szCs w:val="21"/>
        </w:rPr>
        <w:t>境外居留权。</w:t>
      </w:r>
      <w:r>
        <w:rPr>
          <w:rFonts w:ascii="Times New Roman" w:hAnsi="Times New Roman" w:cs="Times New Roman" w:eastAsia="Times New Roman" w:hint="default"/>
          <w:sz w:val="21"/>
          <w:szCs w:val="21"/>
        </w:rPr>
        <w:t>1982 </w:t>
      </w:r>
      <w:r>
        <w:rPr>
          <w:rFonts w:ascii="宋体" w:hAnsi="宋体" w:cs="宋体" w:eastAsia="宋体" w:hint="default"/>
          <w:sz w:val="21"/>
          <w:szCs w:val="21"/>
        </w:rPr>
        <w:t>年毕业于同济大学，</w:t>
      </w:r>
      <w:r>
        <w:rPr>
          <w:rFonts w:ascii="Times New Roman" w:hAnsi="Times New Roman" w:cs="Times New Roman" w:eastAsia="Times New Roman" w:hint="default"/>
          <w:sz w:val="21"/>
          <w:szCs w:val="21"/>
        </w:rPr>
        <w:t>1982 </w:t>
      </w:r>
      <w:r>
        <w:rPr>
          <w:rFonts w:ascii="宋体" w:hAnsi="宋体" w:cs="宋体" w:eastAsia="宋体" w:hint="default"/>
          <w:sz w:val="21"/>
          <w:szCs w:val="21"/>
        </w:rPr>
        <w:t>年在山东矿业学院矿压研究所任助教，</w:t>
      </w:r>
      <w:r>
        <w:rPr>
          <w:rFonts w:ascii="Times New Roman" w:hAnsi="Times New Roman" w:cs="Times New Roman" w:eastAsia="Times New Roman" w:hint="default"/>
          <w:sz w:val="21"/>
          <w:szCs w:val="21"/>
        </w:rPr>
        <w:t>1987</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年起历任山东矿</w:t>
      </w:r>
      <w:r>
        <w:rPr>
          <w:rFonts w:ascii="宋体" w:hAnsi="宋体" w:cs="宋体" w:eastAsia="宋体" w:hint="default"/>
          <w:w w:val="99"/>
          <w:sz w:val="21"/>
          <w:szCs w:val="21"/>
        </w:rPr>
        <w:t> </w:t>
      </w:r>
      <w:r>
        <w:rPr>
          <w:rFonts w:ascii="宋体" w:hAnsi="宋体" w:cs="宋体" w:eastAsia="宋体" w:hint="default"/>
          <w:sz w:val="21"/>
          <w:szCs w:val="21"/>
        </w:rPr>
        <w:t>业学院矿压研究所工程师兼副所长、山东矿业学院智能研究所所长兼高级工程师，</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年起至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月任尤洛卡总经理。</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月起至今任尤洛卡董事、董事长，</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月起任尤洛卡公司总经理。</w:t>
      </w:r>
    </w:p>
    <w:p>
      <w:pPr>
        <w:spacing w:line="386" w:lineRule="auto" w:before="74"/>
        <w:ind w:left="112" w:right="1127" w:firstLine="420"/>
        <w:jc w:val="left"/>
        <w:rPr>
          <w:rFonts w:ascii="宋体" w:hAnsi="宋体" w:cs="宋体" w:eastAsia="宋体" w:hint="default"/>
          <w:sz w:val="21"/>
          <w:szCs w:val="21"/>
        </w:rPr>
      </w:pPr>
      <w:r>
        <w:rPr>
          <w:rFonts w:ascii="宋体" w:hAnsi="宋体" w:cs="宋体" w:eastAsia="宋体" w:hint="default"/>
          <w:sz w:val="21"/>
          <w:szCs w:val="21"/>
        </w:rPr>
        <w:t>王晶华，女，</w:t>
      </w:r>
      <w:r>
        <w:rPr>
          <w:rFonts w:ascii="Times New Roman" w:hAnsi="Times New Roman" w:cs="Times New Roman" w:eastAsia="Times New Roman" w:hint="default"/>
          <w:sz w:val="21"/>
          <w:szCs w:val="21"/>
        </w:rPr>
        <w:t>1948</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月出生，中国国籍，大专，会计师职称。未有任何国家和地区的永久境外居留</w:t>
      </w:r>
      <w:r>
        <w:rPr>
          <w:rFonts w:ascii="宋体" w:hAnsi="宋体" w:cs="宋体" w:eastAsia="宋体" w:hint="default"/>
          <w:w w:val="99"/>
          <w:sz w:val="21"/>
          <w:szCs w:val="21"/>
        </w:rPr>
        <w:t> </w:t>
      </w:r>
      <w:r>
        <w:rPr>
          <w:rFonts w:ascii="宋体" w:hAnsi="宋体" w:cs="宋体" w:eastAsia="宋体" w:hint="default"/>
          <w:sz w:val="21"/>
          <w:szCs w:val="21"/>
        </w:rPr>
        <w:t>权。</w:t>
      </w:r>
      <w:r>
        <w:rPr>
          <w:rFonts w:ascii="Times New Roman" w:hAnsi="Times New Roman" w:cs="Times New Roman" w:eastAsia="Times New Roman" w:hint="default"/>
          <w:sz w:val="21"/>
          <w:szCs w:val="21"/>
        </w:rPr>
        <w:t>1987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年毕业于山东经济学院。</w:t>
      </w:r>
      <w:r>
        <w:rPr>
          <w:rFonts w:ascii="Times New Roman" w:hAnsi="Times New Roman" w:cs="Times New Roman" w:eastAsia="Times New Roman" w:hint="default"/>
          <w:sz w:val="21"/>
          <w:szCs w:val="21"/>
        </w:rPr>
        <w:t>1984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月起任山东矿业学院财务处会计、山东矿业科技开发公司财</w:t>
      </w:r>
      <w:r>
        <w:rPr>
          <w:rFonts w:ascii="宋体" w:hAnsi="宋体" w:cs="宋体" w:eastAsia="宋体" w:hint="default"/>
          <w:w w:val="99"/>
          <w:sz w:val="21"/>
          <w:szCs w:val="21"/>
        </w:rPr>
        <w:t> </w:t>
      </w:r>
      <w:r>
        <w:rPr>
          <w:rFonts w:ascii="宋体" w:hAnsi="宋体" w:cs="宋体" w:eastAsia="宋体" w:hint="default"/>
          <w:sz w:val="21"/>
          <w:szCs w:val="21"/>
        </w:rPr>
        <w:t>务科长。</w:t>
      </w:r>
      <w:r>
        <w:rPr>
          <w:rFonts w:ascii="Times New Roman" w:hAnsi="Times New Roman" w:cs="Times New Roman" w:eastAsia="Times New Roman" w:hint="default"/>
          <w:sz w:val="21"/>
          <w:szCs w:val="21"/>
        </w:rPr>
        <w:t>1994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月起任泰安市煤矿供应中心经理。</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月起在泰安尤洛卡有限公司工作，任执行</w:t>
      </w:r>
      <w:r>
        <w:rPr>
          <w:rFonts w:ascii="宋体" w:hAnsi="宋体" w:cs="宋体" w:eastAsia="宋体" w:hint="default"/>
          <w:w w:val="99"/>
          <w:sz w:val="21"/>
          <w:szCs w:val="21"/>
        </w:rPr>
        <w:t> </w:t>
      </w:r>
      <w:r>
        <w:rPr>
          <w:rFonts w:ascii="宋体" w:hAnsi="宋体" w:cs="宋体" w:eastAsia="宋体" w:hint="default"/>
          <w:sz w:val="21"/>
          <w:szCs w:val="21"/>
        </w:rPr>
        <w:t>董事，</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月起历任尤洛卡公司董事、副总经理、董事会秘书；</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月起至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月任尤洛</w:t>
      </w:r>
      <w:r>
        <w:rPr>
          <w:rFonts w:ascii="宋体" w:hAnsi="宋体" w:cs="宋体" w:eastAsia="宋体" w:hint="default"/>
          <w:w w:val="99"/>
          <w:sz w:val="21"/>
          <w:szCs w:val="21"/>
        </w:rPr>
        <w:t> </w:t>
      </w:r>
      <w:r>
        <w:rPr>
          <w:rFonts w:ascii="宋体" w:hAnsi="宋体" w:cs="宋体" w:eastAsia="宋体" w:hint="default"/>
          <w:sz w:val="21"/>
          <w:szCs w:val="21"/>
        </w:rPr>
        <w:t>卡公司副总经理；</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月起至今任尤洛卡公司董事。</w:t>
      </w:r>
    </w:p>
    <w:p>
      <w:pPr>
        <w:spacing w:line="386" w:lineRule="auto" w:before="76"/>
        <w:ind w:left="112" w:right="1124" w:firstLine="420"/>
        <w:jc w:val="left"/>
        <w:rPr>
          <w:rFonts w:ascii="宋体" w:hAnsi="宋体" w:cs="宋体" w:eastAsia="宋体" w:hint="default"/>
          <w:sz w:val="21"/>
          <w:szCs w:val="21"/>
        </w:rPr>
      </w:pPr>
      <w:r>
        <w:rPr>
          <w:rFonts w:ascii="宋体" w:hAnsi="宋体" w:cs="宋体" w:eastAsia="宋体" w:hint="default"/>
          <w:sz w:val="21"/>
          <w:szCs w:val="21"/>
        </w:rPr>
        <w:t>黄屹峰先生，</w:t>
      </w:r>
      <w:r>
        <w:rPr>
          <w:rFonts w:ascii="Times New Roman" w:hAnsi="Times New Roman" w:cs="Times New Roman" w:eastAsia="Times New Roman" w:hint="default"/>
          <w:sz w:val="21"/>
          <w:szCs w:val="21"/>
        </w:rPr>
        <w:t>1973</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月出生，中国国籍，硕士研究生学历，山东科技大学在读博士，未有任何国家</w:t>
      </w:r>
      <w:r>
        <w:rPr>
          <w:rFonts w:ascii="宋体" w:hAnsi="宋体" w:cs="宋体" w:eastAsia="宋体" w:hint="default"/>
          <w:w w:val="99"/>
          <w:sz w:val="21"/>
          <w:szCs w:val="21"/>
        </w:rPr>
        <w:t> </w:t>
      </w:r>
      <w:r>
        <w:rPr>
          <w:rFonts w:ascii="宋体" w:hAnsi="宋体" w:cs="宋体" w:eastAsia="宋体" w:hint="default"/>
          <w:sz w:val="21"/>
          <w:szCs w:val="21"/>
        </w:rPr>
        <w:t>和地区的永久境外居留权。</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年毕业于长江商学院</w:t>
      </w:r>
      <w:r>
        <w:rPr>
          <w:rFonts w:ascii="宋体" w:hAnsi="宋体" w:cs="宋体" w:eastAsia="宋体" w:hint="default"/>
          <w:spacing w:val="-56"/>
          <w:sz w:val="21"/>
          <w:szCs w:val="21"/>
        </w:rPr>
        <w:t> </w:t>
      </w:r>
      <w:r>
        <w:rPr>
          <w:rFonts w:ascii="Times New Roman" w:hAnsi="Times New Roman" w:cs="Times New Roman" w:eastAsia="Times New Roman" w:hint="default"/>
          <w:spacing w:val="-3"/>
          <w:sz w:val="21"/>
          <w:szCs w:val="21"/>
        </w:rPr>
        <w:t>EMBA</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月起至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月担任尤洛卡公</w:t>
      </w:r>
    </w:p>
    <w:p>
      <w:pPr>
        <w:spacing w:after="0" w:line="386" w:lineRule="auto"/>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before="34"/>
        <w:ind w:left="112" w:right="987" w:firstLine="0"/>
        <w:jc w:val="left"/>
        <w:rPr>
          <w:rFonts w:ascii="宋体" w:hAnsi="宋体" w:cs="宋体" w:eastAsia="宋体" w:hint="default"/>
          <w:sz w:val="21"/>
          <w:szCs w:val="21"/>
        </w:rPr>
      </w:pPr>
      <w:r>
        <w:rPr>
          <w:rFonts w:ascii="宋体" w:hAnsi="宋体" w:cs="宋体" w:eastAsia="宋体" w:hint="default"/>
          <w:sz w:val="21"/>
          <w:szCs w:val="21"/>
        </w:rPr>
        <w:t>司副总经理；</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月起担任尤洛卡公司董事。</w:t>
      </w:r>
    </w:p>
    <w:p>
      <w:pPr>
        <w:spacing w:line="240" w:lineRule="auto" w:before="9"/>
        <w:rPr>
          <w:rFonts w:ascii="宋体" w:hAnsi="宋体" w:cs="宋体" w:eastAsia="宋体" w:hint="default"/>
          <w:sz w:val="16"/>
          <w:szCs w:val="16"/>
        </w:rPr>
      </w:pPr>
    </w:p>
    <w:p>
      <w:pPr>
        <w:spacing w:line="386" w:lineRule="auto" w:before="0"/>
        <w:ind w:left="112" w:right="1131" w:firstLine="420"/>
        <w:jc w:val="both"/>
        <w:rPr>
          <w:rFonts w:ascii="宋体" w:hAnsi="宋体" w:cs="宋体" w:eastAsia="宋体" w:hint="default"/>
          <w:sz w:val="21"/>
          <w:szCs w:val="21"/>
        </w:rPr>
      </w:pPr>
      <w:r>
        <w:rPr>
          <w:rFonts w:ascii="宋体" w:hAnsi="宋体" w:cs="宋体" w:eastAsia="宋体" w:hint="default"/>
          <w:sz w:val="21"/>
          <w:szCs w:val="21"/>
        </w:rPr>
        <w:t>李巍屹先生，</w:t>
      </w:r>
      <w:r>
        <w:rPr>
          <w:rFonts w:ascii="Times New Roman" w:hAnsi="Times New Roman" w:cs="Times New Roman" w:eastAsia="Times New Roman" w:hint="default"/>
          <w:sz w:val="21"/>
          <w:szCs w:val="21"/>
        </w:rPr>
        <w:t>1969</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月出生，中国国籍，大学学历。未有任何国家和地区的永久境外居留权。</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月担任长春师凯科技产业有限责任公司副总经理，</w:t>
      </w:r>
      <w:r>
        <w:rPr>
          <w:rFonts w:ascii="Times New Roman" w:hAnsi="Times New Roman" w:cs="Times New Roman" w:eastAsia="Times New Roman" w:hint="default"/>
          <w:spacing w:val="-3"/>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月至今担任长春师凯科技</w:t>
      </w:r>
    </w:p>
    <w:p>
      <w:pPr>
        <w:spacing w:before="35"/>
        <w:ind w:left="112" w:right="987"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产业有限责任公司总经理。同时</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月至今担任吉林省吉商智龙文化交流有限公司执行董事，</w:t>
      </w:r>
      <w:r>
        <w:rPr>
          <w:rFonts w:ascii="Times New Roman" w:hAnsi="Times New Roman" w:cs="Times New Roman" w:eastAsia="Times New Roman" w:hint="default"/>
          <w:sz w:val="21"/>
          <w:szCs w:val="21"/>
        </w:rPr>
        <w:t>2015</w:t>
      </w:r>
    </w:p>
    <w:p>
      <w:pPr>
        <w:spacing w:line="386" w:lineRule="auto" w:before="177"/>
        <w:ind w:left="112" w:right="1215"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月至今担任吉林省玖壹咖啡餐饮管理有限公司、吉林省玖壹创业投资管理有限公司监事，</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月至今担任吉林省浦生泰生物技术有限责任公司董事。</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月起担任尤洛卡公司董事，</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w w:val="99"/>
          <w:sz w:val="21"/>
          <w:szCs w:val="21"/>
        </w:rPr>
        <w:t> </w:t>
      </w:r>
      <w:r>
        <w:rPr>
          <w:rFonts w:ascii="宋体" w:hAnsi="宋体" w:cs="宋体" w:eastAsia="宋体" w:hint="default"/>
          <w:sz w:val="21"/>
          <w:szCs w:val="21"/>
        </w:rPr>
        <w:t>起任尤洛卡公司副总经理。</w:t>
      </w:r>
    </w:p>
    <w:p>
      <w:pPr>
        <w:spacing w:line="386" w:lineRule="auto" w:before="106"/>
        <w:ind w:left="112" w:right="1131" w:firstLine="420"/>
        <w:jc w:val="both"/>
        <w:rPr>
          <w:rFonts w:ascii="宋体" w:hAnsi="宋体" w:cs="宋体" w:eastAsia="宋体" w:hint="default"/>
          <w:sz w:val="21"/>
          <w:szCs w:val="21"/>
        </w:rPr>
      </w:pPr>
      <w:r>
        <w:rPr>
          <w:rFonts w:ascii="宋体" w:hAnsi="宋体" w:cs="宋体" w:eastAsia="宋体" w:hint="default"/>
          <w:sz w:val="21"/>
          <w:szCs w:val="21"/>
        </w:rPr>
        <w:t>李巍岩，男，</w:t>
      </w:r>
      <w:r>
        <w:rPr>
          <w:rFonts w:ascii="Times New Roman" w:hAnsi="Times New Roman" w:cs="Times New Roman" w:eastAsia="Times New Roman" w:hint="default"/>
          <w:sz w:val="21"/>
          <w:szCs w:val="21"/>
        </w:rPr>
        <w:t>1967</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月出生，中国国籍，大学学历，未有任何国家和地区的永久境外居留权。</w:t>
      </w:r>
      <w:r>
        <w:rPr>
          <w:rFonts w:ascii="Times New Roman" w:hAnsi="Times New Roman" w:cs="Times New Roman" w:eastAsia="Times New Roman" w:hint="default"/>
          <w:sz w:val="21"/>
          <w:szCs w:val="21"/>
        </w:rPr>
        <w:t>1997</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月至今任长春师凯科技产业有限责任公司副总经理，</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月至今任吉林省浦生泰生物技术有限</w:t>
      </w:r>
      <w:r>
        <w:rPr>
          <w:rFonts w:ascii="宋体" w:hAnsi="宋体" w:cs="宋体" w:eastAsia="宋体" w:hint="default"/>
          <w:w w:val="99"/>
          <w:sz w:val="21"/>
          <w:szCs w:val="21"/>
        </w:rPr>
        <w:t> </w:t>
      </w:r>
      <w:r>
        <w:rPr>
          <w:rFonts w:ascii="宋体" w:hAnsi="宋体" w:cs="宋体" w:eastAsia="宋体" w:hint="default"/>
          <w:sz w:val="21"/>
          <w:szCs w:val="21"/>
        </w:rPr>
        <w:t>责任公司董事。</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月起担任尤洛卡公司董事。</w:t>
      </w:r>
    </w:p>
    <w:p>
      <w:pPr>
        <w:spacing w:line="386" w:lineRule="auto" w:before="74"/>
        <w:ind w:left="112" w:right="1131" w:firstLine="420"/>
        <w:jc w:val="both"/>
        <w:rPr>
          <w:rFonts w:ascii="Times New Roman" w:hAnsi="Times New Roman" w:cs="Times New Roman" w:eastAsia="Times New Roman" w:hint="default"/>
          <w:sz w:val="21"/>
          <w:szCs w:val="21"/>
        </w:rPr>
      </w:pPr>
      <w:r>
        <w:rPr>
          <w:rFonts w:ascii="宋体" w:hAnsi="宋体" w:cs="宋体" w:eastAsia="宋体" w:hint="default"/>
          <w:w w:val="99"/>
          <w:sz w:val="21"/>
          <w:szCs w:val="21"/>
        </w:rPr>
        <w:t>赵志刚，男，</w:t>
      </w:r>
      <w:r>
        <w:rPr>
          <w:rFonts w:ascii="Times New Roman" w:hAnsi="Times New Roman" w:cs="Times New Roman" w:eastAsia="Times New Roman" w:hint="default"/>
          <w:w w:val="99"/>
          <w:sz w:val="21"/>
          <w:szCs w:val="21"/>
        </w:rPr>
        <w:t>1971</w:t>
      </w:r>
      <w:r>
        <w:rPr>
          <w:rFonts w:ascii="Times New Roman" w:hAnsi="Times New Roman" w:cs="Times New Roman" w:eastAsia="Times New Roman" w:hint="default"/>
          <w:spacing w:val="11"/>
          <w:w w:val="99"/>
          <w:sz w:val="21"/>
          <w:szCs w:val="21"/>
        </w:rPr>
        <w:t> </w:t>
      </w:r>
      <w:r>
        <w:rPr>
          <w:rFonts w:ascii="宋体" w:hAnsi="宋体" w:cs="宋体" w:eastAsia="宋体" w:hint="default"/>
          <w:spacing w:val="-3"/>
          <w:w w:val="99"/>
          <w:sz w:val="21"/>
          <w:szCs w:val="21"/>
        </w:rPr>
        <w:t>年出生，中国国籍，中专学历（财务会计专业），未有任何国家和地区的永久境外</w:t>
      </w:r>
      <w:r>
        <w:rPr>
          <w:rFonts w:ascii="宋体" w:hAnsi="宋体" w:cs="宋体" w:eastAsia="宋体" w:hint="default"/>
          <w:w w:val="99"/>
          <w:sz w:val="21"/>
          <w:szCs w:val="21"/>
        </w:rPr>
        <w:t> </w:t>
      </w:r>
      <w:r>
        <w:rPr>
          <w:rFonts w:ascii="宋体" w:hAnsi="宋体" w:cs="宋体" w:eastAsia="宋体" w:hint="default"/>
          <w:sz w:val="21"/>
          <w:szCs w:val="21"/>
        </w:rPr>
        <w:t>居留权。</w:t>
      </w:r>
      <w:r>
        <w:rPr>
          <w:rFonts w:ascii="Times New Roman" w:hAnsi="Times New Roman" w:cs="Times New Roman" w:eastAsia="Times New Roman" w:hint="default"/>
          <w:sz w:val="21"/>
          <w:szCs w:val="21"/>
        </w:rPr>
        <w:t>1991 </w:t>
      </w:r>
      <w:r>
        <w:rPr>
          <w:rFonts w:ascii="宋体" w:hAnsi="宋体" w:cs="宋体" w:eastAsia="宋体" w:hint="default"/>
          <w:sz w:val="21"/>
          <w:szCs w:val="21"/>
        </w:rPr>
        <w:t>年起任泰安华侨大厦职员，</w:t>
      </w:r>
      <w:r>
        <w:rPr>
          <w:rFonts w:ascii="Times New Roman" w:hAnsi="Times New Roman" w:cs="Times New Roman" w:eastAsia="Times New Roman" w:hint="default"/>
          <w:sz w:val="21"/>
          <w:szCs w:val="21"/>
        </w:rPr>
        <w:t>1994</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年起任泰安市经济委员会（泰安华能煤矿设备供应中心）</w:t>
      </w:r>
      <w:r>
        <w:rPr>
          <w:rFonts w:ascii="宋体" w:hAnsi="宋体" w:cs="宋体" w:eastAsia="宋体" w:hint="default"/>
          <w:w w:val="99"/>
          <w:sz w:val="21"/>
          <w:szCs w:val="21"/>
        </w:rPr>
        <w:t> </w:t>
      </w:r>
      <w:r>
        <w:rPr>
          <w:rFonts w:ascii="宋体" w:hAnsi="宋体" w:cs="宋体" w:eastAsia="宋体" w:hint="default"/>
          <w:sz w:val="21"/>
          <w:szCs w:val="21"/>
        </w:rPr>
        <w:t>职员，</w:t>
      </w:r>
      <w:r>
        <w:rPr>
          <w:rFonts w:ascii="Times New Roman" w:hAnsi="Times New Roman" w:cs="Times New Roman" w:eastAsia="Times New Roman" w:hint="default"/>
          <w:sz w:val="21"/>
          <w:szCs w:val="21"/>
        </w:rPr>
        <w:t>1999 </w:t>
      </w:r>
      <w:r>
        <w:rPr>
          <w:rFonts w:ascii="宋体" w:hAnsi="宋体" w:cs="宋体" w:eastAsia="宋体" w:hint="default"/>
          <w:sz w:val="21"/>
          <w:szCs w:val="21"/>
        </w:rPr>
        <w:t>年起任深圳欣航油漆厂（台资）销售主管，</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年起任上海中卡智能卡有限公司销售经理，</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年起任尤洛卡矿业安全工程股份有限公司采购员、物资供应部部长、总经理助理；</w:t>
      </w:r>
      <w:r>
        <w:rPr>
          <w:rFonts w:ascii="Times New Roman" w:hAnsi="Times New Roman" w:cs="Times New Roman" w:eastAsia="Times New Roman" w:hint="default"/>
          <w:spacing w:val="-5"/>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2015</w:t>
      </w:r>
    </w:p>
    <w:p>
      <w:pPr>
        <w:spacing w:before="35"/>
        <w:ind w:left="112" w:right="987"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月起任尤洛卡公司副总经理，</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月起任尤洛卡公司总经理，</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月起任尤</w:t>
      </w:r>
    </w:p>
    <w:p>
      <w:pPr>
        <w:spacing w:line="386" w:lineRule="auto" w:before="177"/>
        <w:ind w:left="112" w:right="987" w:firstLine="0"/>
        <w:jc w:val="left"/>
        <w:rPr>
          <w:rFonts w:ascii="宋体" w:hAnsi="宋体" w:cs="宋体" w:eastAsia="宋体" w:hint="default"/>
          <w:sz w:val="21"/>
          <w:szCs w:val="21"/>
        </w:rPr>
      </w:pPr>
      <w:r>
        <w:rPr>
          <w:rFonts w:ascii="宋体" w:hAnsi="宋体" w:cs="宋体" w:eastAsia="宋体" w:hint="default"/>
          <w:sz w:val="21"/>
          <w:szCs w:val="21"/>
        </w:rPr>
        <w:t>洛卡公司副总经理，</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月起任尤洛卡公司董事。同时</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月起任尤洛卡（上海）国际贸易有</w:t>
      </w:r>
      <w:r>
        <w:rPr>
          <w:rFonts w:ascii="宋体" w:hAnsi="宋体" w:cs="宋体" w:eastAsia="宋体" w:hint="default"/>
          <w:w w:val="99"/>
          <w:sz w:val="21"/>
          <w:szCs w:val="21"/>
        </w:rPr>
        <w:t> </w:t>
      </w:r>
      <w:r>
        <w:rPr>
          <w:rFonts w:ascii="宋体" w:hAnsi="宋体" w:cs="宋体" w:eastAsia="宋体" w:hint="default"/>
          <w:sz w:val="21"/>
          <w:szCs w:val="21"/>
        </w:rPr>
        <w:t>限公司监事。</w:t>
      </w:r>
    </w:p>
    <w:p>
      <w:pPr>
        <w:spacing w:line="386" w:lineRule="auto" w:before="106"/>
        <w:ind w:left="112" w:right="1131" w:firstLine="420"/>
        <w:jc w:val="both"/>
        <w:rPr>
          <w:rFonts w:ascii="Times New Roman" w:hAnsi="Times New Roman" w:cs="Times New Roman" w:eastAsia="Times New Roman" w:hint="default"/>
          <w:sz w:val="21"/>
          <w:szCs w:val="21"/>
        </w:rPr>
      </w:pPr>
      <w:r>
        <w:rPr>
          <w:rFonts w:ascii="宋体" w:hAnsi="宋体" w:cs="宋体" w:eastAsia="宋体" w:hint="default"/>
          <w:sz w:val="21"/>
          <w:szCs w:val="21"/>
        </w:rPr>
        <w:t>马训波，男，</w:t>
      </w:r>
      <w:r>
        <w:rPr>
          <w:rFonts w:ascii="Times New Roman" w:hAnsi="Times New Roman" w:cs="Times New Roman" w:eastAsia="Times New Roman" w:hint="default"/>
          <w:sz w:val="21"/>
          <w:szCs w:val="21"/>
        </w:rPr>
        <w:t>1968</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月出生，汉族，律师，大专学历，中国国籍，未有任何国家、地区境外永久居</w:t>
      </w:r>
      <w:r>
        <w:rPr>
          <w:rFonts w:ascii="宋体" w:hAnsi="宋体" w:cs="宋体" w:eastAsia="宋体" w:hint="default"/>
          <w:w w:val="99"/>
          <w:sz w:val="21"/>
          <w:szCs w:val="21"/>
        </w:rPr>
        <w:t> </w:t>
      </w:r>
      <w:r>
        <w:rPr>
          <w:rFonts w:ascii="宋体" w:hAnsi="宋体" w:cs="宋体" w:eastAsia="宋体" w:hint="default"/>
          <w:sz w:val="21"/>
          <w:szCs w:val="21"/>
        </w:rPr>
        <w:t>留权。</w:t>
      </w:r>
      <w:r>
        <w:rPr>
          <w:rFonts w:ascii="Times New Roman" w:hAnsi="Times New Roman" w:cs="Times New Roman" w:eastAsia="Times New Roman" w:hint="default"/>
          <w:sz w:val="21"/>
          <w:szCs w:val="21"/>
        </w:rPr>
        <w:t>1988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月毕业于山东煤炭教育学院物理专业，</w:t>
      </w:r>
      <w:r>
        <w:rPr>
          <w:rFonts w:ascii="Times New Roman" w:hAnsi="Times New Roman" w:cs="Times New Roman" w:eastAsia="Times New Roman" w:hint="default"/>
          <w:sz w:val="21"/>
          <w:szCs w:val="21"/>
        </w:rPr>
        <w:t>1995</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月毕业于山东大学法律专业。</w:t>
      </w: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p>
    <w:p>
      <w:pPr>
        <w:spacing w:line="386" w:lineRule="auto" w:before="35"/>
        <w:ind w:left="112" w:right="987" w:firstLine="0"/>
        <w:jc w:val="left"/>
        <w:rPr>
          <w:rFonts w:ascii="宋体" w:hAnsi="宋体" w:cs="宋体" w:eastAsia="宋体" w:hint="default"/>
          <w:sz w:val="21"/>
          <w:szCs w:val="21"/>
        </w:rPr>
      </w:pP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月，任山东华林律师事务所律师、合伙人。</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月任山东纵观律师事务</w:t>
      </w:r>
      <w:r>
        <w:rPr>
          <w:rFonts w:ascii="宋体" w:hAnsi="宋体" w:cs="宋体" w:eastAsia="宋体" w:hint="default"/>
          <w:w w:val="99"/>
          <w:sz w:val="21"/>
          <w:szCs w:val="21"/>
        </w:rPr>
        <w:t> </w:t>
      </w:r>
      <w:r>
        <w:rPr>
          <w:rFonts w:ascii="宋体" w:hAnsi="宋体" w:cs="宋体" w:eastAsia="宋体" w:hint="default"/>
          <w:sz w:val="21"/>
          <w:szCs w:val="21"/>
        </w:rPr>
        <w:t>所副主任、合伙人、执业律师。</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月起任山东成顺律师事务所主任、合伙人，</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月起担任</w:t>
      </w:r>
      <w:r>
        <w:rPr>
          <w:rFonts w:ascii="宋体" w:hAnsi="宋体" w:cs="宋体" w:eastAsia="宋体" w:hint="default"/>
          <w:w w:val="99"/>
          <w:sz w:val="21"/>
          <w:szCs w:val="21"/>
        </w:rPr>
        <w:t> </w:t>
      </w:r>
      <w:r>
        <w:rPr>
          <w:rFonts w:ascii="宋体" w:hAnsi="宋体" w:cs="宋体" w:eastAsia="宋体" w:hint="default"/>
          <w:sz w:val="21"/>
          <w:szCs w:val="21"/>
        </w:rPr>
        <w:t>尤洛卡公司董事。</w:t>
      </w:r>
    </w:p>
    <w:p>
      <w:pPr>
        <w:spacing w:line="386" w:lineRule="auto" w:before="106"/>
        <w:ind w:left="112" w:right="1135" w:firstLine="420"/>
        <w:jc w:val="both"/>
        <w:rPr>
          <w:rFonts w:ascii="宋体" w:hAnsi="宋体" w:cs="宋体" w:eastAsia="宋体" w:hint="default"/>
          <w:sz w:val="21"/>
          <w:szCs w:val="21"/>
        </w:rPr>
      </w:pPr>
      <w:r>
        <w:rPr>
          <w:rFonts w:ascii="宋体" w:hAnsi="宋体" w:cs="宋体" w:eastAsia="宋体" w:hint="default"/>
          <w:sz w:val="21"/>
          <w:szCs w:val="21"/>
        </w:rPr>
        <w:t>江霞，女，</w:t>
      </w:r>
      <w:r>
        <w:rPr>
          <w:rFonts w:ascii="Times New Roman" w:hAnsi="Times New Roman" w:cs="Times New Roman" w:eastAsia="Times New Roman" w:hint="default"/>
          <w:sz w:val="21"/>
          <w:szCs w:val="21"/>
        </w:rPr>
        <w:t>1965</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月出生，中国国籍，本科学历，工程硕士学位，副教授，硕士生导师，证券相关</w:t>
      </w:r>
      <w:r>
        <w:rPr>
          <w:rFonts w:ascii="宋体" w:hAnsi="宋体" w:cs="宋体" w:eastAsia="宋体" w:hint="default"/>
          <w:w w:val="99"/>
          <w:sz w:val="21"/>
          <w:szCs w:val="21"/>
        </w:rPr>
        <w:t> </w:t>
      </w:r>
      <w:r>
        <w:rPr>
          <w:rFonts w:ascii="宋体" w:hAnsi="宋体" w:cs="宋体" w:eastAsia="宋体" w:hint="default"/>
          <w:sz w:val="21"/>
          <w:szCs w:val="21"/>
        </w:rPr>
        <w:t>业务资格注册会计师、注册税务师。未有任何国家和地区的永久境外居留权。</w:t>
      </w:r>
      <w:r>
        <w:rPr>
          <w:rFonts w:ascii="Times New Roman" w:hAnsi="Times New Roman" w:cs="Times New Roman" w:eastAsia="Times New Roman" w:hint="default"/>
          <w:sz w:val="21"/>
          <w:szCs w:val="21"/>
        </w:rPr>
        <w:t>1985</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月任教于山东省财</w:t>
      </w:r>
      <w:r>
        <w:rPr>
          <w:rFonts w:ascii="宋体" w:hAnsi="宋体" w:cs="宋体" w:eastAsia="宋体" w:hint="default"/>
          <w:w w:val="99"/>
          <w:sz w:val="21"/>
          <w:szCs w:val="21"/>
        </w:rPr>
        <w:t> </w:t>
      </w:r>
      <w:r>
        <w:rPr>
          <w:rFonts w:ascii="宋体" w:hAnsi="宋体" w:cs="宋体" w:eastAsia="宋体" w:hint="default"/>
          <w:sz w:val="21"/>
          <w:szCs w:val="21"/>
        </w:rPr>
        <w:t>政学校；</w:t>
      </w: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月至今任教于山东科技大学，从事会计学教学。同时，</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月兼</w:t>
      </w:r>
    </w:p>
    <w:p>
      <w:pPr>
        <w:spacing w:line="386" w:lineRule="auto" w:before="35"/>
        <w:ind w:left="112" w:right="987" w:firstLine="0"/>
        <w:jc w:val="left"/>
        <w:rPr>
          <w:rFonts w:ascii="宋体" w:hAnsi="宋体" w:cs="宋体" w:eastAsia="宋体" w:hint="default"/>
          <w:sz w:val="21"/>
          <w:szCs w:val="21"/>
        </w:rPr>
      </w:pPr>
      <w:r>
        <w:rPr>
          <w:rFonts w:ascii="宋体" w:hAnsi="宋体" w:cs="宋体" w:eastAsia="宋体" w:hint="default"/>
          <w:sz w:val="21"/>
          <w:szCs w:val="21"/>
        </w:rPr>
        <w:t>职山东泰山会计师事务所；</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月担任泰安鲁润股份有限公司独立董事。</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w w:val="99"/>
          <w:sz w:val="21"/>
          <w:szCs w:val="21"/>
        </w:rPr>
        <w:t> </w:t>
      </w:r>
      <w:r>
        <w:rPr>
          <w:rFonts w:ascii="宋体" w:hAnsi="宋体" w:cs="宋体" w:eastAsia="宋体" w:hint="default"/>
          <w:sz w:val="21"/>
          <w:szCs w:val="21"/>
        </w:rPr>
        <w:t>起担任尤洛卡公司董事。</w:t>
      </w:r>
    </w:p>
    <w:p>
      <w:pPr>
        <w:spacing w:line="386" w:lineRule="auto" w:before="103"/>
        <w:ind w:left="112" w:right="1058" w:firstLine="420"/>
        <w:jc w:val="both"/>
        <w:rPr>
          <w:rFonts w:ascii="宋体" w:hAnsi="宋体" w:cs="宋体" w:eastAsia="宋体" w:hint="default"/>
          <w:sz w:val="21"/>
          <w:szCs w:val="21"/>
        </w:rPr>
      </w:pPr>
      <w:r>
        <w:rPr>
          <w:rFonts w:ascii="宋体" w:hAnsi="宋体" w:cs="宋体" w:eastAsia="宋体" w:hint="default"/>
          <w:sz w:val="21"/>
          <w:szCs w:val="21"/>
        </w:rPr>
        <w:t>王同孝，男，</w:t>
      </w:r>
      <w:r>
        <w:rPr>
          <w:rFonts w:ascii="Times New Roman" w:hAnsi="Times New Roman" w:cs="Times New Roman" w:eastAsia="Times New Roman" w:hint="default"/>
          <w:sz w:val="21"/>
          <w:szCs w:val="21"/>
        </w:rPr>
        <w:t>1953</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月出生，中国国籍，研究生学历，教授，博士生导师，未有任何国家和地区的</w:t>
      </w:r>
      <w:r>
        <w:rPr>
          <w:rFonts w:ascii="宋体" w:hAnsi="宋体" w:cs="宋体" w:eastAsia="宋体" w:hint="default"/>
          <w:w w:val="99"/>
          <w:sz w:val="21"/>
          <w:szCs w:val="21"/>
        </w:rPr>
        <w:t> </w:t>
      </w:r>
      <w:r>
        <w:rPr>
          <w:rFonts w:ascii="宋体" w:hAnsi="宋体" w:cs="宋体" w:eastAsia="宋体" w:hint="default"/>
          <w:sz w:val="21"/>
          <w:szCs w:val="21"/>
        </w:rPr>
        <w:t>永久境外居留权。</w:t>
      </w:r>
      <w:r>
        <w:rPr>
          <w:rFonts w:ascii="Times New Roman" w:hAnsi="Times New Roman" w:cs="Times New Roman" w:eastAsia="Times New Roman" w:hint="default"/>
          <w:sz w:val="21"/>
          <w:szCs w:val="21"/>
        </w:rPr>
        <w:t>1976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月起历任山东矿业学院教师、地科系团总支书记、电气工程系党总支副书记、</w:t>
      </w:r>
    </w:p>
    <w:p>
      <w:pPr>
        <w:spacing w:after="0" w:line="386" w:lineRule="auto"/>
        <w:jc w:val="both"/>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before="34"/>
        <w:ind w:left="112" w:right="987" w:firstLine="0"/>
        <w:jc w:val="left"/>
        <w:rPr>
          <w:rFonts w:ascii="宋体" w:hAnsi="宋体" w:cs="宋体" w:eastAsia="宋体" w:hint="default"/>
          <w:sz w:val="21"/>
          <w:szCs w:val="21"/>
        </w:rPr>
      </w:pPr>
      <w:r>
        <w:rPr>
          <w:rFonts w:ascii="宋体" w:hAnsi="宋体" w:cs="宋体" w:eastAsia="宋体" w:hint="default"/>
          <w:sz w:val="21"/>
          <w:szCs w:val="21"/>
        </w:rPr>
        <w:t>院长办公室副主任，</w:t>
      </w:r>
      <w:r>
        <w:rPr>
          <w:rFonts w:ascii="Times New Roman" w:hAnsi="Times New Roman" w:cs="Times New Roman" w:eastAsia="Times New Roman" w:hint="default"/>
          <w:sz w:val="21"/>
          <w:szCs w:val="21"/>
        </w:rPr>
        <w:t>1990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月至</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月起任山东矿业学院科技开发公司、科技产业总公司、产业</w:t>
      </w:r>
    </w:p>
    <w:p>
      <w:pPr>
        <w:spacing w:before="177"/>
        <w:ind w:left="112" w:right="987" w:firstLine="0"/>
        <w:jc w:val="left"/>
        <w:rPr>
          <w:rFonts w:ascii="宋体" w:hAnsi="宋体" w:cs="宋体" w:eastAsia="宋体" w:hint="default"/>
          <w:sz w:val="21"/>
          <w:szCs w:val="21"/>
        </w:rPr>
      </w:pPr>
      <w:r>
        <w:rPr>
          <w:rFonts w:ascii="宋体" w:hAnsi="宋体" w:cs="宋体" w:eastAsia="宋体" w:hint="default"/>
          <w:spacing w:val="-3"/>
          <w:sz w:val="21"/>
          <w:szCs w:val="21"/>
        </w:rPr>
        <w:t>处经理、总经理、处长、书记等职。</w:t>
      </w:r>
      <w:r>
        <w:rPr>
          <w:rFonts w:ascii="Times New Roman" w:hAnsi="Times New Roman" w:cs="Times New Roman" w:eastAsia="Times New Roman" w:hint="default"/>
          <w:spacing w:val="-3"/>
          <w:sz w:val="21"/>
          <w:szCs w:val="21"/>
        </w:rPr>
        <w:t>2000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月任山东科技大学财务处处长、山东科技大</w:t>
      </w:r>
    </w:p>
    <w:p>
      <w:pPr>
        <w:spacing w:line="386" w:lineRule="auto" w:before="177"/>
        <w:ind w:left="112" w:right="987" w:firstLine="0"/>
        <w:jc w:val="left"/>
        <w:rPr>
          <w:rFonts w:ascii="宋体" w:hAnsi="宋体" w:cs="宋体" w:eastAsia="宋体" w:hint="default"/>
          <w:sz w:val="21"/>
          <w:szCs w:val="21"/>
        </w:rPr>
      </w:pPr>
      <w:r>
        <w:rPr>
          <w:rFonts w:ascii="宋体" w:hAnsi="宋体" w:cs="宋体" w:eastAsia="宋体" w:hint="default"/>
          <w:sz w:val="21"/>
          <w:szCs w:val="21"/>
        </w:rPr>
        <w:t>学总会计师。</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月任青岛澳柯玛股份有限公司独立董事，</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w w:val="99"/>
          <w:sz w:val="21"/>
          <w:szCs w:val="21"/>
        </w:rPr>
        <w:t> </w:t>
      </w:r>
      <w:r>
        <w:rPr>
          <w:rFonts w:ascii="宋体" w:hAnsi="宋体" w:cs="宋体" w:eastAsia="宋体" w:hint="default"/>
          <w:spacing w:val="-4"/>
          <w:w w:val="99"/>
          <w:sz w:val="21"/>
          <w:szCs w:val="21"/>
        </w:rPr>
        <w:t>月任尤洛卡矿业安全工程股份有限公司独立董事。</w:t>
      </w:r>
      <w:r>
        <w:rPr>
          <w:rFonts w:ascii="Times New Roman" w:hAnsi="Times New Roman" w:cs="Times New Roman" w:eastAsia="Times New Roman" w:hint="default"/>
          <w:spacing w:val="-4"/>
          <w:w w:val="99"/>
          <w:sz w:val="21"/>
          <w:szCs w:val="21"/>
        </w:rPr>
        <w:t>2016</w:t>
      </w:r>
      <w:r>
        <w:rPr>
          <w:rFonts w:ascii="Times New Roman" w:hAnsi="Times New Roman" w:cs="Times New Roman" w:eastAsia="Times New Roman" w:hint="default"/>
          <w:spacing w:val="-5"/>
          <w:w w:val="99"/>
          <w:sz w:val="21"/>
          <w:szCs w:val="21"/>
        </w:rPr>
        <w:t> </w:t>
      </w:r>
      <w:r>
        <w:rPr>
          <w:rFonts w:ascii="宋体" w:hAnsi="宋体" w:cs="宋体" w:eastAsia="宋体" w:hint="default"/>
          <w:w w:val="99"/>
          <w:sz w:val="21"/>
          <w:szCs w:val="21"/>
        </w:rPr>
        <w:t>年</w:t>
      </w:r>
      <w:r>
        <w:rPr>
          <w:rFonts w:ascii="宋体" w:hAnsi="宋体" w:cs="宋体" w:eastAsia="宋体" w:hint="default"/>
          <w:spacing w:val="-56"/>
          <w:w w:val="99"/>
          <w:sz w:val="21"/>
          <w:szCs w:val="21"/>
        </w:rPr>
        <w:t> </w:t>
      </w:r>
      <w:r>
        <w:rPr>
          <w:rFonts w:ascii="Times New Roman" w:hAnsi="Times New Roman" w:cs="Times New Roman" w:eastAsia="Times New Roman" w:hint="default"/>
          <w:spacing w:val="-1"/>
          <w:w w:val="99"/>
          <w:sz w:val="21"/>
          <w:szCs w:val="21"/>
        </w:rPr>
        <w:t>12</w:t>
      </w:r>
      <w:r>
        <w:rPr>
          <w:rFonts w:ascii="Times New Roman" w:hAnsi="Times New Roman" w:cs="Times New Roman" w:eastAsia="Times New Roman" w:hint="default"/>
          <w:spacing w:val="-2"/>
          <w:w w:val="99"/>
          <w:sz w:val="21"/>
          <w:szCs w:val="21"/>
        </w:rPr>
        <w:t> </w:t>
      </w:r>
      <w:r>
        <w:rPr>
          <w:rFonts w:ascii="宋体" w:hAnsi="宋体" w:cs="宋体" w:eastAsia="宋体" w:hint="default"/>
          <w:spacing w:val="-5"/>
          <w:w w:val="99"/>
          <w:sz w:val="21"/>
          <w:szCs w:val="21"/>
        </w:rPr>
        <w:t>月</w:t>
      </w:r>
      <w:r>
        <w:rPr>
          <w:rFonts w:ascii="Times New Roman" w:hAnsi="Times New Roman" w:cs="Times New Roman" w:eastAsia="Times New Roman" w:hint="default"/>
          <w:spacing w:val="-5"/>
          <w:w w:val="99"/>
          <w:sz w:val="21"/>
          <w:szCs w:val="21"/>
        </w:rPr>
        <w:t>-</w:t>
      </w:r>
      <w:r>
        <w:rPr>
          <w:rFonts w:ascii="宋体" w:hAnsi="宋体" w:cs="宋体" w:eastAsia="宋体" w:hint="default"/>
          <w:spacing w:val="-5"/>
          <w:w w:val="99"/>
          <w:sz w:val="21"/>
          <w:szCs w:val="21"/>
        </w:rPr>
        <w:t>至今任中国教育会计学会副会长职务。</w:t>
      </w:r>
      <w:r>
        <w:rPr>
          <w:rFonts w:ascii="Times New Roman" w:hAnsi="Times New Roman" w:cs="Times New Roman" w:eastAsia="Times New Roman" w:hint="default"/>
          <w:spacing w:val="-5"/>
          <w:w w:val="99"/>
          <w:sz w:val="21"/>
          <w:szCs w:val="21"/>
        </w:rPr>
        <w:t>2017</w:t>
      </w:r>
      <w:r>
        <w:rPr>
          <w:rFonts w:ascii="Times New Roman" w:hAnsi="Times New Roman" w:cs="Times New Roman" w:eastAsia="Times New Roman" w:hint="default"/>
          <w:spacing w:val="-46"/>
          <w:w w:val="99"/>
          <w:sz w:val="21"/>
          <w:szCs w:val="21"/>
        </w:rPr>
        <w:t> </w:t>
      </w:r>
      <w:r>
        <w:rPr>
          <w:rFonts w:ascii="Times New Roman" w:hAnsi="Times New Roman" w:cs="Times New Roman" w:eastAsia="Times New Roman" w:hint="default"/>
          <w:spacing w:val="-46"/>
          <w:w w:val="99"/>
          <w:sz w:val="21"/>
          <w:szCs w:val="21"/>
        </w:rPr>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月起担任尤洛卡公司董事。</w:t>
      </w:r>
    </w:p>
    <w:p>
      <w:pPr>
        <w:spacing w:before="76"/>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、监事</w:t>
      </w:r>
    </w:p>
    <w:p>
      <w:pPr>
        <w:spacing w:line="240" w:lineRule="auto" w:before="9"/>
        <w:rPr>
          <w:rFonts w:ascii="宋体" w:hAnsi="宋体" w:cs="宋体" w:eastAsia="宋体" w:hint="default"/>
          <w:sz w:val="16"/>
          <w:szCs w:val="16"/>
        </w:rPr>
      </w:pPr>
    </w:p>
    <w:p>
      <w:pPr>
        <w:spacing w:line="386" w:lineRule="auto" w:before="0"/>
        <w:ind w:left="112" w:right="1131" w:firstLine="420"/>
        <w:jc w:val="both"/>
        <w:rPr>
          <w:rFonts w:ascii="宋体" w:hAnsi="宋体" w:cs="宋体" w:eastAsia="宋体" w:hint="default"/>
          <w:sz w:val="21"/>
          <w:szCs w:val="21"/>
        </w:rPr>
      </w:pPr>
      <w:r>
        <w:rPr>
          <w:rFonts w:ascii="宋体" w:hAnsi="宋体" w:cs="宋体" w:eastAsia="宋体" w:hint="default"/>
          <w:sz w:val="21"/>
          <w:szCs w:val="21"/>
        </w:rPr>
        <w:t>王道银，男，</w:t>
      </w:r>
      <w:r>
        <w:rPr>
          <w:rFonts w:ascii="Times New Roman" w:hAnsi="Times New Roman" w:cs="Times New Roman" w:eastAsia="Times New Roman" w:hint="default"/>
          <w:sz w:val="21"/>
          <w:szCs w:val="21"/>
        </w:rPr>
        <w:t>1979</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月出生，中国国籍，初中学历，未有任何国家和地区的永久境外居留权。</w:t>
      </w:r>
      <w:r>
        <w:rPr>
          <w:rFonts w:ascii="Times New Roman" w:hAnsi="Times New Roman" w:cs="Times New Roman" w:eastAsia="Times New Roman" w:hint="default"/>
          <w:sz w:val="21"/>
          <w:szCs w:val="21"/>
        </w:rPr>
        <w:t>1994</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—1996 </w:t>
      </w:r>
      <w:r>
        <w:rPr>
          <w:rFonts w:ascii="宋体" w:hAnsi="宋体" w:cs="宋体" w:eastAsia="宋体" w:hint="default"/>
          <w:sz w:val="21"/>
          <w:szCs w:val="21"/>
        </w:rPr>
        <w:t>年 青岛学习室内外装修；</w:t>
      </w:r>
      <w:r>
        <w:rPr>
          <w:rFonts w:ascii="Times New Roman" w:hAnsi="Times New Roman" w:cs="Times New Roman" w:eastAsia="Times New Roman" w:hint="default"/>
          <w:sz w:val="21"/>
          <w:szCs w:val="21"/>
        </w:rPr>
        <w:t>1997 </w:t>
      </w:r>
      <w:r>
        <w:rPr>
          <w:rFonts w:ascii="宋体" w:hAnsi="宋体" w:cs="宋体" w:eastAsia="宋体" w:hint="default"/>
          <w:sz w:val="21"/>
          <w:szCs w:val="21"/>
        </w:rPr>
        <w:t>年</w:t>
      </w:r>
      <w:r>
        <w:rPr>
          <w:rFonts w:ascii="Times New Roman" w:hAnsi="Times New Roman" w:cs="Times New Roman" w:eastAsia="Times New Roman" w:hint="default"/>
          <w:sz w:val="21"/>
          <w:szCs w:val="21"/>
        </w:rPr>
        <w:t>—1998 </w:t>
      </w:r>
      <w:r>
        <w:rPr>
          <w:rFonts w:ascii="宋体" w:hAnsi="宋体" w:cs="宋体" w:eastAsia="宋体" w:hint="default"/>
          <w:sz w:val="21"/>
          <w:szCs w:val="21"/>
        </w:rPr>
        <w:t>年，个体装修公司员工；</w:t>
      </w:r>
      <w:r>
        <w:rPr>
          <w:rFonts w:ascii="Times New Roman" w:hAnsi="Times New Roman" w:cs="Times New Roman" w:eastAsia="Times New Roman" w:hint="default"/>
          <w:sz w:val="21"/>
          <w:szCs w:val="21"/>
        </w:rPr>
        <w:t>1998 </w:t>
      </w:r>
      <w:r>
        <w:rPr>
          <w:rFonts w:ascii="宋体" w:hAnsi="宋体" w:cs="宋体" w:eastAsia="宋体" w:hint="default"/>
          <w:sz w:val="21"/>
          <w:szCs w:val="21"/>
        </w:rPr>
        <w:t>年</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年，个体公司</w:t>
      </w:r>
      <w:r>
        <w:rPr>
          <w:rFonts w:ascii="宋体" w:hAnsi="宋体" w:cs="宋体" w:eastAsia="宋体" w:hint="default"/>
          <w:w w:val="99"/>
          <w:sz w:val="21"/>
          <w:szCs w:val="21"/>
        </w:rPr>
        <w:t> </w:t>
      </w:r>
      <w:r>
        <w:rPr>
          <w:rFonts w:ascii="宋体" w:hAnsi="宋体" w:cs="宋体" w:eastAsia="宋体" w:hint="default"/>
          <w:sz w:val="21"/>
          <w:szCs w:val="21"/>
        </w:rPr>
        <w:t>员工；</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—2002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年，海南省晶桐生物有限公司机修工；</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年，新城冷食厂司机；</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p>
    <w:p>
      <w:pPr>
        <w:spacing w:line="386" w:lineRule="auto" w:before="35"/>
        <w:ind w:left="11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至今，尤洛卡公司供应部副部长，</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月任尤洛卡公司职工代表监事，</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w w:val="99"/>
          <w:sz w:val="21"/>
          <w:szCs w:val="21"/>
        </w:rPr>
        <w:t> </w:t>
      </w:r>
      <w:r>
        <w:rPr>
          <w:rFonts w:ascii="宋体" w:hAnsi="宋体" w:cs="宋体" w:eastAsia="宋体" w:hint="default"/>
          <w:sz w:val="21"/>
          <w:szCs w:val="21"/>
        </w:rPr>
        <w:t>任尤洛卡公司监事会主席。</w:t>
      </w:r>
    </w:p>
    <w:p>
      <w:pPr>
        <w:spacing w:line="386" w:lineRule="auto" w:before="103"/>
        <w:ind w:left="112" w:right="1122" w:firstLine="420"/>
        <w:jc w:val="left"/>
        <w:rPr>
          <w:rFonts w:ascii="宋体" w:hAnsi="宋体" w:cs="宋体" w:eastAsia="宋体" w:hint="default"/>
          <w:sz w:val="21"/>
          <w:szCs w:val="21"/>
        </w:rPr>
      </w:pPr>
      <w:r>
        <w:rPr>
          <w:rFonts w:ascii="宋体" w:hAnsi="宋体" w:cs="宋体" w:eastAsia="宋体" w:hint="default"/>
          <w:sz w:val="21"/>
          <w:szCs w:val="21"/>
        </w:rPr>
        <w:t>孙兆华，女，</w:t>
      </w:r>
      <w:r>
        <w:rPr>
          <w:rFonts w:ascii="Times New Roman" w:hAnsi="Times New Roman" w:cs="Times New Roman" w:eastAsia="Times New Roman" w:hint="default"/>
          <w:sz w:val="21"/>
          <w:szCs w:val="21"/>
        </w:rPr>
        <w:t>1976</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月出生，中国国籍，中专学历，未有任何国家和地区的永久境外居留权。</w:t>
      </w:r>
      <w:r>
        <w:rPr>
          <w:rFonts w:ascii="Times New Roman" w:hAnsi="Times New Roman" w:cs="Times New Roman" w:eastAsia="Times New Roman" w:hint="default"/>
          <w:sz w:val="21"/>
          <w:szCs w:val="21"/>
        </w:rPr>
        <w:t>1996</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月起任山东矿业学院职能工程研究所职工，</w:t>
      </w:r>
      <w:r>
        <w:rPr>
          <w:rFonts w:ascii="Times New Roman" w:hAnsi="Times New Roman" w:cs="Times New Roman" w:eastAsia="Times New Roman" w:hint="default"/>
          <w:sz w:val="21"/>
          <w:szCs w:val="21"/>
        </w:rPr>
        <w:t>1999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年起任尤洛卡公司电子仪表车间主任，</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w w:val="99"/>
          <w:sz w:val="21"/>
          <w:szCs w:val="21"/>
        </w:rPr>
        <w:t> </w:t>
      </w:r>
      <w:r>
        <w:rPr>
          <w:rFonts w:ascii="宋体" w:hAnsi="宋体" w:cs="宋体" w:eastAsia="宋体" w:hint="default"/>
          <w:sz w:val="21"/>
          <w:szCs w:val="21"/>
        </w:rPr>
        <w:t>任尤洛卡公司监事。</w:t>
      </w:r>
    </w:p>
    <w:p>
      <w:pPr>
        <w:spacing w:line="386" w:lineRule="auto" w:before="106"/>
        <w:ind w:left="112" w:right="1216" w:firstLine="420"/>
        <w:jc w:val="both"/>
        <w:rPr>
          <w:rFonts w:ascii="宋体" w:hAnsi="宋体" w:cs="宋体" w:eastAsia="宋体" w:hint="default"/>
          <w:sz w:val="21"/>
          <w:szCs w:val="21"/>
        </w:rPr>
      </w:pPr>
      <w:r>
        <w:rPr>
          <w:rFonts w:ascii="宋体" w:hAnsi="宋体" w:cs="宋体" w:eastAsia="宋体" w:hint="default"/>
          <w:sz w:val="21"/>
          <w:szCs w:val="21"/>
        </w:rPr>
        <w:t>李霞，女，</w:t>
      </w:r>
      <w:r>
        <w:rPr>
          <w:rFonts w:ascii="Times New Roman" w:hAnsi="Times New Roman" w:cs="Times New Roman" w:eastAsia="Times New Roman" w:hint="default"/>
          <w:sz w:val="21"/>
          <w:szCs w:val="21"/>
        </w:rPr>
        <w:t>1987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月出生，大专学历，中国国籍，未有任何国家和地区的永久境外居留权。</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月毕业于济宁学院，</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月起至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月在泰安市岱岳区祝阳二中执教，</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月起至</w:t>
      </w:r>
      <w:r>
        <w:rPr>
          <w:rFonts w:ascii="宋体" w:hAnsi="宋体" w:cs="宋体" w:eastAsia="宋体" w:hint="default"/>
          <w:w w:val="99"/>
          <w:sz w:val="21"/>
          <w:szCs w:val="21"/>
        </w:rPr>
        <w:t> </w:t>
      </w:r>
      <w:r>
        <w:rPr>
          <w:rFonts w:ascii="宋体" w:hAnsi="宋体" w:cs="宋体" w:eastAsia="宋体" w:hint="default"/>
          <w:sz w:val="21"/>
          <w:szCs w:val="21"/>
        </w:rPr>
        <w:t>今为尤洛卡精准信息工程股份有限公司员工、内审部职员，</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月任尤洛卡公司职工代表监事。</w:t>
      </w:r>
    </w:p>
    <w:p>
      <w:pPr>
        <w:spacing w:line="420" w:lineRule="auto" w:before="76"/>
        <w:ind w:left="532" w:right="615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、高级管理人员</w:t>
      </w:r>
      <w:r>
        <w:rPr>
          <w:rFonts w:ascii="宋体" w:hAnsi="宋体" w:cs="宋体" w:eastAsia="宋体" w:hint="default"/>
          <w:w w:val="99"/>
          <w:sz w:val="21"/>
          <w:szCs w:val="21"/>
        </w:rPr>
        <w:t> </w:t>
      </w:r>
      <w:r>
        <w:rPr>
          <w:rFonts w:ascii="宋体" w:hAnsi="宋体" w:cs="宋体" w:eastAsia="宋体" w:hint="default"/>
          <w:sz w:val="21"/>
          <w:szCs w:val="21"/>
        </w:rPr>
        <w:t>黄自伟，总经理，参见本节</w:t>
      </w:r>
      <w:r>
        <w:rPr>
          <w:rFonts w:ascii="Times New Roman" w:hAnsi="Times New Roman" w:cs="Times New Roman" w:eastAsia="Times New Roman" w:hint="default"/>
          <w:sz w:val="21"/>
          <w:szCs w:val="21"/>
        </w:rPr>
        <w:t>“</w:t>
      </w:r>
      <w:r>
        <w:rPr>
          <w:rFonts w:ascii="宋体" w:hAnsi="宋体" w:cs="宋体" w:eastAsia="宋体" w:hint="default"/>
          <w:sz w:val="21"/>
          <w:szCs w:val="21"/>
        </w:rPr>
        <w:t>董事会成员</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李巍屹，副总经理，参见本节</w:t>
      </w:r>
      <w:r>
        <w:rPr>
          <w:rFonts w:ascii="Times New Roman" w:hAnsi="Times New Roman" w:cs="Times New Roman" w:eastAsia="Times New Roman" w:hint="default"/>
          <w:sz w:val="21"/>
          <w:szCs w:val="21"/>
        </w:rPr>
        <w:t>“</w:t>
      </w:r>
      <w:r>
        <w:rPr>
          <w:rFonts w:ascii="宋体" w:hAnsi="宋体" w:cs="宋体" w:eastAsia="宋体" w:hint="default"/>
          <w:sz w:val="21"/>
          <w:szCs w:val="21"/>
        </w:rPr>
        <w:t>董事会成员</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宋体" w:hAnsi="宋体" w:cs="宋体" w:eastAsia="宋体" w:hint="default"/>
          <w:w w:val="99"/>
          <w:sz w:val="21"/>
          <w:szCs w:val="21"/>
        </w:rPr>
        <w:t> </w:t>
      </w:r>
      <w:r>
        <w:rPr>
          <w:rFonts w:ascii="宋体" w:hAnsi="宋体" w:cs="宋体" w:eastAsia="宋体" w:hint="default"/>
          <w:sz w:val="21"/>
          <w:szCs w:val="21"/>
        </w:rPr>
        <w:t>赵志刚，副总经理，参见本节</w:t>
      </w:r>
      <w:r>
        <w:rPr>
          <w:rFonts w:ascii="Times New Roman" w:hAnsi="Times New Roman" w:cs="Times New Roman" w:eastAsia="Times New Roman" w:hint="default"/>
          <w:sz w:val="21"/>
          <w:szCs w:val="21"/>
        </w:rPr>
        <w:t>“</w:t>
      </w:r>
      <w:r>
        <w:rPr>
          <w:rFonts w:ascii="宋体" w:hAnsi="宋体" w:cs="宋体" w:eastAsia="宋体" w:hint="default"/>
          <w:sz w:val="21"/>
          <w:szCs w:val="21"/>
        </w:rPr>
        <w:t>董事会成员</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386" w:lineRule="auto" w:before="41"/>
        <w:ind w:left="112" w:right="1131" w:firstLine="420"/>
        <w:jc w:val="both"/>
        <w:rPr>
          <w:rFonts w:ascii="宋体" w:hAnsi="宋体" w:cs="宋体" w:eastAsia="宋体" w:hint="default"/>
          <w:sz w:val="21"/>
          <w:szCs w:val="21"/>
        </w:rPr>
      </w:pPr>
      <w:r>
        <w:rPr>
          <w:rFonts w:ascii="宋体" w:hAnsi="宋体" w:cs="宋体" w:eastAsia="宋体" w:hint="default"/>
          <w:w w:val="95"/>
          <w:sz w:val="21"/>
          <w:szCs w:val="21"/>
        </w:rPr>
        <w:t>曹洪伟，中国国籍，研究生文化，高级经济师。未有任何国家和地区的永久境外居留权。</w:t>
      </w:r>
      <w:r>
        <w:rPr>
          <w:rFonts w:ascii="Times New Roman" w:hAnsi="Times New Roman" w:cs="Times New Roman" w:eastAsia="Times New Roman" w:hint="default"/>
          <w:w w:val="95"/>
          <w:sz w:val="21"/>
          <w:szCs w:val="21"/>
        </w:rPr>
        <w:t>2001</w:t>
      </w:r>
      <w:r>
        <w:rPr>
          <w:rFonts w:ascii="Times New Roman" w:hAnsi="Times New Roman" w:cs="Times New Roman" w:eastAsia="Times New Roman" w:hint="default"/>
          <w:spacing w:val="39"/>
          <w:w w:val="95"/>
          <w:sz w:val="21"/>
          <w:szCs w:val="21"/>
        </w:rPr>
        <w:t> </w:t>
      </w:r>
      <w:r>
        <w:rPr>
          <w:rFonts w:ascii="宋体" w:hAnsi="宋体" w:cs="宋体" w:eastAsia="宋体" w:hint="default"/>
          <w:w w:val="95"/>
          <w:sz w:val="21"/>
          <w:szCs w:val="21"/>
        </w:rPr>
        <w:t>年毕业</w:t>
      </w:r>
      <w:r>
        <w:rPr>
          <w:rFonts w:ascii="宋体" w:hAnsi="宋体" w:cs="宋体" w:eastAsia="宋体" w:hint="default"/>
          <w:w w:val="99"/>
          <w:sz w:val="21"/>
          <w:szCs w:val="21"/>
        </w:rPr>
        <w:t> </w:t>
      </w:r>
      <w:r>
        <w:rPr>
          <w:rFonts w:ascii="宋体" w:hAnsi="宋体" w:cs="宋体" w:eastAsia="宋体" w:hint="default"/>
          <w:sz w:val="21"/>
          <w:szCs w:val="21"/>
        </w:rPr>
        <w:t>于河南大学政治经济学专业在职研究生。</w:t>
      </w:r>
      <w:r>
        <w:rPr>
          <w:rFonts w:ascii="Times New Roman" w:hAnsi="Times New Roman" w:cs="Times New Roman" w:eastAsia="Times New Roman" w:hint="default"/>
          <w:sz w:val="21"/>
          <w:szCs w:val="21"/>
        </w:rPr>
        <w:t>1990</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年至</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年任泰安市中小企业局外经贸业务科长，</w:t>
      </w:r>
      <w:r>
        <w:rPr>
          <w:rFonts w:ascii="Times New Roman" w:hAnsi="Times New Roman" w:cs="Times New Roman" w:eastAsia="Times New Roman" w:hint="default"/>
          <w:sz w:val="21"/>
          <w:szCs w:val="21"/>
        </w:rPr>
        <w:t>1993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w w:val="99"/>
          <w:sz w:val="21"/>
          <w:szCs w:val="21"/>
        </w:rPr>
        <w:t> </w:t>
      </w:r>
      <w:r>
        <w:rPr>
          <w:rFonts w:ascii="宋体" w:hAnsi="宋体" w:cs="宋体" w:eastAsia="宋体" w:hint="default"/>
          <w:sz w:val="21"/>
          <w:szCs w:val="21"/>
        </w:rPr>
        <w:t>至</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年任中国石化山东泰山石油股份有限公司证券投资策划科长，</w:t>
      </w:r>
      <w:r>
        <w:rPr>
          <w:rFonts w:ascii="Times New Roman" w:hAnsi="Times New Roman" w:cs="Times New Roman" w:eastAsia="Times New Roman" w:hint="default"/>
          <w:sz w:val="21"/>
          <w:szCs w:val="21"/>
        </w:rPr>
        <w:t>1996</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年至</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年任泰安鲁润股份有</w:t>
      </w:r>
      <w:r>
        <w:rPr>
          <w:rFonts w:ascii="宋体" w:hAnsi="宋体" w:cs="宋体" w:eastAsia="宋体" w:hint="default"/>
          <w:w w:val="99"/>
          <w:sz w:val="21"/>
          <w:szCs w:val="21"/>
        </w:rPr>
        <w:t> </w:t>
      </w:r>
      <w:r>
        <w:rPr>
          <w:rFonts w:ascii="宋体" w:hAnsi="宋体" w:cs="宋体" w:eastAsia="宋体" w:hint="default"/>
          <w:sz w:val="21"/>
          <w:szCs w:val="21"/>
        </w:rPr>
        <w:t>限公司董办主任、企发部部长、副总经理，</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年任山东兴盛矿业股份有限公司常务副总、董</w:t>
      </w:r>
      <w:r>
        <w:rPr>
          <w:rFonts w:ascii="宋体" w:hAnsi="宋体" w:cs="宋体" w:eastAsia="宋体" w:hint="default"/>
          <w:w w:val="99"/>
          <w:sz w:val="21"/>
          <w:szCs w:val="21"/>
        </w:rPr>
        <w:t> </w:t>
      </w:r>
      <w:r>
        <w:rPr>
          <w:rFonts w:ascii="宋体" w:hAnsi="宋体" w:cs="宋体" w:eastAsia="宋体" w:hint="default"/>
          <w:spacing w:val="-3"/>
          <w:sz w:val="21"/>
          <w:szCs w:val="21"/>
        </w:rPr>
        <w:t>事会秘书，</w:t>
      </w:r>
      <w:r>
        <w:rPr>
          <w:rFonts w:ascii="Times New Roman" w:hAnsi="Times New Roman" w:cs="Times New Roman" w:eastAsia="Times New Roman" w:hint="default"/>
          <w:spacing w:val="-3"/>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月至</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月任山东省尤洛卡自动化装备股份有限公司证券事务代表；</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w w:val="99"/>
          <w:sz w:val="21"/>
          <w:szCs w:val="21"/>
        </w:rPr>
        <w:t> </w:t>
      </w:r>
      <w:r>
        <w:rPr>
          <w:rFonts w:ascii="宋体" w:hAnsi="宋体" w:cs="宋体" w:eastAsia="宋体" w:hint="default"/>
          <w:sz w:val="21"/>
          <w:szCs w:val="21"/>
        </w:rPr>
        <w:t>月至今任尤洛卡公司副总经理兼董事会秘书。曹洪伟先生已经取得董事会秘书资格证书。</w:t>
      </w:r>
    </w:p>
    <w:p>
      <w:pPr>
        <w:spacing w:line="386" w:lineRule="auto" w:before="106"/>
        <w:ind w:left="112" w:right="1135" w:firstLine="420"/>
        <w:jc w:val="both"/>
        <w:rPr>
          <w:rFonts w:ascii="宋体" w:hAnsi="宋体" w:cs="宋体" w:eastAsia="宋体" w:hint="default"/>
          <w:sz w:val="21"/>
          <w:szCs w:val="21"/>
        </w:rPr>
      </w:pPr>
      <w:r>
        <w:rPr>
          <w:rFonts w:ascii="宋体" w:hAnsi="宋体" w:cs="宋体" w:eastAsia="宋体" w:hint="default"/>
          <w:sz w:val="21"/>
          <w:szCs w:val="21"/>
        </w:rPr>
        <w:t>崔保航，</w:t>
      </w:r>
      <w:r>
        <w:rPr>
          <w:rFonts w:ascii="Times New Roman" w:hAnsi="Times New Roman" w:cs="Times New Roman" w:eastAsia="Times New Roman" w:hint="default"/>
          <w:sz w:val="21"/>
          <w:szCs w:val="21"/>
        </w:rPr>
        <w:t>1979</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年</w:t>
      </w:r>
      <w:r>
        <w:rPr>
          <w:rFonts w:ascii="宋体" w:hAnsi="宋体" w:cs="宋体" w:eastAsia="宋体" w:hint="default"/>
          <w:spacing w:val="-8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月出生，中国国籍，本科学历，会计师职称。未有任何国家和地区的永久境外居留</w:t>
      </w:r>
      <w:r>
        <w:rPr>
          <w:rFonts w:ascii="宋体" w:hAnsi="宋体" w:cs="宋体" w:eastAsia="宋体" w:hint="default"/>
          <w:w w:val="99"/>
          <w:sz w:val="21"/>
          <w:szCs w:val="21"/>
        </w:rPr>
        <w:t> </w:t>
      </w:r>
      <w:r>
        <w:rPr>
          <w:rFonts w:ascii="宋体" w:hAnsi="宋体" w:cs="宋体" w:eastAsia="宋体" w:hint="default"/>
          <w:spacing w:val="-3"/>
          <w:sz w:val="21"/>
          <w:szCs w:val="21"/>
        </w:rPr>
        <w:t>权。</w:t>
      </w:r>
      <w:r>
        <w:rPr>
          <w:rFonts w:ascii="Times New Roman" w:hAnsi="Times New Roman" w:cs="Times New Roman" w:eastAsia="Times New Roman" w:hint="default"/>
          <w:spacing w:val="-3"/>
          <w:sz w:val="21"/>
          <w:szCs w:val="21"/>
        </w:rPr>
        <w:t>2006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年毕业于山东科技大学。</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月起在尤洛卡公司担任会计。</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月起担任尤洛卡公司</w:t>
      </w:r>
    </w:p>
    <w:p>
      <w:pPr>
        <w:spacing w:after="0" w:line="386" w:lineRule="auto"/>
        <w:jc w:val="both"/>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before="34"/>
        <w:ind w:left="112" w:right="987" w:firstLine="0"/>
        <w:jc w:val="left"/>
        <w:rPr>
          <w:rFonts w:ascii="宋体" w:hAnsi="宋体" w:cs="宋体" w:eastAsia="宋体" w:hint="default"/>
          <w:sz w:val="21"/>
          <w:szCs w:val="21"/>
        </w:rPr>
      </w:pPr>
      <w:r>
        <w:rPr>
          <w:rFonts w:ascii="宋体" w:hAnsi="宋体" w:cs="宋体" w:eastAsia="宋体" w:hint="default"/>
          <w:sz w:val="21"/>
          <w:szCs w:val="21"/>
        </w:rPr>
        <w:t>财务部副部长，</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月起担任尤洛卡公司财务负责人。</w:t>
      </w:r>
    </w:p>
    <w:p>
      <w:pPr>
        <w:spacing w:line="240" w:lineRule="auto" w:before="9"/>
        <w:rPr>
          <w:rFonts w:ascii="宋体" w:hAnsi="宋体" w:cs="宋体" w:eastAsia="宋体" w:hint="default"/>
          <w:sz w:val="16"/>
          <w:szCs w:val="16"/>
        </w:rPr>
      </w:pPr>
    </w:p>
    <w:p>
      <w:pPr>
        <w:spacing w:line="386" w:lineRule="auto" w:before="0"/>
        <w:ind w:left="112" w:right="1134" w:firstLine="420"/>
        <w:jc w:val="left"/>
        <w:rPr>
          <w:rFonts w:ascii="宋体" w:hAnsi="宋体" w:cs="宋体" w:eastAsia="宋体" w:hint="default"/>
          <w:sz w:val="21"/>
          <w:szCs w:val="21"/>
        </w:rPr>
      </w:pPr>
      <w:r>
        <w:rPr>
          <w:rFonts w:ascii="宋体" w:hAnsi="宋体" w:cs="宋体" w:eastAsia="宋体" w:hint="default"/>
          <w:spacing w:val="-3"/>
          <w:sz w:val="21"/>
          <w:szCs w:val="21"/>
        </w:rPr>
        <w:t>田斌，</w:t>
      </w:r>
      <w:r>
        <w:rPr>
          <w:rFonts w:ascii="Times New Roman" w:hAnsi="Times New Roman" w:cs="Times New Roman" w:eastAsia="Times New Roman" w:hint="default"/>
          <w:spacing w:val="-3"/>
          <w:sz w:val="21"/>
          <w:szCs w:val="21"/>
        </w:rPr>
        <w:t>1973</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月出生，中国国籍，硕士学历，长江商学院</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EMBA</w:t>
      </w:r>
      <w:r>
        <w:rPr>
          <w:rFonts w:ascii="宋体" w:hAnsi="宋体" w:cs="宋体" w:eastAsia="宋体" w:hint="default"/>
          <w:sz w:val="21"/>
          <w:szCs w:val="21"/>
        </w:rPr>
        <w:t>。未有任何国家和地区的永久境外</w:t>
      </w:r>
      <w:r>
        <w:rPr>
          <w:rFonts w:ascii="宋体" w:hAnsi="宋体" w:cs="宋体" w:eastAsia="宋体" w:hint="default"/>
          <w:w w:val="99"/>
          <w:sz w:val="21"/>
          <w:szCs w:val="21"/>
        </w:rPr>
        <w:t> </w:t>
      </w:r>
      <w:r>
        <w:rPr>
          <w:rFonts w:ascii="宋体" w:hAnsi="宋体" w:cs="宋体" w:eastAsia="宋体" w:hint="default"/>
          <w:sz w:val="21"/>
          <w:szCs w:val="21"/>
        </w:rPr>
        <w:t>居留权。</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月担任中兴通讯股份有限公司运营商销售北京分公司总经理、渠道销售</w:t>
      </w:r>
    </w:p>
    <w:p>
      <w:pPr>
        <w:spacing w:line="386" w:lineRule="auto" w:before="35"/>
        <w:ind w:left="112" w:right="987" w:firstLine="0"/>
        <w:jc w:val="left"/>
        <w:rPr>
          <w:rFonts w:ascii="宋体" w:hAnsi="宋体" w:cs="宋体" w:eastAsia="宋体" w:hint="default"/>
          <w:sz w:val="21"/>
          <w:szCs w:val="21"/>
        </w:rPr>
      </w:pPr>
      <w:r>
        <w:rPr>
          <w:rFonts w:ascii="宋体" w:hAnsi="宋体" w:cs="宋体" w:eastAsia="宋体" w:hint="default"/>
          <w:sz w:val="21"/>
          <w:szCs w:val="21"/>
        </w:rPr>
        <w:t>北方区区总等职务。</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月任北京富华宇祺信息技术有限公司董事长。</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w w:val="99"/>
          <w:sz w:val="21"/>
          <w:szCs w:val="21"/>
        </w:rPr>
        <w:t> </w:t>
      </w:r>
      <w:r>
        <w:rPr>
          <w:rFonts w:ascii="宋体" w:hAnsi="宋体" w:cs="宋体" w:eastAsia="宋体" w:hint="default"/>
          <w:sz w:val="21"/>
          <w:szCs w:val="21"/>
        </w:rPr>
        <w:t>今担任北京富华宇祺信息技术有限公司董事、总经理，</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月起任尤洛卡公司副总经理。</w:t>
      </w:r>
    </w:p>
    <w:p>
      <w:pPr>
        <w:spacing w:before="76"/>
        <w:ind w:left="532" w:right="987" w:firstLine="0"/>
        <w:jc w:val="left"/>
        <w:rPr>
          <w:rFonts w:ascii="宋体" w:hAnsi="宋体" w:cs="宋体" w:eastAsia="宋体" w:hint="default"/>
          <w:sz w:val="21"/>
          <w:szCs w:val="21"/>
        </w:rPr>
      </w:pPr>
      <w:r>
        <w:rPr>
          <w:rFonts w:ascii="宋体" w:hAnsi="宋体" w:cs="宋体" w:eastAsia="宋体" w:hint="default"/>
          <w:sz w:val="21"/>
          <w:szCs w:val="21"/>
        </w:rPr>
        <w:t>在股东单位任职情况：□ 适用 √</w:t>
      </w:r>
      <w:r>
        <w:rPr>
          <w:rFonts w:ascii="宋体" w:hAnsi="宋体" w:cs="宋体" w:eastAsia="宋体" w:hint="default"/>
          <w:spacing w:val="-9"/>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17"/>
          <w:szCs w:val="17"/>
        </w:rPr>
      </w:pPr>
    </w:p>
    <w:p>
      <w:pPr>
        <w:spacing w:before="0"/>
        <w:ind w:left="93" w:right="692" w:firstLine="0"/>
        <w:jc w:val="center"/>
        <w:rPr>
          <w:rFonts w:ascii="宋体" w:hAnsi="宋体" w:cs="宋体" w:eastAsia="宋体" w:hint="default"/>
          <w:sz w:val="21"/>
          <w:szCs w:val="21"/>
        </w:rPr>
      </w:pPr>
      <w:r>
        <w:rPr>
          <w:rFonts w:ascii="宋体" w:hAnsi="宋体" w:cs="宋体" w:eastAsia="宋体" w:hint="default"/>
          <w:sz w:val="21"/>
          <w:szCs w:val="21"/>
        </w:rPr>
        <w:t>在其他单位任职情况</w:t>
      </w:r>
    </w:p>
    <w:p>
      <w:pPr>
        <w:spacing w:line="240" w:lineRule="auto" w:before="0"/>
        <w:rPr>
          <w:rFonts w:ascii="宋体" w:hAnsi="宋体" w:cs="宋体" w:eastAsia="宋体"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5" w:right="144"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4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5" w:right="166"/>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3" w:right="14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2" w:right="159"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6"/>
                <w:sz w:val="18"/>
                <w:szCs w:val="18"/>
              </w:rPr>
              <w:t>尤洛卡（北京）产业信息技术研究院有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尤洛卡（山东）矿业科技有限公司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西安鲁信股权投资管理有限公司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6"/>
                <w:sz w:val="18"/>
                <w:szCs w:val="18"/>
              </w:rPr>
              <w:t>尤洛卡（广东）精准信息工程技术研究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尤洛卡（上海）国际贸易有限公司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长春师凯科技产业有限责任公司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吉林省浦生泰生物技术有限责任公司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吉林省吉商智龙文化交流有限公司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长春师凯科技产业有限责任公司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吉林省玖壹咖啡餐饮管理有限公司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吉林省玖壹创业投资管理有限公司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吉林省浦生泰生物技术有限责任公司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山东科技大学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马训波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山东成顺律师事务所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1"/>
              <w:jc w:val="left"/>
              <w:rPr>
                <w:rFonts w:ascii="宋体" w:hAnsi="宋体" w:cs="宋体" w:eastAsia="宋体" w:hint="default"/>
                <w:sz w:val="18"/>
                <w:szCs w:val="18"/>
              </w:rPr>
            </w:pPr>
            <w:r>
              <w:rPr>
                <w:rFonts w:ascii="宋体" w:hAnsi="宋体" w:cs="宋体" w:eastAsia="宋体" w:hint="default"/>
                <w:spacing w:val="-11"/>
                <w:sz w:val="18"/>
                <w:szCs w:val="18"/>
              </w:rPr>
              <w:t>主任、合伙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西安鲁信股权投资管理有限公司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1"/>
              <w:jc w:val="left"/>
              <w:rPr>
                <w:rFonts w:ascii="宋体" w:hAnsi="宋体" w:cs="宋体" w:eastAsia="宋体" w:hint="default"/>
                <w:sz w:val="18"/>
                <w:szCs w:val="18"/>
              </w:rPr>
            </w:pPr>
            <w:r>
              <w:rPr>
                <w:rFonts w:ascii="宋体" w:hAnsi="宋体" w:cs="宋体" w:eastAsia="宋体" w:hint="default"/>
                <w:spacing w:val="-11"/>
                <w:sz w:val="18"/>
                <w:szCs w:val="18"/>
              </w:rPr>
              <w:t>董事、副总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1"/>
              <w:jc w:val="left"/>
              <w:rPr>
                <w:rFonts w:ascii="宋体" w:hAnsi="宋体" w:cs="宋体" w:eastAsia="宋体" w:hint="default"/>
                <w:sz w:val="18"/>
                <w:szCs w:val="18"/>
              </w:rPr>
            </w:pPr>
            <w:r>
              <w:rPr>
                <w:rFonts w:ascii="宋体" w:hAnsi="宋体" w:cs="宋体" w:eastAsia="宋体" w:hint="default"/>
                <w:spacing w:val="-11"/>
                <w:sz w:val="18"/>
                <w:szCs w:val="18"/>
              </w:rPr>
              <w:t>董事、总经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87"/>
              <w:jc w:val="both"/>
              <w:rPr>
                <w:rFonts w:ascii="宋体" w:hAnsi="宋体" w:cs="宋体" w:eastAsia="宋体" w:hint="default"/>
                <w:sz w:val="18"/>
                <w:szCs w:val="18"/>
              </w:rPr>
            </w:pPr>
            <w:r>
              <w:rPr>
                <w:rFonts w:ascii="宋体" w:hAnsi="宋体" w:cs="宋体" w:eastAsia="宋体" w:hint="default"/>
                <w:sz w:val="18"/>
                <w:szCs w:val="18"/>
              </w:rPr>
              <w:t>在其他单位 任职情况的 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5"/>
        <w:rPr>
          <w:rFonts w:ascii="宋体" w:hAnsi="宋体" w:cs="宋体" w:eastAsia="宋体" w:hint="default"/>
          <w:sz w:val="5"/>
          <w:szCs w:val="5"/>
        </w:rPr>
      </w:pPr>
    </w:p>
    <w:p>
      <w:pPr>
        <w:spacing w:before="34"/>
        <w:ind w:left="532" w:right="987" w:firstLine="0"/>
        <w:jc w:val="left"/>
        <w:rPr>
          <w:rFonts w:ascii="宋体" w:hAnsi="宋体" w:cs="宋体" w:eastAsia="宋体" w:hint="default"/>
          <w:sz w:val="21"/>
          <w:szCs w:val="21"/>
        </w:rPr>
      </w:pPr>
      <w:r>
        <w:rPr>
          <w:rFonts w:ascii="宋体" w:hAnsi="宋体" w:cs="宋体" w:eastAsia="宋体" w:hint="default"/>
          <w:spacing w:val="-3"/>
          <w:sz w:val="21"/>
          <w:szCs w:val="21"/>
        </w:rPr>
        <w:t>公司现任及报告期内离任董事、监事和高级管理人员近三年证券监管机构处罚的情况：□ </w:t>
      </w:r>
      <w:r>
        <w:rPr>
          <w:rFonts w:ascii="宋体" w:hAnsi="宋体" w:cs="宋体" w:eastAsia="宋体" w:hint="default"/>
          <w:sz w:val="21"/>
          <w:szCs w:val="21"/>
        </w:rPr>
        <w:t>适用 √</w:t>
      </w:r>
      <w:r>
        <w:rPr>
          <w:rFonts w:ascii="宋体" w:hAnsi="宋体" w:cs="宋体" w:eastAsia="宋体" w:hint="default"/>
          <w:spacing w:val="-29"/>
          <w:sz w:val="21"/>
          <w:szCs w:val="21"/>
        </w:rPr>
        <w:t> </w:t>
      </w:r>
      <w:r>
        <w:rPr>
          <w:rFonts w:ascii="宋体" w:hAnsi="宋体" w:cs="宋体" w:eastAsia="宋体" w:hint="default"/>
          <w:sz w:val="21"/>
          <w:szCs w:val="21"/>
        </w:rPr>
        <w:t>不</w:t>
      </w:r>
    </w:p>
    <w:p>
      <w:pPr>
        <w:spacing w:line="240" w:lineRule="auto" w:before="2"/>
        <w:rPr>
          <w:rFonts w:ascii="宋体" w:hAnsi="宋体" w:cs="宋体" w:eastAsia="宋体" w:hint="default"/>
          <w:sz w:val="12"/>
          <w:szCs w:val="12"/>
        </w:rPr>
      </w:pPr>
    </w:p>
    <w:p>
      <w:pPr>
        <w:spacing w:before="34"/>
        <w:ind w:left="112" w:right="987" w:firstLine="0"/>
        <w:jc w:val="left"/>
        <w:rPr>
          <w:rFonts w:ascii="宋体" w:hAnsi="宋体" w:cs="宋体" w:eastAsia="宋体" w:hint="default"/>
          <w:sz w:val="21"/>
          <w:szCs w:val="21"/>
        </w:rPr>
      </w:pPr>
      <w:r>
        <w:rPr>
          <w:rFonts w:ascii="宋体" w:hAnsi="宋体" w:cs="宋体" w:eastAsia="宋体" w:hint="default"/>
          <w:sz w:val="21"/>
          <w:szCs w:val="21"/>
        </w:rPr>
        <w:t>适用</w:t>
      </w:r>
    </w:p>
    <w:p>
      <w:pPr>
        <w:spacing w:line="240" w:lineRule="auto" w:before="11"/>
        <w:rPr>
          <w:rFonts w:ascii="宋体" w:hAnsi="宋体" w:cs="宋体" w:eastAsia="宋体" w:hint="default"/>
          <w:sz w:val="29"/>
          <w:szCs w:val="29"/>
        </w:rPr>
      </w:pPr>
    </w:p>
    <w:p>
      <w:pPr>
        <w:spacing w:before="0"/>
        <w:ind w:left="112" w:right="987" w:firstLine="0"/>
        <w:jc w:val="left"/>
        <w:rPr>
          <w:rFonts w:ascii="宋体" w:hAnsi="宋体" w:cs="宋体" w:eastAsia="宋体" w:hint="default"/>
          <w:sz w:val="24"/>
          <w:szCs w:val="24"/>
        </w:rPr>
      </w:pPr>
      <w:bookmarkStart w:name="四、董事、监事、高级管理人员报酬情况" w:id="118"/>
      <w:bookmarkEnd w:id="118"/>
      <w:r>
        <w:rPr/>
      </w:r>
      <w:r>
        <w:rPr>
          <w:rFonts w:ascii="宋体" w:hAnsi="宋体" w:cs="宋体" w:eastAsia="宋体" w:hint="default"/>
          <w:b/>
          <w:bCs/>
          <w:sz w:val="24"/>
          <w:szCs w:val="24"/>
        </w:rPr>
        <w:t>四、董事、监事、高级管理人员报酬情况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line="444" w:lineRule="auto"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董事、监事、高级管理人员报酬的决策程序、确定依据、实际支付情况：</w:t>
      </w:r>
      <w:r>
        <w:rPr>
          <w:rFonts w:ascii="宋体" w:hAnsi="宋体" w:cs="宋体" w:eastAsia="宋体" w:hint="default"/>
          <w:w w:val="99"/>
          <w:sz w:val="21"/>
          <w:szCs w:val="21"/>
        </w:rPr>
        <w:t> </w:t>
      </w:r>
      <w:r>
        <w:rPr>
          <w:rFonts w:ascii="宋体" w:hAnsi="宋体" w:cs="宋体" w:eastAsia="宋体" w:hint="default"/>
          <w:sz w:val="21"/>
          <w:szCs w:val="21"/>
        </w:rPr>
        <w:t>董事、监事、高级管理人员报酬的决策程序：</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日，第三届董事会</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年第二次会议审</w:t>
      </w:r>
    </w:p>
    <w:p>
      <w:pPr>
        <w:spacing w:line="270" w:lineRule="exact" w:before="0"/>
        <w:ind w:left="112" w:right="987" w:firstLine="0"/>
        <w:jc w:val="left"/>
        <w:rPr>
          <w:rFonts w:ascii="宋体" w:hAnsi="宋体" w:cs="宋体" w:eastAsia="宋体" w:hint="default"/>
          <w:sz w:val="21"/>
          <w:szCs w:val="21"/>
        </w:rPr>
      </w:pPr>
      <w:r>
        <w:rPr>
          <w:rFonts w:ascii="宋体" w:hAnsi="宋体" w:cs="宋体" w:eastAsia="宋体" w:hint="default"/>
          <w:spacing w:val="-1"/>
          <w:w w:val="99"/>
          <w:sz w:val="21"/>
          <w:szCs w:val="21"/>
        </w:rPr>
        <w:t>议</w:t>
      </w:r>
      <w:r>
        <w:rPr>
          <w:rFonts w:ascii="宋体" w:hAnsi="宋体" w:cs="宋体" w:eastAsia="宋体" w:hint="default"/>
          <w:spacing w:val="2"/>
          <w:w w:val="99"/>
          <w:sz w:val="21"/>
          <w:szCs w:val="21"/>
        </w:rPr>
        <w:t>通</w:t>
      </w:r>
      <w:r>
        <w:rPr>
          <w:rFonts w:ascii="宋体" w:hAnsi="宋体" w:cs="宋体" w:eastAsia="宋体" w:hint="default"/>
          <w:spacing w:val="-1"/>
          <w:w w:val="99"/>
          <w:sz w:val="21"/>
          <w:szCs w:val="21"/>
        </w:rPr>
        <w:t>过</w:t>
      </w:r>
      <w:r>
        <w:rPr>
          <w:rFonts w:ascii="宋体" w:hAnsi="宋体" w:cs="宋体" w:eastAsia="宋体" w:hint="default"/>
          <w:spacing w:val="-8"/>
          <w:w w:val="99"/>
          <w:sz w:val="21"/>
          <w:szCs w:val="21"/>
        </w:rPr>
        <w:t>了</w:t>
      </w:r>
      <w:r>
        <w:rPr>
          <w:rFonts w:ascii="宋体" w:hAnsi="宋体" w:cs="宋体" w:eastAsia="宋体" w:hint="default"/>
          <w:spacing w:val="-1"/>
          <w:w w:val="99"/>
          <w:sz w:val="21"/>
          <w:szCs w:val="21"/>
        </w:rPr>
        <w:t>《关</w:t>
      </w:r>
      <w:r>
        <w:rPr>
          <w:rFonts w:ascii="宋体" w:hAnsi="宋体" w:cs="宋体" w:eastAsia="宋体" w:hint="default"/>
          <w:spacing w:val="2"/>
          <w:w w:val="99"/>
          <w:sz w:val="21"/>
          <w:szCs w:val="21"/>
        </w:rPr>
        <w:t>于</w:t>
      </w:r>
      <w:r>
        <w:rPr>
          <w:rFonts w:ascii="宋体" w:hAnsi="宋体" w:cs="宋体" w:eastAsia="宋体" w:hint="default"/>
          <w:spacing w:val="-1"/>
          <w:w w:val="99"/>
          <w:sz w:val="21"/>
          <w:szCs w:val="21"/>
        </w:rPr>
        <w:t>公</w:t>
      </w:r>
      <w:r>
        <w:rPr>
          <w:rFonts w:ascii="宋体" w:hAnsi="宋体" w:cs="宋体" w:eastAsia="宋体" w:hint="default"/>
          <w:spacing w:val="2"/>
          <w:w w:val="99"/>
          <w:sz w:val="21"/>
          <w:szCs w:val="21"/>
        </w:rPr>
        <w:t>司</w:t>
      </w:r>
      <w:r>
        <w:rPr>
          <w:rFonts w:ascii="宋体" w:hAnsi="宋体" w:cs="宋体" w:eastAsia="宋体" w:hint="default"/>
          <w:spacing w:val="-1"/>
          <w:w w:val="99"/>
          <w:sz w:val="21"/>
          <w:szCs w:val="21"/>
        </w:rPr>
        <w:t>第</w:t>
      </w:r>
      <w:r>
        <w:rPr>
          <w:rFonts w:ascii="宋体" w:hAnsi="宋体" w:cs="宋体" w:eastAsia="宋体" w:hint="default"/>
          <w:spacing w:val="2"/>
          <w:w w:val="99"/>
          <w:sz w:val="21"/>
          <w:szCs w:val="21"/>
        </w:rPr>
        <w:t>四</w:t>
      </w:r>
      <w:r>
        <w:rPr>
          <w:rFonts w:ascii="宋体" w:hAnsi="宋体" w:cs="宋体" w:eastAsia="宋体" w:hint="default"/>
          <w:spacing w:val="-1"/>
          <w:w w:val="99"/>
          <w:sz w:val="21"/>
          <w:szCs w:val="21"/>
        </w:rPr>
        <w:t>届</w:t>
      </w:r>
      <w:r>
        <w:rPr>
          <w:rFonts w:ascii="宋体" w:hAnsi="宋体" w:cs="宋体" w:eastAsia="宋体" w:hint="default"/>
          <w:spacing w:val="2"/>
          <w:w w:val="99"/>
          <w:sz w:val="21"/>
          <w:szCs w:val="21"/>
        </w:rPr>
        <w:t>董</w:t>
      </w:r>
      <w:r>
        <w:rPr>
          <w:rFonts w:ascii="宋体" w:hAnsi="宋体" w:cs="宋体" w:eastAsia="宋体" w:hint="default"/>
          <w:spacing w:val="-1"/>
          <w:w w:val="99"/>
          <w:sz w:val="21"/>
          <w:szCs w:val="21"/>
        </w:rPr>
        <w:t>事</w:t>
      </w:r>
      <w:r>
        <w:rPr>
          <w:rFonts w:ascii="宋体" w:hAnsi="宋体" w:cs="宋体" w:eastAsia="宋体" w:hint="default"/>
          <w:spacing w:val="2"/>
          <w:w w:val="99"/>
          <w:sz w:val="21"/>
          <w:szCs w:val="21"/>
        </w:rPr>
        <w:t>会</w:t>
      </w:r>
      <w:r>
        <w:rPr>
          <w:rFonts w:ascii="宋体" w:hAnsi="宋体" w:cs="宋体" w:eastAsia="宋体" w:hint="default"/>
          <w:spacing w:val="-1"/>
          <w:w w:val="99"/>
          <w:sz w:val="21"/>
          <w:szCs w:val="21"/>
        </w:rPr>
        <w:t>成</w:t>
      </w:r>
      <w:r>
        <w:rPr>
          <w:rFonts w:ascii="宋体" w:hAnsi="宋体" w:cs="宋体" w:eastAsia="宋体" w:hint="default"/>
          <w:spacing w:val="2"/>
          <w:w w:val="99"/>
          <w:sz w:val="21"/>
          <w:szCs w:val="21"/>
        </w:rPr>
        <w:t>员</w:t>
      </w:r>
      <w:r>
        <w:rPr>
          <w:rFonts w:ascii="宋体" w:hAnsi="宋体" w:cs="宋体" w:eastAsia="宋体" w:hint="default"/>
          <w:spacing w:val="-1"/>
          <w:w w:val="99"/>
          <w:sz w:val="21"/>
          <w:szCs w:val="21"/>
        </w:rPr>
        <w:t>薪</w:t>
      </w:r>
      <w:r>
        <w:rPr>
          <w:rFonts w:ascii="宋体" w:hAnsi="宋体" w:cs="宋体" w:eastAsia="宋体" w:hint="default"/>
          <w:spacing w:val="2"/>
          <w:w w:val="99"/>
          <w:sz w:val="21"/>
          <w:szCs w:val="21"/>
        </w:rPr>
        <w:t>酬</w:t>
      </w:r>
      <w:r>
        <w:rPr>
          <w:rFonts w:ascii="宋体" w:hAnsi="宋体" w:cs="宋体" w:eastAsia="宋体" w:hint="default"/>
          <w:spacing w:val="-1"/>
          <w:w w:val="99"/>
          <w:sz w:val="21"/>
          <w:szCs w:val="21"/>
        </w:rPr>
        <w:t>的</w:t>
      </w:r>
      <w:r>
        <w:rPr>
          <w:rFonts w:ascii="宋体" w:hAnsi="宋体" w:cs="宋体" w:eastAsia="宋体" w:hint="default"/>
          <w:spacing w:val="2"/>
          <w:w w:val="99"/>
          <w:sz w:val="21"/>
          <w:szCs w:val="21"/>
        </w:rPr>
        <w:t>议案</w:t>
      </w:r>
      <w:r>
        <w:rPr>
          <w:rFonts w:ascii="宋体" w:hAnsi="宋体" w:cs="宋体" w:eastAsia="宋体" w:hint="default"/>
          <w:spacing w:val="-104"/>
          <w:w w:val="99"/>
          <w:sz w:val="21"/>
          <w:szCs w:val="21"/>
        </w:rPr>
        <w:t>》</w:t>
      </w:r>
      <w:r>
        <w:rPr>
          <w:rFonts w:ascii="宋体" w:hAnsi="宋体" w:cs="宋体" w:eastAsia="宋体" w:hint="default"/>
          <w:spacing w:val="-10"/>
          <w:w w:val="99"/>
          <w:sz w:val="21"/>
          <w:szCs w:val="21"/>
        </w:rPr>
        <w:t>，</w:t>
      </w:r>
      <w:r>
        <w:rPr>
          <w:rFonts w:ascii="宋体" w:hAnsi="宋体" w:cs="宋体" w:eastAsia="宋体" w:hint="default"/>
          <w:spacing w:val="-1"/>
          <w:w w:val="99"/>
          <w:sz w:val="21"/>
          <w:szCs w:val="21"/>
        </w:rPr>
        <w:t>该</w:t>
      </w:r>
      <w:r>
        <w:rPr>
          <w:rFonts w:ascii="宋体" w:hAnsi="宋体" w:cs="宋体" w:eastAsia="宋体" w:hint="default"/>
          <w:spacing w:val="2"/>
          <w:w w:val="99"/>
          <w:sz w:val="21"/>
          <w:szCs w:val="21"/>
        </w:rPr>
        <w:t>议</w:t>
      </w:r>
      <w:r>
        <w:rPr>
          <w:rFonts w:ascii="宋体" w:hAnsi="宋体" w:cs="宋体" w:eastAsia="宋体" w:hint="default"/>
          <w:spacing w:val="-1"/>
          <w:w w:val="99"/>
          <w:sz w:val="21"/>
          <w:szCs w:val="21"/>
        </w:rPr>
        <w:t>案</w:t>
      </w:r>
      <w:r>
        <w:rPr>
          <w:rFonts w:ascii="宋体" w:hAnsi="宋体" w:cs="宋体" w:eastAsia="宋体" w:hint="default"/>
          <w:w w:val="99"/>
          <w:sz w:val="21"/>
          <w:szCs w:val="21"/>
        </w:rPr>
        <w:t>经</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201</w:t>
      </w:r>
      <w:r>
        <w:rPr>
          <w:rFonts w:ascii="Times New Roman" w:hAnsi="Times New Roman" w:cs="Times New Roman" w:eastAsia="Times New Roman" w:hint="default"/>
          <w:w w:val="99"/>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99"/>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w w:val="99"/>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pacing w:val="1"/>
          <w:w w:val="99"/>
          <w:sz w:val="21"/>
          <w:szCs w:val="21"/>
        </w:rPr>
        <w:t>1</w:t>
      </w:r>
      <w:r>
        <w:rPr>
          <w:rFonts w:ascii="Times New Roman" w:hAnsi="Times New Roman" w:cs="Times New Roman" w:eastAsia="Times New Roman" w:hint="default"/>
          <w:w w:val="99"/>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pacing w:val="-1"/>
          <w:w w:val="99"/>
          <w:sz w:val="21"/>
          <w:szCs w:val="21"/>
        </w:rPr>
        <w:t>日</w:t>
      </w:r>
      <w:r>
        <w:rPr>
          <w:rFonts w:ascii="宋体" w:hAnsi="宋体" w:cs="宋体" w:eastAsia="宋体" w:hint="default"/>
          <w:spacing w:val="2"/>
          <w:w w:val="99"/>
          <w:sz w:val="21"/>
          <w:szCs w:val="21"/>
        </w:rPr>
        <w:t>召</w:t>
      </w:r>
      <w:r>
        <w:rPr>
          <w:rFonts w:ascii="宋体" w:hAnsi="宋体" w:cs="宋体" w:eastAsia="宋体" w:hint="default"/>
          <w:spacing w:val="-1"/>
          <w:w w:val="99"/>
          <w:sz w:val="21"/>
          <w:szCs w:val="21"/>
        </w:rPr>
        <w:t>开</w:t>
      </w:r>
      <w:r>
        <w:rPr>
          <w:rFonts w:ascii="宋体" w:hAnsi="宋体" w:cs="宋体" w:eastAsia="宋体" w:hint="default"/>
          <w:w w:val="99"/>
          <w:sz w:val="21"/>
          <w:szCs w:val="21"/>
        </w:rPr>
        <w:t>的</w:t>
      </w:r>
      <w:r>
        <w:rPr>
          <w:rFonts w:ascii="宋体" w:hAnsi="宋体" w:cs="宋体" w:eastAsia="宋体" w:hint="default"/>
          <w:spacing w:val="-50"/>
          <w:sz w:val="21"/>
          <w:szCs w:val="21"/>
        </w:rPr>
        <w:t> </w:t>
      </w:r>
      <w:r>
        <w:rPr>
          <w:rFonts w:ascii="Times New Roman" w:hAnsi="Times New Roman" w:cs="Times New Roman" w:eastAsia="Times New Roman" w:hint="default"/>
          <w:spacing w:val="1"/>
          <w:w w:val="99"/>
          <w:sz w:val="21"/>
          <w:szCs w:val="21"/>
        </w:rPr>
        <w:t>20</w:t>
      </w:r>
      <w:r>
        <w:rPr>
          <w:rFonts w:ascii="Times New Roman" w:hAnsi="Times New Roman" w:cs="Times New Roman" w:eastAsia="Times New Roman" w:hint="default"/>
          <w:spacing w:val="-2"/>
          <w:w w:val="99"/>
          <w:sz w:val="21"/>
          <w:szCs w:val="21"/>
        </w:rPr>
        <w:t>1</w:t>
      </w:r>
      <w:r>
        <w:rPr>
          <w:rFonts w:ascii="Times New Roman" w:hAnsi="Times New Roman" w:cs="Times New Roman" w:eastAsia="Times New Roman" w:hint="default"/>
          <w:w w:val="99"/>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pacing w:val="-1"/>
          <w:w w:val="99"/>
          <w:sz w:val="21"/>
          <w:szCs w:val="21"/>
        </w:rPr>
        <w:t>年</w:t>
      </w:r>
      <w:r>
        <w:rPr>
          <w:rFonts w:ascii="宋体" w:hAnsi="宋体" w:cs="宋体" w:eastAsia="宋体" w:hint="default"/>
          <w:spacing w:val="2"/>
          <w:w w:val="99"/>
          <w:sz w:val="21"/>
          <w:szCs w:val="21"/>
        </w:rPr>
        <w:t>年</w:t>
      </w:r>
      <w:r>
        <w:rPr>
          <w:rFonts w:ascii="宋体" w:hAnsi="宋体" w:cs="宋体" w:eastAsia="宋体" w:hint="default"/>
          <w:spacing w:val="-1"/>
          <w:w w:val="99"/>
          <w:sz w:val="21"/>
          <w:szCs w:val="21"/>
        </w:rPr>
        <w:t>度</w:t>
      </w:r>
      <w:r>
        <w:rPr>
          <w:rFonts w:ascii="宋体" w:hAnsi="宋体" w:cs="宋体" w:eastAsia="宋体" w:hint="default"/>
          <w:spacing w:val="2"/>
          <w:w w:val="99"/>
          <w:sz w:val="21"/>
          <w:szCs w:val="21"/>
        </w:rPr>
        <w:t>的</w:t>
      </w:r>
      <w:r>
        <w:rPr>
          <w:rFonts w:ascii="宋体" w:hAnsi="宋体" w:cs="宋体" w:eastAsia="宋体" w:hint="default"/>
          <w:w w:val="99"/>
          <w:sz w:val="21"/>
          <w:szCs w:val="21"/>
        </w:rPr>
        <w:t>股</w:t>
      </w:r>
      <w:r>
        <w:rPr>
          <w:rFonts w:ascii="宋体" w:hAnsi="宋体" w:cs="宋体" w:eastAsia="宋体" w:hint="default"/>
          <w:sz w:val="21"/>
          <w:szCs w:val="21"/>
        </w:rPr>
      </w:r>
    </w:p>
    <w:p>
      <w:pPr>
        <w:spacing w:before="177"/>
        <w:ind w:left="112" w:right="987" w:firstLine="0"/>
        <w:jc w:val="left"/>
        <w:rPr>
          <w:rFonts w:ascii="宋体" w:hAnsi="宋体" w:cs="宋体" w:eastAsia="宋体" w:hint="default"/>
          <w:sz w:val="21"/>
          <w:szCs w:val="21"/>
        </w:rPr>
      </w:pPr>
      <w:r>
        <w:rPr>
          <w:rFonts w:ascii="宋体" w:hAnsi="宋体" w:cs="宋体" w:eastAsia="宋体" w:hint="default"/>
          <w:sz w:val="21"/>
          <w:szCs w:val="21"/>
        </w:rPr>
        <w:t>东大会审议通过。</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1"/>
          <w:sz w:val="21"/>
          <w:szCs w:val="21"/>
        </w:rPr>
        <w:t> </w:t>
      </w:r>
      <w:r>
        <w:rPr>
          <w:rFonts w:ascii="宋体" w:hAnsi="宋体" w:cs="宋体" w:eastAsia="宋体" w:hint="default"/>
          <w:spacing w:val="-3"/>
          <w:sz w:val="21"/>
          <w:szCs w:val="21"/>
        </w:rPr>
        <w:t>日，第三届监事会</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年第二次会议审议通过了《关于公司第四届监事</w:t>
      </w:r>
    </w:p>
    <w:p>
      <w:pPr>
        <w:spacing w:line="417" w:lineRule="auto" w:before="177"/>
        <w:ind w:left="532" w:right="987" w:hanging="420"/>
        <w:jc w:val="left"/>
        <w:rPr>
          <w:rFonts w:ascii="宋体" w:hAnsi="宋体" w:cs="宋体" w:eastAsia="宋体" w:hint="default"/>
          <w:sz w:val="21"/>
          <w:szCs w:val="21"/>
        </w:rPr>
      </w:pPr>
      <w:r>
        <w:rPr>
          <w:rFonts w:ascii="宋体" w:hAnsi="宋体" w:cs="宋体" w:eastAsia="宋体" w:hint="default"/>
          <w:spacing w:val="-8"/>
          <w:w w:val="99"/>
          <w:sz w:val="21"/>
          <w:szCs w:val="21"/>
        </w:rPr>
        <w:t>会成员薪酬的议案》，该议案经</w:t>
      </w:r>
      <w:r>
        <w:rPr>
          <w:rFonts w:ascii="宋体" w:hAnsi="宋体" w:cs="宋体" w:eastAsia="宋体" w:hint="default"/>
          <w:spacing w:val="-52"/>
          <w:w w:val="99"/>
          <w:sz w:val="21"/>
          <w:szCs w:val="21"/>
        </w:rPr>
        <w:t> </w:t>
      </w:r>
      <w:r>
        <w:rPr>
          <w:rFonts w:ascii="Times New Roman" w:hAnsi="Times New Roman" w:cs="Times New Roman" w:eastAsia="Times New Roman" w:hint="default"/>
          <w:w w:val="99"/>
          <w:sz w:val="21"/>
          <w:szCs w:val="21"/>
        </w:rPr>
        <w:t>2017 </w:t>
      </w:r>
      <w:r>
        <w:rPr>
          <w:rFonts w:ascii="宋体" w:hAnsi="宋体" w:cs="宋体" w:eastAsia="宋体" w:hint="default"/>
          <w:w w:val="99"/>
          <w:sz w:val="21"/>
          <w:szCs w:val="21"/>
        </w:rPr>
        <w:t>年</w:t>
      </w:r>
      <w:r>
        <w:rPr>
          <w:rFonts w:ascii="宋体" w:hAnsi="宋体" w:cs="宋体" w:eastAsia="宋体" w:hint="default"/>
          <w:spacing w:val="-49"/>
          <w:w w:val="99"/>
          <w:sz w:val="21"/>
          <w:szCs w:val="21"/>
        </w:rPr>
        <w:t> </w:t>
      </w:r>
      <w:r>
        <w:rPr>
          <w:rFonts w:ascii="Times New Roman" w:hAnsi="Times New Roman" w:cs="Times New Roman" w:eastAsia="Times New Roman" w:hint="default"/>
          <w:w w:val="99"/>
          <w:sz w:val="21"/>
          <w:szCs w:val="21"/>
        </w:rPr>
        <w:t>5 </w:t>
      </w:r>
      <w:r>
        <w:rPr>
          <w:rFonts w:ascii="宋体" w:hAnsi="宋体" w:cs="宋体" w:eastAsia="宋体" w:hint="default"/>
          <w:w w:val="99"/>
          <w:sz w:val="21"/>
          <w:szCs w:val="21"/>
        </w:rPr>
        <w:t>月</w:t>
      </w:r>
      <w:r>
        <w:rPr>
          <w:rFonts w:ascii="宋体" w:hAnsi="宋体" w:cs="宋体" w:eastAsia="宋体" w:hint="default"/>
          <w:spacing w:val="-49"/>
          <w:w w:val="99"/>
          <w:sz w:val="21"/>
          <w:szCs w:val="21"/>
        </w:rPr>
        <w:t> </w:t>
      </w:r>
      <w:r>
        <w:rPr>
          <w:rFonts w:ascii="Times New Roman" w:hAnsi="Times New Roman" w:cs="Times New Roman" w:eastAsia="Times New Roman" w:hint="default"/>
          <w:w w:val="99"/>
          <w:sz w:val="21"/>
          <w:szCs w:val="21"/>
        </w:rPr>
        <w:t>16 </w:t>
      </w:r>
      <w:r>
        <w:rPr>
          <w:rFonts w:ascii="宋体" w:hAnsi="宋体" w:cs="宋体" w:eastAsia="宋体" w:hint="default"/>
          <w:w w:val="99"/>
          <w:sz w:val="21"/>
          <w:szCs w:val="21"/>
        </w:rPr>
        <w:t>日召开的</w:t>
      </w:r>
      <w:r>
        <w:rPr>
          <w:rFonts w:ascii="宋体" w:hAnsi="宋体" w:cs="宋体" w:eastAsia="宋体" w:hint="default"/>
          <w:spacing w:val="-49"/>
          <w:w w:val="99"/>
          <w:sz w:val="21"/>
          <w:szCs w:val="21"/>
        </w:rPr>
        <w:t> </w:t>
      </w:r>
      <w:r>
        <w:rPr>
          <w:rFonts w:ascii="Times New Roman" w:hAnsi="Times New Roman" w:cs="Times New Roman" w:eastAsia="Times New Roman" w:hint="default"/>
          <w:w w:val="99"/>
          <w:sz w:val="21"/>
          <w:szCs w:val="21"/>
        </w:rPr>
        <w:t>2016 </w:t>
      </w:r>
      <w:r>
        <w:rPr>
          <w:rFonts w:ascii="宋体" w:hAnsi="宋体" w:cs="宋体" w:eastAsia="宋体" w:hint="default"/>
          <w:w w:val="99"/>
          <w:sz w:val="21"/>
          <w:szCs w:val="21"/>
        </w:rPr>
        <w:t>年年度的股东大会审议通过。</w:t>
      </w:r>
      <w:r>
        <w:rPr>
          <w:rFonts w:ascii="宋体" w:hAnsi="宋体" w:cs="宋体" w:eastAsia="宋体" w:hint="default"/>
          <w:spacing w:val="-85"/>
          <w:w w:val="99"/>
          <w:sz w:val="21"/>
          <w:szCs w:val="21"/>
        </w:rPr>
        <w:t> </w:t>
      </w:r>
      <w:r>
        <w:rPr>
          <w:rFonts w:ascii="宋体" w:hAnsi="宋体" w:cs="宋体" w:eastAsia="宋体" w:hint="default"/>
          <w:spacing w:val="-85"/>
          <w:w w:val="99"/>
          <w:sz w:val="21"/>
          <w:szCs w:val="21"/>
        </w:rPr>
      </w:r>
      <w:r>
        <w:rPr>
          <w:rFonts w:ascii="宋体" w:hAnsi="宋体" w:cs="宋体" w:eastAsia="宋体" w:hint="default"/>
          <w:w w:val="95"/>
          <w:sz w:val="21"/>
          <w:szCs w:val="21"/>
        </w:rPr>
        <w:t>董事、高级管理人员报酬确定依据：董事、监事和高级管理人员的报酬按照公司董事会《薪酬与考核</w:t>
      </w:r>
      <w:r>
        <w:rPr>
          <w:rFonts w:ascii="宋体" w:hAnsi="宋体" w:cs="宋体" w:eastAsia="宋体" w:hint="default"/>
          <w:sz w:val="21"/>
          <w:szCs w:val="21"/>
        </w:rPr>
      </w:r>
    </w:p>
    <w:p>
      <w:pPr>
        <w:spacing w:line="432" w:lineRule="auto" w:before="37"/>
        <w:ind w:left="532" w:right="987" w:hanging="420"/>
        <w:jc w:val="left"/>
        <w:rPr>
          <w:rFonts w:ascii="宋体" w:hAnsi="宋体" w:cs="宋体" w:eastAsia="宋体" w:hint="default"/>
          <w:sz w:val="21"/>
          <w:szCs w:val="21"/>
        </w:rPr>
      </w:pPr>
      <w:r>
        <w:rPr>
          <w:rFonts w:ascii="宋体" w:hAnsi="宋体" w:cs="宋体" w:eastAsia="宋体" w:hint="default"/>
          <w:w w:val="95"/>
          <w:sz w:val="21"/>
          <w:szCs w:val="21"/>
        </w:rPr>
        <w:t>委员会议事规则》等规定，结合其经营绩效、工作能力、岗位职责等考核确定并发放。</w:t>
      </w:r>
      <w:r>
        <w:rPr>
          <w:rFonts w:ascii="宋体" w:hAnsi="宋体" w:cs="宋体" w:eastAsia="宋体" w:hint="default"/>
          <w:spacing w:val="78"/>
          <w:w w:val="95"/>
          <w:sz w:val="21"/>
          <w:szCs w:val="21"/>
        </w:rPr>
        <w:t> </w:t>
      </w:r>
      <w:r>
        <w:rPr>
          <w:rFonts w:ascii="宋体" w:hAnsi="宋体" w:cs="宋体" w:eastAsia="宋体" w:hint="default"/>
          <w:spacing w:val="78"/>
          <w:w w:val="95"/>
          <w:sz w:val="21"/>
          <w:szCs w:val="21"/>
        </w:rPr>
      </w:r>
      <w:r>
        <w:rPr>
          <w:rFonts w:ascii="宋体" w:hAnsi="宋体" w:cs="宋体" w:eastAsia="宋体" w:hint="default"/>
          <w:sz w:val="21"/>
          <w:szCs w:val="21"/>
        </w:rPr>
        <w:t>董事、监事和高级管理人员报酬的实际支付情况：</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年实际支付</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306.91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r>
        <w:rPr>
          <w:rFonts w:ascii="宋体" w:hAnsi="宋体" w:cs="宋体" w:eastAsia="宋体" w:hint="default"/>
          <w:w w:val="99"/>
          <w:sz w:val="21"/>
          <w:szCs w:val="21"/>
        </w:rPr>
        <w:t> </w:t>
      </w:r>
      <w:r>
        <w:rPr>
          <w:rFonts w:ascii="宋体" w:hAnsi="宋体" w:cs="宋体" w:eastAsia="宋体" w:hint="default"/>
          <w:sz w:val="21"/>
          <w:szCs w:val="21"/>
        </w:rPr>
        <w:t>公司报告期内董事、监事和高级管理人员报酬情况</w:t>
      </w:r>
    </w:p>
    <w:p>
      <w:pPr>
        <w:pStyle w:val="BodyText"/>
        <w:spacing w:line="240" w:lineRule="auto" w:before="12"/>
        <w:ind w:left="0" w:right="1132"/>
        <w:jc w:val="right"/>
      </w:pPr>
      <w:r>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8" w:right="136"/>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7" w:right="138"/>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黄屹峰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王同孝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江霞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马训波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王道银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孙兆华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赵志刚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2"/>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姚明远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19.93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崔保航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路飞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306.91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5"/>
          <w:szCs w:val="5"/>
        </w:rPr>
      </w:pPr>
    </w:p>
    <w:p>
      <w:pPr>
        <w:spacing w:before="34"/>
        <w:ind w:left="532" w:right="987" w:firstLine="0"/>
        <w:jc w:val="left"/>
        <w:rPr>
          <w:rFonts w:ascii="宋体" w:hAnsi="宋体" w:cs="宋体" w:eastAsia="宋体" w:hint="default"/>
          <w:sz w:val="21"/>
          <w:szCs w:val="21"/>
        </w:rPr>
      </w:pPr>
      <w:r>
        <w:rPr>
          <w:rFonts w:ascii="宋体" w:hAnsi="宋体" w:cs="宋体" w:eastAsia="宋体" w:hint="default"/>
          <w:sz w:val="21"/>
          <w:szCs w:val="21"/>
        </w:rPr>
        <w:t>公司董事、高级管理人员报告期内被授予的股权激励情况</w:t>
      </w:r>
    </w:p>
    <w:p>
      <w:pPr>
        <w:spacing w:line="240" w:lineRule="auto" w:before="5"/>
        <w:rPr>
          <w:rFonts w:ascii="宋体" w:hAnsi="宋体" w:cs="宋体" w:eastAsia="宋体" w:hint="default"/>
          <w:sz w:val="10"/>
          <w:szCs w:val="10"/>
        </w:rPr>
      </w:pPr>
    </w:p>
    <w:p>
      <w:pPr>
        <w:pStyle w:val="BodyText"/>
        <w:spacing w:line="240" w:lineRule="auto"/>
        <w:ind w:left="0" w:right="1132"/>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5"/>
        <w:gridCol w:w="870"/>
        <w:gridCol w:w="869"/>
        <w:gridCol w:w="869"/>
        <w:gridCol w:w="870"/>
        <w:gridCol w:w="870"/>
        <w:gridCol w:w="870"/>
        <w:gridCol w:w="870"/>
        <w:gridCol w:w="870"/>
        <w:gridCol w:w="870"/>
        <w:gridCol w:w="870"/>
      </w:tblGrid>
      <w:tr>
        <w:trPr>
          <w:trHeight w:val="196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8"/>
              <w:jc w:val="righ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59" w:right="157"/>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59" w:right="157"/>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35" w:right="133" w:firstLine="24"/>
              <w:jc w:val="both"/>
              <w:rPr>
                <w:rFonts w:ascii="宋体" w:hAnsi="宋体" w:cs="宋体" w:eastAsia="宋体" w:hint="default"/>
                <w:sz w:val="18"/>
                <w:szCs w:val="18"/>
              </w:rPr>
            </w:pPr>
            <w:r>
              <w:rPr>
                <w:rFonts w:ascii="宋体" w:hAnsi="宋体" w:cs="宋体" w:eastAsia="宋体" w:hint="default"/>
                <w:sz w:val="18"/>
                <w:szCs w:val="18"/>
              </w:rPr>
              <w:t>报告期 内已行 权股数 行权价 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0" w:right="157"/>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300" w:lineRule="auto" w:before="19"/>
              <w:ind w:left="249" w:right="223" w:hanging="24"/>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9" w:right="159"/>
              <w:jc w:val="both"/>
              <w:rPr>
                <w:rFonts w:ascii="宋体" w:hAnsi="宋体" w:cs="宋体" w:eastAsia="宋体" w:hint="default"/>
                <w:sz w:val="18"/>
                <w:szCs w:val="18"/>
              </w:rPr>
            </w:pPr>
            <w:r>
              <w:rPr>
                <w:rFonts w:ascii="宋体" w:hAnsi="宋体" w:cs="宋体" w:eastAsia="宋体" w:hint="default"/>
                <w:sz w:val="18"/>
                <w:szCs w:val="18"/>
              </w:rPr>
              <w:t>期初持 有限制 性股票 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60" w:right="157"/>
              <w:jc w:val="both"/>
              <w:rPr>
                <w:rFonts w:ascii="宋体" w:hAnsi="宋体" w:cs="宋体" w:eastAsia="宋体" w:hint="default"/>
                <w:sz w:val="18"/>
                <w:szCs w:val="18"/>
              </w:rPr>
            </w:pPr>
            <w:r>
              <w:rPr>
                <w:rFonts w:ascii="宋体" w:hAnsi="宋体" w:cs="宋体" w:eastAsia="宋体" w:hint="default"/>
                <w:sz w:val="18"/>
                <w:szCs w:val="18"/>
              </w:rPr>
              <w:t>本期已 解锁股 份数量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59" w:right="159"/>
              <w:jc w:val="center"/>
              <w:rPr>
                <w:rFonts w:ascii="宋体" w:hAnsi="宋体" w:cs="宋体" w:eastAsia="宋体" w:hint="default"/>
                <w:sz w:val="18"/>
                <w:szCs w:val="18"/>
              </w:rPr>
            </w:pPr>
            <w:r>
              <w:rPr>
                <w:rFonts w:ascii="宋体" w:hAnsi="宋体" w:cs="宋体" w:eastAsia="宋体" w:hint="default"/>
                <w:sz w:val="18"/>
                <w:szCs w:val="18"/>
              </w:rPr>
              <w:t>报告期 新授予 限制性 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134" w:right="134" w:firstLine="26"/>
              <w:jc w:val="both"/>
              <w:rPr>
                <w:rFonts w:ascii="宋体" w:hAnsi="宋体" w:cs="宋体" w:eastAsia="宋体" w:hint="default"/>
                <w:sz w:val="18"/>
                <w:szCs w:val="18"/>
              </w:rPr>
            </w:pPr>
            <w:r>
              <w:rPr>
                <w:rFonts w:ascii="宋体" w:hAnsi="宋体" w:cs="宋体" w:eastAsia="宋体" w:hint="default"/>
                <w:sz w:val="18"/>
                <w:szCs w:val="18"/>
              </w:rPr>
              <w:t>限制性 股票的 授予价 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59" w:right="159"/>
              <w:jc w:val="both"/>
              <w:rPr>
                <w:rFonts w:ascii="宋体" w:hAnsi="宋体" w:cs="宋体" w:eastAsia="宋体" w:hint="default"/>
                <w:sz w:val="18"/>
                <w:szCs w:val="18"/>
              </w:rPr>
            </w:pPr>
            <w:r>
              <w:rPr>
                <w:rFonts w:ascii="宋体" w:hAnsi="宋体" w:cs="宋体" w:eastAsia="宋体" w:hint="default"/>
                <w:sz w:val="18"/>
                <w:szCs w:val="18"/>
              </w:rPr>
              <w:t>期末持 有限制 性股票 数量</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赵志刚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5"/>
              <w:jc w:val="right"/>
              <w:rPr>
                <w:rFonts w:ascii="宋体" w:hAnsi="宋体" w:cs="宋体" w:eastAsia="宋体" w:hint="default"/>
                <w:sz w:val="18"/>
                <w:szCs w:val="18"/>
              </w:rPr>
            </w:pPr>
            <w:r>
              <w:rPr>
                <w:rFonts w:ascii="宋体" w:hAnsi="宋体" w:cs="宋体" w:eastAsia="宋体" w:hint="default"/>
                <w:sz w:val="18"/>
                <w:szCs w:val="18"/>
              </w:rPr>
              <w:t>总经理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200,000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180,000</w:t>
            </w:r>
          </w:p>
        </w:tc>
      </w:tr>
      <w:tr>
        <w:trPr>
          <w:trHeight w:val="1026"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2"/>
              <w:jc w:val="left"/>
              <w:rPr>
                <w:rFonts w:ascii="宋体" w:hAnsi="宋体" w:cs="宋体" w:eastAsia="宋体" w:hint="default"/>
                <w:sz w:val="18"/>
                <w:szCs w:val="18"/>
              </w:rPr>
            </w:pPr>
            <w:r>
              <w:rPr>
                <w:rFonts w:ascii="宋体" w:hAnsi="宋体" w:cs="宋体" w:eastAsia="宋体" w:hint="default"/>
                <w:sz w:val="18"/>
                <w:szCs w:val="18"/>
              </w:rPr>
              <w:t>副总经 </w:t>
            </w:r>
            <w:r>
              <w:rPr>
                <w:rFonts w:ascii="宋体" w:hAnsi="宋体" w:cs="宋体" w:eastAsia="宋体" w:hint="default"/>
                <w:spacing w:val="-17"/>
                <w:sz w:val="18"/>
                <w:szCs w:val="18"/>
              </w:rPr>
              <w:t>理、董事</w:t>
            </w:r>
            <w:r>
              <w:rPr>
                <w:rFonts w:ascii="宋体" w:hAnsi="宋体" w:cs="宋体" w:eastAsia="宋体" w:hint="default"/>
                <w:sz w:val="18"/>
                <w:szCs w:val="18"/>
              </w:rPr>
              <w:t> 会秘书</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180,000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崔保航</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5"/>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1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100,000</w:t>
            </w:r>
          </w:p>
        </w:tc>
      </w:tr>
      <w:tr>
        <w:trPr>
          <w:trHeight w:val="71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路飞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21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100,000</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865"/>
        <w:gridCol w:w="870"/>
        <w:gridCol w:w="869"/>
        <w:gridCol w:w="869"/>
        <w:gridCol w:w="870"/>
        <w:gridCol w:w="870"/>
        <w:gridCol w:w="870"/>
        <w:gridCol w:w="870"/>
        <w:gridCol w:w="870"/>
        <w:gridCol w:w="870"/>
        <w:gridCol w:w="870"/>
      </w:tblGrid>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姚明远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1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180,000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180,000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1,040,00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1,040,00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pacing w:val="-18"/>
                <w:sz w:val="18"/>
                <w:szCs w:val="18"/>
              </w:rPr>
              <w:t>备注（如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86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本报告期末李彬、李波、路飞、姚明远不再担任公司高级管理人员。</w:t>
            </w:r>
          </w:p>
        </w:tc>
      </w:tr>
    </w:tbl>
    <w:p>
      <w:pPr>
        <w:spacing w:line="240" w:lineRule="auto" w:before="0"/>
        <w:rPr>
          <w:rFonts w:ascii="宋体" w:hAnsi="宋体" w:cs="宋体" w:eastAsia="宋体" w:hint="default"/>
          <w:sz w:val="18"/>
          <w:szCs w:val="18"/>
        </w:rPr>
      </w:pPr>
    </w:p>
    <w:p>
      <w:pPr>
        <w:pStyle w:val="Heading2"/>
        <w:spacing w:line="240" w:lineRule="auto" w:before="26"/>
        <w:ind w:right="987"/>
        <w:jc w:val="left"/>
        <w:rPr>
          <w:b w:val="0"/>
          <w:bCs w:val="0"/>
        </w:rPr>
      </w:pPr>
      <w:bookmarkStart w:name="五、公司员工情况" w:id="119"/>
      <w:bookmarkEnd w:id="119"/>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7"/>
        <w:jc w:val="left"/>
        <w:rPr>
          <w:b w:val="0"/>
          <w:bCs w:val="0"/>
        </w:rPr>
      </w:pPr>
      <w:bookmarkStart w:name="1、员工数量、专业构成及教育程度" w:id="120"/>
      <w:bookmarkEnd w:id="12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研究生以上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中专及中专以下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520</w:t>
            </w:r>
          </w:p>
        </w:tc>
      </w:tr>
    </w:tbl>
    <w:p>
      <w:pPr>
        <w:spacing w:line="240" w:lineRule="auto" w:before="3"/>
        <w:rPr>
          <w:rFonts w:ascii="宋体" w:hAnsi="宋体" w:cs="宋体" w:eastAsia="宋体" w:hint="default"/>
          <w:b/>
          <w:bCs/>
          <w:sz w:val="19"/>
          <w:szCs w:val="19"/>
        </w:rPr>
      </w:pPr>
    </w:p>
    <w:p>
      <w:pPr>
        <w:spacing w:before="34"/>
        <w:ind w:left="112" w:right="987" w:firstLine="0"/>
        <w:jc w:val="left"/>
        <w:rPr>
          <w:rFonts w:ascii="宋体" w:hAnsi="宋体" w:cs="宋体" w:eastAsia="宋体" w:hint="default"/>
          <w:sz w:val="21"/>
          <w:szCs w:val="21"/>
        </w:rPr>
      </w:pPr>
      <w:bookmarkStart w:name="2、薪酬政策" w:id="121"/>
      <w:bookmarkEnd w:id="12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line="408" w:lineRule="auto" w:before="0"/>
        <w:ind w:left="112" w:right="1135" w:firstLine="420"/>
        <w:jc w:val="both"/>
        <w:rPr>
          <w:rFonts w:ascii="宋体" w:hAnsi="宋体" w:cs="宋体" w:eastAsia="宋体" w:hint="default"/>
          <w:sz w:val="21"/>
          <w:szCs w:val="21"/>
        </w:rPr>
      </w:pPr>
      <w:r>
        <w:rPr>
          <w:rFonts w:ascii="宋体" w:hAnsi="宋体" w:cs="宋体" w:eastAsia="宋体" w:hint="default"/>
          <w:w w:val="95"/>
          <w:sz w:val="21"/>
          <w:szCs w:val="21"/>
        </w:rPr>
        <w:t>公司根据同行业薪酬情况，结合市场调研结果设定有合理的薪酬方案。同时，公司建立和完善员工激</w:t>
      </w:r>
      <w:r>
        <w:rPr>
          <w:rFonts w:ascii="宋体" w:hAnsi="宋体" w:cs="宋体" w:eastAsia="宋体" w:hint="default"/>
          <w:w w:val="99"/>
          <w:sz w:val="21"/>
          <w:szCs w:val="21"/>
        </w:rPr>
        <w:t> </w:t>
      </w:r>
      <w:r>
        <w:rPr>
          <w:rFonts w:ascii="宋体" w:hAnsi="宋体" w:cs="宋体" w:eastAsia="宋体" w:hint="default"/>
          <w:w w:val="95"/>
          <w:sz w:val="21"/>
          <w:szCs w:val="21"/>
        </w:rPr>
        <w:t>励考核体系，针对不同岗位制订了不同的绩效考核方案，在强化员工激励考核作用的同时，使公司整体的</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薪酬水平在行业内保持足够竞争力，以吸引和留住人才。</w:t>
      </w:r>
    </w:p>
    <w:p>
      <w:pPr>
        <w:spacing w:after="0" w:line="408" w:lineRule="auto"/>
        <w:jc w:val="both"/>
        <w:rPr>
          <w:rFonts w:ascii="宋体" w:hAnsi="宋体" w:cs="宋体" w:eastAsia="宋体" w:hint="default"/>
          <w:sz w:val="21"/>
          <w:szCs w:val="21"/>
        </w:rPr>
        <w:sectPr>
          <w:pgSz w:w="11910" w:h="16840"/>
          <w:pgMar w:header="907" w:footer="1028" w:top="1100" w:bottom="1220" w:left="1020" w:right="0"/>
        </w:sectPr>
      </w:pPr>
    </w:p>
    <w:p>
      <w:pPr>
        <w:spacing w:line="240" w:lineRule="auto" w:before="10"/>
        <w:rPr>
          <w:rFonts w:ascii="宋体" w:hAnsi="宋体" w:cs="宋体" w:eastAsia="宋体" w:hint="default"/>
          <w:sz w:val="21"/>
          <w:szCs w:val="21"/>
        </w:rPr>
      </w:pPr>
    </w:p>
    <w:p>
      <w:pPr>
        <w:spacing w:before="34"/>
        <w:ind w:left="112" w:right="987" w:firstLine="0"/>
        <w:jc w:val="left"/>
        <w:rPr>
          <w:rFonts w:ascii="宋体" w:hAnsi="宋体" w:cs="宋体" w:eastAsia="宋体" w:hint="default"/>
          <w:sz w:val="21"/>
          <w:szCs w:val="21"/>
        </w:rPr>
      </w:pPr>
      <w:bookmarkStart w:name="3、培训计划" w:id="122"/>
      <w:bookmarkEnd w:id="12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08" w:lineRule="auto" w:before="0"/>
        <w:ind w:left="112" w:right="1135" w:firstLine="420"/>
        <w:jc w:val="both"/>
        <w:rPr>
          <w:rFonts w:ascii="宋体" w:hAnsi="宋体" w:cs="宋体" w:eastAsia="宋体" w:hint="default"/>
          <w:sz w:val="21"/>
          <w:szCs w:val="21"/>
        </w:rPr>
      </w:pPr>
      <w:r>
        <w:rPr>
          <w:rFonts w:ascii="宋体" w:hAnsi="宋体" w:cs="宋体" w:eastAsia="宋体" w:hint="default"/>
          <w:w w:val="95"/>
          <w:sz w:val="21"/>
          <w:szCs w:val="21"/>
        </w:rPr>
        <w:t>公司建立了完善的培训体系，拥有完整的年度培训计划，并积极寻求各种有效的培训资源，保证员工</w:t>
      </w:r>
      <w:r>
        <w:rPr>
          <w:rFonts w:ascii="宋体" w:hAnsi="宋体" w:cs="宋体" w:eastAsia="宋体" w:hint="default"/>
          <w:w w:val="99"/>
          <w:sz w:val="21"/>
          <w:szCs w:val="21"/>
        </w:rPr>
        <w:t> </w:t>
      </w:r>
      <w:r>
        <w:rPr>
          <w:rFonts w:ascii="宋体" w:hAnsi="宋体" w:cs="宋体" w:eastAsia="宋体" w:hint="default"/>
          <w:w w:val="95"/>
          <w:sz w:val="21"/>
          <w:szCs w:val="21"/>
        </w:rPr>
        <w:t>有充分的学习和成长机会。公司根据不同岗位安排培训，培训方式包括内训、拓展等，培训内容包括入职</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培训、技能培训、素质培训等。</w:t>
      </w:r>
    </w:p>
    <w:p>
      <w:pPr>
        <w:spacing w:line="408" w:lineRule="auto" w:before="84"/>
        <w:ind w:left="112" w:right="1025" w:firstLine="420"/>
        <w:jc w:val="left"/>
        <w:rPr>
          <w:rFonts w:ascii="宋体" w:hAnsi="宋体" w:cs="宋体" w:eastAsia="宋体" w:hint="default"/>
          <w:sz w:val="21"/>
          <w:szCs w:val="21"/>
        </w:rPr>
      </w:pPr>
      <w:r>
        <w:rPr>
          <w:rFonts w:ascii="宋体" w:hAnsi="宋体" w:cs="宋体" w:eastAsia="宋体" w:hint="default"/>
          <w:sz w:val="21"/>
          <w:szCs w:val="21"/>
        </w:rPr>
        <w:t>公司针对不同的群体做出有针对性的培训计划。针对管理人员，公司将人员分成四大类进行培训，分</w:t>
      </w:r>
      <w:r>
        <w:rPr>
          <w:rFonts w:ascii="宋体" w:hAnsi="宋体" w:cs="宋体" w:eastAsia="宋体" w:hint="default"/>
          <w:w w:val="99"/>
          <w:sz w:val="21"/>
          <w:szCs w:val="21"/>
        </w:rPr>
        <w:t> </w:t>
      </w:r>
      <w:r>
        <w:rPr>
          <w:rFonts w:ascii="宋体" w:hAnsi="宋体" w:cs="宋体" w:eastAsia="宋体" w:hint="default"/>
          <w:spacing w:val="-3"/>
          <w:sz w:val="21"/>
          <w:szCs w:val="21"/>
        </w:rPr>
        <w:t>别是综合管理类、生产质量类、财务类、销售类四大类培训。公司同专业技术院校合作培养专业技术人才，</w:t>
      </w:r>
      <w:r>
        <w:rPr>
          <w:rFonts w:ascii="宋体" w:hAnsi="宋体" w:cs="宋体" w:eastAsia="宋体" w:hint="default"/>
          <w:w w:val="99"/>
          <w:sz w:val="21"/>
          <w:szCs w:val="21"/>
        </w:rPr>
        <w:t> </w:t>
      </w:r>
      <w:r>
        <w:rPr>
          <w:rFonts w:ascii="宋体" w:hAnsi="宋体" w:cs="宋体" w:eastAsia="宋体" w:hint="default"/>
          <w:sz w:val="21"/>
          <w:szCs w:val="21"/>
        </w:rPr>
        <w:t>拓展公司人才培养通道，积极提升人才结构。</w:t>
      </w:r>
    </w:p>
    <w:p>
      <w:pPr>
        <w:spacing w:line="240" w:lineRule="auto" w:before="8"/>
        <w:rPr>
          <w:rFonts w:ascii="宋体" w:hAnsi="宋体" w:cs="宋体" w:eastAsia="宋体" w:hint="default"/>
          <w:sz w:val="20"/>
          <w:szCs w:val="20"/>
        </w:rPr>
      </w:pPr>
    </w:p>
    <w:p>
      <w:pPr>
        <w:spacing w:before="0"/>
        <w:ind w:left="112" w:right="987" w:firstLine="0"/>
        <w:jc w:val="left"/>
        <w:rPr>
          <w:rFonts w:ascii="宋体" w:hAnsi="宋体" w:cs="宋体" w:eastAsia="宋体" w:hint="default"/>
          <w:sz w:val="21"/>
          <w:szCs w:val="21"/>
        </w:rPr>
      </w:pPr>
      <w:bookmarkStart w:name="4、劳务外包情况" w:id="123"/>
      <w:bookmarkEnd w:id="12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93" w:right="1110" w:firstLine="0"/>
        <w:jc w:val="center"/>
        <w:rPr>
          <w:rFonts w:ascii="宋体" w:hAnsi="宋体" w:cs="宋体" w:eastAsia="宋体" w:hint="default"/>
          <w:sz w:val="32"/>
          <w:szCs w:val="32"/>
        </w:rPr>
      </w:pPr>
      <w:bookmarkStart w:name="第九节 公司治理" w:id="124"/>
      <w:bookmarkEnd w:id="124"/>
      <w:r>
        <w:rPr/>
      </w:r>
      <w:r>
        <w:rPr>
          <w:rFonts w:ascii="宋体" w:hAnsi="宋体" w:cs="宋体" w:eastAsia="宋体" w:hint="default"/>
          <w:b/>
          <w:bCs/>
          <w:sz w:val="32"/>
          <w:szCs w:val="32"/>
        </w:rPr>
        <w:t>第九节</w:t>
      </w:r>
      <w:r>
        <w:rPr>
          <w:rFonts w:ascii="宋体" w:hAnsi="宋体" w:cs="宋体" w:eastAsia="宋体" w:hint="default"/>
          <w:b/>
          <w:bCs/>
          <w:spacing w:val="-7"/>
          <w:sz w:val="32"/>
          <w:szCs w:val="32"/>
        </w:rPr>
        <w:t> </w:t>
      </w:r>
      <w:r>
        <w:rPr>
          <w:rFonts w:ascii="宋体" w:hAnsi="宋体" w:cs="宋体" w:eastAsia="宋体" w:hint="default"/>
          <w:b/>
          <w:bCs/>
          <w:sz w:val="32"/>
          <w:szCs w:val="32"/>
        </w:rPr>
        <w:t>公司治理</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before="26"/>
        <w:ind w:left="112" w:right="987" w:firstLine="0"/>
        <w:jc w:val="left"/>
        <w:rPr>
          <w:rFonts w:ascii="宋体" w:hAnsi="宋体" w:cs="宋体" w:eastAsia="宋体" w:hint="default"/>
          <w:sz w:val="24"/>
          <w:szCs w:val="24"/>
        </w:rPr>
      </w:pPr>
      <w:bookmarkStart w:name="一、公司治理的基本状况" w:id="125"/>
      <w:bookmarkEnd w:id="125"/>
      <w:r>
        <w:rPr/>
      </w:r>
      <w:r>
        <w:rPr>
          <w:rFonts w:ascii="宋体" w:hAnsi="宋体" w:cs="宋体" w:eastAsia="宋体" w:hint="default"/>
          <w:b/>
          <w:bCs/>
          <w:sz w:val="24"/>
          <w:szCs w:val="24"/>
        </w:rPr>
        <w:t>一、公司治理的基本状况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line="408" w:lineRule="auto" w:before="0"/>
        <w:ind w:left="112" w:right="1112" w:firstLine="420"/>
        <w:jc w:val="both"/>
        <w:rPr>
          <w:rFonts w:ascii="宋体" w:hAnsi="宋体" w:cs="宋体" w:eastAsia="宋体" w:hint="default"/>
          <w:sz w:val="21"/>
          <w:szCs w:val="21"/>
        </w:rPr>
      </w:pPr>
      <w:r>
        <w:rPr>
          <w:rFonts w:ascii="宋体" w:hAnsi="宋体" w:cs="宋体" w:eastAsia="宋体" w:hint="default"/>
          <w:spacing w:val="-14"/>
          <w:w w:val="99"/>
          <w:sz w:val="21"/>
          <w:szCs w:val="21"/>
        </w:rPr>
        <w:t>报告期内，公司严格按照《公司法》、《证券法》、《上市公司治理准则》、《深圳证券交易所创业板股票</w:t>
      </w:r>
      <w:r>
        <w:rPr>
          <w:rFonts w:ascii="宋体" w:hAnsi="宋体" w:cs="宋体" w:eastAsia="宋体" w:hint="default"/>
          <w:w w:val="99"/>
          <w:sz w:val="21"/>
          <w:szCs w:val="21"/>
        </w:rPr>
        <w:t> </w:t>
      </w:r>
      <w:r>
        <w:rPr>
          <w:rFonts w:ascii="宋体" w:hAnsi="宋体" w:cs="宋体" w:eastAsia="宋体" w:hint="default"/>
          <w:spacing w:val="-4"/>
          <w:w w:val="99"/>
          <w:sz w:val="21"/>
          <w:szCs w:val="21"/>
        </w:rPr>
        <w:t>上市规则》、《深圳证券交易所创业板上市公司规范运作指引》和其它相关法律法规、规范性文件的要求，</w:t>
      </w:r>
      <w:r>
        <w:rPr>
          <w:rFonts w:ascii="宋体" w:hAnsi="宋体" w:cs="宋体" w:eastAsia="宋体" w:hint="default"/>
          <w:w w:val="99"/>
          <w:sz w:val="21"/>
          <w:szCs w:val="21"/>
        </w:rPr>
        <w:t> </w:t>
      </w:r>
      <w:r>
        <w:rPr>
          <w:rFonts w:ascii="宋体" w:hAnsi="宋体" w:cs="宋体" w:eastAsia="宋体" w:hint="default"/>
          <w:w w:val="95"/>
          <w:sz w:val="21"/>
          <w:szCs w:val="21"/>
        </w:rPr>
        <w:t>不断完善公司治理结构，建立健全公司内部控制制度，以进一步提高公司治理水平。截至报告期末，公司</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sz w:val="21"/>
          <w:szCs w:val="21"/>
        </w:rPr>
        <w:t>治理的实际状况符合中国证监会、深圳证券交易所等发布的法律法规和规范性文件的要求。</w:t>
      </w:r>
    </w:p>
    <w:p>
      <w:pPr>
        <w:spacing w:line="441" w:lineRule="auto" w:before="87"/>
        <w:ind w:left="532" w:right="987" w:firstLine="0"/>
        <w:jc w:val="left"/>
        <w:rPr>
          <w:rFonts w:ascii="宋体" w:hAnsi="宋体" w:cs="宋体" w:eastAsia="宋体" w:hint="default"/>
          <w:sz w:val="21"/>
          <w:szCs w:val="21"/>
        </w:rPr>
      </w:pPr>
      <w:r>
        <w:rPr>
          <w:rFonts w:ascii="宋体" w:hAnsi="宋体" w:cs="宋体" w:eastAsia="宋体" w:hint="default"/>
          <w:sz w:val="21"/>
          <w:szCs w:val="21"/>
        </w:rPr>
        <w:t>（一）股东与股东大会</w:t>
      </w:r>
      <w:r>
        <w:rPr>
          <w:rFonts w:ascii="宋体" w:hAnsi="宋体" w:cs="宋体" w:eastAsia="宋体" w:hint="default"/>
          <w:w w:val="99"/>
          <w:sz w:val="21"/>
          <w:szCs w:val="21"/>
        </w:rPr>
        <w:t> </w:t>
      </w:r>
      <w:r>
        <w:rPr>
          <w:rFonts w:ascii="宋体" w:hAnsi="宋体" w:cs="宋体" w:eastAsia="宋体" w:hint="default"/>
          <w:spacing w:val="-10"/>
          <w:w w:val="99"/>
          <w:sz w:val="21"/>
          <w:szCs w:val="21"/>
        </w:rPr>
        <w:t>公司严格按照《上市公司股东大会规则》、《深圳证券交易所创业板上市公司规范运作指引》和公司《股</w:t>
      </w:r>
      <w:r>
        <w:rPr>
          <w:rFonts w:ascii="宋体" w:hAnsi="宋体" w:cs="宋体" w:eastAsia="宋体" w:hint="default"/>
          <w:spacing w:val="-10"/>
          <w:sz w:val="21"/>
          <w:szCs w:val="21"/>
        </w:rPr>
      </w:r>
    </w:p>
    <w:p>
      <w:pPr>
        <w:spacing w:line="408" w:lineRule="auto" w:before="16"/>
        <w:ind w:left="112" w:right="1025" w:firstLine="0"/>
        <w:jc w:val="left"/>
        <w:rPr>
          <w:rFonts w:ascii="宋体" w:hAnsi="宋体" w:cs="宋体" w:eastAsia="宋体" w:hint="default"/>
          <w:sz w:val="21"/>
          <w:szCs w:val="21"/>
        </w:rPr>
      </w:pPr>
      <w:r>
        <w:rPr>
          <w:rFonts w:ascii="宋体" w:hAnsi="宋体" w:cs="宋体" w:eastAsia="宋体" w:hint="default"/>
          <w:spacing w:val="-3"/>
          <w:sz w:val="21"/>
          <w:szCs w:val="21"/>
        </w:rPr>
        <w:t>东大会议事规则》等的规定和要求召集、召开股东大会，能够确保全体股东特别是中小股东享有平等地位，</w:t>
      </w:r>
      <w:r>
        <w:rPr>
          <w:rFonts w:ascii="宋体" w:hAnsi="宋体" w:cs="宋体" w:eastAsia="宋体" w:hint="default"/>
          <w:w w:val="99"/>
          <w:sz w:val="21"/>
          <w:szCs w:val="21"/>
        </w:rPr>
        <w:t> </w:t>
      </w:r>
      <w:r>
        <w:rPr>
          <w:rFonts w:ascii="宋体" w:hAnsi="宋体" w:cs="宋体" w:eastAsia="宋体" w:hint="default"/>
          <w:sz w:val="21"/>
          <w:szCs w:val="21"/>
        </w:rPr>
        <w:t>充分行使自己的权力。报告期内公司共召开了一次股东大会，会议均由董事会召集召开。</w:t>
      </w:r>
    </w:p>
    <w:p>
      <w:pPr>
        <w:spacing w:line="444" w:lineRule="auto" w:before="87"/>
        <w:ind w:left="532" w:right="987" w:firstLine="0"/>
        <w:jc w:val="left"/>
        <w:rPr>
          <w:rFonts w:ascii="宋体" w:hAnsi="宋体" w:cs="宋体" w:eastAsia="宋体" w:hint="default"/>
          <w:sz w:val="21"/>
          <w:szCs w:val="21"/>
        </w:rPr>
      </w:pPr>
      <w:r>
        <w:rPr>
          <w:rFonts w:ascii="宋体" w:hAnsi="宋体" w:cs="宋体" w:eastAsia="宋体" w:hint="default"/>
          <w:sz w:val="21"/>
          <w:szCs w:val="21"/>
        </w:rPr>
        <w:t>（二）董事和董事会</w:t>
      </w:r>
      <w:r>
        <w:rPr>
          <w:rFonts w:ascii="宋体" w:hAnsi="宋体" w:cs="宋体" w:eastAsia="宋体" w:hint="default"/>
          <w:w w:val="99"/>
          <w:sz w:val="21"/>
          <w:szCs w:val="21"/>
        </w:rPr>
        <w:t> </w:t>
      </w:r>
      <w:r>
        <w:rPr>
          <w:rFonts w:ascii="宋体" w:hAnsi="宋体" w:cs="宋体" w:eastAsia="宋体" w:hint="default"/>
          <w:spacing w:val="-5"/>
          <w:w w:val="99"/>
          <w:sz w:val="21"/>
          <w:szCs w:val="21"/>
        </w:rPr>
        <w:t>公司已制定《董事会议事规则》、《独立董事工作制度》及专业委员会议事规则等确保董事会规范、高</w:t>
      </w:r>
      <w:r>
        <w:rPr>
          <w:rFonts w:ascii="宋体" w:hAnsi="宋体" w:cs="宋体" w:eastAsia="宋体" w:hint="default"/>
          <w:spacing w:val="-5"/>
          <w:sz w:val="21"/>
          <w:szCs w:val="21"/>
        </w:rPr>
      </w:r>
    </w:p>
    <w:p>
      <w:pPr>
        <w:spacing w:line="408" w:lineRule="auto" w:before="14"/>
        <w:ind w:left="112" w:right="1025" w:firstLine="0"/>
        <w:jc w:val="left"/>
        <w:rPr>
          <w:rFonts w:ascii="宋体" w:hAnsi="宋体" w:cs="宋体" w:eastAsia="宋体" w:hint="default"/>
          <w:sz w:val="21"/>
          <w:szCs w:val="21"/>
        </w:rPr>
      </w:pPr>
      <w:r>
        <w:rPr>
          <w:rFonts w:ascii="宋体" w:hAnsi="宋体" w:cs="宋体" w:eastAsia="宋体" w:hint="default"/>
          <w:sz w:val="21"/>
          <w:szCs w:val="21"/>
        </w:rPr>
        <w:t>效运作和审慎、科学决策。公司董事会由九名成员组成，其中独立董事三名，人员符合有关法律、法规、</w:t>
      </w:r>
      <w:r>
        <w:rPr>
          <w:rFonts w:ascii="宋体" w:hAnsi="宋体" w:cs="宋体" w:eastAsia="宋体" w:hint="default"/>
          <w:w w:val="99"/>
          <w:sz w:val="21"/>
          <w:szCs w:val="21"/>
        </w:rPr>
        <w:t> </w:t>
      </w:r>
      <w:r>
        <w:rPr>
          <w:rFonts w:ascii="宋体" w:hAnsi="宋体" w:cs="宋体" w:eastAsia="宋体" w:hint="default"/>
          <w:spacing w:val="-3"/>
          <w:sz w:val="21"/>
          <w:szCs w:val="21"/>
        </w:rPr>
        <w:t>公司章程等的要求，董事会成员包含业内专家和其它专业人士，具有履行职务所必需的知识、技能和素质。</w:t>
      </w:r>
      <w:r>
        <w:rPr>
          <w:rFonts w:ascii="宋体" w:hAnsi="宋体" w:cs="宋体" w:eastAsia="宋体" w:hint="default"/>
          <w:w w:val="99"/>
          <w:sz w:val="21"/>
          <w:szCs w:val="21"/>
        </w:rPr>
        <w:t> </w:t>
      </w:r>
      <w:r>
        <w:rPr>
          <w:rFonts w:ascii="宋体" w:hAnsi="宋体" w:cs="宋体" w:eastAsia="宋体" w:hint="default"/>
          <w:sz w:val="21"/>
          <w:szCs w:val="21"/>
        </w:rPr>
        <w:t>董事会会议严格按照董事会议事规则召开，本年共召开董事会会议五次。公司按照《深圳证券交易所创业</w:t>
      </w:r>
      <w:r>
        <w:rPr>
          <w:rFonts w:ascii="宋体" w:hAnsi="宋体" w:cs="宋体" w:eastAsia="宋体" w:hint="default"/>
          <w:w w:val="99"/>
          <w:sz w:val="21"/>
          <w:szCs w:val="21"/>
        </w:rPr>
        <w:t> </w:t>
      </w:r>
      <w:r>
        <w:rPr>
          <w:rFonts w:ascii="宋体" w:hAnsi="宋体" w:cs="宋体" w:eastAsia="宋体" w:hint="default"/>
          <w:sz w:val="21"/>
          <w:szCs w:val="21"/>
        </w:rPr>
        <w:t>板上市公司规范运作指引》的要求，下设有战略委员会、薪酬与考核委员会、审计委员会、提名委员会四</w:t>
      </w:r>
      <w:r>
        <w:rPr>
          <w:rFonts w:ascii="宋体" w:hAnsi="宋体" w:cs="宋体" w:eastAsia="宋体" w:hint="default"/>
          <w:w w:val="99"/>
          <w:sz w:val="21"/>
          <w:szCs w:val="21"/>
        </w:rPr>
        <w:t> </w:t>
      </w:r>
      <w:r>
        <w:rPr>
          <w:rFonts w:ascii="宋体" w:hAnsi="宋体" w:cs="宋体" w:eastAsia="宋体" w:hint="default"/>
          <w:sz w:val="21"/>
          <w:szCs w:val="21"/>
        </w:rPr>
        <w:t>个专门委员会，各专业委员会认真履职，充分发挥其职能。</w:t>
      </w:r>
    </w:p>
    <w:p>
      <w:pPr>
        <w:spacing w:line="444" w:lineRule="auto" w:before="84"/>
        <w:ind w:left="532" w:right="987" w:firstLine="0"/>
        <w:jc w:val="left"/>
        <w:rPr>
          <w:rFonts w:ascii="宋体" w:hAnsi="宋体" w:cs="宋体" w:eastAsia="宋体" w:hint="default"/>
          <w:sz w:val="21"/>
          <w:szCs w:val="21"/>
        </w:rPr>
      </w:pPr>
      <w:r>
        <w:rPr>
          <w:rFonts w:ascii="宋体" w:hAnsi="宋体" w:cs="宋体" w:eastAsia="宋体" w:hint="default"/>
          <w:sz w:val="21"/>
          <w:szCs w:val="21"/>
        </w:rPr>
        <w:t>（三）监事和监事会</w:t>
      </w:r>
      <w:r>
        <w:rPr>
          <w:rFonts w:ascii="宋体" w:hAnsi="宋体" w:cs="宋体" w:eastAsia="宋体" w:hint="default"/>
          <w:w w:val="99"/>
          <w:sz w:val="21"/>
          <w:szCs w:val="21"/>
        </w:rPr>
        <w:t> </w:t>
      </w:r>
      <w:r>
        <w:rPr>
          <w:rFonts w:ascii="宋体" w:hAnsi="宋体" w:cs="宋体" w:eastAsia="宋体" w:hint="default"/>
          <w:w w:val="95"/>
          <w:sz w:val="21"/>
          <w:szCs w:val="21"/>
        </w:rPr>
        <w:t>公司已制定《监事会议事规则》等制度确保监事会向全体股东负责，对公司财务以及公司董事、经理</w:t>
      </w:r>
      <w:r>
        <w:rPr>
          <w:rFonts w:ascii="宋体" w:hAnsi="宋体" w:cs="宋体" w:eastAsia="宋体" w:hint="default"/>
          <w:sz w:val="21"/>
          <w:szCs w:val="21"/>
        </w:rPr>
      </w:r>
    </w:p>
    <w:p>
      <w:pPr>
        <w:spacing w:line="403" w:lineRule="auto" w:before="14"/>
        <w:ind w:left="112" w:right="1112" w:firstLine="0"/>
        <w:jc w:val="both"/>
        <w:rPr>
          <w:rFonts w:ascii="宋体" w:hAnsi="宋体" w:cs="宋体" w:eastAsia="宋体" w:hint="default"/>
          <w:sz w:val="21"/>
          <w:szCs w:val="21"/>
        </w:rPr>
      </w:pPr>
      <w:r>
        <w:rPr>
          <w:rFonts w:ascii="宋体" w:hAnsi="宋体" w:cs="宋体" w:eastAsia="宋体" w:hint="default"/>
          <w:w w:val="95"/>
          <w:sz w:val="21"/>
          <w:szCs w:val="21"/>
        </w:rPr>
        <w:t>及其他高级管理人员履行职责的合法合规性进行有效监督，维护公司及股东的合法权益。公司也采取了有</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效措施保障监事的知情权。公司监事会由三名成员组成，其中职工代表监事一名，监事会成员具备法律、</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会计方面的专业知识和工作经验</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具备合理的专业结构，能够独立有效地行使对董事、经理和其他高级管</w:t>
      </w:r>
      <w:r>
        <w:rPr>
          <w:rFonts w:ascii="宋体" w:hAnsi="宋体" w:cs="宋体" w:eastAsia="宋体" w:hint="default"/>
          <w:w w:val="99"/>
          <w:sz w:val="21"/>
          <w:szCs w:val="21"/>
        </w:rPr>
        <w:t> </w:t>
      </w:r>
      <w:r>
        <w:rPr>
          <w:rFonts w:ascii="宋体" w:hAnsi="宋体" w:cs="宋体" w:eastAsia="宋体" w:hint="default"/>
          <w:w w:val="95"/>
          <w:sz w:val="21"/>
          <w:szCs w:val="21"/>
        </w:rPr>
        <w:t>理人员进行监督。报告期内，监事会共召开监事会会议五次，监事会成员列席或出席了报告期内的所有董</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事会和股东大会。</w:t>
      </w:r>
    </w:p>
    <w:p>
      <w:pPr>
        <w:spacing w:line="441" w:lineRule="auto" w:before="91"/>
        <w:ind w:left="532" w:right="987" w:firstLine="0"/>
        <w:jc w:val="left"/>
        <w:rPr>
          <w:rFonts w:ascii="宋体" w:hAnsi="宋体" w:cs="宋体" w:eastAsia="宋体" w:hint="default"/>
          <w:sz w:val="21"/>
          <w:szCs w:val="21"/>
        </w:rPr>
      </w:pPr>
      <w:r>
        <w:rPr>
          <w:rFonts w:ascii="宋体" w:hAnsi="宋体" w:cs="宋体" w:eastAsia="宋体" w:hint="default"/>
          <w:sz w:val="21"/>
          <w:szCs w:val="21"/>
        </w:rPr>
        <w:t>（四）关于绩效评价与激励约束机制</w:t>
      </w:r>
      <w:r>
        <w:rPr>
          <w:rFonts w:ascii="宋体" w:hAnsi="宋体" w:cs="宋体" w:eastAsia="宋体" w:hint="default"/>
          <w:w w:val="99"/>
          <w:sz w:val="21"/>
          <w:szCs w:val="21"/>
        </w:rPr>
        <w:t> </w:t>
      </w:r>
      <w:r>
        <w:rPr>
          <w:rFonts w:ascii="宋体" w:hAnsi="宋体" w:cs="宋体" w:eastAsia="宋体" w:hint="default"/>
          <w:w w:val="95"/>
          <w:sz w:val="21"/>
          <w:szCs w:val="21"/>
        </w:rPr>
        <w:t>公司董事会下设的薪酬和考核委员会负责对公司的董事、监事、高管进行绩效考核，公司现有的考核</w:t>
      </w:r>
      <w:r>
        <w:rPr>
          <w:rFonts w:ascii="宋体" w:hAnsi="宋体" w:cs="宋体" w:eastAsia="宋体" w:hint="default"/>
          <w:sz w:val="21"/>
          <w:szCs w:val="21"/>
        </w:rPr>
      </w:r>
    </w:p>
    <w:p>
      <w:pPr>
        <w:spacing w:before="16"/>
        <w:ind w:left="112" w:right="987" w:firstLine="0"/>
        <w:jc w:val="left"/>
        <w:rPr>
          <w:rFonts w:ascii="宋体" w:hAnsi="宋体" w:cs="宋体" w:eastAsia="宋体" w:hint="default"/>
          <w:sz w:val="21"/>
          <w:szCs w:val="21"/>
        </w:rPr>
      </w:pPr>
      <w:r>
        <w:rPr>
          <w:rFonts w:ascii="宋体" w:hAnsi="宋体" w:cs="宋体" w:eastAsia="宋体" w:hint="default"/>
          <w:sz w:val="21"/>
          <w:szCs w:val="21"/>
        </w:rPr>
        <w:t>及激励约束机制基本符合公司的发展现状。</w:t>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line="444" w:lineRule="auto" w:before="34"/>
        <w:ind w:left="532" w:right="987" w:firstLine="0"/>
        <w:jc w:val="left"/>
        <w:rPr>
          <w:rFonts w:ascii="宋体" w:hAnsi="宋体" w:cs="宋体" w:eastAsia="宋体" w:hint="default"/>
          <w:sz w:val="21"/>
          <w:szCs w:val="21"/>
        </w:rPr>
      </w:pPr>
      <w:r>
        <w:rPr>
          <w:rFonts w:ascii="宋体" w:hAnsi="宋体" w:cs="宋体" w:eastAsia="宋体" w:hint="default"/>
          <w:sz w:val="21"/>
          <w:szCs w:val="21"/>
        </w:rPr>
        <w:t>（五）信息披露与透明度</w:t>
      </w:r>
      <w:r>
        <w:rPr>
          <w:rFonts w:ascii="宋体" w:hAnsi="宋体" w:cs="宋体" w:eastAsia="宋体" w:hint="default"/>
          <w:w w:val="99"/>
          <w:sz w:val="21"/>
          <w:szCs w:val="21"/>
        </w:rPr>
        <w:t> </w:t>
      </w:r>
      <w:r>
        <w:rPr>
          <w:rFonts w:ascii="宋体" w:hAnsi="宋体" w:cs="宋体" w:eastAsia="宋体" w:hint="default"/>
          <w:w w:val="95"/>
          <w:sz w:val="21"/>
          <w:szCs w:val="21"/>
        </w:rPr>
        <w:t>公司严格按照有关法律法规和公司《信息披露管理制度》的规定，加强信息披露事务管理，履行信息</w:t>
      </w:r>
      <w:r>
        <w:rPr>
          <w:rFonts w:ascii="宋体" w:hAnsi="宋体" w:cs="宋体" w:eastAsia="宋体" w:hint="default"/>
          <w:sz w:val="21"/>
          <w:szCs w:val="21"/>
        </w:rPr>
      </w:r>
    </w:p>
    <w:p>
      <w:pPr>
        <w:spacing w:line="408" w:lineRule="auto" w:before="14"/>
        <w:ind w:left="112" w:right="1135" w:firstLine="0"/>
        <w:jc w:val="both"/>
        <w:rPr>
          <w:rFonts w:ascii="宋体" w:hAnsi="宋体" w:cs="宋体" w:eastAsia="宋体" w:hint="default"/>
          <w:sz w:val="21"/>
          <w:szCs w:val="21"/>
        </w:rPr>
      </w:pPr>
      <w:r>
        <w:rPr>
          <w:rFonts w:ascii="宋体" w:hAnsi="宋体" w:cs="宋体" w:eastAsia="宋体" w:hint="default"/>
          <w:spacing w:val="-5"/>
          <w:w w:val="99"/>
          <w:sz w:val="21"/>
          <w:szCs w:val="21"/>
        </w:rPr>
        <w:t>披露义务，并指定巨潮资讯网为公司信息披露的网站和《证券时报》、《证券日报》作为公司信息披露的报</w:t>
      </w:r>
      <w:r>
        <w:rPr>
          <w:rFonts w:ascii="宋体" w:hAnsi="宋体" w:cs="宋体" w:eastAsia="宋体" w:hint="default"/>
          <w:spacing w:val="-80"/>
          <w:w w:val="99"/>
          <w:sz w:val="21"/>
          <w:szCs w:val="21"/>
        </w:rPr>
        <w:t> </w:t>
      </w:r>
      <w:r>
        <w:rPr>
          <w:rFonts w:ascii="宋体" w:hAnsi="宋体" w:cs="宋体" w:eastAsia="宋体" w:hint="default"/>
          <w:spacing w:val="-80"/>
          <w:w w:val="99"/>
          <w:sz w:val="21"/>
          <w:szCs w:val="21"/>
        </w:rPr>
      </w:r>
      <w:r>
        <w:rPr>
          <w:rFonts w:ascii="宋体" w:hAnsi="宋体" w:cs="宋体" w:eastAsia="宋体" w:hint="default"/>
          <w:w w:val="95"/>
          <w:sz w:val="21"/>
          <w:szCs w:val="21"/>
        </w:rPr>
        <w:t>纸。真实、准确、及时、完整地披露信息，确保所有投资者公平获取公司信息。公司按照《投资者关系管</w:t>
      </w:r>
      <w:r>
        <w:rPr>
          <w:rFonts w:ascii="宋体" w:hAnsi="宋体" w:cs="宋体" w:eastAsia="宋体" w:hint="default"/>
          <w:spacing w:val="36"/>
          <w:w w:val="95"/>
          <w:sz w:val="21"/>
          <w:szCs w:val="21"/>
        </w:rPr>
        <w:t> </w:t>
      </w:r>
      <w:r>
        <w:rPr>
          <w:rFonts w:ascii="宋体" w:hAnsi="宋体" w:cs="宋体" w:eastAsia="宋体" w:hint="default"/>
          <w:spacing w:val="36"/>
          <w:w w:val="95"/>
          <w:sz w:val="21"/>
          <w:szCs w:val="21"/>
        </w:rPr>
      </w:r>
      <w:r>
        <w:rPr>
          <w:rFonts w:ascii="宋体" w:hAnsi="宋体" w:cs="宋体" w:eastAsia="宋体" w:hint="default"/>
          <w:sz w:val="21"/>
          <w:szCs w:val="21"/>
        </w:rPr>
        <w:t>理制度》的要求，加强与投资者的沟通，促进投资者对公司的了解和认同。</w:t>
      </w:r>
    </w:p>
    <w:p>
      <w:pPr>
        <w:spacing w:line="441" w:lineRule="auto" w:before="87"/>
        <w:ind w:left="532" w:right="987" w:firstLine="0"/>
        <w:jc w:val="left"/>
        <w:rPr>
          <w:rFonts w:ascii="宋体" w:hAnsi="宋体" w:cs="宋体" w:eastAsia="宋体" w:hint="default"/>
          <w:sz w:val="21"/>
          <w:szCs w:val="21"/>
        </w:rPr>
      </w:pPr>
      <w:r>
        <w:rPr>
          <w:rFonts w:ascii="宋体" w:hAnsi="宋体" w:cs="宋体" w:eastAsia="宋体" w:hint="default"/>
          <w:sz w:val="21"/>
          <w:szCs w:val="21"/>
        </w:rPr>
        <w:t>（六）年报信息披露重大差错责任追究制度</w:t>
      </w:r>
      <w:r>
        <w:rPr>
          <w:rFonts w:ascii="宋体" w:hAnsi="宋体" w:cs="宋体" w:eastAsia="宋体" w:hint="default"/>
          <w:w w:val="99"/>
          <w:sz w:val="21"/>
          <w:szCs w:val="21"/>
        </w:rPr>
        <w:t> </w:t>
      </w:r>
      <w:r>
        <w:rPr>
          <w:rFonts w:ascii="宋体" w:hAnsi="宋体" w:cs="宋体" w:eastAsia="宋体" w:hint="default"/>
          <w:w w:val="95"/>
          <w:sz w:val="21"/>
          <w:szCs w:val="21"/>
        </w:rPr>
        <w:t>公司严格按照有关法律法规和公司《年报信息披露重大差错责任追究制度》的规定加大对年报信息披</w:t>
      </w:r>
      <w:r>
        <w:rPr>
          <w:rFonts w:ascii="宋体" w:hAnsi="宋体" w:cs="宋体" w:eastAsia="宋体" w:hint="default"/>
          <w:sz w:val="21"/>
          <w:szCs w:val="21"/>
        </w:rPr>
      </w:r>
    </w:p>
    <w:p>
      <w:pPr>
        <w:spacing w:line="408" w:lineRule="auto" w:before="16"/>
        <w:ind w:left="112" w:right="1025" w:firstLine="0"/>
        <w:jc w:val="left"/>
        <w:rPr>
          <w:rFonts w:ascii="宋体" w:hAnsi="宋体" w:cs="宋体" w:eastAsia="宋体" w:hint="default"/>
          <w:sz w:val="21"/>
          <w:szCs w:val="21"/>
        </w:rPr>
      </w:pPr>
      <w:r>
        <w:rPr>
          <w:rFonts w:ascii="宋体" w:hAnsi="宋体" w:cs="宋体" w:eastAsia="宋体" w:hint="default"/>
          <w:spacing w:val="-3"/>
          <w:sz w:val="21"/>
          <w:szCs w:val="21"/>
        </w:rPr>
        <w:t>露责任人的问责力度，提高年报信息披露的质量和透明度，增强年报信息披露的真实性、准确性、完整性。</w:t>
      </w:r>
      <w:r>
        <w:rPr>
          <w:rFonts w:ascii="宋体" w:hAnsi="宋体" w:cs="宋体" w:eastAsia="宋体" w:hint="default"/>
          <w:w w:val="99"/>
          <w:sz w:val="21"/>
          <w:szCs w:val="21"/>
        </w:rPr>
        <w:t> </w:t>
      </w:r>
      <w:r>
        <w:rPr>
          <w:rFonts w:ascii="宋体" w:hAnsi="宋体" w:cs="宋体" w:eastAsia="宋体" w:hint="default"/>
          <w:sz w:val="21"/>
          <w:szCs w:val="21"/>
        </w:rPr>
        <w:t>报告期内公司未发生重大会计差错更正、重大遗漏信息补充以及业绩预告修正等情况。</w:t>
      </w:r>
    </w:p>
    <w:p>
      <w:pPr>
        <w:spacing w:line="444" w:lineRule="auto" w:before="87"/>
        <w:ind w:left="532" w:right="987" w:firstLine="0"/>
        <w:jc w:val="left"/>
        <w:rPr>
          <w:rFonts w:ascii="宋体" w:hAnsi="宋体" w:cs="宋体" w:eastAsia="宋体" w:hint="default"/>
          <w:sz w:val="21"/>
          <w:szCs w:val="21"/>
        </w:rPr>
      </w:pPr>
      <w:r>
        <w:rPr>
          <w:rFonts w:ascii="宋体" w:hAnsi="宋体" w:cs="宋体" w:eastAsia="宋体" w:hint="default"/>
          <w:sz w:val="21"/>
          <w:szCs w:val="21"/>
        </w:rPr>
        <w:t>（七）关于相关利益者</w:t>
      </w:r>
      <w:r>
        <w:rPr>
          <w:rFonts w:ascii="宋体" w:hAnsi="宋体" w:cs="宋体" w:eastAsia="宋体" w:hint="default"/>
          <w:w w:val="99"/>
          <w:sz w:val="21"/>
          <w:szCs w:val="21"/>
        </w:rPr>
        <w:t> </w:t>
      </w:r>
      <w:r>
        <w:rPr>
          <w:rFonts w:ascii="宋体" w:hAnsi="宋体" w:cs="宋体" w:eastAsia="宋体" w:hint="default"/>
          <w:w w:val="95"/>
          <w:sz w:val="21"/>
          <w:szCs w:val="21"/>
        </w:rPr>
        <w:t>公司充分尊重和维护利益相关者的合法权益，积极与相关利益者合作，加强与各方的沟通和交流，努</w:t>
      </w:r>
      <w:r>
        <w:rPr>
          <w:rFonts w:ascii="宋体" w:hAnsi="宋体" w:cs="宋体" w:eastAsia="宋体" w:hint="default"/>
          <w:sz w:val="21"/>
          <w:szCs w:val="21"/>
        </w:rPr>
      </w:r>
    </w:p>
    <w:p>
      <w:pPr>
        <w:spacing w:line="441" w:lineRule="auto" w:before="14"/>
        <w:ind w:left="532" w:right="987" w:hanging="420"/>
        <w:jc w:val="left"/>
        <w:rPr>
          <w:rFonts w:ascii="宋体" w:hAnsi="宋体" w:cs="宋体" w:eastAsia="宋体" w:hint="default"/>
          <w:sz w:val="21"/>
          <w:szCs w:val="21"/>
        </w:rPr>
      </w:pPr>
      <w:r>
        <w:rPr>
          <w:rFonts w:ascii="宋体" w:hAnsi="宋体" w:cs="宋体" w:eastAsia="宋体" w:hint="default"/>
          <w:w w:val="95"/>
          <w:sz w:val="21"/>
          <w:szCs w:val="21"/>
        </w:rPr>
        <w:t>力实现股东、客户、供应商、员工等社会各方利益的协调平衡，共同推动公司持续、稳定、健康地发展。</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w w:val="95"/>
          <w:sz w:val="21"/>
          <w:szCs w:val="21"/>
        </w:rPr>
        <w:t>公司治理的实际状况与中国证监会发布的有关上市公司治理的规范性文件是否存在重大差异：公司治</w:t>
      </w:r>
      <w:r>
        <w:rPr>
          <w:rFonts w:ascii="宋体" w:hAnsi="宋体" w:cs="宋体" w:eastAsia="宋体" w:hint="default"/>
          <w:sz w:val="21"/>
          <w:szCs w:val="21"/>
        </w:rPr>
      </w:r>
    </w:p>
    <w:p>
      <w:pPr>
        <w:spacing w:before="16"/>
        <w:ind w:left="112" w:right="0" w:firstLine="0"/>
        <w:jc w:val="both"/>
        <w:rPr>
          <w:rFonts w:ascii="宋体" w:hAnsi="宋体" w:cs="宋体" w:eastAsia="宋体" w:hint="default"/>
          <w:sz w:val="21"/>
          <w:szCs w:val="21"/>
        </w:rPr>
      </w:pPr>
      <w:r>
        <w:rPr>
          <w:rFonts w:ascii="宋体" w:hAnsi="宋体" w:cs="宋体" w:eastAsia="宋体" w:hint="default"/>
          <w:sz w:val="21"/>
          <w:szCs w:val="21"/>
        </w:rPr>
        <w:t>理的实际状况与中国证监会发布的有关上市公司治理的规范性文件不存在重大差异。</w:t>
      </w:r>
    </w:p>
    <w:p>
      <w:pPr>
        <w:spacing w:line="240" w:lineRule="auto" w:before="0"/>
        <w:rPr>
          <w:rFonts w:ascii="宋体" w:hAnsi="宋体" w:cs="宋体" w:eastAsia="宋体" w:hint="default"/>
          <w:sz w:val="20"/>
          <w:szCs w:val="20"/>
        </w:rPr>
      </w:pPr>
    </w:p>
    <w:p>
      <w:pPr>
        <w:spacing w:before="131"/>
        <w:ind w:left="112" w:right="0" w:firstLine="0"/>
        <w:jc w:val="both"/>
        <w:rPr>
          <w:rFonts w:ascii="宋体" w:hAnsi="宋体" w:cs="宋体" w:eastAsia="宋体" w:hint="default"/>
          <w:sz w:val="24"/>
          <w:szCs w:val="24"/>
        </w:rPr>
      </w:pPr>
      <w:bookmarkStart w:name="二、公司相对于控股股东在业务、人员、资产、机构、财务等方面的独立情况" w:id="126"/>
      <w:bookmarkEnd w:id="126"/>
      <w:r>
        <w:rPr/>
      </w: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line="408" w:lineRule="auto" w:before="0"/>
        <w:ind w:left="112" w:right="1132" w:firstLine="420"/>
        <w:jc w:val="both"/>
        <w:rPr>
          <w:rFonts w:ascii="宋体" w:hAnsi="宋体" w:cs="宋体" w:eastAsia="宋体" w:hint="default"/>
          <w:sz w:val="21"/>
          <w:szCs w:val="21"/>
        </w:rPr>
      </w:pPr>
      <w:r>
        <w:rPr>
          <w:rFonts w:ascii="宋体" w:hAnsi="宋体" w:cs="宋体" w:eastAsia="宋体" w:hint="default"/>
          <w:w w:val="95"/>
          <w:sz w:val="21"/>
          <w:szCs w:val="21"/>
        </w:rPr>
        <w:t>公司控股股东根据法律法规依法行使自身合法权利并承担相应义务。报告期内，未发生直接或间接干</w:t>
      </w:r>
      <w:r>
        <w:rPr>
          <w:rFonts w:ascii="宋体" w:hAnsi="宋体" w:cs="宋体" w:eastAsia="宋体" w:hint="default"/>
          <w:w w:val="99"/>
          <w:sz w:val="21"/>
          <w:szCs w:val="21"/>
        </w:rPr>
        <w:t> </w:t>
      </w:r>
      <w:r>
        <w:rPr>
          <w:rFonts w:ascii="宋体" w:hAnsi="宋体" w:cs="宋体" w:eastAsia="宋体" w:hint="default"/>
          <w:w w:val="95"/>
          <w:sz w:val="21"/>
          <w:szCs w:val="21"/>
        </w:rPr>
        <w:t>预公司决策和经营活动及利用其它控制地位侵害其它股东利益的行为。公司拥有独立完整的主营业务和自</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主经营能力，在业务、人员、资产、机构以及财务等方面均独立于控股股东和实际控制人。</w:t>
      </w:r>
    </w:p>
    <w:p>
      <w:pPr>
        <w:spacing w:line="420" w:lineRule="auto" w:before="84"/>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、业务独立</w:t>
      </w:r>
      <w:r>
        <w:rPr>
          <w:rFonts w:ascii="宋体" w:hAnsi="宋体" w:cs="宋体" w:eastAsia="宋体" w:hint="default"/>
          <w:w w:val="99"/>
          <w:sz w:val="21"/>
          <w:szCs w:val="21"/>
        </w:rPr>
        <w:t> </w:t>
      </w:r>
      <w:r>
        <w:rPr>
          <w:rFonts w:ascii="宋体" w:hAnsi="宋体" w:cs="宋体" w:eastAsia="宋体" w:hint="default"/>
          <w:w w:val="95"/>
          <w:sz w:val="21"/>
          <w:szCs w:val="21"/>
        </w:rPr>
        <w:t>公司拥有独立的生产经营场所，拥有独立的产、供、销体系，独立开展各项业务。不存在对公司控股</w:t>
      </w:r>
      <w:r>
        <w:rPr>
          <w:rFonts w:ascii="宋体" w:hAnsi="宋体" w:cs="宋体" w:eastAsia="宋体" w:hint="default"/>
          <w:sz w:val="21"/>
          <w:szCs w:val="21"/>
        </w:rPr>
      </w:r>
    </w:p>
    <w:p>
      <w:pPr>
        <w:spacing w:line="408" w:lineRule="auto" w:before="35"/>
        <w:ind w:left="112" w:right="987" w:firstLine="0"/>
        <w:jc w:val="left"/>
        <w:rPr>
          <w:rFonts w:ascii="宋体" w:hAnsi="宋体" w:cs="宋体" w:eastAsia="宋体" w:hint="default"/>
          <w:sz w:val="21"/>
          <w:szCs w:val="21"/>
        </w:rPr>
      </w:pPr>
      <w:r>
        <w:rPr>
          <w:rFonts w:ascii="宋体" w:hAnsi="宋体" w:cs="宋体" w:eastAsia="宋体" w:hint="default"/>
          <w:w w:val="95"/>
          <w:sz w:val="21"/>
          <w:szCs w:val="21"/>
        </w:rPr>
        <w:t>股东、实际控制人及其控制的其他企业或者第三方重大依赖的情形，与控股股东、实际控制人及其控制的</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其他企业不存在同业竞争。</w:t>
      </w:r>
    </w:p>
    <w:p>
      <w:pPr>
        <w:spacing w:line="417" w:lineRule="auto" w:before="87"/>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、人员独立</w:t>
      </w:r>
      <w:r>
        <w:rPr>
          <w:rFonts w:ascii="宋体" w:hAnsi="宋体" w:cs="宋体" w:eastAsia="宋体" w:hint="default"/>
          <w:w w:val="99"/>
          <w:sz w:val="21"/>
          <w:szCs w:val="21"/>
        </w:rPr>
        <w:t> </w:t>
      </w:r>
      <w:r>
        <w:rPr>
          <w:rFonts w:ascii="宋体" w:hAnsi="宋体" w:cs="宋体" w:eastAsia="宋体" w:hint="default"/>
          <w:w w:val="95"/>
          <w:sz w:val="21"/>
          <w:szCs w:val="21"/>
        </w:rPr>
        <w:t>公司建立了独立的劳动、人事和分配管理制度，公司总经理及其他高级管理人员专职在本公司工作、</w:t>
      </w:r>
      <w:r>
        <w:rPr>
          <w:rFonts w:ascii="宋体" w:hAnsi="宋体" w:cs="宋体" w:eastAsia="宋体" w:hint="default"/>
          <w:sz w:val="21"/>
          <w:szCs w:val="21"/>
        </w:rPr>
      </w:r>
    </w:p>
    <w:p>
      <w:pPr>
        <w:spacing w:line="408" w:lineRule="auto" w:before="37"/>
        <w:ind w:left="112" w:right="987" w:firstLine="0"/>
        <w:jc w:val="left"/>
        <w:rPr>
          <w:rFonts w:ascii="宋体" w:hAnsi="宋体" w:cs="宋体" w:eastAsia="宋体" w:hint="default"/>
          <w:sz w:val="21"/>
          <w:szCs w:val="21"/>
        </w:rPr>
      </w:pPr>
      <w:r>
        <w:rPr>
          <w:rFonts w:ascii="宋体" w:hAnsi="宋体" w:cs="宋体" w:eastAsia="宋体" w:hint="default"/>
          <w:w w:val="95"/>
          <w:sz w:val="21"/>
          <w:szCs w:val="21"/>
        </w:rPr>
        <w:t>领取薪酬，不存在在控股股东、实际控制人及其控制的其他企业中兼任除董事、监事之外职务及领取薪酬</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的情形。公司的财务人员均不存在在控股股东、实际控制人及其控制的其他企业中兼职的情形。</w:t>
      </w:r>
    </w:p>
    <w:p>
      <w:pPr>
        <w:spacing w:line="420" w:lineRule="auto" w:before="87"/>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、资产独立</w:t>
      </w:r>
      <w:r>
        <w:rPr>
          <w:rFonts w:ascii="宋体" w:hAnsi="宋体" w:cs="宋体" w:eastAsia="宋体" w:hint="default"/>
          <w:w w:val="99"/>
          <w:sz w:val="21"/>
          <w:szCs w:val="21"/>
        </w:rPr>
        <w:t> </w:t>
      </w:r>
      <w:r>
        <w:rPr>
          <w:rFonts w:ascii="宋体" w:hAnsi="宋体" w:cs="宋体" w:eastAsia="宋体" w:hint="default"/>
          <w:w w:val="95"/>
          <w:sz w:val="21"/>
          <w:szCs w:val="21"/>
        </w:rPr>
        <w:t>公司对所有生产经营所需的资产有完全的控制支配权，不存在资产、资金被控股股东和实际控制人占</w:t>
      </w:r>
      <w:r>
        <w:rPr>
          <w:rFonts w:ascii="宋体" w:hAnsi="宋体" w:cs="宋体" w:eastAsia="宋体" w:hint="default"/>
          <w:sz w:val="21"/>
          <w:szCs w:val="21"/>
        </w:rPr>
      </w:r>
    </w:p>
    <w:p>
      <w:pPr>
        <w:spacing w:after="0" w:line="420" w:lineRule="auto"/>
        <w:jc w:val="left"/>
        <w:rPr>
          <w:rFonts w:ascii="宋体" w:hAnsi="宋体" w:cs="宋体" w:eastAsia="宋体" w:hint="default"/>
          <w:sz w:val="21"/>
          <w:szCs w:val="21"/>
        </w:rPr>
        <w:sectPr>
          <w:footerReference w:type="default" r:id="rId29"/>
          <w:pgSz w:w="11910" w:h="16840"/>
          <w:pgMar w:footer="1028" w:header="907" w:top="1100" w:bottom="1220" w:left="1020" w:right="0"/>
          <w:pgNumType w:start="70"/>
        </w:sectPr>
      </w:pPr>
    </w:p>
    <w:p>
      <w:pPr>
        <w:spacing w:line="240" w:lineRule="auto" w:before="9"/>
        <w:rPr>
          <w:rFonts w:ascii="宋体" w:hAnsi="宋体" w:cs="宋体" w:eastAsia="宋体" w:hint="default"/>
          <w:sz w:val="27"/>
          <w:szCs w:val="27"/>
        </w:rPr>
      </w:pPr>
    </w:p>
    <w:p>
      <w:pPr>
        <w:spacing w:line="408" w:lineRule="auto" w:before="34"/>
        <w:ind w:left="112" w:right="987" w:firstLine="0"/>
        <w:jc w:val="left"/>
        <w:rPr>
          <w:rFonts w:ascii="宋体" w:hAnsi="宋体" w:cs="宋体" w:eastAsia="宋体" w:hint="default"/>
          <w:sz w:val="21"/>
          <w:szCs w:val="21"/>
        </w:rPr>
      </w:pPr>
      <w:r>
        <w:rPr>
          <w:rFonts w:ascii="宋体" w:hAnsi="宋体" w:cs="宋体" w:eastAsia="宋体" w:hint="default"/>
          <w:w w:val="95"/>
          <w:sz w:val="21"/>
          <w:szCs w:val="21"/>
        </w:rPr>
        <w:t>用的情形，不存在以资产、权益为控股股东和实际控制人担保的情形，本公司现有的资产独立、完整。没</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有以其资产为股东或个人债务以及其他法人或自然人提供任何形式的担保。</w:t>
      </w:r>
    </w:p>
    <w:p>
      <w:pPr>
        <w:spacing w:line="420" w:lineRule="auto" w:before="87"/>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、机构独立</w:t>
      </w:r>
      <w:r>
        <w:rPr>
          <w:rFonts w:ascii="宋体" w:hAnsi="宋体" w:cs="宋体" w:eastAsia="宋体" w:hint="default"/>
          <w:w w:val="99"/>
          <w:sz w:val="21"/>
          <w:szCs w:val="21"/>
        </w:rPr>
        <w:t> </w:t>
      </w:r>
      <w:r>
        <w:rPr>
          <w:rFonts w:ascii="宋体" w:hAnsi="宋体" w:cs="宋体" w:eastAsia="宋体" w:hint="default"/>
          <w:w w:val="95"/>
          <w:sz w:val="21"/>
          <w:szCs w:val="21"/>
        </w:rPr>
        <w:t>公司依法设立了股东大会、董事会、监事会等决策、执行、监督机构，并制定相应会议制度及议事规</w:t>
      </w:r>
      <w:r>
        <w:rPr>
          <w:rFonts w:ascii="宋体" w:hAnsi="宋体" w:cs="宋体" w:eastAsia="宋体" w:hint="default"/>
          <w:sz w:val="21"/>
          <w:szCs w:val="21"/>
        </w:rPr>
      </w:r>
    </w:p>
    <w:p>
      <w:pPr>
        <w:spacing w:line="432" w:lineRule="auto" w:before="35"/>
        <w:ind w:left="532" w:right="1130" w:hanging="420"/>
        <w:jc w:val="left"/>
        <w:rPr>
          <w:rFonts w:ascii="宋体" w:hAnsi="宋体" w:cs="宋体" w:eastAsia="宋体" w:hint="default"/>
          <w:sz w:val="21"/>
          <w:szCs w:val="21"/>
        </w:rPr>
      </w:pPr>
      <w:r>
        <w:rPr>
          <w:rFonts w:ascii="宋体" w:hAnsi="宋体" w:cs="宋体" w:eastAsia="宋体" w:hint="default"/>
          <w:sz w:val="21"/>
          <w:szCs w:val="21"/>
        </w:rPr>
        <w:t>则。公司各机构均独立于控股股东及其他股东，各项规章制度完善，法人治理结构规范有效。</w:t>
      </w:r>
      <w:r>
        <w:rPr>
          <w:rFonts w:ascii="宋体" w:hAnsi="宋体" w:cs="宋体" w:eastAsia="宋体" w:hint="default"/>
          <w:w w:val="9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、财务独立</w:t>
      </w:r>
      <w:r>
        <w:rPr>
          <w:rFonts w:ascii="宋体" w:hAnsi="宋体" w:cs="宋体" w:eastAsia="宋体" w:hint="default"/>
          <w:w w:val="99"/>
          <w:sz w:val="21"/>
          <w:szCs w:val="21"/>
        </w:rPr>
        <w:t> </w:t>
      </w:r>
      <w:r>
        <w:rPr>
          <w:rFonts w:ascii="宋体" w:hAnsi="宋体" w:cs="宋体" w:eastAsia="宋体" w:hint="default"/>
          <w:w w:val="95"/>
          <w:sz w:val="21"/>
          <w:szCs w:val="21"/>
        </w:rPr>
        <w:t>公司设置了独立的财务部门，并根据现行的会计准则及相关法规、条例，结合公司实际情况制定了财</w:t>
      </w:r>
      <w:r>
        <w:rPr>
          <w:rFonts w:ascii="宋体" w:hAnsi="宋体" w:cs="宋体" w:eastAsia="宋体" w:hint="default"/>
          <w:sz w:val="21"/>
          <w:szCs w:val="21"/>
        </w:rPr>
      </w:r>
    </w:p>
    <w:p>
      <w:pPr>
        <w:spacing w:line="408" w:lineRule="auto" w:before="25"/>
        <w:ind w:left="112" w:right="987" w:firstLine="0"/>
        <w:jc w:val="left"/>
        <w:rPr>
          <w:rFonts w:ascii="宋体" w:hAnsi="宋体" w:cs="宋体" w:eastAsia="宋体" w:hint="default"/>
          <w:sz w:val="21"/>
          <w:szCs w:val="21"/>
        </w:rPr>
      </w:pPr>
      <w:r>
        <w:rPr>
          <w:rFonts w:ascii="宋体" w:hAnsi="宋体" w:cs="宋体" w:eastAsia="宋体" w:hint="default"/>
          <w:w w:val="95"/>
          <w:sz w:val="21"/>
          <w:szCs w:val="21"/>
        </w:rPr>
        <w:t>务管理制度，建立了独立、完整的财务核算体系，能够独立作出财务决策。公司配备了必要财务人员从事</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公司财务核算工作，并在银行独立开设账户，依法独立纳税，不存在股东干预公司财务的情况。</w:t>
      </w:r>
    </w:p>
    <w:p>
      <w:pPr>
        <w:spacing w:line="240" w:lineRule="auto" w:before="8"/>
        <w:rPr>
          <w:rFonts w:ascii="宋体" w:hAnsi="宋体" w:cs="宋体" w:eastAsia="宋体" w:hint="default"/>
          <w:sz w:val="18"/>
          <w:szCs w:val="18"/>
        </w:rPr>
      </w:pPr>
    </w:p>
    <w:p>
      <w:pPr>
        <w:spacing w:before="0"/>
        <w:ind w:left="112" w:right="987" w:firstLine="0"/>
        <w:jc w:val="left"/>
        <w:rPr>
          <w:rFonts w:ascii="宋体" w:hAnsi="宋体" w:cs="宋体" w:eastAsia="宋体" w:hint="default"/>
          <w:sz w:val="24"/>
          <w:szCs w:val="24"/>
        </w:rPr>
      </w:pPr>
      <w:bookmarkStart w:name="三、同业竞争情况" w:id="127"/>
      <w:bookmarkEnd w:id="127"/>
      <w:r>
        <w:rPr/>
      </w:r>
      <w:r>
        <w:rPr>
          <w:rFonts w:ascii="宋体" w:hAnsi="宋体" w:cs="宋体" w:eastAsia="宋体" w:hint="default"/>
          <w:b/>
          <w:bCs/>
          <w:sz w:val="24"/>
          <w:szCs w:val="24"/>
        </w:rPr>
        <w:t>三、同业竞争情况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31"/>
        <w:ind w:left="112" w:right="987" w:firstLine="0"/>
        <w:jc w:val="left"/>
        <w:rPr>
          <w:rFonts w:ascii="宋体" w:hAnsi="宋体" w:cs="宋体" w:eastAsia="宋体" w:hint="default"/>
          <w:sz w:val="24"/>
          <w:szCs w:val="24"/>
        </w:rPr>
      </w:pPr>
      <w:bookmarkStart w:name="四、报告期内召开的年度股东大会和临时股东大会的有关情况" w:id="128"/>
      <w:bookmarkEnd w:id="128"/>
      <w:r>
        <w:rPr/>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本报告期股东大会情况" w:id="129"/>
      <w:bookmarkEnd w:id="12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29"/>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927" w:right="0"/>
              <w:jc w:val="left"/>
              <w:rPr>
                <w:rFonts w:ascii="Times New Roman" w:hAnsi="Times New Roman" w:cs="Times New Roman" w:eastAsia="Times New Roman" w:hint="default"/>
                <w:sz w:val="18"/>
                <w:szCs w:val="18"/>
              </w:rPr>
            </w:pPr>
            <w:r>
              <w:rPr>
                <w:rFonts w:ascii="Times New Roman"/>
                <w:sz w:val="18"/>
              </w:rPr>
              <w:t>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2"/>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巨潮资讯网，公告</w:t>
            </w:r>
            <w:r>
              <w:rPr>
                <w:rFonts w:ascii="宋体" w:hAnsi="宋体" w:cs="宋体" w:eastAsia="宋体" w:hint="default"/>
                <w:sz w:val="18"/>
                <w:szCs w:val="18"/>
              </w:rPr>
              <w:t> 编号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2018-031</w:t>
            </w:r>
          </w:p>
        </w:tc>
      </w:tr>
    </w:tbl>
    <w:p>
      <w:pPr>
        <w:spacing w:line="240" w:lineRule="auto" w:before="2"/>
        <w:rPr>
          <w:rFonts w:ascii="宋体" w:hAnsi="宋体" w:cs="宋体" w:eastAsia="宋体" w:hint="default"/>
          <w:b/>
          <w:bCs/>
          <w:sz w:val="19"/>
          <w:szCs w:val="19"/>
        </w:rPr>
      </w:pPr>
    </w:p>
    <w:p>
      <w:pPr>
        <w:spacing w:before="34"/>
        <w:ind w:left="112" w:right="987" w:firstLine="0"/>
        <w:jc w:val="left"/>
        <w:rPr>
          <w:rFonts w:ascii="宋体" w:hAnsi="宋体" w:cs="宋体" w:eastAsia="宋体" w:hint="default"/>
          <w:sz w:val="21"/>
          <w:szCs w:val="21"/>
        </w:rPr>
      </w:pPr>
      <w:bookmarkStart w:name="2、表决权恢复的优先股股东请求召开临时股东大会" w:id="130"/>
      <w:bookmarkEnd w:id="13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31"/>
        <w:ind w:left="112" w:right="987" w:firstLine="0"/>
        <w:jc w:val="left"/>
        <w:rPr>
          <w:rFonts w:ascii="宋体" w:hAnsi="宋体" w:cs="宋体" w:eastAsia="宋体" w:hint="default"/>
          <w:sz w:val="24"/>
          <w:szCs w:val="24"/>
        </w:rPr>
      </w:pPr>
      <w:bookmarkStart w:name="五、报告期内独立董事履行职责的情况" w:id="131"/>
      <w:bookmarkEnd w:id="131"/>
      <w:r>
        <w:rPr/>
      </w:r>
      <w:r>
        <w:rPr>
          <w:rFonts w:ascii="宋体" w:hAnsi="宋体" w:cs="宋体" w:eastAsia="宋体" w:hint="default"/>
          <w:b/>
          <w:bCs/>
          <w:sz w:val="24"/>
          <w:szCs w:val="24"/>
        </w:rPr>
        <w:t>五、报告期内独立董事履行职责的情况</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独立董事出席董事会及股东大会的情况" w:id="132"/>
      <w:bookmarkEnd w:id="13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26"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218" w:right="125" w:hanging="92"/>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26" w:right="124"/>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216" w:right="125" w:hanging="92"/>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395" w:right="124" w:hanging="269"/>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5" w:right="126"/>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7"/>
              <w:ind w:left="306"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王同孝</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r>
      <w:tr>
        <w:trPr>
          <w:trHeight w:val="400"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江霞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马训波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5"/>
        <w:rPr>
          <w:rFonts w:ascii="宋体" w:hAnsi="宋体" w:cs="宋体" w:eastAsia="宋体" w:hint="default"/>
          <w:b/>
          <w:bCs/>
          <w:sz w:val="5"/>
          <w:szCs w:val="5"/>
        </w:rPr>
      </w:pPr>
    </w:p>
    <w:p>
      <w:pPr>
        <w:spacing w:before="34"/>
        <w:ind w:left="532" w:right="987" w:firstLine="0"/>
        <w:jc w:val="left"/>
        <w:rPr>
          <w:rFonts w:ascii="宋体" w:hAnsi="宋体" w:cs="宋体" w:eastAsia="宋体" w:hint="default"/>
          <w:sz w:val="21"/>
          <w:szCs w:val="21"/>
        </w:rPr>
      </w:pPr>
      <w:r>
        <w:rPr>
          <w:rFonts w:ascii="宋体" w:hAnsi="宋体" w:cs="宋体" w:eastAsia="宋体" w:hint="default"/>
          <w:sz w:val="21"/>
          <w:szCs w:val="21"/>
        </w:rPr>
        <w:t>连续两次未亲自出席董事会的说明：不适用</w:t>
      </w:r>
    </w:p>
    <w:p>
      <w:pPr>
        <w:spacing w:line="240" w:lineRule="auto" w:before="0"/>
        <w:rPr>
          <w:rFonts w:ascii="宋体" w:hAnsi="宋体" w:cs="宋体" w:eastAsia="宋体" w:hint="default"/>
          <w:sz w:val="20"/>
          <w:szCs w:val="20"/>
        </w:rPr>
      </w:pPr>
    </w:p>
    <w:p>
      <w:pPr>
        <w:spacing w:line="568" w:lineRule="auto" w:before="154"/>
        <w:ind w:left="532" w:right="987" w:hanging="420"/>
        <w:jc w:val="left"/>
        <w:rPr>
          <w:rFonts w:ascii="宋体" w:hAnsi="宋体" w:cs="宋体" w:eastAsia="宋体" w:hint="default"/>
          <w:sz w:val="21"/>
          <w:szCs w:val="21"/>
        </w:rPr>
      </w:pPr>
      <w:bookmarkStart w:name="2、独立董事对公司有关事项提出异议的情况" w:id="133"/>
      <w:bookmarkEnd w:id="13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w w:val="95"/>
          <w:sz w:val="21"/>
          <w:szCs w:val="21"/>
        </w:rPr>
        <w:t>独立董事对公司有关事项是否提出异议：报告期内独立董事对公司有关事项未提出异议。</w:t>
      </w:r>
      <w:r>
        <w:rPr>
          <w:rFonts w:ascii="宋体" w:hAnsi="宋体" w:cs="宋体" w:eastAsia="宋体" w:hint="default"/>
          <w:sz w:val="21"/>
          <w:szCs w:val="21"/>
        </w:rPr>
      </w:r>
    </w:p>
    <w:p>
      <w:pPr>
        <w:pStyle w:val="Heading4"/>
        <w:spacing w:line="240" w:lineRule="auto" w:before="128"/>
        <w:ind w:right="0"/>
        <w:jc w:val="both"/>
        <w:rPr>
          <w:b w:val="0"/>
          <w:bCs w:val="0"/>
        </w:rPr>
      </w:pPr>
      <w:bookmarkStart w:name="3、独立董事履行职责的其他说明" w:id="134"/>
      <w:bookmarkEnd w:id="13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6"/>
        <w:rPr>
          <w:rFonts w:ascii="宋体" w:hAnsi="宋体" w:cs="宋体" w:eastAsia="宋体" w:hint="default"/>
          <w:b/>
          <w:bCs/>
          <w:sz w:val="30"/>
          <w:szCs w:val="30"/>
        </w:rPr>
      </w:pPr>
    </w:p>
    <w:p>
      <w:pPr>
        <w:spacing w:line="444" w:lineRule="auto"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独立董事对公司有关建议是否被采纳：√ 是 □</w:t>
      </w:r>
      <w:r>
        <w:rPr>
          <w:rFonts w:ascii="宋体" w:hAnsi="宋体" w:cs="宋体" w:eastAsia="宋体" w:hint="default"/>
          <w:spacing w:val="1"/>
          <w:sz w:val="21"/>
          <w:szCs w:val="21"/>
        </w:rPr>
        <w:t> </w:t>
      </w:r>
      <w:r>
        <w:rPr>
          <w:rFonts w:ascii="宋体" w:hAnsi="宋体" w:cs="宋体" w:eastAsia="宋体" w:hint="default"/>
          <w:sz w:val="21"/>
          <w:szCs w:val="21"/>
        </w:rPr>
        <w:t>否</w:t>
      </w:r>
      <w:r>
        <w:rPr>
          <w:rFonts w:ascii="宋体" w:hAnsi="宋体" w:cs="宋体" w:eastAsia="宋体" w:hint="default"/>
          <w:w w:val="99"/>
          <w:sz w:val="21"/>
          <w:szCs w:val="21"/>
        </w:rPr>
        <w:t> </w:t>
      </w:r>
      <w:r>
        <w:rPr>
          <w:rFonts w:ascii="宋体" w:hAnsi="宋体" w:cs="宋体" w:eastAsia="宋体" w:hint="default"/>
          <w:spacing w:val="-10"/>
          <w:w w:val="99"/>
          <w:sz w:val="21"/>
          <w:szCs w:val="21"/>
        </w:rPr>
        <w:t>独立董事对公司有关建议被采纳或未被采纳的说明：根据《公司法》、《证券法》、《深圳证券交易所创</w:t>
      </w:r>
      <w:r>
        <w:rPr>
          <w:rFonts w:ascii="宋体" w:hAnsi="宋体" w:cs="宋体" w:eastAsia="宋体" w:hint="default"/>
          <w:spacing w:val="-10"/>
          <w:sz w:val="21"/>
          <w:szCs w:val="21"/>
        </w:rPr>
      </w:r>
    </w:p>
    <w:p>
      <w:pPr>
        <w:spacing w:line="408" w:lineRule="auto" w:before="14"/>
        <w:ind w:left="112" w:right="1025" w:firstLine="0"/>
        <w:jc w:val="left"/>
        <w:rPr>
          <w:rFonts w:ascii="宋体" w:hAnsi="宋体" w:cs="宋体" w:eastAsia="宋体" w:hint="default"/>
          <w:sz w:val="21"/>
          <w:szCs w:val="21"/>
        </w:rPr>
      </w:pPr>
      <w:r>
        <w:rPr>
          <w:rFonts w:ascii="宋体" w:hAnsi="宋体" w:cs="宋体" w:eastAsia="宋体" w:hint="default"/>
          <w:spacing w:val="-5"/>
          <w:w w:val="99"/>
          <w:sz w:val="21"/>
          <w:szCs w:val="21"/>
        </w:rPr>
        <w:t>业板股票上市规则》及《公司章程》、《独立董事工作制度》等有关规定，公司独立董事关注公司运营，切</w:t>
      </w:r>
      <w:r>
        <w:rPr>
          <w:rFonts w:ascii="宋体" w:hAnsi="宋体" w:cs="宋体" w:eastAsia="宋体" w:hint="default"/>
          <w:spacing w:val="-77"/>
          <w:w w:val="99"/>
          <w:sz w:val="21"/>
          <w:szCs w:val="21"/>
        </w:rPr>
        <w:t> </w:t>
      </w:r>
      <w:r>
        <w:rPr>
          <w:rFonts w:ascii="宋体" w:hAnsi="宋体" w:cs="宋体" w:eastAsia="宋体" w:hint="default"/>
          <w:spacing w:val="-77"/>
          <w:w w:val="99"/>
          <w:sz w:val="21"/>
          <w:szCs w:val="21"/>
        </w:rPr>
      </w:r>
      <w:r>
        <w:rPr>
          <w:rFonts w:ascii="宋体" w:hAnsi="宋体" w:cs="宋体" w:eastAsia="宋体" w:hint="default"/>
          <w:spacing w:val="-3"/>
          <w:sz w:val="21"/>
          <w:szCs w:val="21"/>
        </w:rPr>
        <w:t>实履行职责，对公司重大经营决策和资本运作提出了很多宝贵的专业意见，公司结合实际情况予以了采纳。</w:t>
      </w:r>
    </w:p>
    <w:p>
      <w:pPr>
        <w:spacing w:line="408" w:lineRule="auto" w:before="87"/>
        <w:ind w:left="112" w:right="1019" w:firstLine="420"/>
        <w:jc w:val="left"/>
        <w:rPr>
          <w:rFonts w:ascii="宋体" w:hAnsi="宋体" w:cs="宋体" w:eastAsia="宋体" w:hint="default"/>
          <w:sz w:val="21"/>
          <w:szCs w:val="21"/>
        </w:rPr>
      </w:pPr>
      <w:r>
        <w:rPr>
          <w:rFonts w:ascii="宋体" w:hAnsi="宋体" w:cs="宋体" w:eastAsia="宋体" w:hint="default"/>
          <w:spacing w:val="-3"/>
          <w:sz w:val="21"/>
          <w:szCs w:val="21"/>
        </w:rPr>
        <w:t>报告期内，公司独立董事对控股股东及关联方非经营性资金占用情况、年度利润分配预案、关联交易、</w:t>
      </w:r>
      <w:r>
        <w:rPr>
          <w:rFonts w:ascii="宋体" w:hAnsi="宋体" w:cs="宋体" w:eastAsia="宋体" w:hint="default"/>
          <w:w w:val="99"/>
          <w:sz w:val="21"/>
          <w:szCs w:val="21"/>
        </w:rPr>
        <w:t> </w:t>
      </w:r>
      <w:r>
        <w:rPr>
          <w:rFonts w:ascii="宋体" w:hAnsi="宋体" w:cs="宋体" w:eastAsia="宋体" w:hint="default"/>
          <w:sz w:val="21"/>
          <w:szCs w:val="21"/>
        </w:rPr>
        <w:t>聘请年度审计机构、聘任高级管理人员等事项出具了客观、公正、独立的意见，充分发挥了独立董事的监</w:t>
      </w:r>
      <w:r>
        <w:rPr>
          <w:rFonts w:ascii="宋体" w:hAnsi="宋体" w:cs="宋体" w:eastAsia="宋体" w:hint="default"/>
          <w:w w:val="99"/>
          <w:sz w:val="21"/>
          <w:szCs w:val="21"/>
        </w:rPr>
        <w:t> </w:t>
      </w:r>
      <w:r>
        <w:rPr>
          <w:rFonts w:ascii="宋体" w:hAnsi="宋体" w:cs="宋体" w:eastAsia="宋体" w:hint="default"/>
          <w:sz w:val="21"/>
          <w:szCs w:val="21"/>
        </w:rPr>
        <w:t>督和指导作用，为推动公司规范运作，保障全体股东尤其是中小股东合法权益发挥了积极作用。</w:t>
      </w:r>
    </w:p>
    <w:p>
      <w:pPr>
        <w:spacing w:line="240" w:lineRule="auto" w:before="8"/>
        <w:rPr>
          <w:rFonts w:ascii="宋体" w:hAnsi="宋体" w:cs="宋体" w:eastAsia="宋体" w:hint="default"/>
          <w:sz w:val="18"/>
          <w:szCs w:val="18"/>
        </w:rPr>
      </w:pPr>
    </w:p>
    <w:p>
      <w:pPr>
        <w:spacing w:before="0"/>
        <w:ind w:left="112" w:right="0" w:firstLine="0"/>
        <w:jc w:val="both"/>
        <w:rPr>
          <w:rFonts w:ascii="宋体" w:hAnsi="宋体" w:cs="宋体" w:eastAsia="宋体" w:hint="default"/>
          <w:sz w:val="24"/>
          <w:szCs w:val="24"/>
        </w:rPr>
      </w:pPr>
      <w:bookmarkStart w:name="六、董事会下设专门委员会在报告期内履行职责情况" w:id="135"/>
      <w:bookmarkEnd w:id="135"/>
      <w:r>
        <w:rPr/>
      </w:r>
      <w:r>
        <w:rPr>
          <w:rFonts w:ascii="宋体" w:hAnsi="宋体" w:cs="宋体" w:eastAsia="宋体" w:hint="default"/>
          <w:b/>
          <w:bCs/>
          <w:sz w:val="24"/>
          <w:szCs w:val="24"/>
        </w:rPr>
        <w:t>六、董事会下设专门委员会在报告期内履行职责情况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line="408" w:lineRule="auto" w:before="0"/>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公司董事会下设审计委员会、战略委员会、提名委员会及薪酬与考核委员会四个专门委员会。其履职</w:t>
      </w:r>
      <w:r>
        <w:rPr>
          <w:rFonts w:ascii="宋体" w:hAnsi="宋体" w:cs="宋体" w:eastAsia="宋体" w:hint="default"/>
          <w:w w:val="99"/>
          <w:sz w:val="21"/>
          <w:szCs w:val="21"/>
        </w:rPr>
        <w:t> </w:t>
      </w:r>
      <w:r>
        <w:rPr>
          <w:rFonts w:ascii="宋体" w:hAnsi="宋体" w:cs="宋体" w:eastAsia="宋体" w:hint="default"/>
          <w:sz w:val="21"/>
          <w:szCs w:val="21"/>
        </w:rPr>
        <w:t>情况如下：</w:t>
      </w:r>
    </w:p>
    <w:p>
      <w:pPr>
        <w:spacing w:line="420" w:lineRule="auto" w:before="87"/>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、审计委员会的履职情况</w:t>
      </w:r>
      <w:r>
        <w:rPr>
          <w:rFonts w:ascii="宋体" w:hAnsi="宋体" w:cs="宋体" w:eastAsia="宋体" w:hint="default"/>
          <w:w w:val="99"/>
          <w:sz w:val="21"/>
          <w:szCs w:val="21"/>
        </w:rPr>
        <w:t> </w:t>
      </w:r>
      <w:r>
        <w:rPr>
          <w:rFonts w:ascii="宋体" w:hAnsi="宋体" w:cs="宋体" w:eastAsia="宋体" w:hint="default"/>
          <w:spacing w:val="-2"/>
          <w:w w:val="99"/>
          <w:sz w:val="21"/>
          <w:szCs w:val="21"/>
        </w:rPr>
        <w:t>报告期内，根据公司《董事会审计委员会议事规则》，审计委员会充分发挥了其在公司经营发展中的</w:t>
      </w:r>
      <w:r>
        <w:rPr>
          <w:rFonts w:ascii="宋体" w:hAnsi="宋体" w:cs="宋体" w:eastAsia="宋体" w:hint="default"/>
          <w:spacing w:val="-2"/>
          <w:sz w:val="21"/>
          <w:szCs w:val="21"/>
        </w:rPr>
      </w:r>
    </w:p>
    <w:p>
      <w:pPr>
        <w:spacing w:line="403" w:lineRule="auto" w:before="35"/>
        <w:ind w:left="112" w:right="1132" w:firstLine="0"/>
        <w:jc w:val="both"/>
        <w:rPr>
          <w:rFonts w:ascii="宋体" w:hAnsi="宋体" w:cs="宋体" w:eastAsia="宋体" w:hint="default"/>
          <w:sz w:val="21"/>
          <w:szCs w:val="21"/>
        </w:rPr>
      </w:pPr>
      <w:r>
        <w:rPr>
          <w:rFonts w:ascii="宋体" w:hAnsi="宋体" w:cs="宋体" w:eastAsia="宋体" w:hint="default"/>
          <w:w w:val="95"/>
          <w:sz w:val="21"/>
          <w:szCs w:val="21"/>
        </w:rPr>
        <w:t>审核与监督作用，主要负责监督公司内部控制实施情况、内部审计制度及其实施情况、以及外部审计机构</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的沟通协调工作。报告期内，审计委员会对公司内部审计制度进行了核查，认为公司内部审计制度体系符</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合相关法律法规规定，能够发现并有效防范相关风险。</w:t>
      </w:r>
      <w:r>
        <w:rPr>
          <w:rFonts w:ascii="Times New Roman" w:hAnsi="Times New Roman" w:cs="Times New Roman" w:eastAsia="Times New Roman" w:hint="default"/>
          <w:w w:val="95"/>
          <w:sz w:val="21"/>
          <w:szCs w:val="21"/>
        </w:rPr>
        <w:t>2018 </w:t>
      </w:r>
      <w:r>
        <w:rPr>
          <w:rFonts w:ascii="宋体" w:hAnsi="宋体" w:cs="宋体" w:eastAsia="宋体" w:hint="default"/>
          <w:w w:val="95"/>
          <w:sz w:val="21"/>
          <w:szCs w:val="21"/>
        </w:rPr>
        <w:t>年度，公司审计委员会重点对内部审计制度及</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其实施、重大关联交易、定期报告等进行核查和审议，并在年度审计期间组织现场座谈会，充分沟通年报</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审计相关工作。</w:t>
      </w:r>
    </w:p>
    <w:p>
      <w:pPr>
        <w:spacing w:line="420" w:lineRule="auto" w:before="88"/>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、战略委员会的履职情况</w:t>
      </w:r>
      <w:r>
        <w:rPr>
          <w:rFonts w:ascii="宋体" w:hAnsi="宋体" w:cs="宋体" w:eastAsia="宋体" w:hint="default"/>
          <w:w w:val="99"/>
          <w:sz w:val="21"/>
          <w:szCs w:val="21"/>
        </w:rPr>
        <w:t> </w:t>
      </w:r>
      <w:r>
        <w:rPr>
          <w:rFonts w:ascii="宋体" w:hAnsi="宋体" w:cs="宋体" w:eastAsia="宋体" w:hint="default"/>
          <w:w w:val="95"/>
          <w:sz w:val="21"/>
          <w:szCs w:val="21"/>
        </w:rPr>
        <w:t>报告期内，公司战略委员会根据公司《董事会战略委员会议事规则》的规定，结合国内外经济形势和</w:t>
      </w:r>
      <w:r>
        <w:rPr>
          <w:rFonts w:ascii="宋体" w:hAnsi="宋体" w:cs="宋体" w:eastAsia="宋体" w:hint="default"/>
          <w:sz w:val="21"/>
          <w:szCs w:val="21"/>
        </w:rPr>
      </w:r>
    </w:p>
    <w:p>
      <w:pPr>
        <w:spacing w:line="408" w:lineRule="auto" w:before="35"/>
        <w:ind w:left="112" w:right="1132" w:firstLine="0"/>
        <w:jc w:val="both"/>
        <w:rPr>
          <w:rFonts w:ascii="宋体" w:hAnsi="宋体" w:cs="宋体" w:eastAsia="宋体" w:hint="default"/>
          <w:sz w:val="21"/>
          <w:szCs w:val="21"/>
        </w:rPr>
      </w:pPr>
      <w:r>
        <w:rPr>
          <w:rFonts w:ascii="宋体" w:hAnsi="宋体" w:cs="宋体" w:eastAsia="宋体" w:hint="default"/>
          <w:w w:val="95"/>
          <w:sz w:val="21"/>
          <w:szCs w:val="21"/>
        </w:rPr>
        <w:t>公司所处行业特点，对公司经营现状、发展前景、公司目前所处的风险和机遇进行了深入分析，重点对公</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w w:val="95"/>
          <w:sz w:val="21"/>
          <w:szCs w:val="21"/>
        </w:rPr>
        <w:t>司煤矿安全业务划转至全资子公司、公司实行集团化管理模式的发展战略规划进行研究，对公司中长期战</w:t>
      </w:r>
      <w:r>
        <w:rPr>
          <w:rFonts w:ascii="宋体" w:hAnsi="宋体" w:cs="宋体" w:eastAsia="宋体" w:hint="default"/>
          <w:sz w:val="21"/>
          <w:szCs w:val="21"/>
        </w:rPr>
      </w:r>
    </w:p>
    <w:p>
      <w:pPr>
        <w:spacing w:after="0" w:line="408" w:lineRule="auto"/>
        <w:jc w:val="both"/>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before="34"/>
        <w:ind w:left="112" w:right="987" w:firstLine="0"/>
        <w:jc w:val="left"/>
        <w:rPr>
          <w:rFonts w:ascii="宋体" w:hAnsi="宋体" w:cs="宋体" w:eastAsia="宋体" w:hint="default"/>
          <w:sz w:val="21"/>
          <w:szCs w:val="21"/>
        </w:rPr>
      </w:pPr>
      <w:r>
        <w:rPr>
          <w:rFonts w:ascii="宋体" w:hAnsi="宋体" w:cs="宋体" w:eastAsia="宋体" w:hint="default"/>
          <w:sz w:val="21"/>
          <w:szCs w:val="21"/>
        </w:rPr>
        <w:t>略制定及发展发挥重要作用。</w:t>
      </w:r>
    </w:p>
    <w:p>
      <w:pPr>
        <w:spacing w:line="240" w:lineRule="auto" w:before="12"/>
        <w:rPr>
          <w:rFonts w:ascii="宋体" w:hAnsi="宋体" w:cs="宋体" w:eastAsia="宋体" w:hint="default"/>
          <w:sz w:val="17"/>
          <w:szCs w:val="17"/>
        </w:rPr>
      </w:pPr>
    </w:p>
    <w:p>
      <w:pPr>
        <w:spacing w:line="420" w:lineRule="auto" w:before="0"/>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、提名委员会的履职情况</w:t>
      </w:r>
      <w:r>
        <w:rPr>
          <w:rFonts w:ascii="宋体" w:hAnsi="宋体" w:cs="宋体" w:eastAsia="宋体" w:hint="default"/>
          <w:w w:val="99"/>
          <w:sz w:val="21"/>
          <w:szCs w:val="21"/>
        </w:rPr>
        <w:t> </w:t>
      </w:r>
      <w:r>
        <w:rPr>
          <w:rFonts w:ascii="宋体" w:hAnsi="宋体" w:cs="宋体" w:eastAsia="宋体" w:hint="default"/>
          <w:w w:val="95"/>
          <w:sz w:val="21"/>
          <w:szCs w:val="21"/>
        </w:rPr>
        <w:t>报告期内，公司提名委员会依照《董事会提名委员会议事规则》的要求，按照公司董事和经理人员的</w:t>
      </w:r>
      <w:r>
        <w:rPr>
          <w:rFonts w:ascii="宋体" w:hAnsi="宋体" w:cs="宋体" w:eastAsia="宋体" w:hint="default"/>
          <w:sz w:val="21"/>
          <w:szCs w:val="21"/>
        </w:rPr>
      </w:r>
    </w:p>
    <w:p>
      <w:pPr>
        <w:spacing w:line="408" w:lineRule="auto" w:before="35"/>
        <w:ind w:left="112" w:right="1024" w:firstLine="0"/>
        <w:jc w:val="left"/>
        <w:rPr>
          <w:rFonts w:ascii="宋体" w:hAnsi="宋体" w:cs="宋体" w:eastAsia="宋体" w:hint="default"/>
          <w:sz w:val="21"/>
          <w:szCs w:val="21"/>
        </w:rPr>
      </w:pPr>
      <w:r>
        <w:rPr>
          <w:rFonts w:ascii="宋体" w:hAnsi="宋体" w:cs="宋体" w:eastAsia="宋体" w:hint="default"/>
          <w:sz w:val="21"/>
          <w:szCs w:val="21"/>
        </w:rPr>
        <w:t>选拔标准和程序，搜寻人选，进行选择并提出建议。</w:t>
      </w:r>
      <w:r>
        <w:rPr>
          <w:rFonts w:ascii="宋体" w:hAnsi="宋体" w:cs="宋体" w:eastAsia="宋体" w:hint="default"/>
          <w:spacing w:val="-35"/>
          <w:sz w:val="21"/>
          <w:szCs w:val="21"/>
        </w:rPr>
        <w:t> </w:t>
      </w:r>
      <w:r>
        <w:rPr>
          <w:rFonts w:ascii="宋体" w:hAnsi="宋体" w:cs="宋体" w:eastAsia="宋体" w:hint="default"/>
          <w:sz w:val="21"/>
          <w:szCs w:val="21"/>
        </w:rPr>
        <w:t>公司提名委员会严格按照其既定议事规则履行职责，</w:t>
      </w:r>
      <w:r>
        <w:rPr>
          <w:rFonts w:ascii="宋体" w:hAnsi="宋体" w:cs="宋体" w:eastAsia="宋体" w:hint="default"/>
          <w:w w:val="99"/>
          <w:sz w:val="21"/>
          <w:szCs w:val="21"/>
        </w:rPr>
        <w:t> </w:t>
      </w:r>
      <w:r>
        <w:rPr>
          <w:rFonts w:ascii="宋体" w:hAnsi="宋体" w:cs="宋体" w:eastAsia="宋体" w:hint="default"/>
          <w:sz w:val="21"/>
          <w:szCs w:val="21"/>
        </w:rPr>
        <w:t>自设立以来有效运作。</w:t>
      </w:r>
    </w:p>
    <w:p>
      <w:pPr>
        <w:spacing w:line="420" w:lineRule="auto" w:before="84"/>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、薪酬与考核委员会的履职情况</w:t>
      </w:r>
      <w:r>
        <w:rPr>
          <w:rFonts w:ascii="宋体" w:hAnsi="宋体" w:cs="宋体" w:eastAsia="宋体" w:hint="default"/>
          <w:w w:val="99"/>
          <w:sz w:val="21"/>
          <w:szCs w:val="21"/>
        </w:rPr>
        <w:t> </w:t>
      </w:r>
      <w:r>
        <w:rPr>
          <w:rFonts w:ascii="宋体" w:hAnsi="宋体" w:cs="宋体" w:eastAsia="宋体" w:hint="default"/>
          <w:w w:val="95"/>
          <w:sz w:val="21"/>
          <w:szCs w:val="21"/>
        </w:rPr>
        <w:t>报告期内，公司薪酬与考核委员会依照公司《董事会薪酬与考核委员会议事规则》的要求，重点对公</w:t>
      </w:r>
      <w:r>
        <w:rPr>
          <w:rFonts w:ascii="宋体" w:hAnsi="宋体" w:cs="宋体" w:eastAsia="宋体" w:hint="default"/>
          <w:sz w:val="21"/>
          <w:szCs w:val="21"/>
        </w:rPr>
      </w:r>
    </w:p>
    <w:p>
      <w:pPr>
        <w:spacing w:before="35"/>
        <w:ind w:left="112" w:right="987" w:firstLine="0"/>
        <w:jc w:val="left"/>
        <w:rPr>
          <w:rFonts w:ascii="宋体" w:hAnsi="宋体" w:cs="宋体" w:eastAsia="宋体" w:hint="default"/>
          <w:sz w:val="21"/>
          <w:szCs w:val="21"/>
        </w:rPr>
      </w:pPr>
      <w:r>
        <w:rPr>
          <w:rFonts w:ascii="宋体" w:hAnsi="宋体" w:cs="宋体" w:eastAsia="宋体" w:hint="default"/>
          <w:sz w:val="21"/>
          <w:szCs w:val="21"/>
        </w:rPr>
        <w:t>司董事及高级管理人员的薪酬政策及执行情况进行审查，积极履行了薪酬与考核委员会的相应职责。</w:t>
      </w:r>
    </w:p>
    <w:p>
      <w:pPr>
        <w:spacing w:line="240" w:lineRule="auto" w:before="11"/>
        <w:rPr>
          <w:rFonts w:ascii="宋体" w:hAnsi="宋体" w:cs="宋体" w:eastAsia="宋体" w:hint="default"/>
          <w:sz w:val="29"/>
          <w:szCs w:val="29"/>
        </w:rPr>
      </w:pPr>
    </w:p>
    <w:p>
      <w:pPr>
        <w:spacing w:before="0"/>
        <w:ind w:left="112" w:right="987" w:firstLine="0"/>
        <w:jc w:val="left"/>
        <w:rPr>
          <w:rFonts w:ascii="宋体" w:hAnsi="宋体" w:cs="宋体" w:eastAsia="宋体" w:hint="default"/>
          <w:sz w:val="24"/>
          <w:szCs w:val="24"/>
        </w:rPr>
      </w:pPr>
      <w:bookmarkStart w:name="七、监事会工作情况" w:id="136"/>
      <w:bookmarkEnd w:id="136"/>
      <w:r>
        <w:rPr/>
      </w:r>
      <w:r>
        <w:rPr>
          <w:rFonts w:ascii="宋体" w:hAnsi="宋体" w:cs="宋体" w:eastAsia="宋体" w:hint="default"/>
          <w:b/>
          <w:bCs/>
          <w:sz w:val="24"/>
          <w:szCs w:val="24"/>
        </w:rPr>
        <w:t>七、监事会工作情况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line="444" w:lineRule="auto" w:before="0"/>
        <w:ind w:left="532" w:right="3942" w:firstLine="0"/>
        <w:jc w:val="left"/>
        <w:rPr>
          <w:rFonts w:ascii="宋体" w:hAnsi="宋体" w:cs="宋体" w:eastAsia="宋体" w:hint="default"/>
          <w:sz w:val="21"/>
          <w:szCs w:val="21"/>
        </w:rPr>
      </w:pPr>
      <w:r>
        <w:rPr>
          <w:rFonts w:ascii="宋体" w:hAnsi="宋体" w:cs="宋体" w:eastAsia="宋体" w:hint="default"/>
          <w:sz w:val="21"/>
          <w:szCs w:val="21"/>
        </w:rPr>
        <w:t>监事会在报告期内的监督活动中发现公司是否存在风险：□ 是 √</w:t>
      </w:r>
      <w:r>
        <w:rPr>
          <w:rFonts w:ascii="宋体" w:hAnsi="宋体" w:cs="宋体" w:eastAsia="宋体" w:hint="default"/>
          <w:spacing w:val="-13"/>
          <w:sz w:val="21"/>
          <w:szCs w:val="21"/>
        </w:rPr>
        <w:t> </w:t>
      </w:r>
      <w:r>
        <w:rPr>
          <w:rFonts w:ascii="宋体" w:hAnsi="宋体" w:cs="宋体" w:eastAsia="宋体" w:hint="default"/>
          <w:sz w:val="21"/>
          <w:szCs w:val="21"/>
        </w:rPr>
        <w:t>否</w:t>
      </w:r>
      <w:r>
        <w:rPr>
          <w:rFonts w:ascii="宋体" w:hAnsi="宋体" w:cs="宋体" w:eastAsia="宋体" w:hint="default"/>
          <w:w w:val="99"/>
          <w:sz w:val="21"/>
          <w:szCs w:val="21"/>
        </w:rPr>
        <w:t> </w:t>
      </w:r>
      <w:r>
        <w:rPr>
          <w:rFonts w:ascii="宋体" w:hAnsi="宋体" w:cs="宋体" w:eastAsia="宋体" w:hint="default"/>
          <w:sz w:val="21"/>
          <w:szCs w:val="21"/>
        </w:rPr>
        <w:t>公司监事会对报告期内的监督事项无异议。</w:t>
      </w:r>
    </w:p>
    <w:p>
      <w:pPr>
        <w:spacing w:line="240" w:lineRule="auto" w:before="5"/>
        <w:rPr>
          <w:rFonts w:ascii="宋体" w:hAnsi="宋体" w:cs="宋体" w:eastAsia="宋体" w:hint="default"/>
          <w:sz w:val="16"/>
          <w:szCs w:val="16"/>
        </w:rPr>
      </w:pPr>
    </w:p>
    <w:p>
      <w:pPr>
        <w:spacing w:before="0"/>
        <w:ind w:left="112" w:right="987" w:firstLine="0"/>
        <w:jc w:val="left"/>
        <w:rPr>
          <w:rFonts w:ascii="宋体" w:hAnsi="宋体" w:cs="宋体" w:eastAsia="宋体" w:hint="default"/>
          <w:sz w:val="24"/>
          <w:szCs w:val="24"/>
        </w:rPr>
      </w:pPr>
      <w:bookmarkStart w:name="八、高级管理人员的考评及激励情况" w:id="137"/>
      <w:bookmarkEnd w:id="137"/>
      <w:r>
        <w:rPr/>
      </w:r>
      <w:r>
        <w:rPr>
          <w:rFonts w:ascii="宋体" w:hAnsi="宋体" w:cs="宋体" w:eastAsia="宋体" w:hint="default"/>
          <w:b/>
          <w:bCs/>
          <w:sz w:val="24"/>
          <w:szCs w:val="24"/>
        </w:rPr>
        <w:t>八、高级管理人员的考评及激励情况</w:t>
      </w:r>
      <w:r>
        <w:rPr>
          <w:rFonts w:ascii="宋体" w:hAnsi="宋体" w:cs="宋体" w:eastAsia="宋体" w:hint="default"/>
          <w:sz w:val="24"/>
          <w:szCs w:val="24"/>
        </w:rPr>
      </w:r>
    </w:p>
    <w:p>
      <w:pPr>
        <w:spacing w:line="240" w:lineRule="auto" w:before="5"/>
        <w:rPr>
          <w:rFonts w:ascii="宋体" w:hAnsi="宋体" w:cs="宋体" w:eastAsia="宋体" w:hint="default"/>
          <w:b/>
          <w:bCs/>
          <w:sz w:val="30"/>
          <w:szCs w:val="30"/>
        </w:rPr>
      </w:pPr>
    </w:p>
    <w:p>
      <w:pPr>
        <w:spacing w:line="403" w:lineRule="auto" w:before="0"/>
        <w:ind w:left="112" w:right="1019" w:firstLine="420"/>
        <w:jc w:val="left"/>
        <w:rPr>
          <w:rFonts w:ascii="宋体" w:hAnsi="宋体" w:cs="宋体" w:eastAsia="宋体" w:hint="default"/>
          <w:sz w:val="21"/>
          <w:szCs w:val="21"/>
        </w:rPr>
      </w:pPr>
      <w:r>
        <w:rPr>
          <w:rFonts w:ascii="宋体" w:hAnsi="宋体" w:cs="宋体" w:eastAsia="宋体" w:hint="default"/>
          <w:spacing w:val="-3"/>
          <w:sz w:val="21"/>
          <w:szCs w:val="21"/>
        </w:rPr>
        <w:t>根据《薪酬管理制度》在公司任职的高级管理人员的薪酬采用年薪制，年薪与其所承担的责任、风险、</w:t>
      </w:r>
      <w:r>
        <w:rPr>
          <w:rFonts w:ascii="宋体" w:hAnsi="宋体" w:cs="宋体" w:eastAsia="宋体" w:hint="default"/>
          <w:w w:val="99"/>
          <w:sz w:val="21"/>
          <w:szCs w:val="21"/>
        </w:rPr>
        <w:t> </w:t>
      </w:r>
      <w:r>
        <w:rPr>
          <w:rFonts w:ascii="宋体" w:hAnsi="宋体" w:cs="宋体" w:eastAsia="宋体" w:hint="default"/>
          <w:sz w:val="21"/>
          <w:szCs w:val="21"/>
        </w:rPr>
        <w:t>压力、业绩挂钩。年薪</w:t>
      </w:r>
      <w:r>
        <w:rPr>
          <w:rFonts w:ascii="Times New Roman" w:hAnsi="Times New Roman" w:cs="Times New Roman" w:eastAsia="Times New Roman" w:hint="default"/>
          <w:sz w:val="21"/>
          <w:szCs w:val="21"/>
        </w:rPr>
        <w:t>=</w:t>
      </w:r>
      <w:r>
        <w:rPr>
          <w:rFonts w:ascii="宋体" w:hAnsi="宋体" w:cs="宋体" w:eastAsia="宋体" w:hint="default"/>
          <w:sz w:val="21"/>
          <w:szCs w:val="21"/>
        </w:rPr>
        <w:t>基本工资</w:t>
      </w:r>
      <w:r>
        <w:rPr>
          <w:rFonts w:ascii="Times New Roman" w:hAnsi="Times New Roman" w:cs="Times New Roman" w:eastAsia="Times New Roman" w:hint="default"/>
          <w:sz w:val="21"/>
          <w:szCs w:val="21"/>
        </w:rPr>
        <w:t>+</w:t>
      </w:r>
      <w:r>
        <w:rPr>
          <w:rFonts w:ascii="宋体" w:hAnsi="宋体" w:cs="宋体" w:eastAsia="宋体" w:hint="default"/>
          <w:sz w:val="21"/>
          <w:szCs w:val="21"/>
        </w:rPr>
        <w:t>绩效工资。根据公司年度经营目标完成情况以及高级管理人员的工作业</w:t>
      </w:r>
      <w:r>
        <w:rPr>
          <w:rFonts w:ascii="宋体" w:hAnsi="宋体" w:cs="宋体" w:eastAsia="宋体" w:hint="default"/>
          <w:w w:val="99"/>
          <w:sz w:val="21"/>
          <w:szCs w:val="21"/>
        </w:rPr>
        <w:t> </w:t>
      </w:r>
      <w:r>
        <w:rPr>
          <w:rFonts w:ascii="宋体" w:hAnsi="宋体" w:cs="宋体" w:eastAsia="宋体" w:hint="default"/>
          <w:sz w:val="21"/>
          <w:szCs w:val="21"/>
        </w:rPr>
        <w:t>绩，由董事会薪酬与考核委员会对高级管理人员进行年度绩效考核，并监督薪酬制度执行情况。公司则根</w:t>
      </w:r>
      <w:r>
        <w:rPr>
          <w:rFonts w:ascii="宋体" w:hAnsi="宋体" w:cs="宋体" w:eastAsia="宋体" w:hint="default"/>
          <w:w w:val="99"/>
          <w:sz w:val="21"/>
          <w:szCs w:val="21"/>
        </w:rPr>
        <w:t> </w:t>
      </w:r>
      <w:r>
        <w:rPr>
          <w:rFonts w:ascii="宋体" w:hAnsi="宋体" w:cs="宋体" w:eastAsia="宋体" w:hint="default"/>
          <w:sz w:val="21"/>
          <w:szCs w:val="21"/>
        </w:rPr>
        <w:t>据绩效考核结果兑现其绩效年薪，并进行奖惩。公司董事会薪酬与考核委员会根据实际情况对公司高级管</w:t>
      </w:r>
      <w:r>
        <w:rPr>
          <w:rFonts w:ascii="宋体" w:hAnsi="宋体" w:cs="宋体" w:eastAsia="宋体" w:hint="default"/>
          <w:w w:val="99"/>
          <w:sz w:val="21"/>
          <w:szCs w:val="21"/>
        </w:rPr>
        <w:t> </w:t>
      </w:r>
      <w:r>
        <w:rPr>
          <w:rFonts w:ascii="宋体" w:hAnsi="宋体" w:cs="宋体" w:eastAsia="宋体" w:hint="default"/>
          <w:sz w:val="21"/>
          <w:szCs w:val="21"/>
        </w:rPr>
        <w:t>理人员进行考核后，一致认为</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年度公司高级管理人员薪酬方案严格执行了公司薪酬管理制度。</w:t>
      </w:r>
    </w:p>
    <w:p>
      <w:pPr>
        <w:spacing w:line="408" w:lineRule="auto" w:before="60"/>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公司根据实际经营发展的需要，经董事会、监事会及股东大会审议通过适时推行了限制性股票激励计</w:t>
      </w:r>
      <w:r>
        <w:rPr>
          <w:rFonts w:ascii="宋体" w:hAnsi="宋体" w:cs="宋体" w:eastAsia="宋体" w:hint="default"/>
          <w:w w:val="99"/>
          <w:sz w:val="21"/>
          <w:szCs w:val="21"/>
        </w:rPr>
        <w:t> </w:t>
      </w:r>
      <w:r>
        <w:rPr>
          <w:rFonts w:ascii="宋体" w:hAnsi="宋体" w:cs="宋体" w:eastAsia="宋体" w:hint="default"/>
          <w:sz w:val="21"/>
          <w:szCs w:val="21"/>
        </w:rPr>
        <w:t>划，</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日公司完成了限制性股票授予登记工作，共向高级管理人员、中层以及核心骨干等</w:t>
      </w:r>
    </w:p>
    <w:p>
      <w:pPr>
        <w:spacing w:before="14"/>
        <w:ind w:left="11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174</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名激励对象授予限制性股票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8,880,000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日，第四届董事会</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年第五次会议和第</w:t>
      </w:r>
    </w:p>
    <w:p>
      <w:pPr>
        <w:spacing w:line="386" w:lineRule="auto" w:before="177"/>
        <w:ind w:left="112" w:right="987" w:firstLine="0"/>
        <w:jc w:val="left"/>
        <w:rPr>
          <w:rFonts w:ascii="宋体" w:hAnsi="宋体" w:cs="宋体" w:eastAsia="宋体" w:hint="default"/>
          <w:sz w:val="21"/>
          <w:szCs w:val="21"/>
        </w:rPr>
      </w:pPr>
      <w:r>
        <w:rPr>
          <w:rFonts w:ascii="宋体" w:hAnsi="宋体" w:cs="宋体" w:eastAsia="宋体" w:hint="default"/>
          <w:sz w:val="21"/>
          <w:szCs w:val="21"/>
        </w:rPr>
        <w:t>四届监事会</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年第五次会议审议通过了《关于限制性股票激励计划（</w:t>
      </w:r>
      <w:r>
        <w:rPr>
          <w:rFonts w:ascii="Times New Roman" w:hAnsi="Times New Roman" w:cs="Times New Roman" w:eastAsia="Times New Roman" w:hint="default"/>
          <w:sz w:val="21"/>
          <w:szCs w:val="21"/>
        </w:rPr>
        <w:t>2017-2019</w:t>
      </w:r>
      <w:r>
        <w:rPr>
          <w:rFonts w:ascii="宋体" w:hAnsi="宋体" w:cs="宋体" w:eastAsia="宋体" w:hint="default"/>
          <w:sz w:val="21"/>
          <w:szCs w:val="21"/>
        </w:rPr>
        <w:t>）首次授予部分第一个</w:t>
      </w:r>
      <w:r>
        <w:rPr>
          <w:rFonts w:ascii="宋体" w:hAnsi="宋体" w:cs="宋体" w:eastAsia="宋体" w:hint="default"/>
          <w:w w:val="99"/>
          <w:sz w:val="21"/>
          <w:szCs w:val="21"/>
        </w:rPr>
        <w:t> </w:t>
      </w:r>
      <w:r>
        <w:rPr>
          <w:rFonts w:ascii="宋体" w:hAnsi="宋体" w:cs="宋体" w:eastAsia="宋体" w:hint="default"/>
          <w:spacing w:val="-5"/>
          <w:w w:val="99"/>
          <w:sz w:val="21"/>
          <w:szCs w:val="21"/>
        </w:rPr>
        <w:t>解除限售期解除条件成就的议案》，同意按照《</w:t>
      </w:r>
      <w:r>
        <w:rPr>
          <w:rFonts w:ascii="宋体" w:hAnsi="宋体" w:cs="宋体" w:eastAsia="宋体" w:hint="default"/>
          <w:spacing w:val="5"/>
          <w:w w:val="99"/>
          <w:sz w:val="21"/>
          <w:szCs w:val="21"/>
        </w:rPr>
        <w:t> </w:t>
      </w:r>
      <w:r>
        <w:rPr>
          <w:rFonts w:ascii="宋体" w:hAnsi="宋体" w:cs="宋体" w:eastAsia="宋体" w:hint="default"/>
          <w:w w:val="99"/>
          <w:sz w:val="21"/>
          <w:szCs w:val="21"/>
        </w:rPr>
        <w:t>激励计划》相关规定为</w:t>
      </w:r>
      <w:r>
        <w:rPr>
          <w:rFonts w:ascii="宋体" w:hAnsi="宋体" w:cs="宋体" w:eastAsia="宋体" w:hint="default"/>
          <w:spacing w:val="-48"/>
          <w:w w:val="99"/>
          <w:sz w:val="21"/>
          <w:szCs w:val="21"/>
        </w:rPr>
        <w:t> </w:t>
      </w:r>
      <w:r>
        <w:rPr>
          <w:rFonts w:ascii="Times New Roman" w:hAnsi="Times New Roman" w:cs="Times New Roman" w:eastAsia="Times New Roman" w:hint="default"/>
          <w:w w:val="99"/>
          <w:sz w:val="21"/>
          <w:szCs w:val="21"/>
        </w:rPr>
        <w:t>172 </w:t>
      </w:r>
      <w:r>
        <w:rPr>
          <w:rFonts w:ascii="宋体" w:hAnsi="宋体" w:cs="宋体" w:eastAsia="宋体" w:hint="default"/>
          <w:w w:val="99"/>
          <w:sz w:val="21"/>
          <w:szCs w:val="21"/>
        </w:rPr>
        <w:t>名限制性股票激励所持的</w:t>
      </w:r>
      <w:r>
        <w:rPr>
          <w:rFonts w:ascii="宋体" w:hAnsi="宋体" w:cs="宋体" w:eastAsia="宋体" w:hint="default"/>
          <w:spacing w:val="-93"/>
          <w:w w:val="99"/>
          <w:sz w:val="21"/>
          <w:szCs w:val="21"/>
        </w:rPr>
        <w:t> </w:t>
      </w:r>
      <w:r>
        <w:rPr>
          <w:rFonts w:ascii="宋体" w:hAnsi="宋体" w:cs="宋体" w:eastAsia="宋体" w:hint="default"/>
          <w:spacing w:val="-93"/>
          <w:w w:val="99"/>
          <w:sz w:val="21"/>
          <w:szCs w:val="21"/>
        </w:rPr>
      </w:r>
      <w:r>
        <w:rPr>
          <w:rFonts w:ascii="Times New Roman" w:hAnsi="Times New Roman" w:cs="Times New Roman" w:eastAsia="Times New Roman" w:hint="default"/>
          <w:sz w:val="21"/>
          <w:szCs w:val="21"/>
        </w:rPr>
        <w:t>3,506,000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股限制性股票办理解除限售。</w:t>
      </w:r>
    </w:p>
    <w:p>
      <w:pPr>
        <w:spacing w:line="240" w:lineRule="auto" w:before="0"/>
        <w:rPr>
          <w:rFonts w:ascii="宋体" w:hAnsi="宋体" w:cs="宋体" w:eastAsia="宋体" w:hint="default"/>
          <w:sz w:val="18"/>
          <w:szCs w:val="18"/>
        </w:rPr>
      </w:pPr>
    </w:p>
    <w:p>
      <w:pPr>
        <w:spacing w:before="0"/>
        <w:ind w:left="112" w:right="987" w:firstLine="0"/>
        <w:jc w:val="left"/>
        <w:rPr>
          <w:rFonts w:ascii="宋体" w:hAnsi="宋体" w:cs="宋体" w:eastAsia="宋体" w:hint="default"/>
          <w:sz w:val="24"/>
          <w:szCs w:val="24"/>
        </w:rPr>
      </w:pPr>
      <w:bookmarkStart w:name="九、内部控制评价报告" w:id="138"/>
      <w:bookmarkEnd w:id="138"/>
      <w:r>
        <w:rPr/>
      </w:r>
      <w:r>
        <w:rPr>
          <w:rFonts w:ascii="宋体" w:hAnsi="宋体" w:cs="宋体" w:eastAsia="宋体" w:hint="default"/>
          <w:b/>
          <w:bCs/>
          <w:sz w:val="24"/>
          <w:szCs w:val="24"/>
        </w:rPr>
        <w:t>九、内部控制评价报告</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报告期内发现的内部控制重大缺陷的具体情况" w:id="139"/>
      <w:bookmarkEnd w:id="13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2"/>
          <w:sz w:val="21"/>
          <w:szCs w:val="21"/>
        </w:rPr>
        <w:t> </w:t>
      </w:r>
      <w:r>
        <w:rPr>
          <w:rFonts w:ascii="宋体" w:hAnsi="宋体" w:cs="宋体" w:eastAsia="宋体" w:hint="default"/>
          <w:sz w:val="21"/>
          <w:szCs w:val="21"/>
        </w:rPr>
        <w:t>否</w:t>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10"/>
        <w:rPr>
          <w:rFonts w:ascii="宋体" w:hAnsi="宋体" w:cs="宋体" w:eastAsia="宋体" w:hint="default"/>
          <w:sz w:val="21"/>
          <w:szCs w:val="21"/>
        </w:rPr>
      </w:pPr>
    </w:p>
    <w:p>
      <w:pPr>
        <w:spacing w:before="34"/>
        <w:ind w:left="112" w:right="987" w:firstLine="0"/>
        <w:jc w:val="left"/>
        <w:rPr>
          <w:rFonts w:ascii="宋体" w:hAnsi="宋体" w:cs="宋体" w:eastAsia="宋体" w:hint="default"/>
          <w:sz w:val="21"/>
          <w:szCs w:val="21"/>
        </w:rPr>
      </w:pPr>
      <w:bookmarkStart w:name="2、内控自我评价报告" w:id="140"/>
      <w:bookmarkEnd w:id="14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2" w:right="101"/>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日在巨潮资讯网刊登的《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年度内部控制自我评 </w:t>
            </w:r>
            <w:r>
              <w:rPr>
                <w:rFonts w:ascii="宋体" w:hAnsi="宋体" w:cs="宋体" w:eastAsia="宋体" w:hint="default"/>
                <w:spacing w:val="-18"/>
                <w:sz w:val="18"/>
                <w:szCs w:val="18"/>
              </w:rPr>
              <w:t>价报告》。</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100.16%</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100.77%</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64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2" w:lineRule="auto" w:before="127"/>
              <w:ind w:left="102" w:right="101"/>
              <w:jc w:val="left"/>
              <w:rPr>
                <w:rFonts w:ascii="宋体" w:hAnsi="宋体" w:cs="宋体" w:eastAsia="宋体" w:hint="default"/>
                <w:sz w:val="18"/>
                <w:szCs w:val="18"/>
              </w:rPr>
            </w:pPr>
            <w:r>
              <w:rPr>
                <w:rFonts w:ascii="宋体" w:hAnsi="宋体" w:cs="宋体" w:eastAsia="宋体" w:hint="default"/>
                <w:sz w:val="18"/>
                <w:szCs w:val="18"/>
              </w:rPr>
              <w:t>取决于由于该内部控制缺陷的存在可能 导致的财务报告错报的重要程度。</w:t>
            </w:r>
            <w:r>
              <w:rPr>
                <w:rFonts w:ascii="宋体" w:hAnsi="宋体" w:cs="宋体" w:eastAsia="宋体" w:hint="default"/>
                <w:spacing w:val="-42"/>
                <w:sz w:val="18"/>
                <w:szCs w:val="18"/>
              </w:rPr>
              <w:t> </w:t>
            </w:r>
            <w:r>
              <w:rPr>
                <w:rFonts w:ascii="宋体" w:hAnsi="宋体" w:cs="宋体" w:eastAsia="宋体" w:hint="default"/>
                <w:sz w:val="18"/>
                <w:szCs w:val="18"/>
              </w:rPr>
              <w:t>重大</w:t>
            </w:r>
            <w:r>
              <w:rPr>
                <w:rFonts w:ascii="宋体" w:hAnsi="宋体" w:cs="宋体" w:eastAsia="宋体" w:hint="default"/>
                <w:sz w:val="18"/>
                <w:szCs w:val="18"/>
              </w:rPr>
              <w:t> 缺陷：如果一项内部控制缺陷单独或连 同其他缺陷可能导致不能及时防止或发 现并纠正财务报告中的重大错报，应将 </w:t>
            </w:r>
            <w:r>
              <w:rPr>
                <w:rFonts w:ascii="宋体" w:hAnsi="宋体" w:cs="宋体" w:eastAsia="宋体" w:hint="default"/>
                <w:spacing w:val="-3"/>
                <w:sz w:val="18"/>
                <w:szCs w:val="18"/>
              </w:rPr>
              <w:t>该缺陷认定为重大缺陷。存在下列</w:t>
            </w:r>
            <w:r>
              <w:rPr>
                <w:rFonts w:ascii="宋体" w:hAnsi="宋体" w:cs="宋体" w:eastAsia="宋体" w:hint="default"/>
                <w:spacing w:val="1"/>
                <w:sz w:val="18"/>
                <w:szCs w:val="18"/>
              </w:rPr>
              <w:t> </w:t>
            </w:r>
            <w:r>
              <w:rPr>
                <w:rFonts w:ascii="宋体" w:hAnsi="宋体" w:cs="宋体" w:eastAsia="宋体" w:hint="default"/>
                <w:sz w:val="18"/>
                <w:szCs w:val="18"/>
              </w:rPr>
              <w:t>情形</w:t>
            </w:r>
            <w:r>
              <w:rPr>
                <w:rFonts w:ascii="宋体" w:hAnsi="宋体" w:cs="宋体" w:eastAsia="宋体" w:hint="default"/>
                <w:sz w:val="18"/>
                <w:szCs w:val="18"/>
              </w:rPr>
              <w:t> 的</w:t>
            </w:r>
            <w:r>
              <w:rPr>
                <w:rFonts w:ascii="Times New Roman" w:hAnsi="Times New Roman" w:cs="Times New Roman" w:eastAsia="Times New Roman" w:hint="default"/>
                <w:sz w:val="18"/>
                <w:szCs w:val="18"/>
              </w:rPr>
              <w:t>,</w:t>
            </w:r>
            <w:r>
              <w:rPr>
                <w:rFonts w:ascii="宋体" w:hAnsi="宋体" w:cs="宋体" w:eastAsia="宋体" w:hint="default"/>
                <w:sz w:val="18"/>
                <w:szCs w:val="18"/>
              </w:rPr>
              <w:t>表明财务报告内部控制可能存在重大 </w:t>
            </w:r>
            <w:r>
              <w:rPr>
                <w:rFonts w:ascii="宋体" w:hAnsi="宋体" w:cs="宋体" w:eastAsia="宋体" w:hint="default"/>
                <w:spacing w:val="-5"/>
                <w:sz w:val="18"/>
                <w:szCs w:val="18"/>
              </w:rPr>
              <w:t>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董事、监事和高级管理人</w:t>
            </w:r>
            <w:r>
              <w:rPr>
                <w:rFonts w:ascii="宋体" w:hAnsi="宋体" w:cs="宋体" w:eastAsia="宋体" w:hint="default"/>
                <w:spacing w:val="10"/>
                <w:sz w:val="18"/>
                <w:szCs w:val="18"/>
              </w:rPr>
              <w:t> </w:t>
            </w:r>
            <w:r>
              <w:rPr>
                <w:rFonts w:ascii="宋体" w:hAnsi="宋体" w:cs="宋体" w:eastAsia="宋体" w:hint="default"/>
                <w:sz w:val="18"/>
                <w:szCs w:val="18"/>
              </w:rPr>
              <w:t>员舞</w:t>
            </w:r>
            <w:r>
              <w:rPr>
                <w:rFonts w:ascii="宋体" w:hAnsi="宋体" w:cs="宋体" w:eastAsia="宋体" w:hint="default"/>
                <w:sz w:val="18"/>
                <w:szCs w:val="18"/>
              </w:rPr>
              <w:t> 弊；</w:t>
            </w:r>
            <w:r>
              <w:rPr>
                <w:rFonts w:ascii="Times New Roman" w:hAnsi="Times New Roman" w:cs="Times New Roman" w:eastAsia="Times New Roman" w:hint="default"/>
                <w:sz w:val="18"/>
                <w:szCs w:val="18"/>
              </w:rPr>
              <w:t>(2)</w:t>
            </w:r>
            <w:r>
              <w:rPr>
                <w:rFonts w:ascii="宋体" w:hAnsi="宋体" w:cs="宋体" w:eastAsia="宋体" w:hint="default"/>
                <w:sz w:val="18"/>
                <w:szCs w:val="18"/>
              </w:rPr>
              <w:t>企业更正已上报或公布的财务报 </w:t>
            </w:r>
            <w:r>
              <w:rPr>
                <w:rFonts w:ascii="宋体" w:hAnsi="宋体" w:cs="宋体" w:eastAsia="宋体" w:hint="default"/>
                <w:spacing w:val="-5"/>
                <w:sz w:val="18"/>
                <w:szCs w:val="18"/>
              </w:rPr>
              <w:t>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内控评价部门发现当期财务</w:t>
            </w:r>
            <w:r>
              <w:rPr>
                <w:rFonts w:ascii="宋体" w:hAnsi="宋体" w:cs="宋体" w:eastAsia="宋体" w:hint="default"/>
                <w:spacing w:val="10"/>
                <w:sz w:val="18"/>
                <w:szCs w:val="18"/>
              </w:rPr>
              <w:t> </w:t>
            </w:r>
            <w:r>
              <w:rPr>
                <w:rFonts w:ascii="宋体" w:hAnsi="宋体" w:cs="宋体" w:eastAsia="宋体" w:hint="default"/>
                <w:sz w:val="18"/>
                <w:szCs w:val="18"/>
              </w:rPr>
              <w:t>报告</w:t>
            </w:r>
            <w:r>
              <w:rPr>
                <w:rFonts w:ascii="宋体" w:hAnsi="宋体" w:cs="宋体" w:eastAsia="宋体" w:hint="default"/>
                <w:sz w:val="18"/>
                <w:szCs w:val="18"/>
              </w:rPr>
              <w:t> 存在重大错报，而被评估单位内部控制 </w:t>
            </w:r>
            <w:r>
              <w:rPr>
                <w:rFonts w:ascii="宋体" w:hAnsi="宋体" w:cs="宋体" w:eastAsia="宋体" w:hint="default"/>
                <w:spacing w:val="-6"/>
                <w:sz w:val="18"/>
                <w:szCs w:val="18"/>
              </w:rPr>
              <w:t>在运行过程中未能发现该错报；（</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）重</w:t>
            </w:r>
            <w:r>
              <w:rPr>
                <w:rFonts w:ascii="宋体" w:hAnsi="宋体" w:cs="宋体" w:eastAsia="宋体" w:hint="default"/>
                <w:spacing w:val="-73"/>
                <w:sz w:val="18"/>
                <w:szCs w:val="18"/>
              </w:rPr>
              <w:t> </w:t>
            </w:r>
            <w:r>
              <w:rPr>
                <w:rFonts w:ascii="宋体" w:hAnsi="宋体" w:cs="宋体" w:eastAsia="宋体" w:hint="default"/>
                <w:spacing w:val="-6"/>
                <w:sz w:val="18"/>
                <w:szCs w:val="18"/>
              </w:rPr>
              <w:t>大偏离预算；（</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）监管机构处罚。重要</w:t>
            </w:r>
            <w:r>
              <w:rPr>
                <w:rFonts w:ascii="宋体" w:hAnsi="宋体" w:cs="宋体" w:eastAsia="宋体" w:hint="default"/>
                <w:spacing w:val="-73"/>
                <w:sz w:val="18"/>
                <w:szCs w:val="18"/>
              </w:rPr>
              <w:t> </w:t>
            </w:r>
            <w:r>
              <w:rPr>
                <w:rFonts w:ascii="宋体" w:hAnsi="宋体" w:cs="宋体" w:eastAsia="宋体" w:hint="default"/>
                <w:sz w:val="18"/>
                <w:szCs w:val="18"/>
              </w:rPr>
              <w:t>缺陷：一项内部控制缺陷单独或连同其 他缺陷可能导致不能及时防止或</w:t>
            </w:r>
            <w:r>
              <w:rPr>
                <w:rFonts w:ascii="宋体" w:hAnsi="宋体" w:cs="宋体" w:eastAsia="宋体" w:hint="default"/>
                <w:spacing w:val="1"/>
                <w:sz w:val="18"/>
                <w:szCs w:val="18"/>
              </w:rPr>
              <w:t> </w:t>
            </w:r>
            <w:r>
              <w:rPr>
                <w:rFonts w:ascii="宋体" w:hAnsi="宋体" w:cs="宋体" w:eastAsia="宋体" w:hint="default"/>
                <w:sz w:val="18"/>
                <w:szCs w:val="18"/>
              </w:rPr>
              <w:t>发现</w:t>
            </w:r>
            <w:r>
              <w:rPr>
                <w:rFonts w:ascii="宋体" w:hAnsi="宋体" w:cs="宋体" w:eastAsia="宋体" w:hint="default"/>
                <w:sz w:val="18"/>
                <w:szCs w:val="18"/>
              </w:rPr>
              <w:t> 并纠正财务报告中虽然未达到和超过重 </w:t>
            </w:r>
            <w:r>
              <w:rPr>
                <w:rFonts w:ascii="宋体" w:hAnsi="宋体" w:cs="宋体" w:eastAsia="宋体" w:hint="default"/>
                <w:spacing w:val="-3"/>
                <w:sz w:val="18"/>
                <w:szCs w:val="18"/>
              </w:rPr>
              <w:t>要性水平，但仍应引起董事会和管理</w:t>
            </w:r>
            <w:r>
              <w:rPr>
                <w:rFonts w:ascii="宋体" w:hAnsi="宋体" w:cs="宋体" w:eastAsia="宋体" w:hint="default"/>
                <w:spacing w:val="4"/>
                <w:sz w:val="18"/>
                <w:szCs w:val="18"/>
              </w:rPr>
              <w:t> </w:t>
            </w:r>
            <w:r>
              <w:rPr>
                <w:rFonts w:ascii="宋体" w:hAnsi="宋体" w:cs="宋体" w:eastAsia="宋体" w:hint="default"/>
                <w:sz w:val="18"/>
                <w:szCs w:val="18"/>
              </w:rPr>
              <w:t>层</w:t>
            </w:r>
            <w:r>
              <w:rPr>
                <w:rFonts w:ascii="宋体" w:hAnsi="宋体" w:cs="宋体" w:eastAsia="宋体" w:hint="default"/>
                <w:sz w:val="18"/>
                <w:szCs w:val="18"/>
              </w:rPr>
              <w:t> 重视的错报。一般缺陷：不构成重大缺 陷和重要缺陷的内部控制缺陷。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
              <w:jc w:val="left"/>
              <w:rPr>
                <w:rFonts w:ascii="宋体" w:hAnsi="宋体" w:cs="宋体" w:eastAsia="宋体" w:hint="default"/>
                <w:sz w:val="18"/>
                <w:szCs w:val="18"/>
              </w:rPr>
            </w:pPr>
            <w:r>
              <w:rPr>
                <w:rFonts w:ascii="宋体" w:hAnsi="宋体" w:cs="宋体" w:eastAsia="宋体" w:hint="default"/>
                <w:spacing w:val="-3"/>
                <w:sz w:val="18"/>
                <w:szCs w:val="18"/>
              </w:rPr>
              <w:t>取决于缺陷的严重程度，根据其直接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或潜在负面影响的性质、影响的范围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等因素确定。一般缺陷：对存在的问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题不采取任何行动可能导致较小范 </w:t>
            </w:r>
            <w:r>
              <w:rPr>
                <w:rFonts w:ascii="宋体" w:hAnsi="宋体" w:cs="宋体" w:eastAsia="宋体" w:hint="default"/>
                <w:spacing w:val="-3"/>
                <w:sz w:val="18"/>
                <w:szCs w:val="18"/>
              </w:rPr>
              <w:t>围的目标偏离的缺陷；重要缺陷：对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存在的问题不采取任何行动有一定 的可能导致较大的负面影响的缺陷； </w:t>
            </w:r>
            <w:r>
              <w:rPr>
                <w:rFonts w:ascii="宋体" w:hAnsi="宋体" w:cs="宋体" w:eastAsia="宋体" w:hint="default"/>
                <w:spacing w:val="-3"/>
                <w:sz w:val="18"/>
                <w:szCs w:val="18"/>
              </w:rPr>
              <w:t>重大缺陷：对存在的问题不采取任何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行动有较大的可能导致严重的偏离 控制目标的缺陷。存在下列情形的， 表明非财务报告内部控制可能存在 </w:t>
            </w:r>
            <w:r>
              <w:rPr>
                <w:rFonts w:ascii="宋体" w:hAnsi="宋体" w:cs="宋体" w:eastAsia="宋体" w:hint="default"/>
                <w:spacing w:val="-5"/>
                <w:sz w:val="18"/>
                <w:szCs w:val="18"/>
              </w:rPr>
              <w:t>重大缺陷：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企业缺乏重大事项集体</w:t>
            </w:r>
            <w:r>
              <w:rPr>
                <w:rFonts w:ascii="宋体" w:hAnsi="宋体" w:cs="宋体" w:eastAsia="宋体" w:hint="default"/>
                <w:spacing w:val="-77"/>
                <w:sz w:val="18"/>
                <w:szCs w:val="18"/>
              </w:rPr>
              <w:t> </w:t>
            </w:r>
            <w:r>
              <w:rPr>
                <w:rFonts w:ascii="宋体" w:hAnsi="宋体" w:cs="宋体" w:eastAsia="宋体" w:hint="default"/>
                <w:spacing w:val="-9"/>
                <w:sz w:val="18"/>
                <w:szCs w:val="18"/>
              </w:rPr>
              <w:t>决策程序；</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有违犯国家法律、法规，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受到处罚的情形；</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管理人员或技术</w:t>
            </w:r>
            <w:r>
              <w:rPr>
                <w:rFonts w:ascii="宋体" w:hAnsi="宋体" w:cs="宋体" w:eastAsia="宋体" w:hint="default"/>
                <w:spacing w:val="-77"/>
                <w:sz w:val="18"/>
                <w:szCs w:val="18"/>
              </w:rPr>
              <w:t> </w:t>
            </w:r>
            <w:r>
              <w:rPr>
                <w:rFonts w:ascii="宋体" w:hAnsi="宋体" w:cs="宋体" w:eastAsia="宋体" w:hint="default"/>
                <w:sz w:val="18"/>
                <w:szCs w:val="18"/>
              </w:rPr>
              <w:t>人员纷纷流失；</w:t>
            </w:r>
            <w:r>
              <w:rPr>
                <w:rFonts w:ascii="Times New Roman" w:hAnsi="Times New Roman" w:cs="Times New Roman" w:eastAsia="Times New Roman" w:hint="default"/>
                <w:sz w:val="18"/>
                <w:szCs w:val="18"/>
              </w:rPr>
              <w:t>(4)</w:t>
            </w:r>
            <w:r>
              <w:rPr>
                <w:rFonts w:ascii="宋体" w:hAnsi="宋体" w:cs="宋体" w:eastAsia="宋体" w:hint="default"/>
                <w:sz w:val="18"/>
                <w:szCs w:val="18"/>
              </w:rPr>
              <w:t>媒体负面新闻频 现，给公司形象造成恶劣影响；</w:t>
            </w:r>
            <w:r>
              <w:rPr>
                <w:rFonts w:ascii="Times New Roman" w:hAnsi="Times New Roman" w:cs="Times New Roman" w:eastAsia="Times New Roman" w:hint="default"/>
                <w:sz w:val="18"/>
                <w:szCs w:val="18"/>
              </w:rPr>
              <w:t>(5) </w:t>
            </w:r>
            <w:r>
              <w:rPr>
                <w:rFonts w:ascii="宋体" w:hAnsi="宋体" w:cs="宋体" w:eastAsia="宋体" w:hint="default"/>
                <w:sz w:val="18"/>
                <w:szCs w:val="18"/>
              </w:rPr>
              <w:t>内部控制评价的结果特别是重大或 </w:t>
            </w:r>
            <w:r>
              <w:rPr>
                <w:rFonts w:ascii="宋体" w:hAnsi="宋体" w:cs="宋体" w:eastAsia="宋体" w:hint="default"/>
                <w:spacing w:val="-5"/>
                <w:sz w:val="18"/>
                <w:szCs w:val="18"/>
              </w:rPr>
              <w:t>重要缺陷未得到整改；</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重要业务缺</w:t>
            </w:r>
            <w:r>
              <w:rPr>
                <w:rFonts w:ascii="宋体" w:hAnsi="宋体" w:cs="宋体" w:eastAsia="宋体" w:hint="default"/>
                <w:spacing w:val="-77"/>
                <w:sz w:val="18"/>
                <w:szCs w:val="18"/>
              </w:rPr>
              <w:t> </w:t>
            </w:r>
            <w:r>
              <w:rPr>
                <w:rFonts w:ascii="宋体" w:hAnsi="宋体" w:cs="宋体" w:eastAsia="宋体" w:hint="default"/>
                <w:sz w:val="18"/>
                <w:szCs w:val="18"/>
              </w:rPr>
              <w:t>乏制度控制或制度系统性失效；</w:t>
            </w:r>
            <w:r>
              <w:rPr>
                <w:rFonts w:ascii="Times New Roman" w:hAnsi="Times New Roman" w:cs="Times New Roman" w:eastAsia="Times New Roman" w:hint="default"/>
                <w:sz w:val="18"/>
                <w:szCs w:val="18"/>
              </w:rPr>
              <w:t>(7) </w:t>
            </w:r>
            <w:r>
              <w:rPr>
                <w:rFonts w:ascii="宋体" w:hAnsi="宋体" w:cs="宋体" w:eastAsia="宋体" w:hint="default"/>
                <w:spacing w:val="-5"/>
                <w:sz w:val="18"/>
                <w:szCs w:val="18"/>
              </w:rPr>
              <w:t>出现重大产品质量事故；</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出现重大</w:t>
            </w:r>
            <w:r>
              <w:rPr>
                <w:rFonts w:ascii="宋体" w:hAnsi="宋体" w:cs="宋体" w:eastAsia="宋体" w:hint="default"/>
                <w:spacing w:val="-77"/>
                <w:sz w:val="18"/>
                <w:szCs w:val="18"/>
              </w:rPr>
              <w:t> </w:t>
            </w:r>
            <w:r>
              <w:rPr>
                <w:rFonts w:ascii="宋体" w:hAnsi="宋体" w:cs="宋体" w:eastAsia="宋体" w:hint="default"/>
                <w:sz w:val="18"/>
                <w:szCs w:val="18"/>
              </w:rPr>
              <w:t>安全事故。</w:t>
            </w:r>
          </w:p>
        </w:tc>
      </w:tr>
      <w:tr>
        <w:trPr>
          <w:trHeight w:val="22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资产总额的</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 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营业收入总额的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 </w:t>
            </w:r>
            <w:r>
              <w:rPr>
                <w:rFonts w:ascii="宋体" w:hAnsi="宋体" w:cs="宋体" w:eastAsia="宋体" w:hint="default"/>
                <w:spacing w:val="-3"/>
                <w:sz w:val="18"/>
                <w:szCs w:val="18"/>
              </w:rPr>
              <w:t>要缺陷：资产总额的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1%&lt;</w:t>
            </w:r>
            <w:r>
              <w:rPr>
                <w:rFonts w:ascii="宋体" w:hAnsi="宋体" w:cs="宋体" w:eastAsia="宋体" w:hint="default"/>
                <w:sz w:val="18"/>
                <w:szCs w:val="18"/>
              </w:rPr>
              <w:t>错报金额≤资 产总额的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；营业收入总额的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1%&lt;</w:t>
            </w:r>
            <w:r>
              <w:rPr>
                <w:rFonts w:ascii="宋体" w:hAnsi="宋体" w:cs="宋体" w:eastAsia="宋体" w:hint="default"/>
                <w:sz w:val="18"/>
                <w:szCs w:val="18"/>
              </w:rPr>
              <w:t>错 报金额≤营业收入总额的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缺陷：错报金额≤资产总额的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；错报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金额≤营业收入总额的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0"/>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 缺陷导致的直接经济损失金额</w:t>
            </w:r>
            <w:r>
              <w:rPr>
                <w:rFonts w:ascii="Times New Roman" w:hAnsi="Times New Roman" w:cs="Times New Roman" w:eastAsia="Times New Roman" w:hint="default"/>
                <w:sz w:val="18"/>
                <w:szCs w:val="18"/>
              </w:rPr>
              <w:t>&gt;100 </w:t>
            </w:r>
            <w:r>
              <w:rPr>
                <w:rFonts w:ascii="宋体" w:hAnsi="宋体" w:cs="宋体" w:eastAsia="宋体" w:hint="default"/>
                <w:sz w:val="18"/>
                <w:szCs w:val="18"/>
              </w:rPr>
              <w:t>万。</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&lt;</w:t>
            </w:r>
            <w:r>
              <w:rPr>
                <w:rFonts w:ascii="宋体" w:hAnsi="宋体" w:cs="宋体" w:eastAsia="宋体" w:hint="default"/>
                <w:sz w:val="18"/>
                <w:szCs w:val="18"/>
              </w:rPr>
              <w:t>非财务 报告内部控制缺陷导致的直接经济 损失≤</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、一般缺陷：非财</w:t>
            </w:r>
            <w:r>
              <w:rPr>
                <w:rFonts w:ascii="宋体" w:hAnsi="宋体" w:cs="宋体" w:eastAsia="宋体" w:hint="default"/>
                <w:sz w:val="18"/>
                <w:szCs w:val="18"/>
              </w:rPr>
              <w:t> 务报告内部控制缺陷导致的直接经 济损失金额≤</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6374"/>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spacing w:before="26"/>
        <w:ind w:left="112" w:right="987" w:firstLine="0"/>
        <w:jc w:val="left"/>
        <w:rPr>
          <w:rFonts w:ascii="宋体" w:hAnsi="宋体" w:cs="宋体" w:eastAsia="宋体" w:hint="default"/>
          <w:sz w:val="24"/>
          <w:szCs w:val="24"/>
        </w:rPr>
      </w:pPr>
      <w:bookmarkStart w:name="十、内部控制审计报告或鉴证报告" w:id="141"/>
      <w:bookmarkEnd w:id="141"/>
      <w:r>
        <w:rPr/>
      </w:r>
      <w:r>
        <w:rPr>
          <w:rFonts w:ascii="宋体" w:hAnsi="宋体" w:cs="宋体" w:eastAsia="宋体" w:hint="default"/>
          <w:b/>
          <w:bCs/>
          <w:sz w:val="24"/>
          <w:szCs w:val="24"/>
        </w:rPr>
        <w:t>十、内部控制审计报告或鉴证报告</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3086" w:right="987" w:firstLine="0"/>
        <w:jc w:val="left"/>
        <w:rPr>
          <w:rFonts w:ascii="宋体" w:hAnsi="宋体" w:cs="宋体" w:eastAsia="宋体" w:hint="default"/>
          <w:sz w:val="32"/>
          <w:szCs w:val="32"/>
        </w:rPr>
      </w:pPr>
      <w:bookmarkStart w:name="第十节 公司债券相关情况" w:id="142"/>
      <w:bookmarkEnd w:id="142"/>
      <w:r>
        <w:rPr/>
      </w:r>
      <w:r>
        <w:rPr>
          <w:rFonts w:ascii="宋体" w:hAnsi="宋体" w:cs="宋体" w:eastAsia="宋体" w:hint="default"/>
          <w:b/>
          <w:bCs/>
          <w:sz w:val="32"/>
          <w:szCs w:val="32"/>
        </w:rPr>
        <w:t>第十节</w:t>
      </w:r>
      <w:r>
        <w:rPr>
          <w:rFonts w:ascii="宋体" w:hAnsi="宋体" w:cs="宋体" w:eastAsia="宋体" w:hint="default"/>
          <w:b/>
          <w:bCs/>
          <w:spacing w:val="-10"/>
          <w:sz w:val="32"/>
          <w:szCs w:val="32"/>
        </w:rPr>
        <w:t> </w:t>
      </w:r>
      <w:r>
        <w:rPr>
          <w:rFonts w:ascii="宋体" w:hAnsi="宋体" w:cs="宋体" w:eastAsia="宋体" w:hint="default"/>
          <w:b/>
          <w:bCs/>
          <w:sz w:val="32"/>
          <w:szCs w:val="32"/>
        </w:rPr>
        <w:t>公司债券相关情况</w:t>
      </w:r>
      <w:r>
        <w:rPr>
          <w:rFonts w:ascii="宋体" w:hAnsi="宋体" w:cs="宋体" w:eastAsia="宋体" w:hint="default"/>
          <w:sz w:val="32"/>
          <w:szCs w:val="32"/>
        </w:rPr>
      </w:r>
    </w:p>
    <w:p>
      <w:pPr>
        <w:spacing w:line="240" w:lineRule="auto" w:before="8"/>
        <w:rPr>
          <w:rFonts w:ascii="宋体" w:hAnsi="宋体" w:cs="宋体" w:eastAsia="宋体" w:hint="default"/>
          <w:b/>
          <w:bCs/>
          <w:sz w:val="46"/>
          <w:szCs w:val="46"/>
        </w:rPr>
      </w:pPr>
    </w:p>
    <w:p>
      <w:pPr>
        <w:spacing w:line="408" w:lineRule="auto" w:before="0"/>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公司是否存在公开发行并在证券交易所上市，且在年度报告批准报出日未到期或到期未能全额兑付的</w:t>
      </w:r>
      <w:r>
        <w:rPr>
          <w:rFonts w:ascii="宋体" w:hAnsi="宋体" w:cs="宋体" w:eastAsia="宋体" w:hint="default"/>
          <w:w w:val="99"/>
          <w:sz w:val="21"/>
          <w:szCs w:val="21"/>
        </w:rPr>
        <w:t> </w:t>
      </w:r>
      <w:r>
        <w:rPr>
          <w:rFonts w:ascii="宋体" w:hAnsi="宋体" w:cs="宋体" w:eastAsia="宋体" w:hint="default"/>
          <w:sz w:val="21"/>
          <w:szCs w:val="21"/>
        </w:rPr>
        <w:t>公司债券：否</w:t>
      </w:r>
    </w:p>
    <w:p>
      <w:pPr>
        <w:spacing w:after="0" w:line="408" w:lineRule="auto"/>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3568" w:right="987" w:firstLine="0"/>
        <w:jc w:val="left"/>
        <w:rPr>
          <w:rFonts w:ascii="宋体" w:hAnsi="宋体" w:cs="宋体" w:eastAsia="宋体" w:hint="default"/>
          <w:sz w:val="32"/>
          <w:szCs w:val="32"/>
        </w:rPr>
      </w:pPr>
      <w:bookmarkStart w:name="第十一节 财务报告" w:id="143"/>
      <w:bookmarkEnd w:id="143"/>
      <w:r>
        <w:rPr/>
      </w:r>
      <w:r>
        <w:rPr>
          <w:rFonts w:ascii="宋体" w:hAnsi="宋体" w:cs="宋体" w:eastAsia="宋体" w:hint="default"/>
          <w:b/>
          <w:bCs/>
          <w:sz w:val="32"/>
          <w:szCs w:val="32"/>
        </w:rPr>
        <w:t>第十一节</w:t>
      </w:r>
      <w:r>
        <w:rPr>
          <w:rFonts w:ascii="宋体" w:hAnsi="宋体" w:cs="宋体" w:eastAsia="宋体" w:hint="default"/>
          <w:b/>
          <w:bCs/>
          <w:spacing w:val="-8"/>
          <w:sz w:val="32"/>
          <w:szCs w:val="32"/>
        </w:rPr>
        <w:t> </w:t>
      </w:r>
      <w:r>
        <w:rPr>
          <w:rFonts w:ascii="宋体" w:hAnsi="宋体" w:cs="宋体" w:eastAsia="宋体" w:hint="default"/>
          <w:b/>
          <w:bCs/>
          <w:sz w:val="32"/>
          <w:szCs w:val="32"/>
        </w:rPr>
        <w:t>财务报告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before="26"/>
        <w:ind w:left="112" w:right="987" w:firstLine="0"/>
        <w:jc w:val="left"/>
        <w:rPr>
          <w:rFonts w:ascii="宋体" w:hAnsi="宋体" w:cs="宋体" w:eastAsia="宋体" w:hint="default"/>
          <w:sz w:val="24"/>
          <w:szCs w:val="24"/>
        </w:rPr>
      </w:pPr>
      <w:bookmarkStart w:name="一、审计报告" w:id="144"/>
      <w:bookmarkEnd w:id="144"/>
      <w:r>
        <w:rPr/>
      </w:r>
      <w:r>
        <w:rPr>
          <w:rFonts w:ascii="宋体" w:hAnsi="宋体" w:cs="宋体" w:eastAsia="宋体" w:hint="default"/>
          <w:b/>
          <w:bCs/>
          <w:sz w:val="24"/>
          <w:szCs w:val="24"/>
        </w:rPr>
        <w:t>一、审计报告</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[2019]37050028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江涛、郭冬梅</w:t>
            </w:r>
          </w:p>
        </w:tc>
      </w:tr>
    </w:tbl>
    <w:p>
      <w:pPr>
        <w:spacing w:line="240" w:lineRule="auto" w:before="2"/>
        <w:rPr>
          <w:rFonts w:ascii="宋体" w:hAnsi="宋体" w:cs="宋体" w:eastAsia="宋体" w:hint="default"/>
          <w:b/>
          <w:bCs/>
          <w:sz w:val="5"/>
          <w:szCs w:val="5"/>
        </w:rPr>
      </w:pPr>
    </w:p>
    <w:p>
      <w:pPr>
        <w:spacing w:line="444" w:lineRule="auto" w:before="34"/>
        <w:ind w:left="532" w:right="5095" w:firstLine="3979"/>
        <w:jc w:val="left"/>
        <w:rPr>
          <w:rFonts w:ascii="宋体" w:hAnsi="宋体" w:cs="宋体" w:eastAsia="宋体" w:hint="default"/>
          <w:sz w:val="21"/>
          <w:szCs w:val="21"/>
        </w:rPr>
      </w:pPr>
      <w:r>
        <w:rPr>
          <w:rFonts w:ascii="宋体" w:hAnsi="宋体" w:cs="宋体" w:eastAsia="宋体" w:hint="default"/>
          <w:sz w:val="21"/>
          <w:szCs w:val="21"/>
        </w:rPr>
        <w:t>审计报告正文</w:t>
      </w:r>
      <w:r>
        <w:rPr>
          <w:rFonts w:ascii="宋体" w:hAnsi="宋体" w:cs="宋体" w:eastAsia="宋体" w:hint="default"/>
          <w:w w:val="99"/>
          <w:sz w:val="21"/>
          <w:szCs w:val="21"/>
        </w:rPr>
        <w:t> </w:t>
      </w:r>
      <w:r>
        <w:rPr>
          <w:rFonts w:ascii="宋体" w:hAnsi="宋体" w:cs="宋体" w:eastAsia="宋体" w:hint="default"/>
          <w:sz w:val="21"/>
          <w:szCs w:val="21"/>
        </w:rPr>
        <w:t>尤洛卡精准信息工程股份有限公司全体股东：</w:t>
      </w:r>
      <w:r>
        <w:rPr>
          <w:rFonts w:ascii="宋体" w:hAnsi="宋体" w:cs="宋体" w:eastAsia="宋体" w:hint="default"/>
          <w:w w:val="99"/>
          <w:sz w:val="21"/>
          <w:szCs w:val="21"/>
        </w:rPr>
        <w:t> </w:t>
      </w:r>
      <w:r>
        <w:rPr>
          <w:rFonts w:ascii="宋体" w:hAnsi="宋体" w:cs="宋体" w:eastAsia="宋体" w:hint="default"/>
          <w:sz w:val="21"/>
          <w:szCs w:val="21"/>
        </w:rPr>
        <w:t>一、审计意见</w:t>
      </w:r>
    </w:p>
    <w:p>
      <w:pPr>
        <w:spacing w:before="53"/>
        <w:ind w:left="532" w:right="987" w:firstLine="0"/>
        <w:jc w:val="left"/>
        <w:rPr>
          <w:rFonts w:ascii="宋体" w:hAnsi="宋体" w:cs="宋体" w:eastAsia="宋体" w:hint="default"/>
          <w:sz w:val="21"/>
          <w:szCs w:val="21"/>
        </w:rPr>
      </w:pPr>
      <w:r>
        <w:rPr>
          <w:rFonts w:ascii="宋体" w:hAnsi="宋体" w:cs="宋体" w:eastAsia="宋体" w:hint="default"/>
          <w:sz w:val="21"/>
          <w:szCs w:val="21"/>
        </w:rPr>
        <w:t>我们审计了尤洛卡精准信息工程股份有限公司（以下简称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精准信息公司</w:t>
      </w:r>
      <w:r>
        <w:rPr>
          <w:rFonts w:ascii="Times New Roman" w:hAnsi="Times New Roman" w:cs="Times New Roman" w:eastAsia="Times New Roman" w:hint="default"/>
          <w:sz w:val="21"/>
          <w:szCs w:val="21"/>
        </w:rPr>
        <w:t>”</w:t>
      </w:r>
      <w:r>
        <w:rPr>
          <w:rFonts w:ascii="宋体" w:hAnsi="宋体" w:cs="宋体" w:eastAsia="宋体" w:hint="default"/>
          <w:sz w:val="21"/>
          <w:szCs w:val="21"/>
        </w:rPr>
        <w:t>）财务报表，包括</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p>
      <w:pPr>
        <w:spacing w:line="386" w:lineRule="auto" w:before="177"/>
        <w:ind w:left="11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日的合并及公司资产负债表，</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年度的合并及公司利润表、合并及公司现金流量表、合并及公</w:t>
      </w:r>
      <w:r>
        <w:rPr>
          <w:rFonts w:ascii="宋体" w:hAnsi="宋体" w:cs="宋体" w:eastAsia="宋体" w:hint="default"/>
          <w:w w:val="99"/>
          <w:sz w:val="21"/>
          <w:szCs w:val="21"/>
        </w:rPr>
        <w:t> </w:t>
      </w:r>
      <w:r>
        <w:rPr>
          <w:rFonts w:ascii="宋体" w:hAnsi="宋体" w:cs="宋体" w:eastAsia="宋体" w:hint="default"/>
          <w:sz w:val="21"/>
          <w:szCs w:val="21"/>
        </w:rPr>
        <w:t>司股东权益变动表以及相关财务报表附注。</w:t>
      </w:r>
    </w:p>
    <w:p>
      <w:pPr>
        <w:spacing w:before="106"/>
        <w:ind w:left="532" w:right="987" w:firstLine="0"/>
        <w:jc w:val="left"/>
        <w:rPr>
          <w:rFonts w:ascii="宋体" w:hAnsi="宋体" w:cs="宋体" w:eastAsia="宋体" w:hint="default"/>
          <w:sz w:val="21"/>
          <w:szCs w:val="21"/>
        </w:rPr>
      </w:pPr>
      <w:r>
        <w:rPr>
          <w:rFonts w:ascii="宋体" w:hAnsi="宋体" w:cs="宋体" w:eastAsia="宋体" w:hint="default"/>
          <w:sz w:val="21"/>
          <w:szCs w:val="21"/>
        </w:rPr>
        <w:t>我们认为，后附的财务报表在所有重大方面按照企业会计准则的规定编制，公允反映了精准信息公司</w:t>
      </w:r>
    </w:p>
    <w:p>
      <w:pPr>
        <w:spacing w:line="240" w:lineRule="auto" w:before="10"/>
        <w:rPr>
          <w:rFonts w:ascii="宋体" w:hAnsi="宋体" w:cs="宋体" w:eastAsia="宋体" w:hint="default"/>
          <w:sz w:val="14"/>
          <w:szCs w:val="14"/>
        </w:rPr>
      </w:pPr>
    </w:p>
    <w:p>
      <w:pPr>
        <w:spacing w:line="432" w:lineRule="auto" w:before="0"/>
        <w:ind w:left="532" w:right="987" w:hanging="42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日合并及公司的财务状况以及</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年度合并及公司的经营成果和现金流量。</w:t>
      </w:r>
      <w:r>
        <w:rPr>
          <w:rFonts w:ascii="宋体" w:hAnsi="宋体" w:cs="宋体" w:eastAsia="宋体" w:hint="default"/>
          <w:w w:val="99"/>
          <w:sz w:val="21"/>
          <w:szCs w:val="21"/>
        </w:rPr>
        <w:t> </w:t>
      </w:r>
      <w:r>
        <w:rPr>
          <w:rFonts w:ascii="宋体" w:hAnsi="宋体" w:cs="宋体" w:eastAsia="宋体" w:hint="default"/>
          <w:sz w:val="21"/>
          <w:szCs w:val="21"/>
        </w:rPr>
        <w:t>二、形成审计意见的基础</w:t>
      </w:r>
      <w:r>
        <w:rPr>
          <w:rFonts w:ascii="宋体" w:hAnsi="宋体" w:cs="宋体" w:eastAsia="宋体" w:hint="default"/>
          <w:w w:val="99"/>
          <w:sz w:val="21"/>
          <w:szCs w:val="21"/>
        </w:rPr>
        <w:t> </w:t>
      </w:r>
      <w:r>
        <w:rPr>
          <w:rFonts w:ascii="宋体" w:hAnsi="宋体" w:cs="宋体" w:eastAsia="宋体" w:hint="default"/>
          <w:w w:val="95"/>
          <w:sz w:val="21"/>
          <w:szCs w:val="21"/>
        </w:rPr>
        <w:t>我们按照中国注册会计师审计准则的规定执行了审计工作。审计报告的</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注册会计师对财务报表审计</w:t>
      </w:r>
      <w:r>
        <w:rPr>
          <w:rFonts w:ascii="宋体" w:hAnsi="宋体" w:cs="宋体" w:eastAsia="宋体" w:hint="default"/>
          <w:sz w:val="21"/>
          <w:szCs w:val="21"/>
        </w:rPr>
      </w:r>
    </w:p>
    <w:p>
      <w:pPr>
        <w:spacing w:line="398" w:lineRule="auto" w:before="0"/>
        <w:ind w:left="112" w:right="987" w:firstLine="0"/>
        <w:jc w:val="left"/>
        <w:rPr>
          <w:rFonts w:ascii="宋体" w:hAnsi="宋体" w:cs="宋体" w:eastAsia="宋体" w:hint="default"/>
          <w:sz w:val="21"/>
          <w:szCs w:val="21"/>
        </w:rPr>
      </w:pPr>
      <w:r>
        <w:rPr>
          <w:rFonts w:ascii="宋体" w:hAnsi="宋体" w:cs="宋体" w:eastAsia="宋体" w:hint="default"/>
          <w:sz w:val="21"/>
          <w:szCs w:val="21"/>
        </w:rPr>
        <w:t>的责任</w:t>
      </w:r>
      <w:r>
        <w:rPr>
          <w:rFonts w:ascii="Times New Roman" w:hAnsi="Times New Roman" w:cs="Times New Roman" w:eastAsia="Times New Roman" w:hint="default"/>
          <w:sz w:val="21"/>
          <w:szCs w:val="21"/>
        </w:rPr>
        <w:t>”</w:t>
      </w:r>
      <w:r>
        <w:rPr>
          <w:rFonts w:ascii="宋体" w:hAnsi="宋体" w:cs="宋体" w:eastAsia="宋体" w:hint="default"/>
          <w:sz w:val="21"/>
          <w:szCs w:val="21"/>
        </w:rPr>
        <w:t>部分进一步阐述了我们在这些准则下的责任。按照中国注册会计师职业道德守则，我们独立于精</w:t>
      </w:r>
      <w:r>
        <w:rPr>
          <w:rFonts w:ascii="宋体" w:hAnsi="宋体" w:cs="宋体" w:eastAsia="宋体" w:hint="default"/>
          <w:w w:val="99"/>
          <w:sz w:val="21"/>
          <w:szCs w:val="21"/>
        </w:rPr>
        <w:t> </w:t>
      </w:r>
      <w:r>
        <w:rPr>
          <w:rFonts w:ascii="宋体" w:hAnsi="宋体" w:cs="宋体" w:eastAsia="宋体" w:hint="default"/>
          <w:w w:val="95"/>
          <w:sz w:val="21"/>
          <w:szCs w:val="21"/>
        </w:rPr>
        <w:t>准信息公司，并履行了职业道德方面的其他责任。我们相信，我们获取的审计证据是充分、适当的，为发</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sz w:val="21"/>
          <w:szCs w:val="21"/>
        </w:rPr>
        <w:t>表审计意见提供了基础。</w:t>
      </w:r>
    </w:p>
    <w:p>
      <w:pPr>
        <w:spacing w:line="444" w:lineRule="auto" w:before="95"/>
        <w:ind w:left="532" w:right="987" w:firstLine="0"/>
        <w:jc w:val="left"/>
        <w:rPr>
          <w:rFonts w:ascii="宋体" w:hAnsi="宋体" w:cs="宋体" w:eastAsia="宋体" w:hint="default"/>
          <w:sz w:val="21"/>
          <w:szCs w:val="21"/>
        </w:rPr>
      </w:pPr>
      <w:r>
        <w:rPr>
          <w:rFonts w:ascii="宋体" w:hAnsi="宋体" w:cs="宋体" w:eastAsia="宋体" w:hint="default"/>
          <w:sz w:val="21"/>
          <w:szCs w:val="21"/>
        </w:rPr>
        <w:t>三、关键审计事项</w:t>
      </w:r>
      <w:r>
        <w:rPr>
          <w:rFonts w:ascii="宋体" w:hAnsi="宋体" w:cs="宋体" w:eastAsia="宋体" w:hint="default"/>
          <w:w w:val="99"/>
          <w:sz w:val="21"/>
          <w:szCs w:val="21"/>
        </w:rPr>
        <w:t> </w:t>
      </w:r>
      <w:r>
        <w:rPr>
          <w:rFonts w:ascii="宋体" w:hAnsi="宋体" w:cs="宋体" w:eastAsia="宋体" w:hint="default"/>
          <w:w w:val="95"/>
          <w:sz w:val="21"/>
          <w:szCs w:val="21"/>
        </w:rPr>
        <w:t>关键审计事项是我们根据职业判断，认为对本期财务报表审计最为重要的事项。这些事项的应对以对</w:t>
      </w:r>
      <w:r>
        <w:rPr>
          <w:rFonts w:ascii="宋体" w:hAnsi="宋体" w:cs="宋体" w:eastAsia="宋体" w:hint="default"/>
          <w:sz w:val="21"/>
          <w:szCs w:val="21"/>
        </w:rPr>
      </w:r>
    </w:p>
    <w:p>
      <w:pPr>
        <w:spacing w:line="408" w:lineRule="auto" w:before="14"/>
        <w:ind w:left="112" w:right="987" w:firstLine="0"/>
        <w:jc w:val="left"/>
        <w:rPr>
          <w:rFonts w:ascii="宋体" w:hAnsi="宋体" w:cs="宋体" w:eastAsia="宋体" w:hint="default"/>
          <w:sz w:val="21"/>
          <w:szCs w:val="21"/>
        </w:rPr>
      </w:pPr>
      <w:r>
        <w:rPr>
          <w:rFonts w:ascii="宋体" w:hAnsi="宋体" w:cs="宋体" w:eastAsia="宋体" w:hint="default"/>
          <w:w w:val="95"/>
          <w:sz w:val="21"/>
          <w:szCs w:val="21"/>
        </w:rPr>
        <w:t>财务报表整体进行审计并形成审计意见为背景，我们不对这些事项单独发表意见。我们确定下列事项是需</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要在审计报告中沟通的关键审计事项。</w:t>
      </w:r>
    </w:p>
    <w:p>
      <w:pPr>
        <w:spacing w:before="84"/>
        <w:ind w:left="532" w:right="987" w:firstLine="0"/>
        <w:jc w:val="left"/>
        <w:rPr>
          <w:rFonts w:ascii="宋体" w:hAnsi="宋体" w:cs="宋体" w:eastAsia="宋体" w:hint="default"/>
          <w:sz w:val="21"/>
          <w:szCs w:val="21"/>
        </w:rPr>
      </w:pPr>
      <w:r>
        <w:rPr>
          <w:rFonts w:ascii="宋体" w:hAnsi="宋体" w:cs="宋体" w:eastAsia="宋体" w:hint="default"/>
          <w:sz w:val="21"/>
          <w:szCs w:val="21"/>
        </w:rPr>
        <w:t>（一）应收账款坏账准备</w:t>
      </w:r>
    </w:p>
    <w:p>
      <w:pPr>
        <w:spacing w:line="240" w:lineRule="auto" w:before="12"/>
        <w:rPr>
          <w:rFonts w:ascii="宋体" w:hAnsi="宋体" w:cs="宋体" w:eastAsia="宋体" w:hint="default"/>
          <w:sz w:val="17"/>
          <w:szCs w:val="17"/>
        </w:rPr>
      </w:pPr>
    </w:p>
    <w:p>
      <w:pPr>
        <w:spacing w:before="0"/>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、事项描述</w:t>
      </w:r>
    </w:p>
    <w:p>
      <w:pPr>
        <w:spacing w:line="240" w:lineRule="auto" w:before="9"/>
        <w:rPr>
          <w:rFonts w:ascii="宋体" w:hAnsi="宋体" w:cs="宋体" w:eastAsia="宋体" w:hint="default"/>
          <w:sz w:val="16"/>
          <w:szCs w:val="16"/>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应收账款坏账准备披露详见财务报表附注</w:t>
      </w:r>
      <w:r>
        <w:rPr>
          <w:rFonts w:ascii="Times New Roman" w:hAnsi="Times New Roman" w:cs="Times New Roman" w:eastAsia="Times New Roman" w:hint="default"/>
          <w:sz w:val="21"/>
          <w:szCs w:val="21"/>
        </w:rPr>
        <w:t>“</w:t>
      </w:r>
      <w:r>
        <w:rPr>
          <w:rFonts w:ascii="宋体" w:hAnsi="宋体" w:cs="宋体" w:eastAsia="宋体" w:hint="default"/>
          <w:sz w:val="21"/>
          <w:szCs w:val="21"/>
        </w:rPr>
        <w:t>五、重要会计政策和会计估计</w:t>
      </w:r>
      <w:r>
        <w:rPr>
          <w:rFonts w:ascii="Times New Roman" w:hAnsi="Times New Roman" w:cs="Times New Roman" w:eastAsia="Times New Roman" w:hint="default"/>
          <w:sz w:val="21"/>
          <w:szCs w:val="21"/>
        </w:rPr>
        <w:t>”</w:t>
      </w:r>
      <w:r>
        <w:rPr>
          <w:rFonts w:ascii="宋体" w:hAnsi="宋体" w:cs="宋体" w:eastAsia="宋体" w:hint="default"/>
          <w:sz w:val="21"/>
          <w:szCs w:val="21"/>
        </w:rPr>
        <w:t>之</w:t>
      </w:r>
      <w:r>
        <w:rPr>
          <w:rFonts w:ascii="宋体" w:hAnsi="宋体" w:cs="宋体" w:eastAsia="宋体" w:hint="default"/>
          <w:spacing w:val="-82"/>
          <w:sz w:val="21"/>
          <w:szCs w:val="21"/>
        </w:rPr>
        <w:t> </w:t>
      </w:r>
      <w:r>
        <w:rPr>
          <w:rFonts w:ascii="Times New Roman" w:hAnsi="Times New Roman" w:cs="Times New Roman" w:eastAsia="Times New Roman" w:hint="default"/>
          <w:spacing w:val="-4"/>
          <w:sz w:val="21"/>
          <w:szCs w:val="21"/>
        </w:rPr>
        <w:t>10</w:t>
      </w:r>
      <w:r>
        <w:rPr>
          <w:rFonts w:ascii="宋体" w:hAnsi="宋体" w:cs="宋体" w:eastAsia="宋体" w:hint="default"/>
          <w:spacing w:val="-4"/>
          <w:sz w:val="21"/>
          <w:szCs w:val="21"/>
        </w:rPr>
        <w:t>、应收款项及</w:t>
      </w:r>
      <w:r>
        <w:rPr>
          <w:rFonts w:ascii="宋体" w:hAnsi="宋体" w:cs="宋体" w:eastAsia="宋体" w:hint="default"/>
          <w:spacing w:val="-82"/>
          <w:sz w:val="21"/>
          <w:szCs w:val="21"/>
        </w:rPr>
        <w:t> </w:t>
      </w:r>
      <w:r>
        <w:rPr>
          <w:rFonts w:ascii="Times New Roman" w:hAnsi="Times New Roman" w:cs="Times New Roman" w:eastAsia="Times New Roman" w:hint="default"/>
          <w:spacing w:val="-7"/>
          <w:sz w:val="21"/>
          <w:szCs w:val="21"/>
        </w:rPr>
        <w:t>27</w:t>
      </w:r>
      <w:r>
        <w:rPr>
          <w:rFonts w:ascii="宋体" w:hAnsi="宋体" w:cs="宋体" w:eastAsia="宋体" w:hint="default"/>
          <w:spacing w:val="-7"/>
          <w:sz w:val="21"/>
          <w:szCs w:val="21"/>
        </w:rPr>
        <w:t>、重大</w:t>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line="444" w:lineRule="auto" w:before="34"/>
        <w:ind w:left="532" w:right="987" w:hanging="420"/>
        <w:jc w:val="left"/>
        <w:rPr>
          <w:rFonts w:ascii="宋体" w:hAnsi="宋体" w:cs="宋体" w:eastAsia="宋体" w:hint="default"/>
          <w:sz w:val="21"/>
          <w:szCs w:val="21"/>
        </w:rPr>
      </w:pPr>
      <w:r>
        <w:rPr>
          <w:rFonts w:ascii="宋体" w:hAnsi="宋体" w:cs="宋体" w:eastAsia="宋体" w:hint="default"/>
          <w:sz w:val="21"/>
          <w:szCs w:val="21"/>
        </w:rPr>
        <w:t>会计判断和估计之坏账准备计提所述会计政策；</w:t>
      </w:r>
      <w:r>
        <w:rPr>
          <w:rFonts w:ascii="宋体" w:hAnsi="宋体" w:cs="宋体" w:eastAsia="宋体" w:hint="default"/>
          <w:w w:val="99"/>
          <w:sz w:val="21"/>
          <w:szCs w:val="21"/>
        </w:rPr>
        <w:t> </w:t>
      </w:r>
      <w:r>
        <w:rPr>
          <w:rFonts w:ascii="宋体" w:hAnsi="宋体" w:cs="宋体" w:eastAsia="宋体" w:hint="default"/>
          <w:w w:val="95"/>
          <w:sz w:val="21"/>
          <w:szCs w:val="21"/>
        </w:rPr>
        <w:t>应收账款报表项目披露详见财务报表附注</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七、合并财务报表项目注释</w:t>
      </w:r>
      <w:r>
        <w:rPr>
          <w:rFonts w:ascii="Times New Roman" w:hAnsi="Times New Roman" w:cs="Times New Roman" w:eastAsia="Times New Roman" w:hint="default"/>
          <w:w w:val="95"/>
          <w:sz w:val="21"/>
          <w:szCs w:val="21"/>
        </w:rPr>
        <w:t>”2        </w:t>
      </w:r>
      <w:r>
        <w:rPr>
          <w:rFonts w:ascii="Times New Roman" w:hAnsi="Times New Roman" w:cs="Times New Roman" w:eastAsia="Times New Roman" w:hint="default"/>
          <w:spacing w:val="2"/>
          <w:w w:val="95"/>
          <w:sz w:val="21"/>
          <w:szCs w:val="21"/>
        </w:rPr>
        <w:t> </w:t>
      </w:r>
      <w:r>
        <w:rPr>
          <w:rFonts w:ascii="宋体" w:hAnsi="宋体" w:cs="宋体" w:eastAsia="宋体" w:hint="default"/>
          <w:w w:val="95"/>
          <w:sz w:val="21"/>
          <w:szCs w:val="21"/>
        </w:rPr>
        <w:t>及</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十五、公司财务报表主要</w:t>
      </w:r>
      <w:r>
        <w:rPr>
          <w:rFonts w:ascii="宋体" w:hAnsi="宋体" w:cs="宋体" w:eastAsia="宋体" w:hint="default"/>
          <w:sz w:val="21"/>
          <w:szCs w:val="21"/>
        </w:rPr>
      </w:r>
    </w:p>
    <w:p>
      <w:pPr>
        <w:spacing w:line="270" w:lineRule="exact" w:before="0"/>
        <w:ind w:left="112" w:right="0" w:firstLine="0"/>
        <w:jc w:val="both"/>
        <w:rPr>
          <w:rFonts w:ascii="宋体" w:hAnsi="宋体" w:cs="宋体" w:eastAsia="宋体" w:hint="default"/>
          <w:sz w:val="21"/>
          <w:szCs w:val="21"/>
        </w:rPr>
      </w:pPr>
      <w:r>
        <w:rPr>
          <w:rFonts w:ascii="宋体" w:hAnsi="宋体" w:cs="宋体" w:eastAsia="宋体" w:hint="default"/>
          <w:sz w:val="21"/>
          <w:szCs w:val="21"/>
        </w:rPr>
        <w:t>项目注释</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line="240" w:lineRule="auto" w:before="9"/>
        <w:rPr>
          <w:rFonts w:ascii="宋体" w:hAnsi="宋体" w:cs="宋体" w:eastAsia="宋体" w:hint="default"/>
          <w:sz w:val="16"/>
          <w:szCs w:val="16"/>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日，精准信息公司合并财务报表附注所示的应收账款余额</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384,997,599.59</w:t>
      </w:r>
      <w:r>
        <w:rPr>
          <w:rFonts w:ascii="Times New Roman" w:hAnsi="Times New Roman" w:cs="Times New Roman" w:eastAsia="Times New Roman" w:hint="default"/>
          <w:spacing w:val="-9"/>
          <w:sz w:val="21"/>
          <w:szCs w:val="21"/>
        </w:rPr>
        <w:t> </w:t>
      </w:r>
      <w:r>
        <w:rPr>
          <w:rFonts w:ascii="宋体" w:hAnsi="宋体" w:cs="宋体" w:eastAsia="宋体" w:hint="default"/>
          <w:spacing w:val="-12"/>
          <w:sz w:val="21"/>
          <w:szCs w:val="21"/>
        </w:rPr>
        <w:t>元，坏</w:t>
      </w:r>
    </w:p>
    <w:p>
      <w:pPr>
        <w:spacing w:line="398" w:lineRule="auto" w:before="177"/>
        <w:ind w:left="112" w:right="1132" w:firstLine="0"/>
        <w:jc w:val="both"/>
        <w:rPr>
          <w:rFonts w:ascii="宋体" w:hAnsi="宋体" w:cs="宋体" w:eastAsia="宋体" w:hint="default"/>
          <w:sz w:val="21"/>
          <w:szCs w:val="21"/>
        </w:rPr>
      </w:pPr>
      <w:r>
        <w:rPr>
          <w:rFonts w:ascii="宋体" w:hAnsi="宋体" w:cs="宋体" w:eastAsia="宋体" w:hint="default"/>
          <w:sz w:val="21"/>
          <w:szCs w:val="21"/>
        </w:rPr>
        <w:t>账准备金额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61,671,069.35</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元，应收账款账面价值</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323,326,530.24</w:t>
      </w:r>
      <w:r>
        <w:rPr>
          <w:rFonts w:ascii="Times New Roman" w:hAnsi="Times New Roman" w:cs="Times New Roman" w:eastAsia="Times New Roman" w:hint="default"/>
          <w:spacing w:val="-4"/>
          <w:sz w:val="21"/>
          <w:szCs w:val="21"/>
        </w:rPr>
        <w:t> </w:t>
      </w:r>
      <w:r>
        <w:rPr>
          <w:rFonts w:ascii="宋体" w:hAnsi="宋体" w:cs="宋体" w:eastAsia="宋体" w:hint="default"/>
          <w:spacing w:val="-4"/>
          <w:sz w:val="21"/>
          <w:szCs w:val="21"/>
        </w:rPr>
        <w:t>元，占资产总额的</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16.77%</w:t>
      </w:r>
      <w:r>
        <w:rPr>
          <w:rFonts w:ascii="宋体" w:hAnsi="宋体" w:cs="宋体" w:eastAsia="宋体" w:hint="default"/>
          <w:spacing w:val="-3"/>
          <w:sz w:val="21"/>
          <w:szCs w:val="21"/>
        </w:rPr>
        <w:t>。若应收账款不</w:t>
      </w:r>
      <w:r>
        <w:rPr>
          <w:rFonts w:ascii="宋体" w:hAnsi="宋体" w:cs="宋体" w:eastAsia="宋体" w:hint="default"/>
          <w:w w:val="99"/>
          <w:sz w:val="21"/>
          <w:szCs w:val="21"/>
        </w:rPr>
        <w:t> </w:t>
      </w:r>
      <w:r>
        <w:rPr>
          <w:rFonts w:ascii="宋体" w:hAnsi="宋体" w:cs="宋体" w:eastAsia="宋体" w:hint="default"/>
          <w:w w:val="95"/>
          <w:sz w:val="21"/>
          <w:szCs w:val="21"/>
        </w:rPr>
        <w:t>能按期收回或无法收回而发生坏账对财务报表影响较为重大，为此我们确定应收账款坏账准备为关键审计  </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事项。</w:t>
      </w:r>
    </w:p>
    <w:p>
      <w:pPr>
        <w:spacing w:line="420" w:lineRule="auto" w:before="93"/>
        <w:ind w:left="532" w:right="509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、审计应对</w:t>
      </w:r>
      <w:r>
        <w:rPr>
          <w:rFonts w:ascii="宋体" w:hAnsi="宋体" w:cs="宋体" w:eastAsia="宋体" w:hint="default"/>
          <w:w w:val="99"/>
          <w:sz w:val="21"/>
          <w:szCs w:val="21"/>
        </w:rPr>
        <w:t> </w:t>
      </w:r>
      <w:r>
        <w:rPr>
          <w:rFonts w:ascii="宋体" w:hAnsi="宋体" w:cs="宋体" w:eastAsia="宋体" w:hint="default"/>
          <w:w w:val="95"/>
          <w:sz w:val="21"/>
          <w:szCs w:val="21"/>
        </w:rPr>
        <w:t>针对应收账款坏账准备，</w:t>
      </w:r>
      <w:r>
        <w:rPr>
          <w:rFonts w:ascii="Times New Roman" w:hAnsi="Times New Roman" w:cs="Times New Roman" w:eastAsia="Times New Roman" w:hint="default"/>
          <w:w w:val="95"/>
          <w:sz w:val="21"/>
          <w:szCs w:val="21"/>
        </w:rPr>
        <w:t>.</w:t>
      </w:r>
      <w:r>
        <w:rPr>
          <w:rFonts w:ascii="宋体" w:hAnsi="宋体" w:cs="宋体" w:eastAsia="宋体" w:hint="default"/>
          <w:w w:val="95"/>
          <w:sz w:val="21"/>
          <w:szCs w:val="21"/>
        </w:rPr>
        <w:t>我们执行了以下主要审计程序：</w:t>
      </w:r>
      <w:r>
        <w:rPr>
          <w:rFonts w:ascii="宋体" w:hAnsi="宋体" w:cs="宋体" w:eastAsia="宋体" w:hint="default"/>
          <w:sz w:val="21"/>
          <w:szCs w:val="21"/>
        </w:rPr>
      </w:r>
    </w:p>
    <w:p>
      <w:pPr>
        <w:spacing w:before="43"/>
        <w:ind w:left="532" w:right="9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）了解、评估并测试了与应收款项减值相关的内部控制的设计和运行的有效性：</w:t>
      </w:r>
    </w:p>
    <w:p>
      <w:pPr>
        <w:spacing w:line="240" w:lineRule="auto" w:before="6"/>
        <w:rPr>
          <w:rFonts w:ascii="宋体" w:hAnsi="宋体" w:cs="宋体" w:eastAsia="宋体" w:hint="default"/>
          <w:sz w:val="16"/>
          <w:szCs w:val="16"/>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）检查应收款项减值计提的会计政策，评估所使用的方法的恰当性以及减值准备计提比例的合理</w:t>
      </w:r>
    </w:p>
    <w:p>
      <w:pPr>
        <w:spacing w:before="177"/>
        <w:ind w:left="112" w:right="0" w:firstLine="0"/>
        <w:jc w:val="both"/>
        <w:rPr>
          <w:rFonts w:ascii="宋体" w:hAnsi="宋体" w:cs="宋体" w:eastAsia="宋体" w:hint="default"/>
          <w:sz w:val="21"/>
          <w:szCs w:val="21"/>
        </w:rPr>
      </w:pPr>
      <w:r>
        <w:rPr>
          <w:rFonts w:ascii="宋体" w:hAnsi="宋体" w:cs="宋体" w:eastAsia="宋体" w:hint="default"/>
          <w:sz w:val="21"/>
          <w:szCs w:val="21"/>
        </w:rPr>
        <w:t>性；</w:t>
      </w:r>
    </w:p>
    <w:p>
      <w:pPr>
        <w:spacing w:line="240" w:lineRule="auto" w:before="12"/>
        <w:rPr>
          <w:rFonts w:ascii="宋体" w:hAnsi="宋体" w:cs="宋体" w:eastAsia="宋体" w:hint="default"/>
          <w:sz w:val="17"/>
          <w:szCs w:val="17"/>
        </w:rPr>
      </w:pPr>
    </w:p>
    <w:p>
      <w:pPr>
        <w:spacing w:line="386" w:lineRule="auto" w:before="0"/>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）对于单项金额重大的应收账款，选取样本检查管理层对预计未来可收回金额做出估计的依据，</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sz w:val="21"/>
          <w:szCs w:val="21"/>
        </w:rPr>
        <w:t>包括客户信用记录、违约或延迟付款记录及期后回款情况，并复核其合理性。</w:t>
      </w:r>
    </w:p>
    <w:p>
      <w:pPr>
        <w:spacing w:line="386" w:lineRule="auto" w:before="106"/>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4</w:t>
      </w:r>
      <w:r>
        <w:rPr>
          <w:rFonts w:ascii="宋体" w:hAnsi="宋体" w:cs="宋体" w:eastAsia="宋体" w:hint="default"/>
          <w:w w:val="95"/>
          <w:sz w:val="21"/>
          <w:szCs w:val="21"/>
        </w:rPr>
        <w:t>）对于按账龄组合计提坏账准备的应收账款，通过分析应收账款的账龄和客户信誉情况，并执行</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sz w:val="21"/>
          <w:szCs w:val="21"/>
        </w:rPr>
        <w:t>应收账款函证程序及检查期后回款情况，评价应收账款坏账准备计提的合理性。</w:t>
      </w:r>
    </w:p>
    <w:p>
      <w:pPr>
        <w:spacing w:before="103"/>
        <w:ind w:left="532" w:right="987" w:firstLine="0"/>
        <w:jc w:val="left"/>
        <w:rPr>
          <w:rFonts w:ascii="宋体" w:hAnsi="宋体" w:cs="宋体" w:eastAsia="宋体" w:hint="default"/>
          <w:sz w:val="21"/>
          <w:szCs w:val="21"/>
        </w:rPr>
      </w:pPr>
      <w:r>
        <w:rPr>
          <w:rFonts w:ascii="宋体" w:hAnsi="宋体" w:cs="宋体" w:eastAsia="宋体" w:hint="default"/>
          <w:sz w:val="21"/>
          <w:szCs w:val="21"/>
        </w:rPr>
        <w:t>（二）商誉减值</w:t>
      </w:r>
    </w:p>
    <w:p>
      <w:pPr>
        <w:spacing w:line="240" w:lineRule="auto" w:before="12"/>
        <w:rPr>
          <w:rFonts w:ascii="宋体" w:hAnsi="宋体" w:cs="宋体" w:eastAsia="宋体" w:hint="default"/>
          <w:sz w:val="17"/>
          <w:szCs w:val="17"/>
        </w:rPr>
      </w:pPr>
    </w:p>
    <w:p>
      <w:pPr>
        <w:spacing w:before="0"/>
        <w:ind w:left="532" w:right="98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、事项描述</w:t>
      </w:r>
    </w:p>
    <w:p>
      <w:pPr>
        <w:spacing w:line="240" w:lineRule="auto" w:before="9"/>
        <w:rPr>
          <w:rFonts w:ascii="宋体" w:hAnsi="宋体" w:cs="宋体" w:eastAsia="宋体" w:hint="default"/>
          <w:sz w:val="16"/>
          <w:szCs w:val="16"/>
        </w:rPr>
      </w:pPr>
    </w:p>
    <w:p>
      <w:pPr>
        <w:spacing w:line="386" w:lineRule="auto" w:before="0"/>
        <w:ind w:left="112" w:right="1126" w:firstLine="420"/>
        <w:jc w:val="left"/>
        <w:rPr>
          <w:rFonts w:ascii="宋体" w:hAnsi="宋体" w:cs="宋体" w:eastAsia="宋体" w:hint="default"/>
          <w:sz w:val="21"/>
          <w:szCs w:val="21"/>
        </w:rPr>
      </w:pPr>
      <w:r>
        <w:rPr>
          <w:rFonts w:ascii="宋体" w:hAnsi="宋体" w:cs="宋体" w:eastAsia="宋体" w:hint="default"/>
          <w:sz w:val="21"/>
          <w:szCs w:val="21"/>
        </w:rPr>
        <w:t>商誉减值披露详见财务报表附注</w:t>
      </w:r>
      <w:r>
        <w:rPr>
          <w:rFonts w:ascii="Times New Roman" w:hAnsi="Times New Roman" w:cs="Times New Roman" w:eastAsia="Times New Roman" w:hint="default"/>
          <w:sz w:val="21"/>
          <w:szCs w:val="21"/>
        </w:rPr>
        <w:t>“</w:t>
      </w:r>
      <w:r>
        <w:rPr>
          <w:rFonts w:ascii="宋体" w:hAnsi="宋体" w:cs="宋体" w:eastAsia="宋体" w:hint="default"/>
          <w:sz w:val="21"/>
          <w:szCs w:val="21"/>
        </w:rPr>
        <w:t>五、重要会计政策和会计估计</w:t>
      </w:r>
      <w:r>
        <w:rPr>
          <w:rFonts w:ascii="Times New Roman" w:hAnsi="Times New Roman" w:cs="Times New Roman" w:eastAsia="Times New Roman" w:hint="default"/>
          <w:sz w:val="21"/>
          <w:szCs w:val="21"/>
        </w:rPr>
        <w:t>”</w:t>
      </w:r>
      <w:r>
        <w:rPr>
          <w:rFonts w:ascii="宋体" w:hAnsi="宋体" w:cs="宋体" w:eastAsia="宋体" w:hint="default"/>
          <w:sz w:val="21"/>
          <w:szCs w:val="21"/>
        </w:rPr>
        <w:t>之</w:t>
      </w:r>
      <w:r>
        <w:rPr>
          <w:rFonts w:ascii="宋体" w:hAnsi="宋体" w:cs="宋体" w:eastAsia="宋体" w:hint="default"/>
          <w:spacing w:val="-77"/>
          <w:sz w:val="21"/>
          <w:szCs w:val="21"/>
        </w:rPr>
        <w:t> </w:t>
      </w:r>
      <w:r>
        <w:rPr>
          <w:rFonts w:ascii="Times New Roman" w:hAnsi="Times New Roman" w:cs="Times New Roman" w:eastAsia="Times New Roman" w:hint="default"/>
          <w:spacing w:val="-3"/>
          <w:sz w:val="21"/>
          <w:szCs w:val="21"/>
        </w:rPr>
        <w:t>18</w:t>
      </w:r>
      <w:r>
        <w:rPr>
          <w:rFonts w:ascii="宋体" w:hAnsi="宋体" w:cs="宋体" w:eastAsia="宋体" w:hint="default"/>
          <w:spacing w:val="-3"/>
          <w:sz w:val="21"/>
          <w:szCs w:val="21"/>
        </w:rPr>
        <w:t>、长期资产减值及</w:t>
      </w:r>
      <w:r>
        <w:rPr>
          <w:rFonts w:ascii="宋体" w:hAnsi="宋体" w:cs="宋体" w:eastAsia="宋体" w:hint="default"/>
          <w:spacing w:val="-77"/>
          <w:sz w:val="21"/>
          <w:szCs w:val="21"/>
        </w:rPr>
        <w:t> </w:t>
      </w:r>
      <w:r>
        <w:rPr>
          <w:rFonts w:ascii="Times New Roman" w:hAnsi="Times New Roman" w:cs="Times New Roman" w:eastAsia="Times New Roman" w:hint="default"/>
          <w:spacing w:val="-5"/>
          <w:sz w:val="21"/>
          <w:szCs w:val="21"/>
        </w:rPr>
        <w:t>27</w:t>
      </w:r>
      <w:r>
        <w:rPr>
          <w:rFonts w:ascii="宋体" w:hAnsi="宋体" w:cs="宋体" w:eastAsia="宋体" w:hint="default"/>
          <w:spacing w:val="-5"/>
          <w:sz w:val="21"/>
          <w:szCs w:val="21"/>
        </w:rPr>
        <w:t>、重大会计</w:t>
      </w:r>
      <w:r>
        <w:rPr>
          <w:rFonts w:ascii="宋体" w:hAnsi="宋体" w:cs="宋体" w:eastAsia="宋体" w:hint="default"/>
          <w:w w:val="99"/>
          <w:sz w:val="21"/>
          <w:szCs w:val="21"/>
        </w:rPr>
        <w:t> </w:t>
      </w:r>
      <w:r>
        <w:rPr>
          <w:rFonts w:ascii="宋体" w:hAnsi="宋体" w:cs="宋体" w:eastAsia="宋体" w:hint="default"/>
          <w:sz w:val="21"/>
          <w:szCs w:val="21"/>
        </w:rPr>
        <w:t>判断和估计之长期资产减值准备所述会计政策；</w:t>
      </w:r>
    </w:p>
    <w:p>
      <w:pPr>
        <w:spacing w:before="103"/>
        <w:ind w:left="532" w:right="987" w:firstLine="0"/>
        <w:jc w:val="left"/>
        <w:rPr>
          <w:rFonts w:ascii="宋体" w:hAnsi="宋体" w:cs="宋体" w:eastAsia="宋体" w:hint="default"/>
          <w:sz w:val="21"/>
          <w:szCs w:val="21"/>
        </w:rPr>
      </w:pPr>
      <w:r>
        <w:rPr>
          <w:rFonts w:ascii="宋体" w:hAnsi="宋体" w:cs="宋体" w:eastAsia="宋体" w:hint="default"/>
          <w:sz w:val="21"/>
          <w:szCs w:val="21"/>
        </w:rPr>
        <w:t>商誉报表项目披露详见财务报表附注</w:t>
      </w:r>
      <w:r>
        <w:rPr>
          <w:rFonts w:ascii="Times New Roman" w:hAnsi="Times New Roman" w:cs="Times New Roman" w:eastAsia="Times New Roman" w:hint="default"/>
          <w:sz w:val="21"/>
          <w:szCs w:val="21"/>
        </w:rPr>
        <w:t>“</w:t>
      </w:r>
      <w:r>
        <w:rPr>
          <w:rFonts w:ascii="宋体" w:hAnsi="宋体" w:cs="宋体" w:eastAsia="宋体" w:hint="default"/>
          <w:sz w:val="21"/>
          <w:szCs w:val="21"/>
        </w:rPr>
        <w:t>七、合并财务报表项目注释</w:t>
      </w:r>
      <w:r>
        <w:rPr>
          <w:rFonts w:ascii="Times New Roman" w:hAnsi="Times New Roman" w:cs="Times New Roman" w:eastAsia="Times New Roman" w:hint="default"/>
          <w:sz w:val="21"/>
          <w:szCs w:val="21"/>
        </w:rPr>
        <w:t>”11</w:t>
      </w:r>
      <w:r>
        <w:rPr>
          <w:rFonts w:ascii="宋体" w:hAnsi="宋体" w:cs="宋体" w:eastAsia="宋体" w:hint="default"/>
          <w:sz w:val="21"/>
          <w:szCs w:val="21"/>
        </w:rPr>
        <w:t>。</w:t>
      </w:r>
    </w:p>
    <w:p>
      <w:pPr>
        <w:spacing w:line="240" w:lineRule="auto" w:before="9"/>
        <w:rPr>
          <w:rFonts w:ascii="宋体" w:hAnsi="宋体" w:cs="宋体" w:eastAsia="宋体" w:hint="default"/>
          <w:sz w:val="16"/>
          <w:szCs w:val="16"/>
        </w:rPr>
      </w:pPr>
    </w:p>
    <w:p>
      <w:pPr>
        <w:spacing w:line="386" w:lineRule="auto" w:before="0"/>
        <w:ind w:left="112" w:right="1132" w:firstLine="42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日，精准信息公司合并财务报表中商誉的账面价值为</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550,552,727.12</w:t>
      </w:r>
      <w:r>
        <w:rPr>
          <w:rFonts w:ascii="Times New Roman" w:hAnsi="Times New Roman" w:cs="Times New Roman" w:eastAsia="Times New Roman" w:hint="default"/>
          <w:spacing w:val="-8"/>
          <w:sz w:val="21"/>
          <w:szCs w:val="21"/>
        </w:rPr>
        <w:t> </w:t>
      </w:r>
      <w:r>
        <w:rPr>
          <w:rFonts w:ascii="宋体" w:hAnsi="宋体" w:cs="宋体" w:eastAsia="宋体" w:hint="default"/>
          <w:spacing w:val="-7"/>
          <w:sz w:val="21"/>
          <w:szCs w:val="21"/>
        </w:rPr>
        <w:t>元，占资产</w:t>
      </w:r>
      <w:r>
        <w:rPr>
          <w:rFonts w:ascii="宋体" w:hAnsi="宋体" w:cs="宋体" w:eastAsia="宋体" w:hint="default"/>
          <w:w w:val="99"/>
          <w:sz w:val="21"/>
          <w:szCs w:val="21"/>
        </w:rPr>
        <w:t> </w:t>
      </w:r>
      <w:r>
        <w:rPr>
          <w:rFonts w:ascii="宋体" w:hAnsi="宋体" w:cs="宋体" w:eastAsia="宋体" w:hint="default"/>
          <w:sz w:val="21"/>
          <w:szCs w:val="21"/>
        </w:rPr>
        <w:t>总额的</w:t>
      </w:r>
      <w:r>
        <w:rPr>
          <w:rFonts w:ascii="宋体" w:hAnsi="宋体" w:cs="宋体" w:eastAsia="宋体" w:hint="default"/>
          <w:spacing w:val="-68"/>
          <w:sz w:val="21"/>
          <w:szCs w:val="21"/>
        </w:rPr>
        <w:t> </w:t>
      </w:r>
      <w:r>
        <w:rPr>
          <w:rFonts w:ascii="Times New Roman" w:hAnsi="Times New Roman" w:cs="Times New Roman" w:eastAsia="Times New Roman" w:hint="default"/>
          <w:spacing w:val="-2"/>
          <w:sz w:val="21"/>
          <w:szCs w:val="21"/>
        </w:rPr>
        <w:t>28.55%</w:t>
      </w:r>
      <w:r>
        <w:rPr>
          <w:rFonts w:ascii="宋体" w:hAnsi="宋体" w:cs="宋体" w:eastAsia="宋体" w:hint="default"/>
          <w:spacing w:val="-2"/>
          <w:sz w:val="21"/>
          <w:szCs w:val="21"/>
        </w:rPr>
        <w:t>。由于精准信息公司商誉的账面价值对财务报表影响重大，且商誉减值测试依赖于对包括预</w:t>
      </w:r>
      <w:r>
        <w:rPr>
          <w:rFonts w:ascii="宋体" w:hAnsi="宋体" w:cs="宋体" w:eastAsia="宋体" w:hint="default"/>
          <w:w w:val="99"/>
          <w:sz w:val="21"/>
          <w:szCs w:val="21"/>
        </w:rPr>
        <w:t> </w:t>
      </w:r>
      <w:r>
        <w:rPr>
          <w:rFonts w:ascii="宋体" w:hAnsi="宋体" w:cs="宋体" w:eastAsia="宋体" w:hint="default"/>
          <w:spacing w:val="-2"/>
          <w:w w:val="99"/>
          <w:sz w:val="21"/>
          <w:szCs w:val="21"/>
        </w:rPr>
        <w:t>期未来现金流和折现率等关键假设所作出的重大判断，，故我们将商誉减值确定为关键审计事项。</w:t>
      </w:r>
      <w:r>
        <w:rPr>
          <w:rFonts w:ascii="宋体" w:hAnsi="宋体" w:cs="宋体" w:eastAsia="宋体" w:hint="default"/>
          <w:spacing w:val="-2"/>
          <w:sz w:val="21"/>
          <w:szCs w:val="21"/>
        </w:rPr>
      </w:r>
    </w:p>
    <w:p>
      <w:pPr>
        <w:spacing w:line="417" w:lineRule="auto" w:before="106"/>
        <w:ind w:left="532" w:right="587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、审计应对</w:t>
      </w:r>
      <w:r>
        <w:rPr>
          <w:rFonts w:ascii="宋体" w:hAnsi="宋体" w:cs="宋体" w:eastAsia="宋体" w:hint="default"/>
          <w:w w:val="99"/>
          <w:sz w:val="21"/>
          <w:szCs w:val="21"/>
        </w:rPr>
        <w:t> </w:t>
      </w:r>
      <w:r>
        <w:rPr>
          <w:rFonts w:ascii="宋体" w:hAnsi="宋体" w:cs="宋体" w:eastAsia="宋体" w:hint="default"/>
          <w:sz w:val="21"/>
          <w:szCs w:val="21"/>
        </w:rPr>
        <w:t>针对商誉减值，</w:t>
      </w:r>
      <w:r>
        <w:rPr>
          <w:rFonts w:ascii="Times New Roman" w:hAnsi="Times New Roman" w:cs="Times New Roman" w:eastAsia="Times New Roman" w:hint="default"/>
          <w:sz w:val="21"/>
          <w:szCs w:val="21"/>
        </w:rPr>
        <w:t>.</w:t>
      </w:r>
      <w:r>
        <w:rPr>
          <w:rFonts w:ascii="宋体" w:hAnsi="宋体" w:cs="宋体" w:eastAsia="宋体" w:hint="default"/>
          <w:sz w:val="21"/>
          <w:szCs w:val="21"/>
        </w:rPr>
        <w:t>我们执行了以下主要审计程序：</w:t>
      </w:r>
    </w:p>
    <w:p>
      <w:pPr>
        <w:spacing w:line="386" w:lineRule="auto" w:before="46"/>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1</w:t>
      </w:r>
      <w:r>
        <w:rPr>
          <w:rFonts w:ascii="宋体" w:hAnsi="宋体" w:cs="宋体" w:eastAsia="宋体" w:hint="default"/>
          <w:w w:val="95"/>
          <w:sz w:val="21"/>
          <w:szCs w:val="21"/>
        </w:rPr>
        <w:t>）了解并测试精准信息公司对商誉减值测试相关的内部控制的设计与运行的有效性，包括关键假</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sz w:val="21"/>
          <w:szCs w:val="21"/>
        </w:rPr>
        <w:t>设的采用及减值计提金额的复核及审批；</w:t>
      </w:r>
    </w:p>
    <w:p>
      <w:pPr>
        <w:spacing w:after="0" w:line="386" w:lineRule="auto"/>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line="398" w:lineRule="auto" w:before="34"/>
        <w:ind w:left="112" w:right="987"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）获取了管理层编制的分别对北京富华宇祺信息技术有限公司通讯产品资产组及长春师凯科技产</w:t>
      </w:r>
      <w:r>
        <w:rPr>
          <w:rFonts w:ascii="宋体" w:hAnsi="宋体" w:cs="宋体" w:eastAsia="宋体" w:hint="default"/>
          <w:w w:val="99"/>
          <w:sz w:val="21"/>
          <w:szCs w:val="21"/>
        </w:rPr>
        <w:t> </w:t>
      </w:r>
      <w:r>
        <w:rPr>
          <w:rFonts w:ascii="宋体" w:hAnsi="宋体" w:cs="宋体" w:eastAsia="宋体" w:hint="default"/>
          <w:w w:val="95"/>
          <w:sz w:val="21"/>
          <w:szCs w:val="21"/>
        </w:rPr>
        <w:t>业有限责任公司军工产品资产组商誉的减值测试表，检查了计算的准确性，评估商誉是否按照合理的方法</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分摊至相关资产组或资产组组合；</w:t>
      </w:r>
    </w:p>
    <w:p>
      <w:pPr>
        <w:spacing w:line="386" w:lineRule="auto" w:before="95"/>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3</w:t>
      </w:r>
      <w:r>
        <w:rPr>
          <w:rFonts w:ascii="宋体" w:hAnsi="宋体" w:cs="宋体" w:eastAsia="宋体" w:hint="default"/>
          <w:w w:val="95"/>
          <w:sz w:val="21"/>
          <w:szCs w:val="21"/>
        </w:rPr>
        <w:t>）对北京富华宇祺信息技术有限公司的商誉减值测试外聘了评估机构，我们对评估专家的胜任能</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sz w:val="21"/>
          <w:szCs w:val="21"/>
        </w:rPr>
        <w:t>力、专业素质和客观性进行了评价；</w:t>
      </w:r>
    </w:p>
    <w:p>
      <w:pPr>
        <w:spacing w:line="386" w:lineRule="auto" w:before="106"/>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4</w:t>
      </w:r>
      <w:r>
        <w:rPr>
          <w:rFonts w:ascii="宋体" w:hAnsi="宋体" w:cs="宋体" w:eastAsia="宋体" w:hint="default"/>
          <w:w w:val="95"/>
          <w:sz w:val="21"/>
          <w:szCs w:val="21"/>
        </w:rPr>
        <w:t>）通过与评估专家沟通，就其工作的性质、范围和目标、注册会计师和评估专家各自的角色和责</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sz w:val="21"/>
          <w:szCs w:val="21"/>
        </w:rPr>
        <w:t>任等事项达成一致意见，并进行讨论以了解其评估方法及关键假设；</w:t>
      </w:r>
    </w:p>
    <w:p>
      <w:pPr>
        <w:spacing w:line="398" w:lineRule="auto" w:before="103"/>
        <w:ind w:left="112" w:right="987"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）对精准信息公司管理层编制的长春师凯科技产业有限责任公司的商誉减值测试报告的未来收入</w:t>
      </w:r>
      <w:r>
        <w:rPr>
          <w:rFonts w:ascii="宋体" w:hAnsi="宋体" w:cs="宋体" w:eastAsia="宋体" w:hint="default"/>
          <w:w w:val="99"/>
          <w:sz w:val="21"/>
          <w:szCs w:val="21"/>
        </w:rPr>
        <w:t> </w:t>
      </w:r>
      <w:r>
        <w:rPr>
          <w:rFonts w:ascii="宋体" w:hAnsi="宋体" w:cs="宋体" w:eastAsia="宋体" w:hint="default"/>
          <w:w w:val="95"/>
          <w:sz w:val="21"/>
          <w:szCs w:val="21"/>
        </w:rPr>
        <w:t>增长率、毛利率和费用率假设进行了合理性分析，并对长春师凯科技产业有限责任公司的历史业绩情况、</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发展规划、宏观经济和所属行业的发展趋势进行了分析；</w:t>
      </w:r>
    </w:p>
    <w:p>
      <w:pPr>
        <w:spacing w:line="386" w:lineRule="auto" w:before="95"/>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w:t>
      </w:r>
      <w:r>
        <w:rPr>
          <w:rFonts w:ascii="Times New Roman" w:hAnsi="Times New Roman" w:cs="Times New Roman" w:eastAsia="Times New Roman" w:hint="default"/>
          <w:w w:val="95"/>
          <w:sz w:val="21"/>
          <w:szCs w:val="21"/>
        </w:rPr>
        <w:t>6</w:t>
      </w:r>
      <w:r>
        <w:rPr>
          <w:rFonts w:ascii="宋体" w:hAnsi="宋体" w:cs="宋体" w:eastAsia="宋体" w:hint="default"/>
          <w:w w:val="95"/>
          <w:sz w:val="21"/>
          <w:szCs w:val="21"/>
        </w:rPr>
        <w:t>）在本所评估专家的协助下，评价外部评估专家评估时所采用的的价值类型、评估方法的恰当性，</w:t>
      </w:r>
      <w:r>
        <w:rPr>
          <w:rFonts w:ascii="宋体" w:hAnsi="宋体" w:cs="宋体" w:eastAsia="宋体" w:hint="default"/>
          <w:spacing w:val="-95"/>
          <w:w w:val="95"/>
          <w:sz w:val="21"/>
          <w:szCs w:val="21"/>
        </w:rPr>
        <w:t> </w:t>
      </w:r>
      <w:r>
        <w:rPr>
          <w:rFonts w:ascii="宋体" w:hAnsi="宋体" w:cs="宋体" w:eastAsia="宋体" w:hint="default"/>
          <w:spacing w:val="-95"/>
          <w:w w:val="95"/>
          <w:sz w:val="21"/>
          <w:szCs w:val="21"/>
        </w:rPr>
      </w:r>
      <w:r>
        <w:rPr>
          <w:rFonts w:ascii="宋体" w:hAnsi="宋体" w:cs="宋体" w:eastAsia="宋体" w:hint="default"/>
          <w:sz w:val="21"/>
          <w:szCs w:val="21"/>
        </w:rPr>
        <w:t>以及重要假设、折现率等关键参数的合理性；</w:t>
      </w:r>
    </w:p>
    <w:p>
      <w:pPr>
        <w:spacing w:before="106"/>
        <w:ind w:left="532" w:right="987" w:firstLine="0"/>
        <w:jc w:val="left"/>
        <w:rPr>
          <w:rFonts w:ascii="宋体" w:hAnsi="宋体" w:cs="宋体" w:eastAsia="宋体" w:hint="default"/>
          <w:sz w:val="21"/>
          <w:szCs w:val="21"/>
        </w:rPr>
      </w:pPr>
      <w:r>
        <w:rPr>
          <w:rFonts w:ascii="宋体" w:hAnsi="宋体" w:cs="宋体" w:eastAsia="宋体" w:hint="default"/>
          <w:sz w:val="21"/>
          <w:szCs w:val="21"/>
        </w:rPr>
        <w:t>四、其他信息</w:t>
      </w:r>
    </w:p>
    <w:p>
      <w:pPr>
        <w:spacing w:line="240" w:lineRule="auto" w:before="9"/>
        <w:rPr>
          <w:rFonts w:ascii="宋体" w:hAnsi="宋体" w:cs="宋体" w:eastAsia="宋体" w:hint="default"/>
          <w:sz w:val="17"/>
          <w:szCs w:val="17"/>
        </w:rPr>
      </w:pPr>
    </w:p>
    <w:p>
      <w:pPr>
        <w:spacing w:line="386" w:lineRule="auto" w:before="0"/>
        <w:ind w:left="112" w:right="987" w:firstLine="420"/>
        <w:jc w:val="left"/>
        <w:rPr>
          <w:rFonts w:ascii="宋体" w:hAnsi="宋体" w:cs="宋体" w:eastAsia="宋体" w:hint="default"/>
          <w:sz w:val="21"/>
          <w:szCs w:val="21"/>
        </w:rPr>
      </w:pPr>
      <w:r>
        <w:rPr>
          <w:rFonts w:ascii="宋体" w:hAnsi="宋体" w:cs="宋体" w:eastAsia="宋体" w:hint="default"/>
          <w:sz w:val="21"/>
          <w:szCs w:val="21"/>
        </w:rPr>
        <w:t>精准信息公司管理层对其他信息负责。其他信息包括精准信息公司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年年度报告涵盖的信息，但</w:t>
      </w:r>
      <w:r>
        <w:rPr>
          <w:rFonts w:ascii="宋体" w:hAnsi="宋体" w:cs="宋体" w:eastAsia="宋体" w:hint="default"/>
          <w:w w:val="99"/>
          <w:sz w:val="21"/>
          <w:szCs w:val="21"/>
        </w:rPr>
        <w:t> </w:t>
      </w:r>
      <w:r>
        <w:rPr>
          <w:rFonts w:ascii="宋体" w:hAnsi="宋体" w:cs="宋体" w:eastAsia="宋体" w:hint="default"/>
          <w:sz w:val="21"/>
          <w:szCs w:val="21"/>
        </w:rPr>
        <w:t>不包括财务报表和我们的审计报告。</w:t>
      </w:r>
    </w:p>
    <w:p>
      <w:pPr>
        <w:spacing w:line="444" w:lineRule="auto" w:before="106"/>
        <w:ind w:left="532" w:right="987" w:firstLine="0"/>
        <w:jc w:val="left"/>
        <w:rPr>
          <w:rFonts w:ascii="宋体" w:hAnsi="宋体" w:cs="宋体" w:eastAsia="宋体" w:hint="default"/>
          <w:sz w:val="21"/>
          <w:szCs w:val="21"/>
        </w:rPr>
      </w:pPr>
      <w:r>
        <w:rPr>
          <w:rFonts w:ascii="宋体" w:hAnsi="宋体" w:cs="宋体" w:eastAsia="宋体" w:hint="default"/>
          <w:sz w:val="21"/>
          <w:szCs w:val="21"/>
        </w:rPr>
        <w:t>我们对财务报表发表的审计意见不涵盖其他信息，我们也不对其他信息发表任何形式的鉴证结论。</w:t>
      </w:r>
      <w:r>
        <w:rPr>
          <w:rFonts w:ascii="宋体" w:hAnsi="宋体" w:cs="宋体" w:eastAsia="宋体" w:hint="default"/>
          <w:w w:val="99"/>
          <w:sz w:val="21"/>
          <w:szCs w:val="21"/>
        </w:rPr>
        <w:t> </w:t>
      </w:r>
      <w:r>
        <w:rPr>
          <w:rFonts w:ascii="宋体" w:hAnsi="宋体" w:cs="宋体" w:eastAsia="宋体" w:hint="default"/>
          <w:w w:val="95"/>
          <w:sz w:val="21"/>
          <w:szCs w:val="21"/>
        </w:rPr>
        <w:t>结合我们对财务报表的审计，我们的责任是阅读其他信息，在此过程中，考虑其他信息是否与财务报</w:t>
      </w:r>
      <w:r>
        <w:rPr>
          <w:rFonts w:ascii="宋体" w:hAnsi="宋体" w:cs="宋体" w:eastAsia="宋体" w:hint="default"/>
          <w:sz w:val="21"/>
          <w:szCs w:val="21"/>
        </w:rPr>
      </w:r>
    </w:p>
    <w:p>
      <w:pPr>
        <w:spacing w:line="441" w:lineRule="auto" w:before="14"/>
        <w:ind w:left="532" w:right="987" w:hanging="420"/>
        <w:jc w:val="left"/>
        <w:rPr>
          <w:rFonts w:ascii="宋体" w:hAnsi="宋体" w:cs="宋体" w:eastAsia="宋体" w:hint="default"/>
          <w:sz w:val="21"/>
          <w:szCs w:val="21"/>
        </w:rPr>
      </w:pPr>
      <w:r>
        <w:rPr>
          <w:rFonts w:ascii="宋体" w:hAnsi="宋体" w:cs="宋体" w:eastAsia="宋体" w:hint="default"/>
          <w:sz w:val="21"/>
          <w:szCs w:val="21"/>
        </w:rPr>
        <w:t>表或我们在审计过程中了解到的情况存在重大不一致或者似乎存在重大错报。</w:t>
      </w:r>
      <w:r>
        <w:rPr>
          <w:rFonts w:ascii="宋体" w:hAnsi="宋体" w:cs="宋体" w:eastAsia="宋体" w:hint="default"/>
          <w:w w:val="99"/>
          <w:sz w:val="21"/>
          <w:szCs w:val="21"/>
        </w:rPr>
        <w:t> </w:t>
      </w:r>
      <w:r>
        <w:rPr>
          <w:rFonts w:ascii="宋体" w:hAnsi="宋体" w:cs="宋体" w:eastAsia="宋体" w:hint="default"/>
          <w:w w:val="95"/>
          <w:sz w:val="21"/>
          <w:szCs w:val="21"/>
        </w:rPr>
        <w:t>基于我们已执行的工作，如果我们确定其他信息存在重大错报，我们应当报告该事实。在这方面，我</w:t>
      </w:r>
      <w:r>
        <w:rPr>
          <w:rFonts w:ascii="宋体" w:hAnsi="宋体" w:cs="宋体" w:eastAsia="宋体" w:hint="default"/>
          <w:sz w:val="21"/>
          <w:szCs w:val="21"/>
        </w:rPr>
      </w:r>
    </w:p>
    <w:p>
      <w:pPr>
        <w:spacing w:line="444" w:lineRule="auto" w:before="16"/>
        <w:ind w:left="532" w:right="6764" w:hanging="420"/>
        <w:jc w:val="left"/>
        <w:rPr>
          <w:rFonts w:ascii="宋体" w:hAnsi="宋体" w:cs="宋体" w:eastAsia="宋体" w:hint="default"/>
          <w:sz w:val="21"/>
          <w:szCs w:val="21"/>
        </w:rPr>
      </w:pPr>
      <w:r>
        <w:rPr>
          <w:rFonts w:ascii="宋体" w:hAnsi="宋体" w:cs="宋体" w:eastAsia="宋体" w:hint="default"/>
          <w:sz w:val="21"/>
          <w:szCs w:val="21"/>
        </w:rPr>
        <w:t>们无任何事项需要报告。</w:t>
      </w:r>
      <w:r>
        <w:rPr>
          <w:rFonts w:ascii="宋体" w:hAnsi="宋体" w:cs="宋体" w:eastAsia="宋体" w:hint="default"/>
          <w:w w:val="99"/>
          <w:sz w:val="21"/>
          <w:szCs w:val="21"/>
        </w:rPr>
        <w:t> </w:t>
      </w:r>
      <w:r>
        <w:rPr>
          <w:rFonts w:ascii="宋体" w:hAnsi="宋体" w:cs="宋体" w:eastAsia="宋体" w:hint="default"/>
          <w:sz w:val="21"/>
          <w:szCs w:val="21"/>
        </w:rPr>
        <w:t>五、管理层和治理层对财务报表的责任</w:t>
      </w:r>
    </w:p>
    <w:p>
      <w:pPr>
        <w:spacing w:line="408" w:lineRule="auto" w:before="55"/>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精准信息公司管理层（以下简称管理层）负责按照企业会计准则的规定编制财务报表，使其实现公允</w:t>
      </w:r>
      <w:r>
        <w:rPr>
          <w:rFonts w:ascii="宋体" w:hAnsi="宋体" w:cs="宋体" w:eastAsia="宋体" w:hint="default"/>
          <w:w w:val="99"/>
          <w:sz w:val="21"/>
          <w:szCs w:val="21"/>
        </w:rPr>
        <w:t> </w:t>
      </w:r>
      <w:r>
        <w:rPr>
          <w:rFonts w:ascii="宋体" w:hAnsi="宋体" w:cs="宋体" w:eastAsia="宋体" w:hint="default"/>
          <w:sz w:val="21"/>
          <w:szCs w:val="21"/>
        </w:rPr>
        <w:t>反映，并设计、执行和维护必要的内部控制，以使财务报表不存在由于舞弊或错误导致的重大错报。</w:t>
      </w:r>
    </w:p>
    <w:p>
      <w:pPr>
        <w:spacing w:line="408" w:lineRule="auto" w:before="84"/>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在编制财务报表时，管理层负责评估精准信息公司的持续经营能力，披露与持续经营相关的事项（如</w:t>
      </w:r>
      <w:r>
        <w:rPr>
          <w:rFonts w:ascii="宋体" w:hAnsi="宋体" w:cs="宋体" w:eastAsia="宋体" w:hint="default"/>
          <w:w w:val="99"/>
          <w:sz w:val="21"/>
          <w:szCs w:val="21"/>
        </w:rPr>
        <w:t> </w:t>
      </w:r>
      <w:r>
        <w:rPr>
          <w:rFonts w:ascii="宋体" w:hAnsi="宋体" w:cs="宋体" w:eastAsia="宋体" w:hint="default"/>
          <w:spacing w:val="-2"/>
          <w:w w:val="99"/>
          <w:sz w:val="21"/>
          <w:szCs w:val="21"/>
        </w:rPr>
        <w:t>适用），并运用持续经营假设，除非管理层计划清算精准信息公司、终止运营或别无其他现实的选择。</w:t>
      </w:r>
      <w:r>
        <w:rPr>
          <w:rFonts w:ascii="宋体" w:hAnsi="宋体" w:cs="宋体" w:eastAsia="宋体" w:hint="default"/>
          <w:spacing w:val="-2"/>
          <w:sz w:val="21"/>
          <w:szCs w:val="21"/>
        </w:rPr>
      </w:r>
    </w:p>
    <w:p>
      <w:pPr>
        <w:spacing w:line="444" w:lineRule="auto" w:before="87"/>
        <w:ind w:left="532" w:right="5924" w:firstLine="0"/>
        <w:jc w:val="left"/>
        <w:rPr>
          <w:rFonts w:ascii="宋体" w:hAnsi="宋体" w:cs="宋体" w:eastAsia="宋体" w:hint="default"/>
          <w:sz w:val="21"/>
          <w:szCs w:val="21"/>
        </w:rPr>
      </w:pPr>
      <w:r>
        <w:rPr>
          <w:rFonts w:ascii="宋体" w:hAnsi="宋体" w:cs="宋体" w:eastAsia="宋体" w:hint="default"/>
          <w:sz w:val="21"/>
          <w:szCs w:val="21"/>
        </w:rPr>
        <w:t>治理层负责监督精准信息公司的财务报告过程。</w:t>
      </w:r>
      <w:r>
        <w:rPr>
          <w:rFonts w:ascii="宋体" w:hAnsi="宋体" w:cs="宋体" w:eastAsia="宋体" w:hint="default"/>
          <w:w w:val="99"/>
          <w:sz w:val="21"/>
          <w:szCs w:val="21"/>
        </w:rPr>
        <w:t> </w:t>
      </w:r>
      <w:r>
        <w:rPr>
          <w:rFonts w:ascii="宋体" w:hAnsi="宋体" w:cs="宋体" w:eastAsia="宋体" w:hint="default"/>
          <w:sz w:val="21"/>
          <w:szCs w:val="21"/>
        </w:rPr>
        <w:t>六、注册会计师对财务报表审计的责任</w:t>
      </w:r>
    </w:p>
    <w:p>
      <w:pPr>
        <w:spacing w:before="53"/>
        <w:ind w:left="744" w:right="987" w:firstLine="0"/>
        <w:jc w:val="left"/>
        <w:rPr>
          <w:rFonts w:ascii="宋体" w:hAnsi="宋体" w:cs="宋体" w:eastAsia="宋体" w:hint="default"/>
          <w:sz w:val="21"/>
          <w:szCs w:val="21"/>
        </w:rPr>
      </w:pPr>
      <w:r>
        <w:rPr>
          <w:rFonts w:ascii="宋体" w:hAnsi="宋体" w:cs="宋体" w:eastAsia="宋体" w:hint="default"/>
          <w:sz w:val="21"/>
          <w:szCs w:val="21"/>
        </w:rPr>
        <w:t>我们的目标是对财务报表整体是否不存在由于舞弊或错误导致的重大错报获取合理保证，并出具包</w:t>
      </w:r>
    </w:p>
    <w:p>
      <w:pPr>
        <w:spacing w:after="0"/>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line="408" w:lineRule="auto" w:before="34"/>
        <w:ind w:left="112" w:right="1132" w:firstLine="0"/>
        <w:jc w:val="both"/>
        <w:rPr>
          <w:rFonts w:ascii="宋体" w:hAnsi="宋体" w:cs="宋体" w:eastAsia="宋体" w:hint="default"/>
          <w:sz w:val="21"/>
          <w:szCs w:val="21"/>
        </w:rPr>
      </w:pPr>
      <w:r>
        <w:rPr>
          <w:rFonts w:ascii="宋体" w:hAnsi="宋体" w:cs="宋体" w:eastAsia="宋体" w:hint="default"/>
          <w:w w:val="95"/>
          <w:sz w:val="21"/>
          <w:szCs w:val="21"/>
        </w:rPr>
        <w:t>含审计意见的审计报告。合理保证是高水平的保证，但并不能保证按照审计准则执行的审计在某一重大错</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报存在时总能发现。错报可能由于舞弊或错误导致，如果合理预期错报单独或汇总起来可能影响财务报表</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使用者依据财务报表作出的经济决策，则通常认为错报是重大的。</w:t>
      </w:r>
    </w:p>
    <w:p>
      <w:pPr>
        <w:spacing w:line="408" w:lineRule="auto" w:before="87"/>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在按照审计准则执行审计工作的过程中，我们运用职业判断，并保持职业怀疑。同时，我们也执行以</w:t>
      </w:r>
      <w:r>
        <w:rPr>
          <w:rFonts w:ascii="宋体" w:hAnsi="宋体" w:cs="宋体" w:eastAsia="宋体" w:hint="default"/>
          <w:w w:val="99"/>
          <w:sz w:val="21"/>
          <w:szCs w:val="21"/>
        </w:rPr>
        <w:t> </w:t>
      </w:r>
      <w:r>
        <w:rPr>
          <w:rFonts w:ascii="宋体" w:hAnsi="宋体" w:cs="宋体" w:eastAsia="宋体" w:hint="default"/>
          <w:sz w:val="21"/>
          <w:szCs w:val="21"/>
        </w:rPr>
        <w:t>下工作：</w:t>
      </w:r>
    </w:p>
    <w:p>
      <w:pPr>
        <w:spacing w:line="408" w:lineRule="auto" w:before="87"/>
        <w:ind w:left="112" w:right="1025" w:firstLine="420"/>
        <w:jc w:val="left"/>
        <w:rPr>
          <w:rFonts w:ascii="宋体" w:hAnsi="宋体" w:cs="宋体" w:eastAsia="宋体" w:hint="default"/>
          <w:sz w:val="21"/>
          <w:szCs w:val="21"/>
        </w:rPr>
      </w:pPr>
      <w:r>
        <w:rPr>
          <w:rFonts w:ascii="宋体" w:hAnsi="宋体" w:cs="宋体" w:eastAsia="宋体" w:hint="default"/>
          <w:sz w:val="21"/>
          <w:szCs w:val="21"/>
        </w:rPr>
        <w:t>（一）识别和评估由于舞弊或错误导致的财务报表重大错报风险，设计和实施审计程序以应对这些风</w:t>
      </w:r>
      <w:r>
        <w:rPr>
          <w:rFonts w:ascii="宋体" w:hAnsi="宋体" w:cs="宋体" w:eastAsia="宋体" w:hint="default"/>
          <w:w w:val="99"/>
          <w:sz w:val="21"/>
          <w:szCs w:val="21"/>
        </w:rPr>
        <w:t> </w:t>
      </w:r>
      <w:r>
        <w:rPr>
          <w:rFonts w:ascii="宋体" w:hAnsi="宋体" w:cs="宋体" w:eastAsia="宋体" w:hint="default"/>
          <w:spacing w:val="-3"/>
          <w:sz w:val="21"/>
          <w:szCs w:val="21"/>
        </w:rPr>
        <w:t>险，并获取充分、适当的审计证据，作为发表审计意见的基础。由于舞弊可能涉及串通、伪造、故意遗漏、</w:t>
      </w:r>
      <w:r>
        <w:rPr>
          <w:rFonts w:ascii="宋体" w:hAnsi="宋体" w:cs="宋体" w:eastAsia="宋体" w:hint="default"/>
          <w:w w:val="99"/>
          <w:sz w:val="21"/>
          <w:szCs w:val="21"/>
        </w:rPr>
        <w:t> </w:t>
      </w:r>
      <w:r>
        <w:rPr>
          <w:rFonts w:ascii="宋体" w:hAnsi="宋体" w:cs="宋体" w:eastAsia="宋体" w:hint="default"/>
          <w:sz w:val="21"/>
          <w:szCs w:val="21"/>
        </w:rPr>
        <w:t>虚假陈述或凌驾于内部控制之上，未能发现由于舞弊导致的重大错报的风险高于未能发现由于错误导致的</w:t>
      </w:r>
      <w:r>
        <w:rPr>
          <w:rFonts w:ascii="宋体" w:hAnsi="宋体" w:cs="宋体" w:eastAsia="宋体" w:hint="default"/>
          <w:w w:val="99"/>
          <w:sz w:val="21"/>
          <w:szCs w:val="21"/>
        </w:rPr>
        <w:t> </w:t>
      </w:r>
      <w:r>
        <w:rPr>
          <w:rFonts w:ascii="宋体" w:hAnsi="宋体" w:cs="宋体" w:eastAsia="宋体" w:hint="default"/>
          <w:sz w:val="21"/>
          <w:szCs w:val="21"/>
        </w:rPr>
        <w:t>重大错报的风险。</w:t>
      </w:r>
    </w:p>
    <w:p>
      <w:pPr>
        <w:spacing w:before="84"/>
        <w:ind w:left="532" w:right="987" w:firstLine="0"/>
        <w:jc w:val="left"/>
        <w:rPr>
          <w:rFonts w:ascii="宋体" w:hAnsi="宋体" w:cs="宋体" w:eastAsia="宋体" w:hint="default"/>
          <w:sz w:val="21"/>
          <w:szCs w:val="21"/>
        </w:rPr>
      </w:pPr>
      <w:r>
        <w:rPr>
          <w:rFonts w:ascii="宋体" w:hAnsi="宋体" w:cs="宋体" w:eastAsia="宋体" w:hint="default"/>
          <w:sz w:val="21"/>
          <w:szCs w:val="21"/>
        </w:rPr>
        <w:t>（二）了解与审计相关的内部控制，以设计恰当的审计程序，但目的并非对内部控制的有效性发表意</w:t>
      </w:r>
    </w:p>
    <w:p>
      <w:pPr>
        <w:spacing w:line="240" w:lineRule="auto" w:before="10"/>
        <w:rPr>
          <w:rFonts w:ascii="宋体" w:hAnsi="宋体" w:cs="宋体" w:eastAsia="宋体" w:hint="default"/>
          <w:sz w:val="14"/>
          <w:szCs w:val="14"/>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sz w:val="21"/>
          <w:szCs w:val="21"/>
        </w:rPr>
        <w:t>见。</w:t>
      </w:r>
    </w:p>
    <w:p>
      <w:pPr>
        <w:spacing w:line="240" w:lineRule="auto" w:before="12"/>
        <w:rPr>
          <w:rFonts w:ascii="宋体" w:hAnsi="宋体" w:cs="宋体" w:eastAsia="宋体" w:hint="default"/>
          <w:sz w:val="17"/>
          <w:szCs w:val="17"/>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（三）评价管理层选用会计政策的恰当性和作出会计估计及相关披露的合理性。</w:t>
      </w:r>
    </w:p>
    <w:p>
      <w:pPr>
        <w:spacing w:line="240" w:lineRule="auto" w:before="12"/>
        <w:rPr>
          <w:rFonts w:ascii="宋体" w:hAnsi="宋体" w:cs="宋体" w:eastAsia="宋体" w:hint="default"/>
          <w:sz w:val="17"/>
          <w:szCs w:val="17"/>
        </w:rPr>
      </w:pPr>
    </w:p>
    <w:p>
      <w:pPr>
        <w:spacing w:line="408" w:lineRule="auto" w:before="0"/>
        <w:ind w:left="112" w:right="1025" w:firstLine="420"/>
        <w:jc w:val="left"/>
        <w:rPr>
          <w:rFonts w:ascii="宋体" w:hAnsi="宋体" w:cs="宋体" w:eastAsia="宋体" w:hint="default"/>
          <w:sz w:val="21"/>
          <w:szCs w:val="21"/>
        </w:rPr>
      </w:pPr>
      <w:r>
        <w:rPr>
          <w:rFonts w:ascii="宋体" w:hAnsi="宋体" w:cs="宋体" w:eastAsia="宋体" w:hint="default"/>
          <w:sz w:val="21"/>
          <w:szCs w:val="21"/>
        </w:rPr>
        <w:t>（四）对管理层使用持续经营假设的恰当性得出结论。同时，根据获取的审计证据，就可能导致对精</w:t>
      </w:r>
      <w:r>
        <w:rPr>
          <w:rFonts w:ascii="宋体" w:hAnsi="宋体" w:cs="宋体" w:eastAsia="宋体" w:hint="default"/>
          <w:w w:val="99"/>
          <w:sz w:val="21"/>
          <w:szCs w:val="21"/>
        </w:rPr>
        <w:t> </w:t>
      </w:r>
      <w:r>
        <w:rPr>
          <w:rFonts w:ascii="宋体" w:hAnsi="宋体" w:cs="宋体" w:eastAsia="宋体" w:hint="default"/>
          <w:sz w:val="21"/>
          <w:szCs w:val="21"/>
        </w:rPr>
        <w:t>准信息公司公司持续经营能力产生重大疑虑的事项或情况是否存在重大不确定性得出结论。如果我们得出</w:t>
      </w:r>
      <w:r>
        <w:rPr>
          <w:rFonts w:ascii="宋体" w:hAnsi="宋体" w:cs="宋体" w:eastAsia="宋体" w:hint="default"/>
          <w:w w:val="99"/>
          <w:sz w:val="21"/>
          <w:szCs w:val="21"/>
        </w:rPr>
        <w:t> </w:t>
      </w:r>
      <w:r>
        <w:rPr>
          <w:rFonts w:ascii="宋体" w:hAnsi="宋体" w:cs="宋体" w:eastAsia="宋体" w:hint="default"/>
          <w:sz w:val="21"/>
          <w:szCs w:val="21"/>
        </w:rPr>
        <w:t>结论认为存在重大不确定性，审计准则要求我们在审计报告中提请报表使用者注意财务报表中的相关披</w:t>
      </w:r>
      <w:r>
        <w:rPr>
          <w:rFonts w:ascii="宋体" w:hAnsi="宋体" w:cs="宋体" w:eastAsia="宋体" w:hint="default"/>
          <w:w w:val="99"/>
          <w:sz w:val="21"/>
          <w:szCs w:val="21"/>
        </w:rPr>
        <w:t> </w:t>
      </w:r>
      <w:r>
        <w:rPr>
          <w:rFonts w:ascii="宋体" w:hAnsi="宋体" w:cs="宋体" w:eastAsia="宋体" w:hint="default"/>
          <w:spacing w:val="-3"/>
          <w:sz w:val="21"/>
          <w:szCs w:val="21"/>
        </w:rPr>
        <w:t>露；如果披露不充分，我们应当发表非无保留意见。我们的结论基于截至审计报告日可获得的信息。然而，</w:t>
      </w:r>
      <w:r>
        <w:rPr>
          <w:rFonts w:ascii="宋体" w:hAnsi="宋体" w:cs="宋体" w:eastAsia="宋体" w:hint="default"/>
          <w:w w:val="99"/>
          <w:sz w:val="21"/>
          <w:szCs w:val="21"/>
        </w:rPr>
        <w:t> </w:t>
      </w:r>
      <w:r>
        <w:rPr>
          <w:rFonts w:ascii="宋体" w:hAnsi="宋体" w:cs="宋体" w:eastAsia="宋体" w:hint="default"/>
          <w:sz w:val="21"/>
          <w:szCs w:val="21"/>
        </w:rPr>
        <w:t>未来的事项或情况可能导致精准信息公司公司不能持续经营。</w:t>
      </w:r>
    </w:p>
    <w:p>
      <w:pPr>
        <w:spacing w:line="408" w:lineRule="auto" w:before="84"/>
        <w:ind w:left="112" w:right="987" w:firstLine="420"/>
        <w:jc w:val="left"/>
        <w:rPr>
          <w:rFonts w:ascii="宋体" w:hAnsi="宋体" w:cs="宋体" w:eastAsia="宋体" w:hint="default"/>
          <w:sz w:val="21"/>
          <w:szCs w:val="21"/>
        </w:rPr>
      </w:pPr>
      <w:r>
        <w:rPr>
          <w:rFonts w:ascii="宋体" w:hAnsi="宋体" w:cs="宋体" w:eastAsia="宋体" w:hint="default"/>
          <w:spacing w:val="-2"/>
          <w:w w:val="99"/>
          <w:sz w:val="21"/>
          <w:szCs w:val="21"/>
        </w:rPr>
        <w:t>（五）评价财务报表的总体列报、结构和内容（包括披露），并评价财务报表是否公允反映相关交易</w:t>
      </w:r>
      <w:r>
        <w:rPr>
          <w:rFonts w:ascii="宋体" w:hAnsi="宋体" w:cs="宋体" w:eastAsia="宋体" w:hint="default"/>
          <w:w w:val="99"/>
          <w:sz w:val="21"/>
          <w:szCs w:val="21"/>
        </w:rPr>
        <w:t> </w:t>
      </w:r>
      <w:r>
        <w:rPr>
          <w:rFonts w:ascii="宋体" w:hAnsi="宋体" w:cs="宋体" w:eastAsia="宋体" w:hint="default"/>
          <w:sz w:val="21"/>
          <w:szCs w:val="21"/>
        </w:rPr>
        <w:t>和事项。</w:t>
      </w:r>
    </w:p>
    <w:p>
      <w:pPr>
        <w:spacing w:line="408" w:lineRule="auto" w:before="87"/>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（六）就精准信息公司中实体或业务活动的财务信息获取充分、适当的审计证据，以对财务报表发表</w:t>
      </w:r>
      <w:r>
        <w:rPr>
          <w:rFonts w:ascii="宋体" w:hAnsi="宋体" w:cs="宋体" w:eastAsia="宋体" w:hint="default"/>
          <w:w w:val="99"/>
          <w:sz w:val="21"/>
          <w:szCs w:val="21"/>
        </w:rPr>
        <w:t> </w:t>
      </w:r>
      <w:r>
        <w:rPr>
          <w:rFonts w:ascii="宋体" w:hAnsi="宋体" w:cs="宋体" w:eastAsia="宋体" w:hint="default"/>
          <w:sz w:val="21"/>
          <w:szCs w:val="21"/>
        </w:rPr>
        <w:t>意见。我们负责指导、监督和执行集团审计。我们对审计意见承担全部责任。</w:t>
      </w:r>
    </w:p>
    <w:p>
      <w:pPr>
        <w:spacing w:line="408" w:lineRule="auto" w:before="87"/>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我们与治理层就计划的审计范围、时间安排和重大审计发现等事项进行沟通，包括沟通我们在审计中</w:t>
      </w:r>
      <w:r>
        <w:rPr>
          <w:rFonts w:ascii="宋体" w:hAnsi="宋体" w:cs="宋体" w:eastAsia="宋体" w:hint="default"/>
          <w:w w:val="99"/>
          <w:sz w:val="21"/>
          <w:szCs w:val="21"/>
        </w:rPr>
        <w:t> </w:t>
      </w:r>
      <w:r>
        <w:rPr>
          <w:rFonts w:ascii="宋体" w:hAnsi="宋体" w:cs="宋体" w:eastAsia="宋体" w:hint="default"/>
          <w:sz w:val="21"/>
          <w:szCs w:val="21"/>
        </w:rPr>
        <w:t>识别出的值得关注的内部控制缺陷。</w:t>
      </w:r>
    </w:p>
    <w:p>
      <w:pPr>
        <w:spacing w:line="408" w:lineRule="auto" w:before="84"/>
        <w:ind w:left="112" w:right="987" w:firstLine="420"/>
        <w:jc w:val="left"/>
        <w:rPr>
          <w:rFonts w:ascii="宋体" w:hAnsi="宋体" w:cs="宋体" w:eastAsia="宋体" w:hint="default"/>
          <w:sz w:val="21"/>
          <w:szCs w:val="21"/>
        </w:rPr>
      </w:pPr>
      <w:r>
        <w:rPr>
          <w:rFonts w:ascii="宋体" w:hAnsi="宋体" w:cs="宋体" w:eastAsia="宋体" w:hint="default"/>
          <w:w w:val="95"/>
          <w:sz w:val="21"/>
          <w:szCs w:val="21"/>
        </w:rPr>
        <w:t>我们还就已遵守与独立性相关的职业道德要求向治理层提供声明，并与治理层沟通可能被合理认为影</w:t>
      </w:r>
      <w:r>
        <w:rPr>
          <w:rFonts w:ascii="宋体" w:hAnsi="宋体" w:cs="宋体" w:eastAsia="宋体" w:hint="default"/>
          <w:w w:val="99"/>
          <w:sz w:val="21"/>
          <w:szCs w:val="21"/>
        </w:rPr>
        <w:t> </w:t>
      </w:r>
      <w:r>
        <w:rPr>
          <w:rFonts w:ascii="宋体" w:hAnsi="宋体" w:cs="宋体" w:eastAsia="宋体" w:hint="default"/>
          <w:spacing w:val="-3"/>
          <w:w w:val="99"/>
          <w:sz w:val="21"/>
          <w:szCs w:val="21"/>
        </w:rPr>
        <w:t>响我们独立性的所有关系和其他事项，以及相关的防范措施（如适用）。</w:t>
      </w:r>
      <w:r>
        <w:rPr>
          <w:rFonts w:ascii="宋体" w:hAnsi="宋体" w:cs="宋体" w:eastAsia="宋体" w:hint="default"/>
          <w:spacing w:val="-3"/>
          <w:sz w:val="21"/>
          <w:szCs w:val="21"/>
        </w:rPr>
      </w:r>
    </w:p>
    <w:p>
      <w:pPr>
        <w:spacing w:line="408" w:lineRule="auto" w:before="87"/>
        <w:ind w:left="112" w:right="1132" w:firstLine="420"/>
        <w:jc w:val="both"/>
        <w:rPr>
          <w:rFonts w:ascii="宋体" w:hAnsi="宋体" w:cs="宋体" w:eastAsia="宋体" w:hint="default"/>
          <w:sz w:val="21"/>
          <w:szCs w:val="21"/>
        </w:rPr>
      </w:pPr>
      <w:r>
        <w:rPr>
          <w:rFonts w:ascii="宋体" w:hAnsi="宋体" w:cs="宋体" w:eastAsia="宋体" w:hint="default"/>
          <w:w w:val="95"/>
          <w:sz w:val="21"/>
          <w:szCs w:val="21"/>
        </w:rPr>
        <w:t>从与治理层沟通过的事项中，我们确定哪些事项对本期财务报表审计最为重要，因而构成关键审计事</w:t>
      </w:r>
      <w:r>
        <w:rPr>
          <w:rFonts w:ascii="宋体" w:hAnsi="宋体" w:cs="宋体" w:eastAsia="宋体" w:hint="default"/>
          <w:w w:val="99"/>
          <w:sz w:val="21"/>
          <w:szCs w:val="21"/>
        </w:rPr>
        <w:t> </w:t>
      </w:r>
      <w:r>
        <w:rPr>
          <w:rFonts w:ascii="宋体" w:hAnsi="宋体" w:cs="宋体" w:eastAsia="宋体" w:hint="default"/>
          <w:w w:val="95"/>
          <w:sz w:val="21"/>
          <w:szCs w:val="21"/>
        </w:rPr>
        <w:t>项。我们在审计报告中描述这些事项，除非法律法规禁止公开披露这些事项，或在极少数情形下，如果合</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w w:val="95"/>
          <w:sz w:val="21"/>
          <w:szCs w:val="21"/>
        </w:rPr>
        <w:t>理预期在审计报告中沟通某事项造成的负面后果超过在公众利益方面产生的益处，我们确定不应在审计报</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告中沟通该事项。</w:t>
      </w:r>
    </w:p>
    <w:p>
      <w:pPr>
        <w:spacing w:after="0" w:line="408" w:lineRule="auto"/>
        <w:jc w:val="both"/>
        <w:rPr>
          <w:rFonts w:ascii="宋体" w:hAnsi="宋体" w:cs="宋体" w:eastAsia="宋体" w:hint="default"/>
          <w:sz w:val="21"/>
          <w:szCs w:val="21"/>
        </w:rPr>
        <w:sectPr>
          <w:footerReference w:type="default" r:id="rId30"/>
          <w:pgSz w:w="11910" w:h="16840"/>
          <w:pgMar w:footer="1028" w:header="907" w:top="1100" w:bottom="1220" w:left="1020" w:right="0"/>
          <w:pgNumType w:start="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tabs>
          <w:tab w:pos="7463" w:val="left" w:leader="none"/>
        </w:tabs>
        <w:spacing w:before="34"/>
        <w:ind w:left="532" w:right="987" w:firstLine="0"/>
        <w:jc w:val="left"/>
        <w:rPr>
          <w:rFonts w:ascii="宋体" w:hAnsi="宋体" w:cs="宋体" w:eastAsia="宋体" w:hint="default"/>
          <w:sz w:val="21"/>
          <w:szCs w:val="21"/>
        </w:rPr>
      </w:pPr>
      <w:r>
        <w:rPr>
          <w:rFonts w:ascii="宋体" w:hAnsi="宋体" w:cs="宋体" w:eastAsia="宋体" w:hint="default"/>
          <w:spacing w:val="-1"/>
          <w:w w:val="99"/>
          <w:sz w:val="21"/>
          <w:szCs w:val="21"/>
        </w:rPr>
        <w:t>瑞</w:t>
      </w:r>
      <w:r>
        <w:rPr>
          <w:rFonts w:ascii="宋体" w:hAnsi="宋体" w:cs="宋体" w:eastAsia="宋体" w:hint="default"/>
          <w:spacing w:val="2"/>
          <w:w w:val="99"/>
          <w:sz w:val="21"/>
          <w:szCs w:val="21"/>
        </w:rPr>
        <w:t>华</w:t>
      </w:r>
      <w:r>
        <w:rPr>
          <w:rFonts w:ascii="宋体" w:hAnsi="宋体" w:cs="宋体" w:eastAsia="宋体" w:hint="default"/>
          <w:spacing w:val="-1"/>
          <w:w w:val="99"/>
          <w:sz w:val="21"/>
          <w:szCs w:val="21"/>
        </w:rPr>
        <w:t>会</w:t>
      </w:r>
      <w:r>
        <w:rPr>
          <w:rFonts w:ascii="宋体" w:hAnsi="宋体" w:cs="宋体" w:eastAsia="宋体" w:hint="default"/>
          <w:spacing w:val="2"/>
          <w:w w:val="99"/>
          <w:sz w:val="21"/>
          <w:szCs w:val="21"/>
        </w:rPr>
        <w:t>计</w:t>
      </w:r>
      <w:r>
        <w:rPr>
          <w:rFonts w:ascii="宋体" w:hAnsi="宋体" w:cs="宋体" w:eastAsia="宋体" w:hint="default"/>
          <w:spacing w:val="-1"/>
          <w:w w:val="99"/>
          <w:sz w:val="21"/>
          <w:szCs w:val="21"/>
        </w:rPr>
        <w:t>师</w:t>
      </w:r>
      <w:r>
        <w:rPr>
          <w:rFonts w:ascii="宋体" w:hAnsi="宋体" w:cs="宋体" w:eastAsia="宋体" w:hint="default"/>
          <w:spacing w:val="2"/>
          <w:w w:val="99"/>
          <w:sz w:val="21"/>
          <w:szCs w:val="21"/>
        </w:rPr>
        <w:t>事</w:t>
      </w:r>
      <w:r>
        <w:rPr>
          <w:rFonts w:ascii="宋体" w:hAnsi="宋体" w:cs="宋体" w:eastAsia="宋体" w:hint="default"/>
          <w:spacing w:val="-1"/>
          <w:w w:val="99"/>
          <w:sz w:val="21"/>
          <w:szCs w:val="21"/>
        </w:rPr>
        <w:t>务</w:t>
      </w:r>
      <w:r>
        <w:rPr>
          <w:rFonts w:ascii="宋体" w:hAnsi="宋体" w:cs="宋体" w:eastAsia="宋体" w:hint="default"/>
          <w:spacing w:val="2"/>
          <w:w w:val="99"/>
          <w:sz w:val="21"/>
          <w:szCs w:val="21"/>
        </w:rPr>
        <w:t>所</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特</w:t>
      </w:r>
      <w:r>
        <w:rPr>
          <w:rFonts w:ascii="宋体" w:hAnsi="宋体" w:cs="宋体" w:eastAsia="宋体" w:hint="default"/>
          <w:spacing w:val="-1"/>
          <w:w w:val="99"/>
          <w:sz w:val="21"/>
          <w:szCs w:val="21"/>
        </w:rPr>
        <w:t>殊</w:t>
      </w:r>
      <w:r>
        <w:rPr>
          <w:rFonts w:ascii="宋体" w:hAnsi="宋体" w:cs="宋体" w:eastAsia="宋体" w:hint="default"/>
          <w:spacing w:val="2"/>
          <w:w w:val="99"/>
          <w:sz w:val="21"/>
          <w:szCs w:val="21"/>
        </w:rPr>
        <w:t>普</w:t>
      </w:r>
      <w:r>
        <w:rPr>
          <w:rFonts w:ascii="宋体" w:hAnsi="宋体" w:cs="宋体" w:eastAsia="宋体" w:hint="default"/>
          <w:spacing w:val="-1"/>
          <w:w w:val="99"/>
          <w:sz w:val="21"/>
          <w:szCs w:val="21"/>
        </w:rPr>
        <w:t>通</w:t>
      </w:r>
      <w:r>
        <w:rPr>
          <w:rFonts w:ascii="宋体" w:hAnsi="宋体" w:cs="宋体" w:eastAsia="宋体" w:hint="default"/>
          <w:spacing w:val="2"/>
          <w:w w:val="99"/>
          <w:sz w:val="21"/>
          <w:szCs w:val="21"/>
        </w:rPr>
        <w:t>合</w:t>
      </w:r>
      <w:r>
        <w:rPr>
          <w:rFonts w:ascii="宋体" w:hAnsi="宋体" w:cs="宋体" w:eastAsia="宋体" w:hint="default"/>
          <w:spacing w:val="-1"/>
          <w:w w:val="99"/>
          <w:sz w:val="21"/>
          <w:szCs w:val="21"/>
        </w:rPr>
        <w:t>伙</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中</w:t>
      </w:r>
      <w:r>
        <w:rPr>
          <w:rFonts w:ascii="宋体" w:hAnsi="宋体" w:cs="宋体" w:eastAsia="宋体" w:hint="default"/>
          <w:spacing w:val="2"/>
          <w:w w:val="99"/>
          <w:sz w:val="21"/>
          <w:szCs w:val="21"/>
        </w:rPr>
        <w:t>国</w:t>
      </w:r>
      <w:r>
        <w:rPr>
          <w:rFonts w:ascii="宋体" w:hAnsi="宋体" w:cs="宋体" w:eastAsia="宋体" w:hint="default"/>
          <w:spacing w:val="-1"/>
          <w:w w:val="99"/>
          <w:sz w:val="21"/>
          <w:szCs w:val="21"/>
        </w:rPr>
        <w:t>注</w:t>
      </w:r>
      <w:r>
        <w:rPr>
          <w:rFonts w:ascii="宋体" w:hAnsi="宋体" w:cs="宋体" w:eastAsia="宋体" w:hint="default"/>
          <w:spacing w:val="2"/>
          <w:w w:val="99"/>
          <w:sz w:val="21"/>
          <w:szCs w:val="21"/>
        </w:rPr>
        <w:t>册</w:t>
      </w:r>
      <w:r>
        <w:rPr>
          <w:rFonts w:ascii="宋体" w:hAnsi="宋体" w:cs="宋体" w:eastAsia="宋体" w:hint="default"/>
          <w:spacing w:val="-1"/>
          <w:w w:val="99"/>
          <w:sz w:val="21"/>
          <w:szCs w:val="21"/>
        </w:rPr>
        <w:t>会</w:t>
      </w:r>
      <w:r>
        <w:rPr>
          <w:rFonts w:ascii="宋体" w:hAnsi="宋体" w:cs="宋体" w:eastAsia="宋体" w:hint="default"/>
          <w:spacing w:val="2"/>
          <w:w w:val="99"/>
          <w:sz w:val="21"/>
          <w:szCs w:val="21"/>
        </w:rPr>
        <w:t>计</w:t>
      </w:r>
      <w:r>
        <w:rPr>
          <w:rFonts w:ascii="宋体" w:hAnsi="宋体" w:cs="宋体" w:eastAsia="宋体" w:hint="default"/>
          <w:spacing w:val="-1"/>
          <w:w w:val="99"/>
          <w:sz w:val="21"/>
          <w:szCs w:val="21"/>
        </w:rPr>
        <w:t>师</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项</w:t>
      </w:r>
      <w:r>
        <w:rPr>
          <w:rFonts w:ascii="宋体" w:hAnsi="宋体" w:cs="宋体" w:eastAsia="宋体" w:hint="default"/>
          <w:spacing w:val="2"/>
          <w:w w:val="99"/>
          <w:sz w:val="21"/>
          <w:szCs w:val="21"/>
        </w:rPr>
        <w:t>目</w:t>
      </w:r>
      <w:r>
        <w:rPr>
          <w:rFonts w:ascii="宋体" w:hAnsi="宋体" w:cs="宋体" w:eastAsia="宋体" w:hint="default"/>
          <w:spacing w:val="-1"/>
          <w:w w:val="99"/>
          <w:sz w:val="21"/>
          <w:szCs w:val="21"/>
        </w:rPr>
        <w:t>合</w:t>
      </w:r>
      <w:r>
        <w:rPr>
          <w:rFonts w:ascii="宋体" w:hAnsi="宋体" w:cs="宋体" w:eastAsia="宋体" w:hint="default"/>
          <w:spacing w:val="2"/>
          <w:w w:val="99"/>
          <w:sz w:val="21"/>
          <w:szCs w:val="21"/>
        </w:rPr>
        <w:t>伙人</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t> </w:t>
      </w:r>
      <w:r>
        <w:rPr>
          <w:rFonts w:ascii="宋体" w:hAnsi="宋体" w:cs="宋体" w:eastAsia="宋体" w:hint="default"/>
          <w:w w:val="99"/>
          <w:sz w:val="21"/>
          <w:szCs w:val="21"/>
        </w:rPr>
        <w:t>江</w:t>
      </w:r>
      <w:r>
        <w:rPr>
          <w:rFonts w:ascii="宋体" w:hAnsi="宋体" w:cs="宋体" w:eastAsia="宋体" w:hint="default"/>
          <w:sz w:val="21"/>
          <w:szCs w:val="21"/>
        </w:rPr>
        <w:tab/>
      </w:r>
      <w:r>
        <w:rPr>
          <w:rFonts w:ascii="宋体" w:hAnsi="宋体" w:cs="宋体" w:eastAsia="宋体" w:hint="default"/>
          <w:w w:val="99"/>
          <w:sz w:val="21"/>
          <w:szCs w:val="21"/>
        </w:rPr>
        <w:t>涛</w:t>
      </w:r>
      <w:r>
        <w:rPr>
          <w:rFonts w:ascii="宋体" w:hAnsi="宋体" w:cs="宋体" w:eastAsia="宋体" w:hint="default"/>
          <w:sz w:val="21"/>
          <w:szCs w:val="21"/>
        </w:rPr>
      </w:r>
    </w:p>
    <w:p>
      <w:pPr>
        <w:spacing w:line="240" w:lineRule="auto" w:before="12"/>
        <w:rPr>
          <w:rFonts w:ascii="宋体" w:hAnsi="宋体" w:cs="宋体" w:eastAsia="宋体" w:hint="default"/>
          <w:sz w:val="17"/>
          <w:szCs w:val="17"/>
        </w:rPr>
      </w:pPr>
    </w:p>
    <w:p>
      <w:pPr>
        <w:tabs>
          <w:tab w:pos="5572" w:val="left" w:leader="none"/>
          <w:tab w:pos="7043" w:val="left" w:leader="none"/>
        </w:tabs>
        <w:spacing w:line="441" w:lineRule="auto" w:before="0"/>
        <w:ind w:left="3892" w:right="3211" w:firstLine="0"/>
        <w:jc w:val="left"/>
        <w:rPr>
          <w:rFonts w:ascii="宋体" w:hAnsi="宋体" w:cs="宋体" w:eastAsia="宋体" w:hint="default"/>
          <w:sz w:val="21"/>
          <w:szCs w:val="21"/>
        </w:rPr>
      </w:pPr>
      <w:r>
        <w:rPr>
          <w:rFonts w:ascii="宋体" w:hAnsi="宋体" w:cs="宋体" w:eastAsia="宋体" w:hint="default"/>
          <w:w w:val="95"/>
          <w:sz w:val="21"/>
          <w:szCs w:val="21"/>
        </w:rPr>
        <w:t>中国注册会计师：</w:t>
        <w:tab/>
        <w:tab/>
      </w:r>
      <w:r>
        <w:rPr>
          <w:rFonts w:ascii="宋体" w:hAnsi="宋体" w:cs="宋体" w:eastAsia="宋体" w:hint="default"/>
          <w:sz w:val="21"/>
          <w:szCs w:val="21"/>
        </w:rPr>
        <w:t>郭冬梅</w:t>
      </w:r>
      <w:r>
        <w:rPr>
          <w:rFonts w:ascii="宋体" w:hAnsi="宋体" w:cs="宋体" w:eastAsia="宋体" w:hint="default"/>
          <w:w w:val="99"/>
          <w:sz w:val="21"/>
          <w:szCs w:val="21"/>
        </w:rPr>
        <w:t> </w:t>
      </w:r>
      <w:r>
        <w:rPr>
          <w:rFonts w:ascii="宋体" w:hAnsi="宋体" w:cs="宋体" w:eastAsia="宋体" w:hint="default"/>
          <w:w w:val="95"/>
          <w:sz w:val="21"/>
          <w:szCs w:val="21"/>
        </w:rPr>
        <w:t>中国·北京</w:t>
        <w:tab/>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spacing w:before="182"/>
        <w:ind w:left="112" w:right="987" w:firstLine="0"/>
        <w:jc w:val="left"/>
        <w:rPr>
          <w:rFonts w:ascii="宋体" w:hAnsi="宋体" w:cs="宋体" w:eastAsia="宋体" w:hint="default"/>
          <w:sz w:val="24"/>
          <w:szCs w:val="24"/>
        </w:rPr>
      </w:pPr>
      <w:bookmarkStart w:name="二、财务报表" w:id="145"/>
      <w:bookmarkEnd w:id="145"/>
      <w:r>
        <w:rPr/>
      </w: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before="0"/>
        <w:ind w:right="987"/>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1、合并资产负债表" w:id="146"/>
      <w:bookmarkEnd w:id="14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7" w:footer="1028" w:top="1100" w:bottom="1220" w:left="1020" w:right="0"/>
        </w:sectPr>
      </w:pPr>
    </w:p>
    <w:p>
      <w:pPr>
        <w:pStyle w:val="BodyText"/>
        <w:spacing w:line="240" w:lineRule="auto"/>
        <w:ind w:right="-20"/>
        <w:jc w:val="left"/>
      </w:pPr>
      <w:r>
        <w:rPr/>
        <w:t>编制单位：尤洛卡精准信息工程股份有限公司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100" w:bottom="700" w:left="1020" w:right="0"/>
          <w:cols w:num="3" w:equalWidth="0">
            <w:col w:w="3713" w:space="364"/>
            <w:col w:w="1599" w:space="3242"/>
            <w:col w:w="197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147,574,794.14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294,332,671.36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465,232,002.34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449,514,320.42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141,905,472.10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122,541,114.44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9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323,326,530.24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326,973,205.98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12,644,573.91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20,852,616.29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86,707,009.00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37,518,244.76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1,968,560.45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467,863.15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111,068,193.03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95,520,185.27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70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190,610,946.12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114,353,858.12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1,013,837,518.54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1,012,091,896.22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65,600,000.00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31,200,000.00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2,060,177.56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2,732,653.12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197,666,185.67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206,619,677.99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79,039,544.99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84,839,447.80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550,552,727.12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569,212,432.09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1,757,750.58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1,795,943.26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16,987,738.95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13,538,641.77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769,669.82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656,426.99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914,433,794.69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910,595,223.02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1,928,271,313.23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1,922,687,119.24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0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00"/>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71,594,970.82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79,838,806.87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9,812,055.03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9,866,200.34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10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6,121,341.73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8,982,856.39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27,764,479.63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39,324,548.90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5,847,992.04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7,565,039.63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640.19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7,091.10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131,140,839.25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150,577,452.13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7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1,561,698.76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2,472,624.98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1,561,698.76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2,472,624.98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132,702,538.01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153,050,077.11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669,279,255.00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669,279,255.00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783,044,279.86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776,605,679.86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194"/>
        <w:gridCol w:w="3406"/>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50,097,930.35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43,917,887.13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261,982,939.39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237,637,699.83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1,764,404,404.60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1,727,440,521.82</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31,164,370.62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42,196,520.31</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1,795,568,775.22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1,769,637,042.13</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1,928,271,313.23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1,922,687,119.24</w:t>
            </w:r>
          </w:p>
        </w:tc>
      </w:tr>
    </w:tbl>
    <w:p>
      <w:pPr>
        <w:spacing w:line="240" w:lineRule="auto" w:before="1"/>
        <w:rPr>
          <w:rFonts w:ascii="Times New Roman" w:hAnsi="Times New Roman" w:cs="Times New Roman" w:eastAsia="Times New Roman" w:hint="default"/>
          <w:sz w:val="23"/>
          <w:szCs w:val="23"/>
        </w:rPr>
      </w:pPr>
    </w:p>
    <w:p>
      <w:pPr>
        <w:pStyle w:val="BodyText"/>
        <w:tabs>
          <w:tab w:pos="3419" w:val="left" w:leader="none"/>
          <w:tab w:pos="7559" w:val="left" w:leader="none"/>
        </w:tabs>
        <w:spacing w:line="240" w:lineRule="auto"/>
        <w:ind w:left="0" w:right="1231"/>
        <w:jc w:val="right"/>
      </w:pPr>
      <w:r>
        <w:rPr/>
        <w:t>法定代表人：黄自伟</w:t>
        <w:tab/>
        <w:t>主管会计工作负责人：崔保航</w:t>
        <w:tab/>
        <w:t>会计机构负责人：曹丽妮</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2、母公司资产负债表" w:id="147"/>
      <w:bookmarkEnd w:id="14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23,509,392.07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150,149,658.65</w:t>
            </w: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149,020,105.10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118,776,286.08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15,694,801.10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24,150,588.44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5"/>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133,325,304.00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94,625,697.64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3,796,404.72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4,885,782.18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29,298,354.17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40,979,510.28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1,968,560.45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1,427,988.91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5"/>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55,157,900.03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47,486,532.27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110,642,997.95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418,782,156.09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472,920,767.41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64,600,000.00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31,200,000.00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959,221,622.96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905,520,730.77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179,889,744.07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188,510,113.64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59,937,579.56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66,821,996.97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474,483.58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482,832.26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6,157,069.26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8,947,838.15</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769,669.82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656,426.99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1,271,050,169.25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1,202,139,938.78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1,689,832,325.34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1,675,060,706.19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7"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18,582,669.01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48,393,963.81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9,555,393.34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10,884,265.63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2,784,003.29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2,444,180.53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11,032,537.10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3,371,800.92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38,477,388.97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1,877,268.37</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5"/>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80,431,991.71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66,971,479.26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301"/>
        <w:gridCol w:w="3301"/>
        <w:gridCol w:w="296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80,431,991.71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66,971,479.26</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669,279,255.00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669,279,255.00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5"/>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783,095,668.11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776,657,068.11</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50,097,930.35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43,917,887.13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106,927,480.17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118,235,016.69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1,609,400,333.63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1,608,089,226.93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1,689,832,325.34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1,675,060,706.19</w:t>
            </w:r>
          </w:p>
        </w:tc>
      </w:tr>
    </w:tbl>
    <w:p>
      <w:pPr>
        <w:spacing w:line="240" w:lineRule="auto" w:before="11"/>
        <w:rPr>
          <w:rFonts w:ascii="Times New Roman" w:hAnsi="Times New Roman" w:cs="Times New Roman" w:eastAsia="Times New Roman" w:hint="default"/>
          <w:sz w:val="21"/>
          <w:szCs w:val="21"/>
        </w:rPr>
      </w:pPr>
    </w:p>
    <w:p>
      <w:pPr>
        <w:pStyle w:val="Heading4"/>
        <w:spacing w:line="240" w:lineRule="auto" w:before="34"/>
        <w:ind w:right="987"/>
        <w:jc w:val="left"/>
        <w:rPr>
          <w:b w:val="0"/>
          <w:bCs w:val="0"/>
        </w:rPr>
      </w:pPr>
      <w:bookmarkStart w:name="3、合并利润表" w:id="148"/>
      <w:bookmarkEnd w:id="14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446,156,028.97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422,911,717.94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446,156,028.97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422,911,717.94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1"/>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1"/>
              <w:jc w:val="center"/>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402,100,648.77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319,196,321.46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218,997,546.37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200,285,891.59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1"/>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11"/>
              <w:jc w:val="center"/>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1"/>
              <w:jc w:val="center"/>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11,636,085.90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9,173,116.36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1"/>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43,722,342.35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29,881,768.15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57,829,736.41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47,801,671.67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1"/>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47,604,135.93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30,146,220.83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-4,436,438.88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-6,354,729.52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1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1,425,890.42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786,148.69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3"/>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5,918,402.12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7,213,603.42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26,747,240.69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8,262,382.38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52,011,274.73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19,328,467.36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投资收益（损失以“－”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6,035,565.85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3,553,250.06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-672,475.56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-59,599.80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1" w:firstLine="72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240,337.41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-235,771.42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三、营业利润（亏损以“－”号填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102,342,558.19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126,361,342.48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1,876,333.74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1,755,166.91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2,659,825.54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2,072,796.21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四、利润总额（亏损总额以“－”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101,559,066.39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126,043,713.18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15,138,007.80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17,746,807.73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五、净利润（净亏损以“－”号填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86,421,058.59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108,296,905.45</w:t>
            </w:r>
          </w:p>
        </w:tc>
      </w:tr>
      <w:tr>
        <w:trPr>
          <w:trHeight w:val="7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86,421,058.59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108,296,905.45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97,453,208.28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101,644,074.39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-11,032,149.69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6,652,831.06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86,421,058.59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108,296,905.45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97,453,208.28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101,644,074.39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-11,032,149.69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6,652,831.06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0.1456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0.1539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0.1456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0.1539</w:t>
            </w:r>
          </w:p>
        </w:tc>
      </w:tr>
    </w:tbl>
    <w:p>
      <w:pPr>
        <w:pStyle w:val="BodyText"/>
        <w:spacing w:line="240" w:lineRule="auto" w:before="50"/>
        <w:ind w:right="987"/>
        <w:jc w:val="left"/>
      </w:pPr>
      <w:r>
        <w:rPr/>
        <w:t>本期发生同一控制下企业合并的，被合并方在合并前实现的净利润为：元，上期被合并方实现的净利润为：元。</w:t>
      </w:r>
    </w:p>
    <w:p>
      <w:pPr>
        <w:spacing w:after="0" w:line="240"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tabs>
          <w:tab w:pos="3419" w:val="left" w:leader="none"/>
          <w:tab w:pos="7559" w:val="left" w:leader="none"/>
        </w:tabs>
        <w:spacing w:line="240" w:lineRule="auto"/>
        <w:ind w:left="0" w:right="1231"/>
        <w:jc w:val="right"/>
      </w:pPr>
      <w:r>
        <w:rPr/>
        <w:t>法定代表人：黄自伟</w:t>
        <w:tab/>
        <w:t>主管会计工作负责人：崔保航</w:t>
        <w:tab/>
        <w:t>会计机构负责人：曹丽妮</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4、母公司利润表" w:id="149"/>
      <w:bookmarkEnd w:id="14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175,384,905.85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119,449,919.10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79,848,827.61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58,623,206.21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5,405,339.86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5,930,904.08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25,725,247.53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14,602,986.52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32,093,505.40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24,500,098.03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9,204,053.16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6,328,121.21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-1,678,430.08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-4,178,539.32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1,689,989.54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4,185,276.39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20,559,200.64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-361,680.02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486,432.79</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2" w:firstLine="720"/>
              <w:jc w:val="left"/>
              <w:rPr>
                <w:rFonts w:ascii="宋体" w:hAnsi="宋体" w:cs="宋体" w:eastAsia="宋体" w:hint="default"/>
                <w:sz w:val="18"/>
                <w:szCs w:val="18"/>
              </w:rPr>
            </w:pPr>
            <w:r>
              <w:rPr>
                <w:rFonts w:ascii="宋体" w:hAnsi="宋体" w:cs="宋体" w:eastAsia="宋体" w:hint="default"/>
                <w:sz w:val="18"/>
                <w:szCs w:val="18"/>
              </w:rPr>
              <w:t>投资收益（损失以“－”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61,354,212.22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49,574,683.60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9,772.19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19,897.85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2" w:firstLine="720"/>
              <w:jc w:val="left"/>
              <w:rPr>
                <w:rFonts w:ascii="宋体" w:hAnsi="宋体" w:cs="宋体" w:eastAsia="宋体" w:hint="default"/>
                <w:sz w:val="18"/>
                <w:szCs w:val="18"/>
              </w:rPr>
            </w:pPr>
            <w:r>
              <w:rPr>
                <w:rFonts w:ascii="宋体" w:hAnsi="宋体" w:cs="宋体" w:eastAsia="宋体" w:hint="default"/>
                <w:sz w:val="18"/>
                <w:szCs w:val="18"/>
              </w:rPr>
              <w:t>公允价值变动收益（损失 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 w:firstLine="72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57,753.44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-244,164.69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2"/>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66,125,560.18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63,335,341.30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250,527.61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1,409,330.61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1,183,441.56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2,046,347.60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65,192,646.23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62,698,324.31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3,392,214.03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2,739,195.09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61,800,432.20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59,959,129.22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61,800,432.20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59,959,129.22</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62" w:right="0"/>
              <w:jc w:val="left"/>
              <w:rPr>
                <w:rFonts w:ascii="宋体" w:hAnsi="宋体" w:cs="宋体" w:eastAsia="宋体" w:hint="default"/>
                <w:sz w:val="18"/>
                <w:szCs w:val="18"/>
              </w:rPr>
            </w:pPr>
            <w:r>
              <w:rPr>
                <w:rFonts w:ascii="宋体" w:hAnsi="宋体" w:cs="宋体" w:eastAsia="宋体" w:hint="default"/>
                <w:sz w:val="18"/>
                <w:szCs w:val="18"/>
              </w:rPr>
              <w:t>（二）终止经营净利润（净亏</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损以“－”号填列）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 的其他综合收益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53"/>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61,800,432.20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59,959,129.22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0.0923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0.0896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0.0923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0.0896</w:t>
            </w:r>
          </w:p>
        </w:tc>
      </w:tr>
    </w:tbl>
    <w:p>
      <w:pPr>
        <w:spacing w:line="240" w:lineRule="auto" w:before="5"/>
        <w:rPr>
          <w:rFonts w:ascii="宋体" w:hAnsi="宋体" w:cs="宋体" w:eastAsia="宋体" w:hint="default"/>
          <w:sz w:val="19"/>
          <w:szCs w:val="19"/>
        </w:rPr>
      </w:pPr>
    </w:p>
    <w:p>
      <w:pPr>
        <w:spacing w:before="34"/>
        <w:ind w:left="112" w:right="987" w:firstLine="0"/>
        <w:jc w:val="left"/>
        <w:rPr>
          <w:rFonts w:ascii="宋体" w:hAnsi="宋体" w:cs="宋体" w:eastAsia="宋体" w:hint="default"/>
          <w:sz w:val="21"/>
          <w:szCs w:val="21"/>
        </w:rPr>
      </w:pPr>
      <w:bookmarkStart w:name="5、合并现金流量表" w:id="150"/>
      <w:bookmarkEnd w:id="15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3" w:right="0"/>
              <w:jc w:val="left"/>
              <w:rPr>
                <w:rFonts w:ascii="Times New Roman" w:hAnsi="Times New Roman" w:cs="Times New Roman" w:eastAsia="Times New Roman" w:hint="default"/>
                <w:sz w:val="18"/>
                <w:szCs w:val="18"/>
              </w:rPr>
            </w:pPr>
            <w:r>
              <w:rPr>
                <w:rFonts w:ascii="Times New Roman"/>
                <w:sz w:val="18"/>
              </w:rPr>
              <w:t>398,597,090.17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2" w:right="0"/>
              <w:jc w:val="left"/>
              <w:rPr>
                <w:rFonts w:ascii="Times New Roman" w:hAnsi="Times New Roman" w:cs="Times New Roman" w:eastAsia="Times New Roman" w:hint="default"/>
                <w:sz w:val="18"/>
                <w:szCs w:val="18"/>
              </w:rPr>
            </w:pPr>
            <w:r>
              <w:rPr>
                <w:rFonts w:ascii="Times New Roman"/>
                <w:sz w:val="18"/>
              </w:rPr>
              <w:t>360,324,880.67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2"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2"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1"/>
          <w:pgSz w:w="11910" w:h="16840"/>
          <w:pgMar w:footer="1028" w:header="907" w:top="1100" w:bottom="1220" w:left="1020" w:right="0"/>
          <w:pgNumType w:start="9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6,170,981.96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7,593,096.80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26,528,626.16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22,250,486.29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431,296,698.29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390,168,463.76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159,778,140.39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157,375,554.27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66,279,342.42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45,994,823.13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93,162,803.62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50,581,277.99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67,259,626.06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66,365,603.33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386,479,912.49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320,317,258.72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44,816,785.80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69,851,205.04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545,540,000.00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390,600,000.00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4,842,269.26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3,612,849.86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627,342.55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487,017.91</w:t>
            </w: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6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11,080,466.82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551,009,611.81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405,780,334.59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16,365,672.63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9,620,300.80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661,440,000.00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485,200,000.00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677,805,672.63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494,820,300.80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-126,796,060.82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-89,039,966.21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35,786,400.01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21,751,059.00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62,537,459.01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70,225,440.78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77,728,451.50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2,807,400.00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11,229,600.00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412,411.12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75,637,851.90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87,728,451.50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-65,637,851.90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-25,190,992.49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-147,617,126.92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-44,379,753.66</w:t>
            </w: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291,622,171.36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336,001,925.02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63" w:right="0"/>
              <w:jc w:val="left"/>
              <w:rPr>
                <w:rFonts w:ascii="Times New Roman" w:hAnsi="Times New Roman" w:cs="Times New Roman" w:eastAsia="Times New Roman" w:hint="default"/>
                <w:sz w:val="18"/>
                <w:szCs w:val="18"/>
              </w:rPr>
            </w:pPr>
            <w:r>
              <w:rPr>
                <w:rFonts w:ascii="Times New Roman"/>
                <w:sz w:val="18"/>
              </w:rPr>
              <w:t>144,005,044.44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62" w:right="0"/>
              <w:jc w:val="left"/>
              <w:rPr>
                <w:rFonts w:ascii="Times New Roman" w:hAnsi="Times New Roman" w:cs="Times New Roman" w:eastAsia="Times New Roman" w:hint="default"/>
                <w:sz w:val="18"/>
                <w:szCs w:val="18"/>
              </w:rPr>
            </w:pPr>
            <w:r>
              <w:rPr>
                <w:rFonts w:ascii="Times New Roman"/>
                <w:sz w:val="18"/>
              </w:rPr>
              <w:t>291,622,171.36</w:t>
            </w:r>
          </w:p>
        </w:tc>
      </w:tr>
    </w:tbl>
    <w:p>
      <w:pPr>
        <w:spacing w:line="240" w:lineRule="auto" w:before="11"/>
        <w:rPr>
          <w:rFonts w:ascii="Times New Roman" w:hAnsi="Times New Roman" w:cs="Times New Roman" w:eastAsia="Times New Roman" w:hint="default"/>
          <w:sz w:val="21"/>
          <w:szCs w:val="21"/>
        </w:rPr>
      </w:pPr>
    </w:p>
    <w:p>
      <w:pPr>
        <w:pStyle w:val="Heading4"/>
        <w:spacing w:line="240" w:lineRule="auto" w:before="34"/>
        <w:ind w:right="987"/>
        <w:jc w:val="left"/>
        <w:rPr>
          <w:b w:val="0"/>
          <w:bCs w:val="0"/>
        </w:rPr>
      </w:pPr>
      <w:bookmarkStart w:name="6、母公司现金流量表" w:id="151"/>
      <w:bookmarkEnd w:id="15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100,026,017.44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115,401,119.17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78,371,978.28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22,608,446.94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178,397,995.72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138,009,566.11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70,626,587.82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24,485,144.51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23,711,142.59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17,818,717.58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13,490,406.17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14,600,682.67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29,212,840.75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63,508,038.14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137,040,977.33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120,412,582.90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41,357,018.39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17,596,983.21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539,800,000.00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377,700,000.00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60,796,777.85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49,554,785.75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611,396.36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520,717.91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601,208,174.21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427,775,503.66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4,148,872.26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7,560,570.70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699,200,000.00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483,200,000.00</w:t>
            </w: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703,348,872.26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490,760,570.70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-102,140,698.05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-62,985,067.04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35,786,400.01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751,059.00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36,537,459.01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66,927,925.50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66,039,925.50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29,496.59</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66,957,422.09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66,039,925.50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-66,957,422.09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-29,502,466.49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-127,741,101.75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-74,890,550.32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150,149,658.65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225,040,208.97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22,408,556.90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150,149,658.65</w:t>
            </w:r>
          </w:p>
        </w:tc>
      </w:tr>
    </w:tbl>
    <w:p>
      <w:pPr>
        <w:spacing w:line="240" w:lineRule="auto" w:before="3"/>
        <w:rPr>
          <w:rFonts w:ascii="宋体" w:hAnsi="宋体" w:cs="宋体" w:eastAsia="宋体" w:hint="default"/>
          <w:sz w:val="19"/>
          <w:szCs w:val="19"/>
        </w:rPr>
      </w:pPr>
    </w:p>
    <w:p>
      <w:pPr>
        <w:pStyle w:val="Heading4"/>
        <w:spacing w:line="240" w:lineRule="auto" w:before="34"/>
        <w:ind w:right="987"/>
        <w:jc w:val="left"/>
        <w:rPr>
          <w:b w:val="0"/>
          <w:bCs w:val="0"/>
        </w:rPr>
      </w:pPr>
      <w:bookmarkStart w:name="7、合并所有者权益变动表" w:id="152"/>
      <w:bookmarkEnd w:id="15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987"/>
        <w:jc w:val="left"/>
      </w:pPr>
      <w:r>
        <w:rPr/>
        <w:t>本期金额</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142" w:right="144"/>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85" w:right="184"/>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8"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47" w:right="144"/>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6" w:right="14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48" w:right="145"/>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9" w:right="169"/>
              <w:jc w:val="left"/>
              <w:rPr>
                <w:rFonts w:ascii="宋体" w:hAnsi="宋体" w:cs="宋体" w:eastAsia="宋体" w:hint="default"/>
                <w:sz w:val="18"/>
                <w:szCs w:val="18"/>
              </w:rPr>
            </w:pPr>
            <w:r>
              <w:rPr>
                <w:rFonts w:ascii="宋体" w:hAnsi="宋体" w:cs="宋体" w:eastAsia="宋体" w:hint="default"/>
                <w:sz w:val="18"/>
                <w:szCs w:val="18"/>
              </w:rPr>
              <w:t>其 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71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35" w:right="0"/>
              <w:jc w:val="left"/>
              <w:rPr>
                <w:rFonts w:ascii="Times New Roman" w:hAnsi="Times New Roman" w:cs="Times New Roman" w:eastAsia="Times New Roman" w:hint="default"/>
                <w:sz w:val="18"/>
                <w:szCs w:val="18"/>
              </w:rPr>
            </w:pPr>
            <w:r>
              <w:rPr>
                <w:rFonts w:ascii="Times New Roman"/>
                <w:sz w:val="18"/>
              </w:rPr>
              <w:t>669,</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279,</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5" w:right="0"/>
              <w:jc w:val="left"/>
              <w:rPr>
                <w:rFonts w:ascii="Times New Roman" w:hAnsi="Times New Roman" w:cs="Times New Roman" w:eastAsia="Times New Roman" w:hint="default"/>
                <w:sz w:val="18"/>
                <w:szCs w:val="18"/>
              </w:rPr>
            </w:pPr>
            <w:r>
              <w:rPr>
                <w:rFonts w:ascii="Times New Roman"/>
                <w:sz w:val="18"/>
              </w:rPr>
              <w:t>776,6</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05,67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5" w:right="0"/>
              <w:jc w:val="left"/>
              <w:rPr>
                <w:rFonts w:ascii="Times New Roman" w:hAnsi="Times New Roman" w:cs="Times New Roman" w:eastAsia="Times New Roman" w:hint="default"/>
                <w:sz w:val="18"/>
                <w:szCs w:val="18"/>
              </w:rPr>
            </w:pPr>
            <w:r>
              <w:rPr>
                <w:rFonts w:ascii="Times New Roman"/>
                <w:sz w:val="18"/>
              </w:rPr>
              <w:t>43,91</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7,887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8" w:right="0"/>
              <w:jc w:val="left"/>
              <w:rPr>
                <w:rFonts w:ascii="Times New Roman" w:hAnsi="Times New Roman" w:cs="Times New Roman" w:eastAsia="Times New Roman" w:hint="default"/>
                <w:sz w:val="18"/>
                <w:szCs w:val="18"/>
              </w:rPr>
            </w:pPr>
            <w:r>
              <w:rPr>
                <w:rFonts w:ascii="Times New Roman"/>
                <w:sz w:val="18"/>
              </w:rPr>
              <w:t>237,6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37,69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7" w:right="0"/>
              <w:jc w:val="left"/>
              <w:rPr>
                <w:rFonts w:ascii="Times New Roman" w:hAnsi="Times New Roman" w:cs="Times New Roman" w:eastAsia="Times New Roman" w:hint="default"/>
                <w:sz w:val="18"/>
                <w:szCs w:val="18"/>
              </w:rPr>
            </w:pPr>
            <w:r>
              <w:rPr>
                <w:rFonts w:ascii="Times New Roman"/>
                <w:sz w:val="18"/>
              </w:rPr>
              <w:t>42,19</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6,520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40" w:right="0"/>
              <w:jc w:val="left"/>
              <w:rPr>
                <w:rFonts w:ascii="Times New Roman" w:hAnsi="Times New Roman" w:cs="Times New Roman" w:eastAsia="Times New Roman" w:hint="default"/>
                <w:sz w:val="18"/>
                <w:szCs w:val="18"/>
              </w:rPr>
            </w:pPr>
            <w:r>
              <w:rPr>
                <w:rFonts w:ascii="Times New Roman"/>
                <w:sz w:val="18"/>
              </w:rPr>
              <w:t>1,769</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,637,</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center"/>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6" w:right="0"/>
              <w:jc w:val="left"/>
              <w:rPr>
                <w:rFonts w:ascii="Times New Roman" w:hAnsi="Times New Roman" w:cs="Times New Roman" w:eastAsia="Times New Roman" w:hint="default"/>
                <w:sz w:val="18"/>
                <w:szCs w:val="18"/>
              </w:rPr>
            </w:pPr>
            <w:r>
              <w:rPr>
                <w:rFonts w:ascii="Times New Roman"/>
                <w:sz w:val="18"/>
              </w:rPr>
              <w:t>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6" w:right="0"/>
              <w:jc w:val="left"/>
              <w:rPr>
                <w:rFonts w:ascii="Times New Roman" w:hAnsi="Times New Roman" w:cs="Times New Roman" w:eastAsia="Times New Roman" w:hint="default"/>
                <w:sz w:val="18"/>
                <w:szCs w:val="18"/>
              </w:rPr>
            </w:pPr>
            <w:r>
              <w:rPr>
                <w:rFonts w:ascii="Times New Roman"/>
                <w:sz w:val="18"/>
              </w:rPr>
              <w:t>9.83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7" w:right="0"/>
              <w:jc w:val="left"/>
              <w:rPr>
                <w:rFonts w:ascii="Times New Roman" w:hAnsi="Times New Roman" w:cs="Times New Roman" w:eastAsia="Times New Roman" w:hint="default"/>
                <w:sz w:val="18"/>
                <w:szCs w:val="18"/>
              </w:rPr>
            </w:pPr>
            <w:r>
              <w:rPr>
                <w:rFonts w:ascii="Times New Roman"/>
                <w:sz w:val="18"/>
              </w:rPr>
              <w:t>.31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042.1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4"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4"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0"/>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669,</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279,</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776,6</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05,67</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43,91</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7,887</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237,6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37,69</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42,19</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6,520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1,769</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,637,</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042.1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64"/>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6,438</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6,180</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,043.</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24,34</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5,239</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Times New Roman" w:hAnsi="Times New Roman" w:cs="Times New Roman" w:eastAsia="Times New Roman" w:hint="default"/>
                <w:sz w:val="18"/>
                <w:szCs w:val="18"/>
              </w:rPr>
            </w:pPr>
            <w:r>
              <w:rPr>
                <w:rFonts w:ascii="Times New Roman"/>
                <w:sz w:val="18"/>
              </w:rPr>
              <w:t>-11,0</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32,14</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25,93</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1,733</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.09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center"/>
              <w:rPr>
                <w:rFonts w:ascii="Times New Roman" w:hAnsi="Times New Roman" w:cs="Times New Roman" w:eastAsia="Times New Roman" w:hint="default"/>
                <w:sz w:val="18"/>
                <w:szCs w:val="18"/>
              </w:rPr>
            </w:pPr>
            <w:r>
              <w:rPr>
                <w:rFonts w:ascii="Times New Roman"/>
                <w:sz w:val="18"/>
              </w:rPr>
              <w:t>97,45</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3,208</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3" w:right="0"/>
              <w:jc w:val="left"/>
              <w:rPr>
                <w:rFonts w:ascii="Times New Roman" w:hAnsi="Times New Roman" w:cs="Times New Roman" w:eastAsia="Times New Roman" w:hint="default"/>
                <w:sz w:val="18"/>
                <w:szCs w:val="18"/>
              </w:rPr>
            </w:pPr>
            <w:r>
              <w:rPr>
                <w:rFonts w:ascii="Times New Roman"/>
                <w:sz w:val="18"/>
              </w:rPr>
              <w:t>-11,0</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32,14</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center"/>
              <w:rPr>
                <w:rFonts w:ascii="Times New Roman" w:hAnsi="Times New Roman" w:cs="Times New Roman" w:eastAsia="Times New Roman" w:hint="default"/>
                <w:sz w:val="18"/>
                <w:szCs w:val="18"/>
              </w:rPr>
            </w:pPr>
            <w:r>
              <w:rPr>
                <w:rFonts w:ascii="Times New Roman"/>
                <w:sz w:val="18"/>
              </w:rPr>
              <w:t>86,42</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1,058</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.59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6,438</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6,438</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6,438</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6,438</w:t>
            </w:r>
          </w:p>
          <w:p>
            <w:pPr>
              <w:pStyle w:val="TableParagraph"/>
              <w:spacing w:line="240" w:lineRule="auto" w:before="105"/>
              <w:ind w:left="84"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6,180</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,043.</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left"/>
              <w:rPr>
                <w:rFonts w:ascii="Times New Roman" w:hAnsi="Times New Roman" w:cs="Times New Roman" w:eastAsia="Times New Roman" w:hint="default"/>
                <w:sz w:val="18"/>
                <w:szCs w:val="18"/>
              </w:rPr>
            </w:pPr>
            <w:r>
              <w:rPr>
                <w:rFonts w:ascii="Times New Roman"/>
                <w:sz w:val="18"/>
              </w:rPr>
              <w:t>-73,1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07,96</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8.72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-66,9</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27,92</w:t>
            </w:r>
          </w:p>
          <w:p>
            <w:pPr>
              <w:pStyle w:val="TableParagraph"/>
              <w:spacing w:line="240" w:lineRule="auto" w:before="105"/>
              <w:ind w:left="231" w:right="0"/>
              <w:jc w:val="left"/>
              <w:rPr>
                <w:rFonts w:ascii="Times New Roman" w:hAnsi="Times New Roman" w:cs="Times New Roman" w:eastAsia="Times New Roman" w:hint="default"/>
                <w:sz w:val="18"/>
                <w:szCs w:val="18"/>
              </w:rPr>
            </w:pPr>
            <w:r>
              <w:rPr>
                <w:rFonts w:ascii="Times New Roman"/>
                <w:sz w:val="18"/>
              </w:rPr>
              <w:t>5.50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6,180</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,043.</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-6,18</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0,043</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r>
              <w:rPr>
                <w:rFonts w:ascii="宋体" w:hAnsi="宋体" w:cs="宋体" w:eastAsia="宋体" w:hint="default"/>
                <w:sz w:val="18"/>
                <w:szCs w:val="18"/>
              </w:rPr>
              <w:t>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left"/>
              <w:rPr>
                <w:rFonts w:ascii="Times New Roman" w:hAnsi="Times New Roman" w:cs="Times New Roman" w:eastAsia="Times New Roman" w:hint="default"/>
                <w:sz w:val="18"/>
                <w:szCs w:val="18"/>
              </w:rPr>
            </w:pPr>
            <w:r>
              <w:rPr>
                <w:rFonts w:ascii="Times New Roman"/>
                <w:sz w:val="18"/>
              </w:rPr>
              <w:t>-66,9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27,92</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5.50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-66,9</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27,92</w:t>
            </w:r>
          </w:p>
          <w:p>
            <w:pPr>
              <w:pStyle w:val="TableParagraph"/>
              <w:spacing w:line="240" w:lineRule="auto" w:before="105"/>
              <w:ind w:left="231" w:right="0"/>
              <w:jc w:val="left"/>
              <w:rPr>
                <w:rFonts w:ascii="Times New Roman" w:hAnsi="Times New Roman" w:cs="Times New Roman" w:eastAsia="Times New Roman" w:hint="default"/>
                <w:sz w:val="18"/>
                <w:szCs w:val="18"/>
              </w:rPr>
            </w:pPr>
            <w:r>
              <w:rPr>
                <w:rFonts w:ascii="Times New Roman"/>
                <w:sz w:val="18"/>
              </w:rPr>
              <w:t>5.50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669,</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279,</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783,0</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44,27</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50,09</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7,930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261,9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82,93</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31,16</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4,370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1,795</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,568,</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775.2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987"/>
        <w:jc w:val="left"/>
      </w:pPr>
      <w:r>
        <w:rPr/>
        <w:t>上期金额</w:t>
      </w:r>
    </w:p>
    <w:p>
      <w:pPr>
        <w:pStyle w:val="BodyText"/>
        <w:spacing w:line="240" w:lineRule="auto" w:before="117"/>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6" w:right="183"/>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5"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69" w:right="17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1" w:right="16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1"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749,1</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47,93</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38,40</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1,723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207,5</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44,56</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3.73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49,58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0,689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Times New Roman" w:hAnsi="Times New Roman" w:cs="Times New Roman" w:eastAsia="Times New Roman" w:hint="default"/>
                <w:sz w:val="18"/>
                <w:szCs w:val="18"/>
              </w:rPr>
            </w:pPr>
            <w:r>
              <w:rPr>
                <w:rFonts w:ascii="Times New Roman"/>
                <w:sz w:val="18"/>
              </w:rPr>
              <w:t>1,705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,074,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170.3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3"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3"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749,1</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47,93</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38,40</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1,723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207,5</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44,56</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3.73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49,58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0,689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1,705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,074,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170.3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3" w:right="0"/>
              <w:jc w:val="left"/>
              <w:rPr>
                <w:rFonts w:ascii="Times New Roman" w:hAnsi="Times New Roman" w:cs="Times New Roman" w:eastAsia="Times New Roman" w:hint="default"/>
                <w:sz w:val="18"/>
                <w:szCs w:val="18"/>
              </w:rPr>
            </w:pPr>
            <w:r>
              <w:rPr>
                <w:rFonts w:ascii="Times New Roman"/>
                <w:sz w:val="18"/>
              </w:rPr>
              <w:t>8,88</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27,45</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7,740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5,516</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,163.</w:t>
            </w:r>
          </w:p>
          <w:p>
            <w:pPr>
              <w:pStyle w:val="TableParagraph"/>
              <w:spacing w:line="240" w:lineRule="auto" w:before="105"/>
              <w:ind w:left="270" w:right="0"/>
              <w:jc w:val="center"/>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1" w:right="0"/>
              <w:jc w:val="left"/>
              <w:rPr>
                <w:rFonts w:ascii="Times New Roman" w:hAnsi="Times New Roman" w:cs="Times New Roman" w:eastAsia="Times New Roman" w:hint="default"/>
                <w:sz w:val="18"/>
                <w:szCs w:val="18"/>
              </w:rPr>
            </w:pPr>
            <w:r>
              <w:rPr>
                <w:rFonts w:ascii="Times New Roman"/>
                <w:sz w:val="18"/>
              </w:rPr>
              <w:t>30,09</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3,136.</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10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-7,38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4,168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center"/>
              <w:rPr>
                <w:rFonts w:ascii="Times New Roman" w:hAnsi="Times New Roman" w:cs="Times New Roman" w:eastAsia="Times New Roman" w:hint="default"/>
                <w:sz w:val="18"/>
                <w:szCs w:val="18"/>
              </w:rPr>
            </w:pPr>
            <w:r>
              <w:rPr>
                <w:rFonts w:ascii="Times New Roman"/>
                <w:sz w:val="18"/>
              </w:rPr>
              <w:t>64,56</w:t>
            </w:r>
          </w:p>
          <w:p>
            <w:pPr>
              <w:pStyle w:val="TableParagraph"/>
              <w:spacing w:line="240" w:lineRule="auto" w:before="105"/>
              <w:ind w:left="40" w:right="0"/>
              <w:jc w:val="center"/>
              <w:rPr>
                <w:rFonts w:ascii="Times New Roman" w:hAnsi="Times New Roman" w:cs="Times New Roman" w:eastAsia="Times New Roman" w:hint="default"/>
                <w:sz w:val="18"/>
                <w:szCs w:val="18"/>
              </w:rPr>
            </w:pPr>
            <w:r>
              <w:rPr>
                <w:rFonts w:ascii="Times New Roman"/>
                <w:sz w:val="18"/>
              </w:rPr>
              <w:t>2,871</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.82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1" w:right="0"/>
              <w:jc w:val="left"/>
              <w:rPr>
                <w:rFonts w:ascii="Times New Roman" w:hAnsi="Times New Roman" w:cs="Times New Roman" w:eastAsia="Times New Roman" w:hint="default"/>
                <w:sz w:val="18"/>
                <w:szCs w:val="18"/>
              </w:rPr>
            </w:pPr>
            <w:r>
              <w:rPr>
                <w:rFonts w:ascii="Times New Roman"/>
                <w:sz w:val="18"/>
              </w:rPr>
              <w:t>101,6</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44,07</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4.39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6,652</w:t>
            </w:r>
          </w:p>
          <w:p>
            <w:pPr>
              <w:pStyle w:val="TableParagraph"/>
              <w:spacing w:line="240" w:lineRule="auto" w:before="105"/>
              <w:ind w:left="77" w:right="0"/>
              <w:jc w:val="center"/>
              <w:rPr>
                <w:rFonts w:ascii="Times New Roman" w:hAnsi="Times New Roman" w:cs="Times New Roman" w:eastAsia="Times New Roman" w:hint="default"/>
                <w:sz w:val="18"/>
                <w:szCs w:val="18"/>
              </w:rPr>
            </w:pPr>
            <w:r>
              <w:rPr>
                <w:rFonts w:ascii="Times New Roman"/>
                <w:sz w:val="18"/>
              </w:rPr>
              <w:t>,831.</w:t>
            </w:r>
          </w:p>
          <w:p>
            <w:pPr>
              <w:pStyle w:val="TableParagraph"/>
              <w:spacing w:line="240" w:lineRule="auto" w:before="105"/>
              <w:ind w:left="257" w:right="0"/>
              <w:jc w:val="center"/>
              <w:rPr>
                <w:rFonts w:ascii="Times New Roman" w:hAnsi="Times New Roman" w:cs="Times New Roman" w:eastAsia="Times New Roman" w:hint="default"/>
                <w:sz w:val="18"/>
                <w:szCs w:val="18"/>
              </w:rPr>
            </w:pPr>
            <w:r>
              <w:rPr>
                <w:rFonts w:ascii="Times New Roman"/>
                <w:sz w:val="18"/>
              </w:rPr>
              <w:t>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108,2</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96,90</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5.45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3" w:right="0"/>
              <w:jc w:val="left"/>
              <w:rPr>
                <w:rFonts w:ascii="Times New Roman" w:hAnsi="Times New Roman" w:cs="Times New Roman" w:eastAsia="Times New Roman" w:hint="default"/>
                <w:sz w:val="18"/>
                <w:szCs w:val="18"/>
              </w:rPr>
            </w:pPr>
            <w:r>
              <w:rPr>
                <w:rFonts w:ascii="Times New Roman"/>
                <w:sz w:val="18"/>
              </w:rPr>
              <w:t>8,88</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27,45</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7,740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center"/>
              <w:rPr>
                <w:rFonts w:ascii="Times New Roman" w:hAnsi="Times New Roman" w:cs="Times New Roman" w:eastAsia="Times New Roman" w:hint="default"/>
                <w:sz w:val="18"/>
                <w:szCs w:val="18"/>
              </w:rPr>
            </w:pPr>
            <w:r>
              <w:rPr>
                <w:rFonts w:ascii="Times New Roman"/>
                <w:sz w:val="18"/>
              </w:rPr>
              <w:t>36,33</w:t>
            </w:r>
          </w:p>
          <w:p>
            <w:pPr>
              <w:pStyle w:val="TableParagraph"/>
              <w:spacing w:line="240" w:lineRule="auto" w:before="105"/>
              <w:ind w:left="40" w:right="0"/>
              <w:jc w:val="center"/>
              <w:rPr>
                <w:rFonts w:ascii="Times New Roman" w:hAnsi="Times New Roman" w:cs="Times New Roman" w:eastAsia="Times New Roman" w:hint="default"/>
                <w:sz w:val="18"/>
                <w:szCs w:val="18"/>
              </w:rPr>
            </w:pPr>
            <w:r>
              <w:rPr>
                <w:rFonts w:ascii="Times New Roman"/>
                <w:sz w:val="18"/>
              </w:rPr>
              <w:t>7,740</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3" w:right="0"/>
              <w:jc w:val="left"/>
              <w:rPr>
                <w:rFonts w:ascii="Times New Roman" w:hAnsi="Times New Roman" w:cs="Times New Roman" w:eastAsia="Times New Roman" w:hint="default"/>
                <w:sz w:val="18"/>
                <w:szCs w:val="18"/>
              </w:rPr>
            </w:pPr>
            <w:r>
              <w:rPr>
                <w:rFonts w:ascii="Times New Roman"/>
                <w:sz w:val="18"/>
              </w:rPr>
              <w:t>8,88</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26,88</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5,640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center"/>
              <w:rPr>
                <w:rFonts w:ascii="Times New Roman" w:hAnsi="Times New Roman" w:cs="Times New Roman" w:eastAsia="Times New Roman" w:hint="default"/>
                <w:sz w:val="18"/>
                <w:szCs w:val="18"/>
              </w:rPr>
            </w:pPr>
            <w:r>
              <w:rPr>
                <w:rFonts w:ascii="Times New Roman"/>
                <w:sz w:val="18"/>
              </w:rPr>
              <w:t>35,76</w:t>
            </w:r>
          </w:p>
          <w:p>
            <w:pPr>
              <w:pStyle w:val="TableParagraph"/>
              <w:spacing w:line="240" w:lineRule="auto" w:before="105"/>
              <w:ind w:left="40" w:right="0"/>
              <w:jc w:val="center"/>
              <w:rPr>
                <w:rFonts w:ascii="Times New Roman" w:hAnsi="Times New Roman" w:cs="Times New Roman" w:eastAsia="Times New Roman" w:hint="default"/>
                <w:sz w:val="18"/>
                <w:szCs w:val="18"/>
              </w:rPr>
            </w:pPr>
            <w:r>
              <w:rPr>
                <w:rFonts w:ascii="Times New Roman"/>
                <w:sz w:val="18"/>
              </w:rPr>
              <w:t>5,640</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572,1</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572,1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6" w:right="0"/>
              <w:jc w:val="left"/>
              <w:rPr>
                <w:rFonts w:ascii="Times New Roman" w:hAnsi="Times New Roman" w:cs="Times New Roman" w:eastAsia="Times New Roman" w:hint="default"/>
                <w:sz w:val="18"/>
                <w:szCs w:val="18"/>
              </w:rPr>
            </w:pPr>
            <w:r>
              <w:rPr>
                <w:rFonts w:ascii="Times New Roman"/>
                <w:sz w:val="18"/>
              </w:rPr>
              <w:t>5,516</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,163.</w:t>
            </w:r>
          </w:p>
          <w:p>
            <w:pPr>
              <w:pStyle w:val="TableParagraph"/>
              <w:spacing w:line="240" w:lineRule="auto" w:before="105"/>
              <w:ind w:left="270" w:right="0"/>
              <w:jc w:val="center"/>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0" w:right="0"/>
              <w:jc w:val="left"/>
              <w:rPr>
                <w:rFonts w:ascii="Times New Roman" w:hAnsi="Times New Roman" w:cs="Times New Roman" w:eastAsia="Times New Roman" w:hint="default"/>
                <w:sz w:val="18"/>
                <w:szCs w:val="18"/>
              </w:rPr>
            </w:pPr>
            <w:r>
              <w:rPr>
                <w:rFonts w:ascii="Times New Roman"/>
                <w:sz w:val="18"/>
              </w:rPr>
              <w:t>-71,5</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50,93</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8.29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4" w:right="0"/>
              <w:jc w:val="left"/>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37,00</w:t>
            </w:r>
          </w:p>
          <w:p>
            <w:pPr>
              <w:pStyle w:val="TableParagraph"/>
              <w:spacing w:line="240" w:lineRule="auto" w:before="105"/>
              <w:ind w:left="224"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71,77</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4.31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5,516</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,163.</w:t>
            </w:r>
          </w:p>
          <w:p>
            <w:pPr>
              <w:pStyle w:val="TableParagraph"/>
              <w:spacing w:line="240" w:lineRule="auto" w:before="105"/>
              <w:ind w:left="270" w:right="0"/>
              <w:jc w:val="center"/>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-5,51</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6,163.</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98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90" w:right="0"/>
              <w:jc w:val="left"/>
              <w:rPr>
                <w:rFonts w:ascii="Times New Roman" w:hAnsi="Times New Roman" w:cs="Times New Roman" w:eastAsia="Times New Roman" w:hint="default"/>
                <w:sz w:val="18"/>
                <w:szCs w:val="18"/>
              </w:rPr>
            </w:pPr>
            <w:r>
              <w:rPr>
                <w:rFonts w:ascii="Times New Roman"/>
                <w:sz w:val="18"/>
              </w:rPr>
              <w:t>-66,0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64" w:right="0"/>
              <w:jc w:val="left"/>
              <w:rPr>
                <w:rFonts w:ascii="Times New Roman" w:hAnsi="Times New Roman" w:cs="Times New Roman" w:eastAsia="Times New Roman" w:hint="default"/>
                <w:sz w:val="18"/>
                <w:szCs w:val="18"/>
              </w:rPr>
            </w:pPr>
            <w:r>
              <w:rPr>
                <w:rFonts w:ascii="Times New Roman"/>
                <w:sz w:val="18"/>
              </w:rPr>
              <w:t>-14,0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72" w:right="0"/>
              <w:jc w:val="left"/>
              <w:rPr>
                <w:rFonts w:ascii="Times New Roman" w:hAnsi="Times New Roman" w:cs="Times New Roman" w:eastAsia="Times New Roman" w:hint="default"/>
                <w:sz w:val="18"/>
                <w:szCs w:val="18"/>
              </w:rPr>
            </w:pPr>
            <w:r>
              <w:rPr>
                <w:rFonts w:ascii="Times New Roman"/>
                <w:sz w:val="18"/>
              </w:rPr>
              <w:t>-80,0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1" w:right="0"/>
              <w:jc w:val="left"/>
              <w:rPr>
                <w:rFonts w:ascii="Times New Roman" w:hAnsi="Times New Roman" w:cs="Times New Roman" w:eastAsia="Times New Roman" w:hint="default"/>
                <w:sz w:val="18"/>
                <w:szCs w:val="18"/>
              </w:rPr>
            </w:pPr>
            <w:r>
              <w:rPr>
                <w:rFonts w:ascii="Times New Roman"/>
                <w:sz w:val="18"/>
              </w:rPr>
              <w:t>34,77</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4.31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3" w:right="0"/>
              <w:jc w:val="left"/>
              <w:rPr>
                <w:rFonts w:ascii="Times New Roman" w:hAnsi="Times New Roman" w:cs="Times New Roman" w:eastAsia="Times New Roman" w:hint="default"/>
                <w:sz w:val="18"/>
                <w:szCs w:val="18"/>
              </w:rPr>
            </w:pPr>
            <w:r>
              <w:rPr>
                <w:rFonts w:ascii="Times New Roman"/>
                <w:sz w:val="18"/>
              </w:rPr>
              <w:t>37,00</w:t>
            </w:r>
          </w:p>
          <w:p>
            <w:pPr>
              <w:pStyle w:val="TableParagraph"/>
              <w:spacing w:line="240" w:lineRule="auto" w:before="105"/>
              <w:ind w:left="224"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left"/>
              <w:rPr>
                <w:rFonts w:ascii="Times New Roman" w:hAnsi="Times New Roman" w:cs="Times New Roman" w:eastAsia="Times New Roman" w:hint="default"/>
                <w:sz w:val="18"/>
                <w:szCs w:val="18"/>
              </w:rPr>
            </w:pPr>
            <w:r>
              <w:rPr>
                <w:rFonts w:ascii="Times New Roman"/>
                <w:sz w:val="18"/>
              </w:rPr>
              <w:t>71,77</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4.31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669,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279,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776,6</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05,67</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43,91</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7,887</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237,6</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37,69</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9.83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42,19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6,520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1,769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,637,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042.1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11"/>
        <w:rPr>
          <w:rFonts w:ascii="Times New Roman" w:hAnsi="Times New Roman" w:cs="Times New Roman" w:eastAsia="Times New Roman" w:hint="default"/>
          <w:sz w:val="21"/>
          <w:szCs w:val="21"/>
        </w:rPr>
      </w:pPr>
    </w:p>
    <w:p>
      <w:pPr>
        <w:pStyle w:val="Heading4"/>
        <w:spacing w:line="240" w:lineRule="auto" w:before="34"/>
        <w:ind w:right="987"/>
        <w:jc w:val="left"/>
        <w:rPr>
          <w:b w:val="0"/>
          <w:bCs w:val="0"/>
        </w:rPr>
      </w:pPr>
      <w:bookmarkStart w:name="8、母公司所有者权益变动表" w:id="153"/>
      <w:bookmarkEnd w:id="15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987"/>
        <w:jc w:val="left"/>
      </w:pPr>
      <w:r>
        <w:rPr/>
        <w:t>本期金额</w:t>
      </w:r>
    </w:p>
    <w:p>
      <w:pPr>
        <w:pStyle w:val="BodyText"/>
        <w:spacing w:line="240" w:lineRule="auto" w:before="117"/>
        <w:ind w:left="0" w:right="113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7" w:right="1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7" w:right="1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669,2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79,25</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776,65</w:t>
            </w:r>
          </w:p>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7,068.1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43,917,</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887.13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4" w:right="0"/>
              <w:jc w:val="left"/>
              <w:rPr>
                <w:rFonts w:ascii="Times New Roman" w:hAnsi="Times New Roman" w:cs="Times New Roman" w:eastAsia="Times New Roman" w:hint="default"/>
                <w:sz w:val="18"/>
                <w:szCs w:val="18"/>
              </w:rPr>
            </w:pPr>
            <w:r>
              <w:rPr>
                <w:rFonts w:ascii="Times New Roman"/>
                <w:sz w:val="18"/>
              </w:rPr>
              <w:t>118,2</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35,01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6.69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1,608,0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89,226.</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93</w:t>
            </w: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669,2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79,25</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776,65</w:t>
            </w:r>
          </w:p>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7,068.1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43,917,</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887.13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4" w:right="0"/>
              <w:jc w:val="left"/>
              <w:rPr>
                <w:rFonts w:ascii="Times New Roman" w:hAnsi="Times New Roman" w:cs="Times New Roman" w:eastAsia="Times New Roman" w:hint="default"/>
                <w:sz w:val="18"/>
                <w:szCs w:val="18"/>
              </w:rPr>
            </w:pPr>
            <w:r>
              <w:rPr>
                <w:rFonts w:ascii="Times New Roman"/>
                <w:sz w:val="18"/>
              </w:rPr>
              <w:t>118,2</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35,01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6.69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1,608,0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89,226.</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93</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67"/>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6,438,6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6,180,0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43.22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Times New Roman" w:hAnsi="Times New Roman" w:cs="Times New Roman" w:eastAsia="Times New Roman" w:hint="default"/>
                <w:sz w:val="18"/>
                <w:szCs w:val="18"/>
              </w:rPr>
            </w:pPr>
            <w:r>
              <w:rPr>
                <w:rFonts w:ascii="Times New Roman"/>
                <w:sz w:val="18"/>
              </w:rPr>
              <w:t>-11,30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7,536.</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1,311,1</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06.70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61,80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0,432.</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61,800,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432.20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center"/>
              <w:rPr>
                <w:rFonts w:ascii="Times New Roman" w:hAnsi="Times New Roman" w:cs="Times New Roman" w:eastAsia="Times New Roman" w:hint="default"/>
                <w:sz w:val="18"/>
                <w:szCs w:val="18"/>
              </w:rPr>
            </w:pPr>
            <w:r>
              <w:rPr>
                <w:rFonts w:ascii="Times New Roman"/>
                <w:sz w:val="18"/>
              </w:rPr>
              <w:t>6,438,6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6,438,6</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6,438,6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6,438,6</w:t>
            </w:r>
          </w:p>
          <w:p>
            <w:pPr>
              <w:pStyle w:val="TableParagraph"/>
              <w:spacing w:line="240" w:lineRule="auto" w:before="105"/>
              <w:ind w:left="160"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6,180,0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43.22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-73,1</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07,96</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8.72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-66,927</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,925.50</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6,180,0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43.22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-6,18</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0,043.</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22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-66,9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27,92</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-66,927</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,925.50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67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1" w:right="247"/>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669,2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79,25</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783,09</w:t>
            </w:r>
          </w:p>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5,668.1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50,097,</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930.35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7" w:right="0"/>
              <w:jc w:val="left"/>
              <w:rPr>
                <w:rFonts w:ascii="Times New Roman" w:hAnsi="Times New Roman" w:cs="Times New Roman" w:eastAsia="Times New Roman" w:hint="default"/>
                <w:sz w:val="18"/>
                <w:szCs w:val="18"/>
              </w:rPr>
            </w:pPr>
            <w:r>
              <w:rPr>
                <w:rFonts w:ascii="Times New Roman"/>
                <w:sz w:val="18"/>
              </w:rPr>
              <w:t>106,9</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27,48</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0.17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1,609,4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00,333.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63</w:t>
            </w:r>
          </w:p>
        </w:tc>
      </w:tr>
    </w:tbl>
    <w:p>
      <w:pPr>
        <w:pStyle w:val="BodyText"/>
        <w:spacing w:line="240" w:lineRule="auto" w:before="50"/>
        <w:ind w:right="987"/>
        <w:jc w:val="left"/>
      </w:pPr>
      <w:r>
        <w:rPr/>
        <w:t>上期金额</w:t>
      </w:r>
    </w:p>
    <w:p>
      <w:pPr>
        <w:pStyle w:val="BodyText"/>
        <w:spacing w:line="240" w:lineRule="auto" w:before="117"/>
        <w:ind w:left="0" w:right="113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6"/>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7" w:right="1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7" w:right="1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660,3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99,25</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749,19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9,327.4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38,401,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723.15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129,8</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26,82</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1,577,8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27,131.</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34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660,3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99,25</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749,19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9,327.4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38,401,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723.15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129,8</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26,82</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1,577,8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27,131.</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34</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67"/>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8,880,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27,457,</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740.68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5,516,1</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63.98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 w:right="0"/>
              <w:jc w:val="left"/>
              <w:rPr>
                <w:rFonts w:ascii="Times New Roman" w:hAnsi="Times New Roman" w:cs="Times New Roman" w:eastAsia="Times New Roman" w:hint="default"/>
                <w:sz w:val="18"/>
                <w:szCs w:val="18"/>
              </w:rPr>
            </w:pPr>
            <w:r>
              <w:rPr>
                <w:rFonts w:ascii="Times New Roman"/>
                <w:sz w:val="18"/>
              </w:rPr>
              <w:t>-11,59</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1,809.</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30,262,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095.59</w:t>
            </w:r>
          </w:p>
        </w:tc>
      </w:tr>
      <w:tr>
        <w:trPr>
          <w:trHeight w:val="102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59,95</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9,129.</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59,959,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129.22</w:t>
            </w:r>
          </w:p>
        </w:tc>
      </w:tr>
    </w:tbl>
    <w:p>
      <w:pPr>
        <w:spacing w:after="0" w:line="240" w:lineRule="auto"/>
        <w:jc w:val="left"/>
        <w:rPr>
          <w:rFonts w:ascii="Times New Roman" w:hAnsi="Times New Roman" w:cs="Times New Roman" w:eastAsia="Times New Roman" w:hint="default"/>
          <w:sz w:val="18"/>
          <w:szCs w:val="18"/>
        </w:rPr>
        <w:sectPr>
          <w:footerReference w:type="default" r:id="rId32"/>
          <w:pgSz w:w="11910" w:h="16840"/>
          <w:pgMar w:footer="1028" w:header="907" w:top="1100" w:bottom="1220" w:left="1020" w:right="0"/>
          <w:pgNumType w:start="10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8,880,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27,457,</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740.68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36,337,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740.68</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8,880,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26,885,</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640.68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35,765,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640.68</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572,10</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572,10</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5,516,1</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63.98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-71,5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50,93</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8.29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-66,034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,774.31</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5,516,1</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63.98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-5,51</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6,163.</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98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34,77</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4.31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-66,034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,774.31</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669,2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79,25</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776,65</w:t>
            </w:r>
          </w:p>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7,068.1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43,917,</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887.13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4" w:right="0"/>
              <w:jc w:val="left"/>
              <w:rPr>
                <w:rFonts w:ascii="Times New Roman" w:hAnsi="Times New Roman" w:cs="Times New Roman" w:eastAsia="Times New Roman" w:hint="default"/>
                <w:sz w:val="18"/>
                <w:szCs w:val="18"/>
              </w:rPr>
            </w:pPr>
            <w:r>
              <w:rPr>
                <w:rFonts w:ascii="Times New Roman"/>
                <w:sz w:val="18"/>
              </w:rPr>
              <w:t>118,2</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35,01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6.69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1,608,0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89,226.</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93</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987"/>
        <w:jc w:val="left"/>
        <w:rPr>
          <w:b w:val="0"/>
          <w:bCs w:val="0"/>
        </w:rPr>
      </w:pPr>
      <w:bookmarkStart w:name="三、公司基本情况" w:id="154"/>
      <w:bookmarkEnd w:id="154"/>
      <w:r>
        <w:rPr>
          <w:b w:val="0"/>
          <w:bCs w:val="0"/>
        </w:rPr>
      </w:r>
      <w:r>
        <w:rPr/>
        <w:t>三、公司基本情况</w:t>
      </w:r>
      <w:r>
        <w:rPr>
          <w:b w:val="0"/>
          <w:bCs w:val="0"/>
        </w:rPr>
      </w:r>
    </w:p>
    <w:p>
      <w:pPr>
        <w:spacing w:line="240" w:lineRule="auto" w:before="9"/>
        <w:rPr>
          <w:rFonts w:ascii="宋体" w:hAnsi="宋体" w:cs="宋体" w:eastAsia="宋体" w:hint="default"/>
          <w:b/>
          <w:bCs/>
          <w:sz w:val="26"/>
          <w:szCs w:val="26"/>
        </w:rPr>
      </w:pPr>
    </w:p>
    <w:p>
      <w:pPr>
        <w:pStyle w:val="BodyText"/>
        <w:spacing w:line="316" w:lineRule="auto" w:before="0"/>
        <w:ind w:right="987"/>
        <w:jc w:val="left"/>
      </w:pPr>
      <w:r>
        <w:rPr>
          <w:spacing w:val="-2"/>
        </w:rPr>
        <w:t>尤洛卡精准信息工程股份有限公司（以下简称“公司”或“本公司”）前身为泰安市尤洛卡自动化仪表有限公司，于1998年</w:t>
      </w:r>
      <w:r>
        <w:rPr>
          <w:spacing w:val="-69"/>
        </w:rPr>
        <w:t> </w:t>
      </w:r>
      <w:r>
        <w:rPr>
          <w:spacing w:val="-69"/>
        </w:rPr>
      </w:r>
      <w:r>
        <w:rPr/>
        <w:t>10月29日经泰安市工商行政管理局核准成立。2008年1月29日公司整体变更设立为股份有限公司，公司注册资本为人民币</w:t>
      </w:r>
    </w:p>
    <w:p>
      <w:pPr>
        <w:pStyle w:val="BodyText"/>
        <w:spacing w:line="316" w:lineRule="auto" w:before="19"/>
        <w:ind w:right="987"/>
        <w:jc w:val="left"/>
      </w:pPr>
      <w:r>
        <w:rPr>
          <w:spacing w:val="-2"/>
        </w:rPr>
        <w:t>669,279,255.00元，详见本附注六、21。公司企业法人营业执照统一社会信用代码：91370000166441332C。注册地及营业办</w:t>
      </w:r>
      <w:r>
        <w:rPr>
          <w:spacing w:val="-48"/>
        </w:rPr>
        <w:t> </w:t>
      </w:r>
      <w:r>
        <w:rPr>
          <w:spacing w:val="-48"/>
        </w:rPr>
      </w:r>
      <w:r>
        <w:rPr/>
        <w:t>公地：</w:t>
      </w:r>
      <w:r>
        <w:rPr>
          <w:spacing w:val="1"/>
        </w:rPr>
        <w:t> </w:t>
      </w:r>
      <w:r>
        <w:rPr/>
        <w:t>山东省泰安市高新区凤祥路以西规划支路以北。</w:t>
      </w:r>
    </w:p>
    <w:p>
      <w:pPr>
        <w:pStyle w:val="BodyText"/>
        <w:spacing w:line="316" w:lineRule="auto" w:before="19"/>
        <w:ind w:right="987"/>
        <w:jc w:val="left"/>
      </w:pPr>
      <w:r>
        <w:rPr/>
        <w:t>本财务报表业经本公司董事会于2019年4月23日决议批准报出。 </w:t>
      </w:r>
      <w:r>
        <w:rPr>
          <w:spacing w:val="-2"/>
        </w:rPr>
        <w:t>公司所属行业为专用设备制造行业，经营范围：光机电产品、自动化仪器仪表、计算机软硬件、电子电气设备集成系统、无</w:t>
      </w:r>
      <w:r>
        <w:rPr>
          <w:spacing w:val="-66"/>
        </w:rPr>
        <w:t> </w:t>
      </w:r>
      <w:r>
        <w:rPr>
          <w:spacing w:val="-66"/>
        </w:rPr>
      </w:r>
      <w:r>
        <w:rPr>
          <w:spacing w:val="-2"/>
        </w:rPr>
        <w:t>源光网络设备、电子通讯产品、通讯设备、矿山运输机械及矿用高分子材料和无机粉料的生产、加工、销售、维护；计算机</w:t>
      </w:r>
      <w:r>
        <w:rPr>
          <w:spacing w:val="-64"/>
        </w:rPr>
        <w:t> </w:t>
      </w:r>
      <w:r>
        <w:rPr>
          <w:spacing w:val="-64"/>
        </w:rPr>
      </w:r>
      <w:r>
        <w:rPr>
          <w:spacing w:val="-2"/>
        </w:rPr>
        <w:t>系统服务；基础软件服务；计算机系统基础；轨道交通及地下设施通讯信息工程、矿山安全防治工程及环保工程的安装与施</w:t>
      </w:r>
      <w:r>
        <w:rPr>
          <w:spacing w:val="-66"/>
        </w:rPr>
        <w:t> </w:t>
      </w:r>
      <w:r>
        <w:rPr>
          <w:spacing w:val="-66"/>
        </w:rPr>
      </w:r>
      <w:r>
        <w:rPr>
          <w:spacing w:val="-2"/>
        </w:rPr>
        <w:t>工；信息及自动化应用技术培训、转让、咨询服务；技术推广服务；矿山地质、水文、粉尘、有害气体等的检测；经济贸易</w:t>
      </w:r>
      <w:r>
        <w:rPr>
          <w:spacing w:val="-68"/>
        </w:rPr>
        <w:t> </w:t>
      </w:r>
      <w:r>
        <w:rPr>
          <w:spacing w:val="-68"/>
        </w:rPr>
      </w:r>
      <w:r>
        <w:rPr>
          <w:spacing w:val="-2"/>
        </w:rPr>
        <w:t>咨询；设计、制作、代理、发布广告；货物进出口、技术进出口、代理进出口；房屋租赁；以自有资金对外投资及咨询（依</w:t>
      </w:r>
      <w:r>
        <w:rPr>
          <w:spacing w:val="-70"/>
        </w:rPr>
        <w:t> </w:t>
      </w:r>
      <w:r>
        <w:rPr>
          <w:spacing w:val="-70"/>
        </w:rPr>
      </w:r>
      <w:r>
        <w:rPr>
          <w:spacing w:val="-4"/>
        </w:rPr>
        <w:t>法须经批准的项目，经相关部门批准后方可开展经营活动）。</w:t>
      </w:r>
      <w:r>
        <w:rPr>
          <w:spacing w:val="-71"/>
        </w:rPr>
        <w:t> </w:t>
      </w:r>
      <w:r>
        <w:rPr>
          <w:spacing w:val="-71"/>
        </w:rPr>
      </w:r>
      <w:r>
        <w:rPr>
          <w:spacing w:val="-2"/>
        </w:rPr>
        <w:t>本公司2018年度纳入合并范围的一级子公司6户、二级子公司共6户，详见本附注九“在其他主体中的权益”。本公司本年度</w:t>
      </w:r>
      <w:r>
        <w:rPr>
          <w:spacing w:val="-68"/>
        </w:rPr>
        <w:t> </w:t>
      </w:r>
      <w:r>
        <w:rPr>
          <w:spacing w:val="-68"/>
        </w:rPr>
      </w:r>
      <w:r>
        <w:rPr>
          <w:spacing w:val="-2"/>
        </w:rPr>
        <w:t>合并范围与上年度相比出资设立1户一级子公司，1户二级子公司。详见附注八、合并范围的变更、附注九、在其他主体中的</w:t>
      </w:r>
      <w:r>
        <w:rPr>
          <w:spacing w:val="-64"/>
        </w:rPr>
        <w:t> </w:t>
      </w:r>
      <w:r>
        <w:rPr>
          <w:spacing w:val="-64"/>
        </w:rPr>
      </w:r>
      <w:r>
        <w:rPr/>
        <w:t>权益。</w:t>
      </w:r>
    </w:p>
    <w:p>
      <w:pPr>
        <w:spacing w:line="240" w:lineRule="auto" w:before="9"/>
        <w:rPr>
          <w:rFonts w:ascii="宋体" w:hAnsi="宋体" w:cs="宋体" w:eastAsia="宋体" w:hint="default"/>
          <w:sz w:val="20"/>
          <w:szCs w:val="20"/>
        </w:rPr>
      </w:pPr>
    </w:p>
    <w:p>
      <w:pPr>
        <w:pStyle w:val="Heading2"/>
        <w:spacing w:line="240" w:lineRule="auto"/>
        <w:ind w:right="987"/>
        <w:jc w:val="left"/>
        <w:rPr>
          <w:b w:val="0"/>
          <w:bCs w:val="0"/>
        </w:rPr>
      </w:pPr>
      <w:bookmarkStart w:name="四、财务报表的编制基础" w:id="155"/>
      <w:bookmarkEnd w:id="155"/>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7"/>
        <w:jc w:val="left"/>
        <w:rPr>
          <w:b w:val="0"/>
          <w:bCs w:val="0"/>
        </w:rPr>
      </w:pPr>
      <w:bookmarkStart w:name="1、编制基础" w:id="156"/>
      <w:bookmarkEnd w:id="15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27"/>
        <w:jc w:val="left"/>
      </w:pPr>
      <w:r>
        <w:rPr>
          <w:spacing w:val="-5"/>
        </w:rPr>
        <w:t>本公司财务报表以持续经营假设为基础，根据实际发生的交易和事项，按照财政部发布的《企业会计准则——基本准则》（财</w:t>
      </w:r>
      <w:r>
        <w:rPr>
          <w:spacing w:val="-79"/>
        </w:rPr>
        <w:t> </w:t>
      </w:r>
      <w:r>
        <w:rPr>
          <w:spacing w:val="-79"/>
        </w:rPr>
      </w:r>
      <w:r>
        <w:rPr>
          <w:spacing w:val="-3"/>
        </w:rPr>
        <w:t>政部令第33号发布、财政部令第76号修订）、于2006年2月15日及其后颁布和修订的42项具体会计准则、企业会计准则应用指</w:t>
      </w:r>
      <w:r>
        <w:rPr>
          <w:spacing w:val="-87"/>
        </w:rPr>
        <w:t> </w:t>
      </w:r>
      <w:r>
        <w:rPr>
          <w:spacing w:val="-87"/>
        </w:rPr>
      </w:r>
      <w:r>
        <w:rPr>
          <w:spacing w:val="-5"/>
        </w:rPr>
        <w:t>南、企业会计准则解释及其他相关规定（以下合称“企业会计准则”），以及中国证券监督管理委员会《公开发行证券的公司</w:t>
      </w:r>
      <w:r>
        <w:rPr>
          <w:spacing w:val="-79"/>
        </w:rPr>
        <w:t> </w:t>
      </w:r>
      <w:r>
        <w:rPr>
          <w:spacing w:val="-79"/>
        </w:rPr>
      </w:r>
      <w:r>
        <w:rPr>
          <w:spacing w:val="-3"/>
        </w:rPr>
        <w:t>信息披露编报规则第15号——财务报告的一般规定》（2014年修订）的披露规定编制。</w:t>
      </w:r>
      <w:r>
        <w:rPr>
          <w:spacing w:val="-59"/>
        </w:rPr>
        <w:t> </w:t>
      </w:r>
      <w:r>
        <w:rPr>
          <w:spacing w:val="-59"/>
        </w:rPr>
      </w:r>
      <w:r>
        <w:rPr>
          <w:spacing w:val="-2"/>
        </w:rPr>
        <w:t>根据企业会计准则的相关规定，本公司会计核算以权责发生制为基础。除某些金融工具外，本财务报表均以历史成本为计量</w:t>
      </w:r>
      <w:r>
        <w:rPr>
          <w:spacing w:val="-65"/>
        </w:rPr>
        <w:t> </w:t>
      </w:r>
      <w:r>
        <w:rPr>
          <w:spacing w:val="-65"/>
        </w:rPr>
      </w:r>
      <w:r>
        <w:rPr/>
        <w:t>基础。资产如果发生减值，则按照相关规定计提相应的减值准备。</w:t>
      </w:r>
    </w:p>
    <w:p>
      <w:pPr>
        <w:spacing w:line="240" w:lineRule="auto" w:before="6"/>
        <w:rPr>
          <w:rFonts w:ascii="宋体" w:hAnsi="宋体" w:cs="宋体" w:eastAsia="宋体" w:hint="default"/>
          <w:sz w:val="22"/>
          <w:szCs w:val="22"/>
        </w:rPr>
      </w:pPr>
    </w:p>
    <w:p>
      <w:pPr>
        <w:pStyle w:val="Heading4"/>
        <w:spacing w:line="240" w:lineRule="auto"/>
        <w:ind w:right="987"/>
        <w:jc w:val="left"/>
        <w:rPr>
          <w:b w:val="0"/>
          <w:bCs w:val="0"/>
        </w:rPr>
      </w:pPr>
      <w:bookmarkStart w:name="2、持续经营" w:id="157"/>
      <w:bookmarkEnd w:id="15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7"/>
        <w:jc w:val="left"/>
      </w:pPr>
      <w:r>
        <w:rPr/>
        <w:t>公司自本报告期末至少12个月内具备持续经营能力，无影响持续经营能力的重大事项。</w:t>
      </w:r>
    </w:p>
    <w:p>
      <w:pPr>
        <w:spacing w:line="240" w:lineRule="auto" w:before="3"/>
        <w:rPr>
          <w:rFonts w:ascii="宋体" w:hAnsi="宋体" w:cs="宋体" w:eastAsia="宋体" w:hint="default"/>
          <w:sz w:val="25"/>
          <w:szCs w:val="25"/>
        </w:rPr>
      </w:pPr>
    </w:p>
    <w:p>
      <w:pPr>
        <w:pStyle w:val="Heading2"/>
        <w:spacing w:line="240" w:lineRule="auto"/>
        <w:ind w:right="987"/>
        <w:jc w:val="left"/>
        <w:rPr>
          <w:b w:val="0"/>
          <w:bCs w:val="0"/>
        </w:rPr>
      </w:pPr>
      <w:bookmarkStart w:name="五、重要会计政策及会计估计" w:id="158"/>
      <w:bookmarkEnd w:id="158"/>
      <w:r>
        <w:rPr>
          <w:b w:val="0"/>
          <w:bCs w:val="0"/>
        </w:rPr>
      </w: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57" w:lineRule="auto" w:before="0"/>
        <w:ind w:right="7694"/>
        <w:jc w:val="left"/>
      </w:pPr>
      <w:r>
        <w:rPr/>
        <w:t>公司是否需要遵守特殊行业的披露要求 否</w:t>
      </w:r>
    </w:p>
    <w:p>
      <w:pPr>
        <w:pStyle w:val="BodyText"/>
        <w:spacing w:line="240" w:lineRule="auto" w:before="29"/>
        <w:ind w:right="987"/>
        <w:jc w:val="left"/>
      </w:pPr>
      <w:r>
        <w:rPr/>
        <w:t>具体会计政策和会计估计提示：</w:t>
      </w:r>
    </w:p>
    <w:p>
      <w:pPr>
        <w:spacing w:after="0" w:line="240"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316" w:lineRule="auto"/>
        <w:ind w:right="1034"/>
        <w:jc w:val="left"/>
      </w:pPr>
      <w:r>
        <w:rPr>
          <w:spacing w:val="-2"/>
        </w:rPr>
        <w:t>本公司及各子公司根据实际生产经营特点，依据相关企业会计准则的规定，对收入确认等交易和事项制定了若干项具体会计</w:t>
      </w:r>
      <w:r>
        <w:rPr>
          <w:spacing w:val="-64"/>
        </w:rPr>
        <w:t> </w:t>
      </w:r>
      <w:r>
        <w:rPr>
          <w:spacing w:val="-64"/>
        </w:rPr>
      </w:r>
      <w:r>
        <w:rPr/>
        <w:t>政策和会计估计，详见本附注五、22“收入”各项描述。关于管理层所作出的重大会计判断和估计的说明，请参阅附注五、</w:t>
      </w:r>
      <w:r>
        <w:rPr/>
        <w:t> </w:t>
      </w:r>
      <w:r>
        <w:rPr>
          <w:spacing w:val="-7"/>
        </w:rPr>
        <w:t>27“重大会计判断和估计”。</w:t>
      </w:r>
    </w:p>
    <w:p>
      <w:pPr>
        <w:spacing w:line="240" w:lineRule="auto" w:before="6"/>
        <w:rPr>
          <w:rFonts w:ascii="宋体" w:hAnsi="宋体" w:cs="宋体" w:eastAsia="宋体" w:hint="default"/>
          <w:sz w:val="22"/>
          <w:szCs w:val="22"/>
        </w:rPr>
      </w:pPr>
    </w:p>
    <w:p>
      <w:pPr>
        <w:pStyle w:val="Heading4"/>
        <w:spacing w:line="240" w:lineRule="auto"/>
        <w:ind w:right="987"/>
        <w:jc w:val="left"/>
        <w:rPr>
          <w:b w:val="0"/>
          <w:bCs w:val="0"/>
        </w:rPr>
      </w:pPr>
      <w:bookmarkStart w:name="1、遵循企业会计准则的声明" w:id="159"/>
      <w:bookmarkEnd w:id="15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2"/>
        <w:jc w:val="both"/>
      </w:pPr>
      <w:r>
        <w:rPr>
          <w:spacing w:val="-2"/>
        </w:rPr>
        <w:t>本公司编制的财务报表符合企业会计准则的要求，真实、完整地反映了本公司2018年12月31日的财务状况及2018年度的经营</w:t>
      </w:r>
      <w:r>
        <w:rPr>
          <w:spacing w:val="-58"/>
        </w:rPr>
        <w:t> </w:t>
      </w:r>
      <w:r>
        <w:rPr>
          <w:spacing w:val="-58"/>
        </w:rPr>
      </w:r>
      <w:r>
        <w:rPr>
          <w:spacing w:val="-2"/>
        </w:rPr>
        <w:t>成果和现金流量等有关信息。此外，本公司的财务报表在所有重大方面符合中国证券监督管理委员会2014年修订的《公开发</w:t>
      </w:r>
      <w:r>
        <w:rPr>
          <w:spacing w:val="-63"/>
        </w:rPr>
        <w:t> </w:t>
      </w:r>
      <w:r>
        <w:rPr>
          <w:spacing w:val="-63"/>
        </w:rPr>
      </w:r>
      <w:r>
        <w:rPr/>
        <w:t>行证券的公司信息披露编报规则第15号－财务报告的一般规定》有关财务报表及其附注的披露要求。</w:t>
      </w:r>
    </w:p>
    <w:p>
      <w:pPr>
        <w:spacing w:line="240" w:lineRule="auto" w:before="8"/>
        <w:rPr>
          <w:rFonts w:ascii="宋体" w:hAnsi="宋体" w:cs="宋体" w:eastAsia="宋体" w:hint="default"/>
          <w:sz w:val="22"/>
          <w:szCs w:val="22"/>
        </w:rPr>
      </w:pPr>
    </w:p>
    <w:p>
      <w:pPr>
        <w:pStyle w:val="Heading4"/>
        <w:spacing w:line="240" w:lineRule="auto"/>
        <w:ind w:right="987"/>
        <w:jc w:val="left"/>
        <w:rPr>
          <w:b w:val="0"/>
          <w:bCs w:val="0"/>
        </w:rPr>
      </w:pPr>
      <w:bookmarkStart w:name="2、会计期间" w:id="160"/>
      <w:bookmarkEnd w:id="16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7"/>
        <w:jc w:val="left"/>
      </w:pPr>
      <w:r>
        <w:rPr>
          <w:spacing w:val="-2"/>
        </w:rPr>
        <w:t>本公司的会计期间分为年度和中期，会计中期指短于一个完整的会计年度的报告期间。本公司会计年度采用公历年度，即每</w:t>
      </w:r>
      <w:r>
        <w:rPr>
          <w:spacing w:val="-65"/>
        </w:rPr>
        <w:t> </w:t>
      </w:r>
      <w:r>
        <w:rPr>
          <w:spacing w:val="-65"/>
        </w:rPr>
      </w:r>
      <w:r>
        <w:rPr/>
        <w:t>年自1月1日起至12月31日止。</w:t>
      </w:r>
    </w:p>
    <w:p>
      <w:pPr>
        <w:spacing w:line="240" w:lineRule="auto" w:before="8"/>
        <w:rPr>
          <w:rFonts w:ascii="宋体" w:hAnsi="宋体" w:cs="宋体" w:eastAsia="宋体" w:hint="default"/>
          <w:sz w:val="22"/>
          <w:szCs w:val="22"/>
        </w:rPr>
      </w:pPr>
    </w:p>
    <w:p>
      <w:pPr>
        <w:pStyle w:val="Heading4"/>
        <w:spacing w:line="240" w:lineRule="auto"/>
        <w:ind w:right="987"/>
        <w:jc w:val="left"/>
        <w:rPr>
          <w:b w:val="0"/>
          <w:bCs w:val="0"/>
        </w:rPr>
      </w:pPr>
      <w:bookmarkStart w:name="3、营业周期" w:id="161"/>
      <w:bookmarkEnd w:id="16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987"/>
        <w:jc w:val="left"/>
      </w:pPr>
      <w:r>
        <w:rPr>
          <w:spacing w:val="-2"/>
        </w:rPr>
        <w:t>正常营业周期是指本公司从购买用于加工的资产起至实现现金或现金等价物的期间。本公司以12个月作为一个营业周期，并</w:t>
      </w:r>
      <w:r>
        <w:rPr>
          <w:spacing w:val="-63"/>
        </w:rPr>
        <w:t> </w:t>
      </w:r>
      <w:r>
        <w:rPr>
          <w:spacing w:val="-63"/>
        </w:rPr>
      </w:r>
      <w:r>
        <w:rPr/>
        <w:t>以其作为资产和负债的流动性划分标准。</w:t>
      </w:r>
    </w:p>
    <w:p>
      <w:pPr>
        <w:spacing w:line="240" w:lineRule="auto" w:before="6"/>
        <w:rPr>
          <w:rFonts w:ascii="宋体" w:hAnsi="宋体" w:cs="宋体" w:eastAsia="宋体" w:hint="default"/>
          <w:sz w:val="22"/>
          <w:szCs w:val="22"/>
        </w:rPr>
      </w:pPr>
    </w:p>
    <w:p>
      <w:pPr>
        <w:pStyle w:val="Heading4"/>
        <w:spacing w:line="240" w:lineRule="auto"/>
        <w:ind w:right="987"/>
        <w:jc w:val="left"/>
        <w:rPr>
          <w:b w:val="0"/>
          <w:bCs w:val="0"/>
        </w:rPr>
      </w:pPr>
      <w:bookmarkStart w:name="4、记账本位币" w:id="162"/>
      <w:bookmarkEnd w:id="16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6"/>
          <w:szCs w:val="26"/>
        </w:rPr>
      </w:pPr>
    </w:p>
    <w:p>
      <w:pPr>
        <w:pStyle w:val="BodyText"/>
        <w:spacing w:line="316" w:lineRule="auto" w:before="0"/>
        <w:ind w:right="987"/>
        <w:jc w:val="left"/>
      </w:pPr>
      <w:r>
        <w:rPr>
          <w:spacing w:val="-2"/>
        </w:rPr>
        <w:t>人民币为本公司及境内子公司经营所处的主要经济环境中的货币，本公司及境内子公司以人民币为记账本位币。本公司编制</w:t>
      </w:r>
      <w:r>
        <w:rPr>
          <w:spacing w:val="-64"/>
        </w:rPr>
        <w:t> </w:t>
      </w:r>
      <w:r>
        <w:rPr>
          <w:spacing w:val="-64"/>
        </w:rPr>
      </w:r>
      <w:r>
        <w:rPr/>
        <w:t>本财务报表时所采用的货币为人民币。</w:t>
      </w:r>
    </w:p>
    <w:p>
      <w:pPr>
        <w:spacing w:line="240" w:lineRule="auto" w:before="6"/>
        <w:rPr>
          <w:rFonts w:ascii="宋体" w:hAnsi="宋体" w:cs="宋体" w:eastAsia="宋体" w:hint="default"/>
          <w:sz w:val="22"/>
          <w:szCs w:val="22"/>
        </w:rPr>
      </w:pPr>
    </w:p>
    <w:p>
      <w:pPr>
        <w:pStyle w:val="Heading4"/>
        <w:spacing w:line="240" w:lineRule="auto"/>
        <w:ind w:right="987"/>
        <w:jc w:val="left"/>
        <w:rPr>
          <w:b w:val="0"/>
          <w:bCs w:val="0"/>
        </w:rPr>
      </w:pPr>
      <w:bookmarkStart w:name="5、同一控制下和非同一控制下企业合并的会计处理方法" w:id="163"/>
      <w:bookmarkEnd w:id="16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87"/>
        <w:jc w:val="left"/>
      </w:pPr>
      <w:r>
        <w:rPr>
          <w:spacing w:val="-2"/>
        </w:rPr>
        <w:t>企业合并，是指将两个或两个以上单独的企业合并形成一个报告主体的交易或事项。企业合并分为同一控制下企业合并和非</w:t>
      </w:r>
      <w:r>
        <w:rPr>
          <w:spacing w:val="-64"/>
        </w:rPr>
        <w:t> </w:t>
      </w:r>
      <w:r>
        <w:rPr>
          <w:spacing w:val="-64"/>
        </w:rPr>
      </w:r>
      <w:r>
        <w:rPr/>
        <w:t>同一控制下企业合并。</w:t>
      </w:r>
    </w:p>
    <w:p>
      <w:pPr>
        <w:pStyle w:val="BodyText"/>
        <w:spacing w:line="316" w:lineRule="auto" w:before="19"/>
        <w:ind w:right="987"/>
        <w:jc w:val="left"/>
      </w:pPr>
      <w:r>
        <w:rPr/>
        <w:t>（1）同一控制下企业合并 </w:t>
      </w:r>
      <w:r>
        <w:rPr>
          <w:spacing w:val="-2"/>
        </w:rPr>
        <w:t>参与合并的企业在合并前后均受同一方或相同的多方最终控制，且该控制并非暂时性的，为同一控制下的企业合并。同一控</w:t>
      </w:r>
      <w:r>
        <w:rPr>
          <w:spacing w:val="-65"/>
        </w:rPr>
        <w:t> </w:t>
      </w:r>
      <w:r>
        <w:rPr>
          <w:spacing w:val="-65"/>
        </w:rPr>
      </w:r>
      <w:r>
        <w:rPr>
          <w:spacing w:val="-2"/>
        </w:rPr>
        <w:t>制下的企业合并，在合并日取得对其他参与合并企业控制权的一方为合并方，参与合并的其他企业为被合并方。合并日，是</w:t>
      </w:r>
      <w:r>
        <w:rPr>
          <w:spacing w:val="-66"/>
        </w:rPr>
        <w:t> </w:t>
      </w:r>
      <w:r>
        <w:rPr>
          <w:spacing w:val="-66"/>
        </w:rPr>
      </w:r>
      <w:r>
        <w:rPr/>
        <w:t>指合并方实际取得对被合并方控制权的日期。 </w:t>
      </w:r>
      <w:r>
        <w:rPr>
          <w:spacing w:val="-2"/>
        </w:rPr>
        <w:t>合并方取得的资产和负债均按合并日在被合并方的账面价值计量。合并方取得的净资产账面价值与支付的合并对价账面价值</w:t>
      </w:r>
    </w:p>
    <w:p>
      <w:pPr>
        <w:pStyle w:val="BodyText"/>
        <w:spacing w:line="316" w:lineRule="auto" w:before="19"/>
        <w:ind w:right="1498"/>
        <w:jc w:val="left"/>
      </w:pPr>
      <w:r>
        <w:rPr>
          <w:spacing w:val="-2"/>
        </w:rPr>
        <w:t>（或发行股份面值总额）的差额，调整资本公积（股本溢价）；资本公积（股本溢价）不足以冲减的，调整留存收益。</w:t>
      </w:r>
      <w:r>
        <w:rPr>
          <w:spacing w:val="-75"/>
        </w:rPr>
        <w:t> </w:t>
      </w:r>
      <w:r>
        <w:rPr>
          <w:spacing w:val="-75"/>
        </w:rPr>
      </w:r>
      <w:r>
        <w:rPr/>
        <w:t>合并方为进行企业合并发生的各项直接费用，于发生时计入当期损益。</w:t>
      </w:r>
    </w:p>
    <w:p>
      <w:pPr>
        <w:pStyle w:val="BodyText"/>
        <w:spacing w:line="316" w:lineRule="auto" w:before="19"/>
        <w:ind w:right="1034"/>
        <w:jc w:val="left"/>
      </w:pPr>
      <w:r>
        <w:rPr/>
        <w:t>（2）非同一控制下企业合并 参与合并的企业在合并前后不受同一方或相同的多方最终控制的，为非同一控制下的企业合并。非同一控制下的企业合并， </w:t>
      </w:r>
      <w:r>
        <w:rPr>
          <w:spacing w:val="-2"/>
        </w:rPr>
        <w:t>在购买日取得对其他参与合并企业控制权的一方为购买方，参与合并的其他企业为被购买方。购买日，是指为购买方实际取</w:t>
      </w:r>
      <w:r>
        <w:rPr>
          <w:spacing w:val="-65"/>
        </w:rPr>
        <w:t> </w:t>
      </w:r>
      <w:r>
        <w:rPr>
          <w:spacing w:val="-65"/>
        </w:rPr>
      </w:r>
      <w:r>
        <w:rPr/>
        <w:t>得对被购买方控制权的日期。 </w:t>
      </w:r>
      <w:r>
        <w:rPr>
          <w:spacing w:val="-2"/>
        </w:rPr>
        <w:t>对于非同一控制下的企业合并，合并成本包含购买日购买方为取得对被购买方的控制权而付出的资产、发生或承担的负债以</w:t>
      </w:r>
      <w:r>
        <w:rPr>
          <w:spacing w:val="-64"/>
        </w:rPr>
        <w:t> </w:t>
      </w:r>
      <w:r>
        <w:rPr>
          <w:spacing w:val="-64"/>
        </w:rPr>
      </w:r>
      <w:r>
        <w:rPr>
          <w:spacing w:val="-2"/>
        </w:rPr>
        <w:t>及发行的权益性证券的公允价值，为企业合并发生的审计、法律服务、评估咨询等中介费用以及其他管理费用于发生时计入</w:t>
      </w:r>
      <w:r>
        <w:rPr>
          <w:spacing w:val="-65"/>
        </w:rPr>
        <w:t> </w:t>
      </w:r>
      <w:r>
        <w:rPr>
          <w:spacing w:val="-65"/>
        </w:rPr>
      </w:r>
      <w:r>
        <w:rPr>
          <w:spacing w:val="-4"/>
        </w:rPr>
        <w:t>当期损益。购买方作为合并对价发行的权益性证券或债务性证券的交易费用，计入权益性证券或债务性证券的初始确认金额。</w:t>
      </w:r>
      <w:r>
        <w:rPr>
          <w:spacing w:val="-41"/>
        </w:rPr>
        <w:t> </w:t>
      </w:r>
      <w:r>
        <w:rPr>
          <w:spacing w:val="-41"/>
        </w:rPr>
      </w:r>
      <w:r>
        <w:rPr>
          <w:spacing w:val="-2"/>
        </w:rPr>
        <w:t>所涉及的或有对价按其在购买日的公允价值计入合并成本，购买日后12个月内出现对购买日已存在情况的新的或进一步证据</w:t>
      </w:r>
      <w:r>
        <w:rPr>
          <w:spacing w:val="-63"/>
        </w:rPr>
        <w:t> </w:t>
      </w:r>
      <w:r>
        <w:rPr>
          <w:spacing w:val="-63"/>
        </w:rPr>
      </w:r>
      <w:r>
        <w:rPr>
          <w:spacing w:val="-2"/>
        </w:rPr>
        <w:t>而需要调整或有对价的，相应调整合并商誉。购买方发生的合并成本及在合并中取得的可辨认净资产按购买日的公允价值计</w:t>
      </w:r>
    </w:p>
    <w:p>
      <w:pPr>
        <w:spacing w:after="0" w:line="316"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316" w:lineRule="auto"/>
        <w:ind w:right="1034"/>
        <w:jc w:val="left"/>
      </w:pPr>
      <w:r>
        <w:rPr>
          <w:spacing w:val="-2"/>
        </w:rPr>
        <w:t>量。合并成本大于合并中取得的被购买方于购买日可辨认净资产公允价值份额的差额，确认为商誉。合并成本小于合并中取</w:t>
      </w:r>
      <w:r>
        <w:rPr>
          <w:spacing w:val="-65"/>
        </w:rPr>
        <w:t> </w:t>
      </w:r>
      <w:r>
        <w:rPr>
          <w:spacing w:val="-65"/>
        </w:rPr>
      </w:r>
      <w:r>
        <w:rPr>
          <w:spacing w:val="-2"/>
        </w:rPr>
        <w:t>得的被购买方可辨认净资产公允价值份额的，首先对取得的被购买方各项可辨认资产、负债及或有负债的公允价值以及合并</w:t>
      </w:r>
      <w:r>
        <w:rPr>
          <w:spacing w:val="-64"/>
        </w:rPr>
        <w:t> </w:t>
      </w:r>
      <w:r>
        <w:rPr>
          <w:spacing w:val="-64"/>
        </w:rPr>
      </w:r>
      <w:r>
        <w:rPr/>
        <w:t>成本的计量进行复核，复核后合并成本仍小于合并中取得的被购买方可辨认净资产公允价值份额的，其差额计入当期损益。 </w:t>
      </w:r>
      <w:r>
        <w:rPr>
          <w:spacing w:val="-4"/>
        </w:rPr>
        <w:t>购买方取得被购买方的可抵扣暂时性差异，在购买日因不符合递延所得税资产确认条件而未予确认的，在购买日后12个月内，</w:t>
      </w:r>
      <w:r>
        <w:rPr>
          <w:spacing w:val="-38"/>
        </w:rPr>
        <w:t> </w:t>
      </w:r>
      <w:r>
        <w:rPr>
          <w:spacing w:val="-38"/>
        </w:rPr>
      </w:r>
      <w:r>
        <w:rPr>
          <w:spacing w:val="-2"/>
        </w:rPr>
        <w:t>如取得新的或进一步的信息表明购买日的相关情况已经存在，预期被购买方在购买日可抵扣暂时性差异带来的经济利益能够</w:t>
      </w:r>
      <w:r>
        <w:rPr>
          <w:spacing w:val="-64"/>
        </w:rPr>
        <w:t> </w:t>
      </w:r>
      <w:r>
        <w:rPr>
          <w:spacing w:val="-64"/>
        </w:rPr>
      </w:r>
      <w:r>
        <w:rPr>
          <w:spacing w:val="-2"/>
        </w:rPr>
        <w:t>实现的，则确认相关的递延所得税资产，同时减少商誉，商誉不足冲减的，差额部分确认为当期损益；除上述情况以外，确</w:t>
      </w:r>
      <w:r>
        <w:rPr>
          <w:spacing w:val="-66"/>
        </w:rPr>
        <w:t> </w:t>
      </w:r>
      <w:r>
        <w:rPr>
          <w:spacing w:val="-66"/>
        </w:rPr>
      </w:r>
      <w:r>
        <w:rPr/>
        <w:t>认与企业合并相关的递延所得税资产的，计入当期损益。 </w:t>
      </w:r>
      <w:r>
        <w:rPr>
          <w:spacing w:val="-3"/>
        </w:rPr>
        <w:t>通过多次交易分步实现的非同一控制下企业合并，根据《财政部关于印发企业会计准则解释第5号的通知》（财会〔2012〕19</w:t>
      </w:r>
      <w:r>
        <w:rPr/>
        <w:t> </w:t>
      </w:r>
      <w:r>
        <w:rPr>
          <w:spacing w:val="-5"/>
        </w:rPr>
        <w:t>号）和《企业会计准则第33号——合并财务报表》第五十一条关于“一揽子交易”的判断标准（参见本附注五、5（2）），判</w:t>
      </w:r>
      <w:r>
        <w:rPr>
          <w:spacing w:val="-74"/>
        </w:rPr>
        <w:t> </w:t>
      </w:r>
      <w:r>
        <w:rPr>
          <w:spacing w:val="-74"/>
        </w:rPr>
      </w:r>
      <w:r>
        <w:rPr>
          <w:spacing w:val="-4"/>
        </w:rPr>
        <w:t>断该多次交易是否属于“一揽子交易”。属于“一揽子交易”的，参考本部分前面各段描述及本附注五、13“长期股权投资”</w:t>
      </w:r>
      <w:r>
        <w:rPr>
          <w:spacing w:val="-38"/>
        </w:rPr>
        <w:t> </w:t>
      </w:r>
      <w:r>
        <w:rPr>
          <w:spacing w:val="-38"/>
        </w:rPr>
      </w:r>
      <w:r>
        <w:rPr/>
        <w:t>进行会计处理；不属于“一揽子交易”的，区分个别财务报表和合并财务报表进行相关会计处理： </w:t>
      </w:r>
      <w:r>
        <w:rPr>
          <w:spacing w:val="-2"/>
        </w:rPr>
        <w:t>在个别财务报表中，以购买日之前所持被购买方的股权投资的账面价值与购买日新增投资成本之和，作为该项投资的初始投</w:t>
      </w:r>
      <w:r>
        <w:rPr>
          <w:spacing w:val="-64"/>
        </w:rPr>
        <w:t> </w:t>
      </w:r>
      <w:r>
        <w:rPr>
          <w:spacing w:val="-64"/>
        </w:rPr>
      </w:r>
      <w:r>
        <w:rPr>
          <w:spacing w:val="-2"/>
        </w:rPr>
        <w:t>资成本；购买日之前持有的被购买方的股权涉及其他综合收益的，在处置该项投资时将与其相关的其他综合收益采用与被购</w:t>
      </w:r>
      <w:r>
        <w:rPr>
          <w:spacing w:val="-64"/>
        </w:rPr>
        <w:t> </w:t>
      </w:r>
      <w:r>
        <w:rPr>
          <w:spacing w:val="-64"/>
        </w:rPr>
      </w:r>
      <w:r>
        <w:rPr>
          <w:spacing w:val="-2"/>
        </w:rPr>
        <w:t>买方直接处置相关资产或负债相同的基础进行会计处理（即，除了按照权益法核算的在被购买方重新计量设定受益计划净负</w:t>
      </w:r>
      <w:r>
        <w:rPr>
          <w:spacing w:val="-64"/>
        </w:rPr>
        <w:t> </w:t>
      </w:r>
      <w:r>
        <w:rPr>
          <w:spacing w:val="-64"/>
        </w:rPr>
      </w:r>
      <w:r>
        <w:rPr>
          <w:spacing w:val="-3"/>
        </w:rPr>
        <w:t>债或净资产导致的变动中的相应份额以外，其余转入当期投资收益）。</w:t>
      </w:r>
      <w:r>
        <w:rPr>
          <w:spacing w:val="-86"/>
        </w:rPr>
        <w:t> </w:t>
      </w:r>
      <w:r>
        <w:rPr>
          <w:spacing w:val="-86"/>
        </w:rPr>
      </w:r>
      <w:r>
        <w:rPr>
          <w:spacing w:val="-2"/>
        </w:rPr>
        <w:t>在合并财务报表中，对于购买日之前持有的被购买方的股权，按照该股权在购买日的公允价值进行重新计量，公允价值与其</w:t>
      </w:r>
      <w:r>
        <w:rPr>
          <w:spacing w:val="-65"/>
        </w:rPr>
        <w:t> </w:t>
      </w:r>
      <w:r>
        <w:rPr>
          <w:spacing w:val="-65"/>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spacing w:val="-3"/>
        </w:rPr>
        <w:t>益计划净负债或净资产导致的变动中的相应份额以外，其余转为购买日所属当期投资收益）。</w:t>
      </w:r>
    </w:p>
    <w:p>
      <w:pPr>
        <w:spacing w:line="240" w:lineRule="auto" w:before="6"/>
        <w:rPr>
          <w:rFonts w:ascii="宋体" w:hAnsi="宋体" w:cs="宋体" w:eastAsia="宋体" w:hint="default"/>
          <w:sz w:val="22"/>
          <w:szCs w:val="22"/>
        </w:rPr>
      </w:pPr>
    </w:p>
    <w:p>
      <w:pPr>
        <w:pStyle w:val="Heading4"/>
        <w:spacing w:line="240" w:lineRule="auto"/>
        <w:ind w:right="987"/>
        <w:jc w:val="left"/>
        <w:rPr>
          <w:b w:val="0"/>
          <w:bCs w:val="0"/>
        </w:rPr>
      </w:pPr>
      <w:bookmarkStart w:name="6、合并财务报表的编制方法" w:id="164"/>
      <w:bookmarkEnd w:id="16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87"/>
        <w:jc w:val="left"/>
      </w:pPr>
      <w:r>
        <w:rPr/>
        <w:t>（1）合并财务报表范围的确定原则 </w:t>
      </w:r>
      <w:r>
        <w:rPr>
          <w:spacing w:val="-2"/>
        </w:rPr>
        <w:t>合并财务报表的合并范围以控制为基础予以确定。控制是指本公司拥有对被投资方的权力，通过参与被投资方的相关活动而</w:t>
      </w:r>
      <w:r>
        <w:rPr>
          <w:spacing w:val="-64"/>
        </w:rPr>
        <w:t> </w:t>
      </w:r>
      <w:r>
        <w:rPr>
          <w:spacing w:val="-64"/>
        </w:rPr>
      </w:r>
      <w:r>
        <w:rPr>
          <w:spacing w:val="-2"/>
        </w:rPr>
        <w:t>享有可变回报，并且有能力运用对被投资方的权力影响该回报金额。合并范围包括本公司及全部子公司。子公司，是指被本</w:t>
      </w:r>
      <w:r>
        <w:rPr>
          <w:spacing w:val="-66"/>
        </w:rPr>
        <w:t> </w:t>
      </w:r>
      <w:r>
        <w:rPr>
          <w:spacing w:val="-66"/>
        </w:rPr>
      </w:r>
      <w:r>
        <w:rPr/>
        <w:t>公司控制的主体。</w:t>
      </w:r>
    </w:p>
    <w:p>
      <w:pPr>
        <w:pStyle w:val="BodyText"/>
        <w:spacing w:line="240" w:lineRule="auto" w:before="19"/>
        <w:ind w:right="987"/>
        <w:jc w:val="left"/>
      </w:pPr>
      <w:r>
        <w:rPr/>
        <w:t>一旦相关事实和情况的变化导致上述控制定义涉及的相关要素发生了变化，本公司将进行重新评估。</w:t>
      </w:r>
    </w:p>
    <w:p>
      <w:pPr>
        <w:pStyle w:val="BodyText"/>
        <w:spacing w:line="316" w:lineRule="auto" w:before="76"/>
        <w:ind w:right="987"/>
        <w:jc w:val="left"/>
      </w:pPr>
      <w:r>
        <w:rPr/>
        <w:t>（2）合并财务报表编制的方法 </w:t>
      </w:r>
      <w:r>
        <w:rPr>
          <w:spacing w:val="-2"/>
        </w:rPr>
        <w:t>从取得子公司的净资产和生产经营决策的实际控制权之日起，本公司开始将其纳入合并范围；从丧失实际控制权之日起停止</w:t>
      </w:r>
      <w:r>
        <w:rPr>
          <w:spacing w:val="-64"/>
        </w:rPr>
        <w:t> </w:t>
      </w:r>
      <w:r>
        <w:rPr>
          <w:spacing w:val="-64"/>
        </w:rPr>
      </w:r>
      <w:r>
        <w:rPr>
          <w:spacing w:val="-2"/>
        </w:rPr>
        <w:t>纳入合并范围。对于处置的子公司，处置日前的经营成果和现金流量已经适当地包括在合并利润表和合并现金流量表中；当</w:t>
      </w:r>
      <w:r>
        <w:rPr>
          <w:spacing w:val="-65"/>
        </w:rPr>
        <w:t> </w:t>
      </w:r>
      <w:r>
        <w:rPr>
          <w:spacing w:val="-65"/>
        </w:rPr>
      </w:r>
      <w:r>
        <w:rPr>
          <w:spacing w:val="-2"/>
        </w:rPr>
        <w:t>期处置的子公司，不调整合并资产负债表的期初数。非同一控制下企业合并增加的子公司，其购买日后的经营成果及现金流</w:t>
      </w:r>
      <w:r>
        <w:rPr>
          <w:spacing w:val="-65"/>
        </w:rPr>
        <w:t> </w:t>
      </w:r>
      <w:r>
        <w:rPr>
          <w:spacing w:val="-65"/>
        </w:rPr>
      </w:r>
      <w:r>
        <w:rPr>
          <w:spacing w:val="-2"/>
        </w:rPr>
        <w:t>量已经适当地包括在合并利润表和合并现金流量表中，且不调整合并财务报表的期初数和对比数。同一控制下企业合并增加</w:t>
      </w:r>
      <w:r>
        <w:rPr>
          <w:spacing w:val="-64"/>
        </w:rPr>
        <w:t> </w:t>
      </w:r>
      <w:r>
        <w:rPr>
          <w:spacing w:val="-64"/>
        </w:rPr>
      </w:r>
      <w:r>
        <w:rPr>
          <w:spacing w:val="-2"/>
        </w:rPr>
        <w:t>的子公司及吸收合并下的被合并方，其自合并当期期初至合并日的经营成果和现金流量已经适当地包括在合并利润表和合并</w:t>
      </w:r>
      <w:r>
        <w:rPr>
          <w:spacing w:val="-64"/>
        </w:rPr>
        <w:t> </w:t>
      </w:r>
      <w:r>
        <w:rPr>
          <w:spacing w:val="-64"/>
        </w:rPr>
      </w:r>
      <w:r>
        <w:rPr/>
        <w:t>现金流量表中，并且同时调整合并财务报表的对比数。 </w:t>
      </w:r>
      <w:r>
        <w:rPr>
          <w:spacing w:val="-2"/>
        </w:rPr>
        <w:t>在编制合并财务报表时，子公司与本公司采用的会计政策或会计期间不一致的，按照本公司的会计政策和会计期间对子公司</w:t>
      </w:r>
      <w:r>
        <w:rPr>
          <w:spacing w:val="-64"/>
        </w:rPr>
        <w:t> </w:t>
      </w:r>
      <w:r>
        <w:rPr>
          <w:spacing w:val="-64"/>
        </w:rPr>
      </w:r>
      <w:r>
        <w:rPr>
          <w:spacing w:val="-2"/>
        </w:rPr>
        <w:t>财务报表进行必要的调整。对于非同一控制下企业合并取得的子公司，以购买日可辨认净资产公允价值为基础对其财务报表</w:t>
      </w:r>
      <w:r>
        <w:rPr>
          <w:spacing w:val="-64"/>
        </w:rPr>
        <w:t> </w:t>
      </w:r>
      <w:r>
        <w:rPr>
          <w:spacing w:val="-64"/>
        </w:rPr>
      </w:r>
      <w:r>
        <w:rPr/>
        <w:t>进行调整。</w:t>
      </w:r>
    </w:p>
    <w:p>
      <w:pPr>
        <w:pStyle w:val="BodyText"/>
        <w:spacing w:line="316" w:lineRule="auto" w:before="19"/>
        <w:ind w:right="987"/>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子公司的股东权益及当期净损益中不属于本公司所拥有的部分分别作为少数股东权益及少数股东损益在合并财务报表中股 </w:t>
      </w:r>
      <w:r>
        <w:rPr>
          <w:spacing w:val="-2"/>
        </w:rPr>
        <w:t>东权益及净利润项下单独列示。子公司当期净损益中属于少数股东权益的份额，在合并利润表中净利润项目下以“少数股东</w:t>
      </w:r>
      <w:r>
        <w:rPr>
          <w:spacing w:val="-65"/>
        </w:rPr>
        <w:t> </w:t>
      </w:r>
      <w:r>
        <w:rPr>
          <w:spacing w:val="-65"/>
        </w:rPr>
      </w:r>
      <w:r>
        <w:rPr>
          <w:spacing w:val="-2"/>
        </w:rPr>
        <w:t>损益”项目列示。少数股东分担的子公司的亏损超过了少数股东在该子公司期初股东权益中所享有的份额，仍冲减少数股东</w:t>
      </w:r>
      <w:r>
        <w:rPr>
          <w:spacing w:val="-65"/>
        </w:rPr>
        <w:t> </w:t>
      </w:r>
      <w:r>
        <w:rPr>
          <w:spacing w:val="-65"/>
        </w:rPr>
      </w:r>
      <w:r>
        <w:rPr/>
        <w:t>权益。 </w:t>
      </w:r>
      <w:r>
        <w:rPr>
          <w:spacing w:val="-2"/>
        </w:rPr>
        <w:t>当因处置部分股权投资或其他原因丧失了对原有子公司的控制权时，对于剩余股权，按照其在丧失控制权日的公允价值进行</w:t>
      </w:r>
      <w:r>
        <w:rPr>
          <w:spacing w:val="-64"/>
        </w:rPr>
        <w:t> </w:t>
      </w:r>
      <w:r>
        <w:rPr>
          <w:spacing w:val="-64"/>
        </w:rPr>
      </w:r>
      <w:r>
        <w:rPr>
          <w:spacing w:val="-2"/>
        </w:rPr>
        <w:t>重新计量。处置股权取得的对价与剩余股权公允价值之和，减去按原持股比例计算应享有原有子公司自购买日开始持续计算</w:t>
      </w:r>
    </w:p>
    <w:p>
      <w:pPr>
        <w:spacing w:after="0" w:line="316"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316" w:lineRule="auto"/>
        <w:ind w:right="987"/>
        <w:jc w:val="left"/>
      </w:pPr>
      <w:r>
        <w:rPr>
          <w:spacing w:val="-2"/>
        </w:rPr>
        <w:t>的净资产的份额之间的差额，计入丧失控制权当期的投资收益。与原有子公司股权投资相关的其他综合收益，在丧失控制权</w:t>
      </w:r>
      <w:r>
        <w:rPr>
          <w:spacing w:val="-65"/>
        </w:rPr>
        <w:t> </w:t>
      </w:r>
      <w:r>
        <w:rPr>
          <w:spacing w:val="-65"/>
        </w:rPr>
      </w:r>
      <w:r>
        <w:rPr>
          <w:spacing w:val="-2"/>
        </w:rPr>
        <w:t>时采用与被购买方直接处置相关资产或负债相同的基础进行会计处理（即，除了在该原有子公司重新计量设定受益计划净负</w:t>
      </w:r>
      <w:r>
        <w:rPr>
          <w:spacing w:val="-64"/>
        </w:rPr>
        <w:t> </w:t>
      </w:r>
      <w:r>
        <w:rPr>
          <w:spacing w:val="-64"/>
        </w:rPr>
      </w:r>
      <w:r>
        <w:rPr>
          <w:spacing w:val="-4"/>
        </w:rPr>
        <w:t>债或净资产导致的变动以外，其余一并转为当期投资收益）。其后，对该部分剩余股权按照《企业会计准则第2号——长期股</w:t>
      </w:r>
      <w:r>
        <w:rPr>
          <w:spacing w:val="-46"/>
        </w:rPr>
        <w:t> </w:t>
      </w:r>
      <w:r>
        <w:rPr>
          <w:spacing w:val="-46"/>
        </w:rPr>
      </w:r>
      <w:r>
        <w:rPr>
          <w:spacing w:val="-4"/>
        </w:rPr>
        <w:t>权投资》或《企业会计准则第22号——金融工具确认和计量》等相关规定进行后续计量，详见本附注五、13“长期股权投资”</w:t>
      </w:r>
      <w:r>
        <w:rPr>
          <w:spacing w:val="-37"/>
        </w:rPr>
        <w:t> </w:t>
      </w:r>
      <w:r>
        <w:rPr>
          <w:spacing w:val="-37"/>
        </w:rPr>
      </w:r>
      <w:r>
        <w:rPr>
          <w:spacing w:val="-7"/>
        </w:rPr>
        <w:t>或本附注五、9“金融工具”。</w:t>
      </w:r>
      <w:r>
        <w:rPr>
          <w:spacing w:val="-83"/>
        </w:rPr>
        <w:t> </w:t>
      </w:r>
      <w:r>
        <w:rPr>
          <w:spacing w:val="-83"/>
        </w:rPr>
      </w:r>
      <w:r>
        <w:rPr>
          <w:spacing w:val="-2"/>
        </w:rPr>
        <w:t>本公司通过多次交易分步处置对子公司股权投资直至丧失控制权的，需区分处置对子公司股权投资直至丧失控制权的各项交</w:t>
      </w:r>
      <w:r>
        <w:rPr>
          <w:spacing w:val="-64"/>
        </w:rPr>
        <w:t> </w:t>
      </w:r>
      <w:r>
        <w:rPr>
          <w:spacing w:val="-64"/>
        </w:rPr>
      </w:r>
      <w:r>
        <w:rPr>
          <w:spacing w:val="-2"/>
        </w:rPr>
        <w:t>易是否属于一揽子交易。处置对子公司股权投资的各项交易的条款、条件以及经济影响符合以下一种或多种情况，通常表明</w:t>
      </w:r>
      <w:r>
        <w:rPr>
          <w:spacing w:val="-65"/>
        </w:rPr>
        <w:t> </w:t>
      </w:r>
      <w:r>
        <w:rPr>
          <w:spacing w:val="-65"/>
        </w:rPr>
      </w:r>
      <w:r>
        <w:rPr>
          <w:spacing w:val="-2"/>
        </w:rPr>
        <w:t>应将多次交易事项作为一揽子交易进行会计处理：①这些交易是同时或者在考虑了彼此影响的情况下订立的；②这些交易整</w:t>
      </w:r>
      <w:r>
        <w:rPr>
          <w:spacing w:val="-64"/>
        </w:rPr>
        <w:t> </w:t>
      </w:r>
      <w:r>
        <w:rPr>
          <w:spacing w:val="-64"/>
        </w:rPr>
      </w:r>
      <w:r>
        <w:rPr>
          <w:spacing w:val="-2"/>
        </w:rPr>
        <w:t>体才能达成一项完整的商业结果；③一项交易的发生取决于其他至少一项交易的发生；④一项交易单独看是不经济的，但是</w:t>
      </w:r>
      <w:r>
        <w:rPr>
          <w:spacing w:val="-65"/>
        </w:rPr>
        <w:t> </w:t>
      </w:r>
      <w:r>
        <w:rPr>
          <w:spacing w:val="-65"/>
        </w:rPr>
      </w:r>
      <w:r>
        <w:rPr>
          <w:spacing w:val="-2"/>
        </w:rPr>
        <w:t>和其他交易一并考虑时是经济的。不属于一揽子交易的，对其中的每一项交易视情况分别按照“不丧失控制权的情况下部分</w:t>
      </w:r>
      <w:r>
        <w:rPr>
          <w:spacing w:val="-65"/>
        </w:rPr>
        <w:t> </w:t>
      </w:r>
      <w:r>
        <w:rPr>
          <w:spacing w:val="-65"/>
        </w:rPr>
      </w:r>
      <w:r>
        <w:rPr>
          <w:spacing w:val="-4"/>
        </w:rPr>
        <w:t>处置对子公司的长期股权投资”（详见本附注五、13、（2）④）和“因处置部分股权投资或其他原因丧失了对原有子公司的</w:t>
      </w:r>
      <w:r>
        <w:rPr>
          <w:spacing w:val="-47"/>
        </w:rPr>
        <w:t> </w:t>
      </w:r>
      <w:r>
        <w:rPr>
          <w:spacing w:val="-47"/>
        </w:rPr>
      </w:r>
      <w:r>
        <w:rPr>
          <w:spacing w:val="-2"/>
        </w:rPr>
        <w:t>控制权”（详见前段）适用的原则进行会计处理。处置对子公司股权投资直至丧失控制权的各项交易属于一揽子交易的，将</w:t>
      </w:r>
      <w:r>
        <w:rPr>
          <w:spacing w:val="-71"/>
        </w:rPr>
        <w:t> </w:t>
      </w:r>
      <w:r>
        <w:rPr>
          <w:spacing w:val="-71"/>
        </w:rPr>
      </w:r>
      <w:r>
        <w:rPr>
          <w:spacing w:val="-2"/>
        </w:rPr>
        <w:t>各项交易作为一项处置子公司并丧失控制权的交易进行会计处理；但是，在丧失控制权之前每一次处置价款与处置投资对应</w:t>
      </w:r>
      <w:r>
        <w:rPr>
          <w:spacing w:val="-64"/>
        </w:rPr>
        <w:t> </w:t>
      </w:r>
      <w:r>
        <w:rPr>
          <w:spacing w:val="-64"/>
        </w:rPr>
      </w:r>
      <w:r>
        <w:rPr>
          <w:spacing w:val="-2"/>
        </w:rPr>
        <w:t>的享有该子公司净资产份额的差额，在合并财务报表中确认为其他综合收益，在丧失控制权时一并转入丧失控制权当期的损</w:t>
      </w:r>
      <w:r>
        <w:rPr>
          <w:spacing w:val="-64"/>
        </w:rPr>
        <w:t> </w:t>
      </w:r>
      <w:r>
        <w:rPr>
          <w:spacing w:val="-64"/>
        </w:rPr>
      </w:r>
      <w:r>
        <w:rPr/>
        <w:t>益。</w:t>
      </w:r>
    </w:p>
    <w:p>
      <w:pPr>
        <w:spacing w:line="240" w:lineRule="auto" w:before="6"/>
        <w:rPr>
          <w:rFonts w:ascii="宋体" w:hAnsi="宋体" w:cs="宋体" w:eastAsia="宋体" w:hint="default"/>
          <w:sz w:val="22"/>
          <w:szCs w:val="22"/>
        </w:rPr>
      </w:pPr>
    </w:p>
    <w:p>
      <w:pPr>
        <w:pStyle w:val="Heading4"/>
        <w:spacing w:line="240" w:lineRule="auto"/>
        <w:ind w:right="987"/>
        <w:jc w:val="left"/>
        <w:rPr>
          <w:b w:val="0"/>
          <w:bCs w:val="0"/>
        </w:rPr>
      </w:pPr>
      <w:bookmarkStart w:name="7、合营安排分类及共同经营会计处理方法" w:id="165"/>
      <w:bookmarkEnd w:id="16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87"/>
        <w:jc w:val="left"/>
      </w:pPr>
      <w:r>
        <w:rPr>
          <w:spacing w:val="-2"/>
        </w:rPr>
        <w:t>合营安排，是指一项由两个或两个以上的参与方共同控制的安排。本公司根据在合营安排中享有的权利和承担的义务，将合</w:t>
      </w:r>
      <w:r>
        <w:rPr>
          <w:spacing w:val="-65"/>
        </w:rPr>
        <w:t> </w:t>
      </w:r>
      <w:r>
        <w:rPr>
          <w:spacing w:val="-65"/>
        </w:rPr>
      </w:r>
      <w:r>
        <w:rPr>
          <w:spacing w:val="-4"/>
        </w:rPr>
        <w:t>营安排分为共同经营和合营企业。共同经营，是指本公司享有该安排相关资产且承担该安排相关负债的合营安排。合营企业，</w:t>
      </w:r>
      <w:r>
        <w:rPr>
          <w:spacing w:val="-42"/>
        </w:rPr>
        <w:t> </w:t>
      </w:r>
      <w:r>
        <w:rPr>
          <w:spacing w:val="-42"/>
        </w:rPr>
      </w:r>
      <w:r>
        <w:rPr/>
        <w:t>是指本公司仅对该安排的净资产享有权利的合营安排。 本公司对合营企业的投资采用权益法核算，按照本附注五、13（2）②</w:t>
      </w:r>
      <w:r>
        <w:rPr>
          <w:spacing w:val="-45"/>
        </w:rPr>
        <w:t> </w:t>
      </w:r>
      <w:r>
        <w:rPr/>
        <w:t>“权益法核算的长期股权投资”中所述的会计政策处</w:t>
      </w:r>
      <w:r>
        <w:rPr/>
        <w:t> 理。 </w:t>
      </w:r>
      <w:r>
        <w:rPr>
          <w:spacing w:val="-2"/>
        </w:rPr>
        <w:t>本公司作为合营方对共同经营，确认本公司单独持有的资产、单独所承担的负债，以及按本公司份额确认共同持有的资产和</w:t>
      </w:r>
      <w:r>
        <w:rPr>
          <w:spacing w:val="-65"/>
        </w:rPr>
        <w:t> </w:t>
      </w:r>
      <w:r>
        <w:rPr>
          <w:spacing w:val="-65"/>
        </w:rPr>
      </w:r>
      <w:r>
        <w:rPr>
          <w:spacing w:val="-2"/>
        </w:rPr>
        <w:t>共同承担的负债；确认出售本公司享有的共同经营产出份额所产生的收入；按本公司份额确认共同经营因出售产出所产生的</w:t>
      </w:r>
      <w:r>
        <w:rPr>
          <w:spacing w:val="-64"/>
        </w:rPr>
        <w:t> </w:t>
      </w:r>
      <w:r>
        <w:rPr>
          <w:spacing w:val="-64"/>
        </w:rPr>
      </w:r>
      <w:r>
        <w:rPr/>
        <w:t>收入；确认本公司单独所发生的费用，以及按本公司份额确认共同经营发生的费用。 </w:t>
      </w:r>
      <w:r>
        <w:rPr>
          <w:spacing w:val="-2"/>
        </w:rPr>
        <w:t>当本公司作为合营方向共同经营投出或出售资产（该资产不构成业务，下同）、或者自共同经营购买资产时，在该等资产出</w:t>
      </w:r>
      <w:r>
        <w:rPr>
          <w:spacing w:val="-71"/>
        </w:rPr>
        <w:t> </w:t>
      </w:r>
      <w:r>
        <w:rPr>
          <w:spacing w:val="-71"/>
        </w:rPr>
      </w:r>
      <w:r>
        <w:rPr>
          <w:spacing w:val="-2"/>
        </w:rPr>
        <w:t>售给第三方之前，本公司仅确认因该交易产生的损益中归属于共同经营其他参与方的部分。该等资产发生符合《企业会计准</w:t>
      </w:r>
      <w:r>
        <w:rPr>
          <w:spacing w:val="-65"/>
        </w:rPr>
        <w:t> </w:t>
      </w:r>
      <w:r>
        <w:rPr>
          <w:spacing w:val="-65"/>
        </w:rPr>
      </w:r>
      <w:r>
        <w:rPr/>
        <w:t>则第8号——资产减值》等规定的资产减值损失的，对于由本公司向共同经营投出或出售资产的情况，本公司全额确认该损</w:t>
      </w:r>
      <w:r>
        <w:rPr/>
        <w:t> 失；对于本公司自共同经营购买资产的情况，本公司按承担的份额确认该损失。</w:t>
      </w:r>
    </w:p>
    <w:p>
      <w:pPr>
        <w:spacing w:line="240" w:lineRule="auto" w:before="8"/>
        <w:rPr>
          <w:rFonts w:ascii="宋体" w:hAnsi="宋体" w:cs="宋体" w:eastAsia="宋体" w:hint="default"/>
          <w:sz w:val="22"/>
          <w:szCs w:val="22"/>
        </w:rPr>
      </w:pPr>
    </w:p>
    <w:p>
      <w:pPr>
        <w:pStyle w:val="Heading4"/>
        <w:spacing w:line="240" w:lineRule="auto"/>
        <w:ind w:right="987"/>
        <w:jc w:val="left"/>
        <w:rPr>
          <w:b w:val="0"/>
          <w:bCs w:val="0"/>
        </w:rPr>
      </w:pPr>
      <w:bookmarkStart w:name="8、现金及现金等价物的确定标准" w:id="166"/>
      <w:bookmarkEnd w:id="16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7"/>
        <w:jc w:val="left"/>
      </w:pPr>
      <w:r>
        <w:rPr>
          <w:spacing w:val="-2"/>
        </w:rPr>
        <w:t>本公司现金及现金等价物包括库存现金、可以随时用于支付的存款以及本公司持有的期限短（一般为从购买日起三个月内到</w:t>
      </w:r>
      <w:r>
        <w:rPr>
          <w:spacing w:val="-64"/>
        </w:rPr>
        <w:t> </w:t>
      </w:r>
      <w:r>
        <w:rPr>
          <w:spacing w:val="-64"/>
        </w:rPr>
      </w:r>
      <w:r>
        <w:rPr>
          <w:spacing w:val="-3"/>
        </w:rPr>
        <w:t>期）、流动性强、易于转换为已知金额现金、价值变动风险很小的投资。</w:t>
      </w:r>
    </w:p>
    <w:p>
      <w:pPr>
        <w:spacing w:line="240" w:lineRule="auto" w:before="8"/>
        <w:rPr>
          <w:rFonts w:ascii="宋体" w:hAnsi="宋体" w:cs="宋体" w:eastAsia="宋体" w:hint="default"/>
          <w:sz w:val="22"/>
          <w:szCs w:val="22"/>
        </w:rPr>
      </w:pPr>
    </w:p>
    <w:p>
      <w:pPr>
        <w:pStyle w:val="Heading4"/>
        <w:spacing w:line="240" w:lineRule="auto"/>
        <w:ind w:right="987"/>
        <w:jc w:val="left"/>
        <w:rPr>
          <w:b w:val="0"/>
          <w:bCs w:val="0"/>
        </w:rPr>
      </w:pPr>
      <w:bookmarkStart w:name="9、金融工具" w:id="167"/>
      <w:bookmarkEnd w:id="167"/>
      <w:r>
        <w:rPr>
          <w:b w:val="0"/>
          <w:bCs w:val="0"/>
        </w:rPr>
      </w:r>
      <w:r>
        <w:rPr>
          <w:rFonts w:ascii="Times New Roman" w:hAnsi="Times New Roman" w:cs="Times New Roman" w:eastAsia="Times New Roman" w:hint="default"/>
        </w:rPr>
        <w:t>9</w:t>
      </w:r>
      <w:r>
        <w:rPr/>
        <w:t>、金融工具</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32"/>
        <w:jc w:val="both"/>
      </w:pPr>
      <w:r>
        <w:rPr>
          <w:spacing w:val="-2"/>
        </w:rPr>
        <w:t>在本公司成为金融工具合同的一方时确认一项金融资产或金融负债。金融资产和金融负债在初始确认时以公允价值计量。对</w:t>
      </w:r>
      <w:r>
        <w:rPr>
          <w:spacing w:val="-64"/>
        </w:rPr>
        <w:t> </w:t>
      </w:r>
      <w:r>
        <w:rPr>
          <w:spacing w:val="-64"/>
        </w:rPr>
      </w:r>
      <w:r>
        <w:rPr>
          <w:spacing w:val="-2"/>
        </w:rPr>
        <w:t>于以公允价值计量且其变动计入当期损益的金融资产和金融负债，相关的交易费用直接计入损益；对于其他类别的金融资产</w:t>
      </w:r>
      <w:r>
        <w:rPr>
          <w:spacing w:val="-64"/>
        </w:rPr>
        <w:t> </w:t>
      </w:r>
      <w:r>
        <w:rPr>
          <w:spacing w:val="-64"/>
        </w:rPr>
      </w:r>
      <w:r>
        <w:rPr/>
        <w:t>和金融负债，相关交易费用计入初始确认金额。</w:t>
      </w:r>
    </w:p>
    <w:p>
      <w:pPr>
        <w:pStyle w:val="BodyText"/>
        <w:spacing w:line="316" w:lineRule="auto" w:before="19"/>
        <w:ind w:right="987"/>
        <w:jc w:val="left"/>
      </w:pPr>
      <w:r>
        <w:rPr/>
        <w:t>（1）金融资产和金融负债的公允价值确定方法 </w:t>
      </w:r>
      <w:r>
        <w:rPr>
          <w:spacing w:val="-2"/>
        </w:rPr>
        <w:t>公允价值，是指市场参与者在计量日发生的有序交易中，出售一项资产所能收到或者转移一项负债所需支付的价格。金融工</w:t>
      </w:r>
      <w:r>
        <w:rPr>
          <w:spacing w:val="-65"/>
        </w:rPr>
        <w:t> </w:t>
      </w:r>
      <w:r>
        <w:rPr>
          <w:spacing w:val="-65"/>
        </w:rPr>
      </w:r>
      <w:r>
        <w:rPr>
          <w:spacing w:val="-2"/>
        </w:rPr>
        <w:t>具存在活跃市场的，本公司采用活跃市场中的报价确定其公允价值。活跃市场中的报价是指易于定期从交易所、经纪商、行</w:t>
      </w:r>
      <w:r>
        <w:rPr>
          <w:spacing w:val="-66"/>
        </w:rPr>
        <w:t> </w:t>
      </w:r>
      <w:r>
        <w:rPr>
          <w:spacing w:val="-66"/>
        </w:rPr>
      </w:r>
      <w:r>
        <w:rPr>
          <w:spacing w:val="-2"/>
        </w:rPr>
        <w:t>业协会、定价服务机构等获得的价格，且代表了在公平交易中实际发生的市场交易的价格。金融工具不存在活跃市场的，本</w:t>
      </w:r>
    </w:p>
    <w:p>
      <w:pPr>
        <w:spacing w:after="0" w:line="316"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316" w:lineRule="auto"/>
        <w:ind w:right="987"/>
        <w:jc w:val="left"/>
      </w:pPr>
      <w:r>
        <w:rPr>
          <w:spacing w:val="-2"/>
        </w:rPr>
        <w:t>公司采用估值技术确定其公允价值。估值技术包括参考熟悉情况并自愿交易的各方最近进行的市场交易中使用的价格、参照</w:t>
      </w:r>
      <w:r>
        <w:rPr>
          <w:spacing w:val="-64"/>
        </w:rPr>
        <w:t> </w:t>
      </w:r>
      <w:r>
        <w:rPr>
          <w:spacing w:val="-64"/>
        </w:rPr>
      </w:r>
      <w:r>
        <w:rPr/>
        <w:t>实质上相同的其他金融工具当前的公允价值、现金流量折现法和期权定价模型等。</w:t>
      </w:r>
    </w:p>
    <w:p>
      <w:pPr>
        <w:pStyle w:val="BodyText"/>
        <w:spacing w:line="316" w:lineRule="auto" w:before="19"/>
        <w:ind w:right="987"/>
        <w:jc w:val="left"/>
      </w:pPr>
      <w:r>
        <w:rPr/>
        <w:t>（2）金融资产的分类、确认和计量 </w:t>
      </w:r>
      <w:r>
        <w:rPr>
          <w:spacing w:val="-2"/>
        </w:rPr>
        <w:t>以常规方式买卖金融资产，按交易日进行会计确认和终止确认。金融资产在初始确认时划分为以公允价值计量且其变动计入</w:t>
      </w:r>
      <w:r>
        <w:rPr>
          <w:spacing w:val="-64"/>
        </w:rPr>
        <w:t> </w:t>
      </w:r>
      <w:r>
        <w:rPr>
          <w:spacing w:val="-64"/>
        </w:rPr>
      </w:r>
      <w:r>
        <w:rPr/>
        <w:t>当期损益的金融资产、持有至到期投资、贷款和应收款项以及可供出售金融资产。</w:t>
      </w:r>
    </w:p>
    <w:p>
      <w:pPr>
        <w:pStyle w:val="BodyText"/>
        <w:spacing w:line="316" w:lineRule="auto" w:before="19"/>
        <w:ind w:right="1034"/>
        <w:jc w:val="left"/>
      </w:pPr>
      <w:r>
        <w:rPr/>
        <w:t>①</w:t>
      </w:r>
      <w:r>
        <w:rPr>
          <w:spacing w:val="1"/>
        </w:rPr>
        <w:t> </w:t>
      </w:r>
      <w:r>
        <w:rPr/>
        <w:t>以公允价值计量且其变动计入当期损益的金融资产</w:t>
      </w:r>
      <w:r>
        <w:rPr/>
        <w:t> 包括交易性金融资产和指定为以公允价值计量且其变动计入当期损益的金融资产。 </w:t>
      </w:r>
      <w:r>
        <w:rPr>
          <w:spacing w:val="-2"/>
        </w:rPr>
        <w:t>交易性金融资产是指满足下列条件之一的金融资产：A.取得该金融资产的目的，主要是为了近期内出售；B.属于进行集中管</w:t>
      </w:r>
      <w:r>
        <w:rPr>
          <w:spacing w:val="-63"/>
        </w:rPr>
        <w:t> </w:t>
      </w:r>
      <w:r>
        <w:rPr>
          <w:spacing w:val="-63"/>
        </w:rPr>
      </w:r>
      <w:r>
        <w:rPr/>
        <w:t>理的可辨认金融工具组合的一部分，且有客观证据表明本公司近期采用短期获利方式对该组合进行管理；C.属于衍生工具，</w:t>
      </w:r>
      <w:r>
        <w:rPr/>
        <w:t> </w:t>
      </w:r>
      <w:r>
        <w:rPr>
          <w:spacing w:val="-2"/>
        </w:rPr>
        <w:t>但是，被指定且为有效套期工具的衍生工具、属于财务担保合同的衍生工具、与在活跃市场中没有报价且其公允价值不能可</w:t>
      </w:r>
      <w:r>
        <w:rPr>
          <w:spacing w:val="-65"/>
        </w:rPr>
        <w:t> </w:t>
      </w:r>
      <w:r>
        <w:rPr>
          <w:spacing w:val="-65"/>
        </w:rPr>
      </w:r>
      <w:r>
        <w:rPr/>
        <w:t>靠计量的权益工具投资挂钩并须通过交付该权益工具结算的衍生工具除外。 </w:t>
      </w:r>
      <w:r>
        <w:rPr>
          <w:spacing w:val="-2"/>
        </w:rPr>
        <w:t>符合下述条件之一的金融资产，在初始确认时可指定为以公允价值计量且其变动计入当期损益的金融资产：A.该指定可以消</w:t>
      </w:r>
      <w:r>
        <w:rPr>
          <w:spacing w:val="-63"/>
        </w:rPr>
        <w:t> </w:t>
      </w:r>
      <w:r>
        <w:rPr>
          <w:spacing w:val="-63"/>
        </w:rPr>
      </w:r>
      <w:r>
        <w:rPr>
          <w:spacing w:val="-2"/>
        </w:rPr>
        <w:t>除或明显减少由于该金融资产的计量基础不同所导致的相关利得或损失在确认或计量方面不一致的情况；B.本公司风险管理</w:t>
      </w:r>
      <w:r>
        <w:rPr>
          <w:spacing w:val="-63"/>
        </w:rPr>
        <w:t> </w:t>
      </w:r>
      <w:r>
        <w:rPr>
          <w:spacing w:val="-63"/>
        </w:rPr>
      </w:r>
      <w:r>
        <w:rPr>
          <w:spacing w:val="-2"/>
        </w:rPr>
        <w:t>或投资策略的正式书面文件已载明，对该金融资产所在的金融资产组合或金融资产和金融负债组合以公允价值为基础进行管</w:t>
      </w:r>
      <w:r>
        <w:rPr>
          <w:spacing w:val="-64"/>
        </w:rPr>
        <w:t> </w:t>
      </w:r>
      <w:r>
        <w:rPr>
          <w:spacing w:val="-64"/>
        </w:rPr>
      </w:r>
      <w:r>
        <w:rPr/>
        <w:t>理、评价并向关键管理人员报告。 </w:t>
      </w:r>
      <w:r>
        <w:rPr>
          <w:spacing w:val="-2"/>
        </w:rPr>
        <w:t>以公允价值计量且其变动计入当期损益的金融资产采用公允价值进行后续计量，公允价值变动形成的利得或损失以及与该等</w:t>
      </w:r>
      <w:r>
        <w:rPr>
          <w:spacing w:val="-64"/>
        </w:rPr>
        <w:t> </w:t>
      </w:r>
      <w:r>
        <w:rPr>
          <w:spacing w:val="-64"/>
        </w:rPr>
      </w:r>
      <w:r>
        <w:rPr/>
        <w:t>金融资产相关的股利和利息收入计入当期损益。</w:t>
      </w:r>
    </w:p>
    <w:p>
      <w:pPr>
        <w:pStyle w:val="BodyText"/>
        <w:spacing w:line="316" w:lineRule="auto" w:before="19"/>
        <w:ind w:right="2654"/>
        <w:jc w:val="left"/>
      </w:pPr>
      <w:r>
        <w:rPr/>
        <w:t>②</w:t>
      </w:r>
      <w:r>
        <w:rPr>
          <w:spacing w:val="1"/>
        </w:rPr>
        <w:t> </w:t>
      </w:r>
      <w:r>
        <w:rPr/>
        <w:t>持有至到期投资</w:t>
      </w:r>
      <w:r>
        <w:rPr/>
        <w:t> 是指到期日固定、回收金额固定或可确定，且本公司有明确意图和能力持有至到期的非衍生金融资产。</w:t>
      </w:r>
    </w:p>
    <w:p>
      <w:pPr>
        <w:pStyle w:val="BodyText"/>
        <w:spacing w:line="316" w:lineRule="auto" w:before="19"/>
        <w:ind w:right="987"/>
        <w:jc w:val="left"/>
      </w:pPr>
      <w:r>
        <w:rPr>
          <w:spacing w:val="-2"/>
        </w:rPr>
        <w:t>持有至到期投资采用实际利率法，按摊余成本进行后续计量，在终止确认、发生减值或摊销时产生的利得或损失，计入当期</w:t>
      </w:r>
      <w:r>
        <w:rPr>
          <w:spacing w:val="-66"/>
        </w:rPr>
        <w:t> </w:t>
      </w:r>
      <w:r>
        <w:rPr>
          <w:spacing w:val="-66"/>
        </w:rPr>
      </w:r>
      <w:r>
        <w:rPr/>
        <w:t>损益。 </w:t>
      </w:r>
      <w:r>
        <w:rPr>
          <w:spacing w:val="-2"/>
        </w:rPr>
        <w:t>实际利率法是指按照金融资产或金融负债（含一组金融资产或金融负债）的实际利率计算其摊余成本及各期利息收入或支出</w:t>
      </w:r>
      <w:r>
        <w:rPr>
          <w:spacing w:val="-64"/>
        </w:rPr>
        <w:t> </w:t>
      </w:r>
      <w:r>
        <w:rPr>
          <w:spacing w:val="-64"/>
        </w:rPr>
      </w:r>
      <w:r>
        <w:rPr>
          <w:spacing w:val="-2"/>
        </w:rPr>
        <w:t>的方法。实际利率是指将金融资产或金融负债在预期存续期间或适用的更短期间内的未来现金流量，折现为该金融资产或金</w:t>
      </w:r>
      <w:r>
        <w:rPr>
          <w:spacing w:val="-64"/>
        </w:rPr>
        <w:t> </w:t>
      </w:r>
      <w:r>
        <w:rPr>
          <w:spacing w:val="-64"/>
        </w:rPr>
      </w:r>
      <w:r>
        <w:rPr/>
        <w:t>融负债当前账面价值所使用的利率。 在计算实际利率时，本公司将在考虑金融资产或金融负债所有合同条款的基础上预计未来现金流量（不考虑未来的信用损 </w:t>
      </w:r>
      <w:r>
        <w:rPr>
          <w:spacing w:val="-2"/>
        </w:rPr>
        <w:t>失），同时还将考虑金融资产或金融负债合同各方之间支付或收取的、属于实际利率组成部分的各项收费、交易费用及折价</w:t>
      </w:r>
      <w:r>
        <w:rPr>
          <w:spacing w:val="-71"/>
        </w:rPr>
        <w:t> </w:t>
      </w:r>
      <w:r>
        <w:rPr>
          <w:spacing w:val="-71"/>
        </w:rPr>
      </w:r>
      <w:r>
        <w:rPr/>
        <w:t>或溢价等。</w:t>
      </w:r>
    </w:p>
    <w:p>
      <w:pPr>
        <w:pStyle w:val="BodyText"/>
        <w:spacing w:line="316" w:lineRule="auto" w:before="19"/>
        <w:ind w:right="987"/>
        <w:jc w:val="left"/>
      </w:pPr>
      <w:r>
        <w:rPr/>
        <w:t>③</w:t>
      </w:r>
      <w:r>
        <w:rPr>
          <w:spacing w:val="1"/>
        </w:rPr>
        <w:t> </w:t>
      </w:r>
      <w:r>
        <w:rPr/>
        <w:t>贷款和应收款项</w:t>
      </w:r>
      <w:r>
        <w:rPr/>
        <w:t> </w:t>
      </w:r>
      <w:r>
        <w:rPr>
          <w:spacing w:val="-2"/>
        </w:rPr>
        <w:t>是指在活跃市场中没有报价、回收金额固定或可确定的非衍生金融资产。本公司划分为贷款和应收款的金融资产包括应收票</w:t>
      </w:r>
      <w:r>
        <w:rPr>
          <w:spacing w:val="-64"/>
        </w:rPr>
        <w:t> </w:t>
      </w:r>
      <w:r>
        <w:rPr>
          <w:spacing w:val="-64"/>
        </w:rPr>
      </w:r>
      <w:r>
        <w:rPr/>
        <w:t>据、应收账款、应收利息、应收股利及其他应收款等。 </w:t>
      </w:r>
      <w:r>
        <w:rPr>
          <w:spacing w:val="-2"/>
        </w:rPr>
        <w:t>贷款和应收款项采用实际利率法，按摊余成本进行后续计量，在终止确认、发生减值或摊销时产生的利得或损失，计入当期</w:t>
      </w:r>
      <w:r>
        <w:rPr>
          <w:spacing w:val="-66"/>
        </w:rPr>
        <w:t> </w:t>
      </w:r>
      <w:r>
        <w:rPr>
          <w:spacing w:val="-66"/>
        </w:rPr>
      </w:r>
      <w:r>
        <w:rPr/>
        <w:t>损益。</w:t>
      </w:r>
    </w:p>
    <w:p>
      <w:pPr>
        <w:pStyle w:val="BodyText"/>
        <w:spacing w:line="316" w:lineRule="auto" w:before="19"/>
        <w:ind w:right="987"/>
        <w:jc w:val="left"/>
      </w:pPr>
      <w:r>
        <w:rPr/>
        <w:t>④</w:t>
      </w:r>
      <w:r>
        <w:rPr>
          <w:spacing w:val="1"/>
        </w:rPr>
        <w:t> </w:t>
      </w:r>
      <w:r>
        <w:rPr/>
        <w:t>可供出售金融资产</w:t>
      </w:r>
      <w:r>
        <w:rPr/>
        <w:t> </w:t>
      </w:r>
      <w:r>
        <w:rPr>
          <w:spacing w:val="-2"/>
        </w:rPr>
        <w:t>包括初始确认时即被指定为可供出售的非衍生金融资产，以及除了以公允价值计量且其变动计入当期损益的金融资产、贷款</w:t>
      </w:r>
      <w:r>
        <w:rPr>
          <w:spacing w:val="-64"/>
        </w:rPr>
        <w:t> </w:t>
      </w:r>
      <w:r>
        <w:rPr>
          <w:spacing w:val="-64"/>
        </w:rPr>
      </w:r>
      <w:r>
        <w:rPr/>
        <w:t>和应收款项、持有至到期投资以外的金融资产。 </w:t>
      </w:r>
      <w:r>
        <w:rPr>
          <w:spacing w:val="-2"/>
        </w:rPr>
        <w:t>可供出售债务工具投资的期末成本按照摊余成本法确定，即初始确认金额扣除已偿还的本金，加上或减去采用实际利率法将</w:t>
      </w:r>
      <w:r>
        <w:rPr>
          <w:spacing w:val="-64"/>
        </w:rPr>
        <w:t> </w:t>
      </w:r>
      <w:r>
        <w:rPr>
          <w:spacing w:val="-64"/>
        </w:rPr>
      </w:r>
      <w:r>
        <w:rPr>
          <w:spacing w:val="-2"/>
        </w:rPr>
        <w:t>该初始确认金额与到期日金额之间的差额进行摊销形成的累计摊销额，并扣除已发生的减值损失后的金额。可供出售权益工</w:t>
      </w:r>
      <w:r>
        <w:rPr>
          <w:spacing w:val="-64"/>
        </w:rPr>
        <w:t> </w:t>
      </w:r>
      <w:r>
        <w:rPr>
          <w:spacing w:val="-64"/>
        </w:rPr>
      </w:r>
      <w:r>
        <w:rPr/>
        <w:t>具投资的期末成本为其初始取得成本。 </w:t>
      </w:r>
      <w:r>
        <w:rPr>
          <w:spacing w:val="-2"/>
        </w:rPr>
        <w:t>可供出售金融资产采用公允价值进行后续计量，公允价值变动形成的利得或损失，除减值损失和外币货币性金融资产与摊余</w:t>
      </w:r>
      <w:r>
        <w:rPr>
          <w:spacing w:val="-64"/>
        </w:rPr>
        <w:t> </w:t>
      </w:r>
      <w:r>
        <w:rPr>
          <w:spacing w:val="-64"/>
        </w:rPr>
      </w:r>
      <w:r>
        <w:rPr>
          <w:spacing w:val="-2"/>
        </w:rPr>
        <w:t>成本相关的汇兑差额计入当期损益外，确认为其他综合收益，在该金融资产终止确认时转出，计入当期损益。但是，在活跃</w:t>
      </w:r>
      <w:r>
        <w:rPr>
          <w:spacing w:val="-65"/>
        </w:rPr>
        <w:t> </w:t>
      </w:r>
      <w:r>
        <w:rPr>
          <w:spacing w:val="-65"/>
        </w:rPr>
      </w:r>
      <w:r>
        <w:rPr>
          <w:spacing w:val="-2"/>
        </w:rPr>
        <w:t>市场中没有报价且其公允价值不能可靠计量的权益工具投资，以及与该权益工具挂钩并须通过交付该权益工具结算的衍生金</w:t>
      </w:r>
      <w:r>
        <w:rPr>
          <w:spacing w:val="-64"/>
        </w:rPr>
        <w:t> </w:t>
      </w:r>
      <w:r>
        <w:rPr>
          <w:spacing w:val="-64"/>
        </w:rPr>
      </w:r>
      <w:r>
        <w:rPr/>
        <w:t>融资产，按照成本进行后续计量。 可供出售金融资产持有期间取得的利息及被投资单位宣告发放的现金股利，计入投资收益。</w:t>
      </w:r>
    </w:p>
    <w:p>
      <w:pPr>
        <w:pStyle w:val="BodyText"/>
        <w:spacing w:line="240" w:lineRule="auto" w:before="19"/>
        <w:ind w:right="987"/>
        <w:jc w:val="left"/>
      </w:pPr>
      <w:r>
        <w:rPr/>
        <w:t>（3）金融资产减值</w:t>
      </w:r>
    </w:p>
    <w:p>
      <w:pPr>
        <w:spacing w:after="0" w:line="240"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316" w:lineRule="auto"/>
        <w:ind w:right="987"/>
        <w:jc w:val="left"/>
      </w:pPr>
      <w:r>
        <w:rPr/>
        <w:t>除了以公允价值计量且其变动计入当期损益的金融资产外，本公司在每个资产负债表日对其他金融资产的账面价值进行检 查，有客观证据表明金融资产发生减值的，计提减值准备。 </w:t>
      </w:r>
      <w:r>
        <w:rPr>
          <w:spacing w:val="-2"/>
        </w:rPr>
        <w:t>本公司对单项金额重大的金融资产单独进行减值测试；对单项金额不重大的金融资产，单独进行减值测试或包括在具有类似</w:t>
      </w:r>
      <w:r>
        <w:rPr>
          <w:spacing w:val="-64"/>
        </w:rPr>
        <w:t> </w:t>
      </w:r>
      <w:r>
        <w:rPr>
          <w:spacing w:val="-64"/>
        </w:rPr>
      </w:r>
      <w:r>
        <w:rPr>
          <w:spacing w:val="-4"/>
        </w:rPr>
        <w:t>信用风险特征的金融资产组合中进行减值测试。单独测试未发生减值的金融资产（包括单项金额重大和不重大的金融资产），</w:t>
      </w:r>
      <w:r>
        <w:rPr>
          <w:spacing w:val="-41"/>
        </w:rPr>
        <w:t> </w:t>
      </w:r>
      <w:r>
        <w:rPr>
          <w:spacing w:val="-41"/>
        </w:rPr>
      </w:r>
      <w:r>
        <w:rPr>
          <w:spacing w:val="-2"/>
        </w:rPr>
        <w:t>包括在具有类似信用风险特征的金融资产组合中再进行减值测试。已单项确认减值损失的金融资产，不包括在具有类似信用</w:t>
      </w:r>
      <w:r>
        <w:rPr>
          <w:spacing w:val="-64"/>
        </w:rPr>
        <w:t> </w:t>
      </w:r>
      <w:r>
        <w:rPr>
          <w:spacing w:val="-64"/>
        </w:rPr>
      </w:r>
      <w:r>
        <w:rPr/>
        <w:t>风险特征的金融资产组合中进行减值测试。</w:t>
      </w:r>
    </w:p>
    <w:p>
      <w:pPr>
        <w:pStyle w:val="BodyText"/>
        <w:spacing w:line="316" w:lineRule="auto" w:before="19"/>
        <w:ind w:right="1034"/>
        <w:jc w:val="left"/>
      </w:pPr>
      <w:r>
        <w:rPr/>
        <w:t>①</w:t>
      </w:r>
      <w:r>
        <w:rPr>
          <w:spacing w:val="1"/>
        </w:rPr>
        <w:t> </w:t>
      </w:r>
      <w:r>
        <w:rPr/>
        <w:t>持有至到期投资、贷款和应收款项减值</w:t>
      </w:r>
      <w:r>
        <w:rPr/>
        <w:t> 以成本或摊余成本计量的金融资产将其账面价值减记至预计未来现金流量现值，减记金额确认为减值损失，计入当期损益。 </w:t>
      </w:r>
      <w:r>
        <w:rPr>
          <w:spacing w:val="-2"/>
        </w:rPr>
        <w:t>金融资产在确认减值损失后，如有客观证据表明该金融资产价值已恢复，且客观上与确认该损失后发生的事项有关，原确认</w:t>
      </w:r>
      <w:r>
        <w:rPr>
          <w:spacing w:val="-65"/>
        </w:rPr>
        <w:t> </w:t>
      </w:r>
      <w:r>
        <w:rPr>
          <w:spacing w:val="-65"/>
        </w:rPr>
      </w:r>
      <w:r>
        <w:rPr>
          <w:spacing w:val="-2"/>
        </w:rPr>
        <w:t>的减值损失予以转回，金融资产转回减值损失后的账面价值不超过假定不计提减值准备情况下该金融资产在转回日的摊余成</w:t>
      </w:r>
      <w:r>
        <w:rPr>
          <w:spacing w:val="-64"/>
        </w:rPr>
        <w:t> </w:t>
      </w:r>
      <w:r>
        <w:rPr>
          <w:spacing w:val="-64"/>
        </w:rPr>
      </w:r>
      <w:r>
        <w:rPr/>
        <w:t>本。</w:t>
      </w:r>
    </w:p>
    <w:p>
      <w:pPr>
        <w:pStyle w:val="BodyText"/>
        <w:spacing w:line="316" w:lineRule="auto" w:before="19"/>
        <w:ind w:right="987"/>
        <w:jc w:val="left"/>
      </w:pPr>
      <w:r>
        <w:rPr/>
        <w:t>②</w:t>
      </w:r>
      <w:r>
        <w:rPr>
          <w:spacing w:val="1"/>
        </w:rPr>
        <w:t> </w:t>
      </w:r>
      <w:r>
        <w:rPr/>
        <w:t>可供出售金融资产减值</w:t>
      </w:r>
      <w:r>
        <w:rPr/>
        <w:t> 当综合相关因素判断可供出售权益工具投资公允价值下跌是严重或非暂时性下跌时，表明该可供出售权益工具投资发生减 值。 </w:t>
      </w:r>
      <w:r>
        <w:rPr>
          <w:spacing w:val="-2"/>
        </w:rPr>
        <w:t>可供出售金融资产发生减值时，将原计入其他综合收益的因公允价值下降形成的累计损失予以转出并计入当期损益，该转出</w:t>
      </w:r>
      <w:r>
        <w:rPr>
          <w:spacing w:val="-64"/>
        </w:rPr>
        <w:t> </w:t>
      </w:r>
      <w:r>
        <w:rPr>
          <w:spacing w:val="-64"/>
        </w:rPr>
      </w:r>
      <w:r>
        <w:rPr/>
        <w:t>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在确认减值损失后，期后如有客观证据表明该金融资产价值已恢复，且客观上与确认该损失后发生的事项有关，原确认的减</w:t>
      </w:r>
      <w:r>
        <w:rPr>
          <w:spacing w:val="-65"/>
        </w:rPr>
        <w:t> </w:t>
      </w:r>
      <w:r>
        <w:rPr>
          <w:spacing w:val="-65"/>
        </w:rPr>
      </w:r>
      <w:r>
        <w:rPr>
          <w:spacing w:val="-2"/>
        </w:rPr>
        <w:t>值损失予以转回，可供出售权益工具投资的减值损失转回确认为其他综合收益，可供出售债务工具的减值损失转回计入当期</w:t>
      </w:r>
      <w:r>
        <w:rPr>
          <w:spacing w:val="-64"/>
        </w:rPr>
        <w:t> </w:t>
      </w:r>
      <w:r>
        <w:rPr>
          <w:spacing w:val="-64"/>
        </w:rPr>
      </w:r>
      <w:r>
        <w:rPr/>
        <w:t>损益。 </w:t>
      </w:r>
      <w:r>
        <w:rPr>
          <w:spacing w:val="-2"/>
        </w:rPr>
        <w:t>在活跃市场中没有报价且其公允价值不能可靠计量的权益工具投资，或与该权益工具挂钩并须通过交付该权益工具结算的衍</w:t>
      </w:r>
      <w:r>
        <w:rPr>
          <w:spacing w:val="-64"/>
        </w:rPr>
        <w:t> </w:t>
      </w:r>
      <w:r>
        <w:rPr>
          <w:spacing w:val="-64"/>
        </w:rPr>
      </w:r>
      <w:r>
        <w:rPr/>
        <w:t>生金融资产的减值损失，不予转回。</w:t>
      </w:r>
    </w:p>
    <w:p>
      <w:pPr>
        <w:pStyle w:val="BodyText"/>
        <w:spacing w:line="240" w:lineRule="auto" w:before="19"/>
        <w:ind w:right="987"/>
        <w:jc w:val="left"/>
      </w:pPr>
      <w:r>
        <w:rPr/>
        <w:t>（4）金融资产转移的确认依据和计量方法</w:t>
      </w:r>
    </w:p>
    <w:p>
      <w:pPr>
        <w:pStyle w:val="BodyText"/>
        <w:spacing w:line="316" w:lineRule="auto" w:before="76"/>
        <w:ind w:right="1114"/>
        <w:jc w:val="left"/>
      </w:pPr>
      <w:r>
        <w:rPr/>
        <w:t>满足下列条件之一的金融资产，予以终止确认：①</w:t>
      </w:r>
      <w:r>
        <w:rPr>
          <w:spacing w:val="-40"/>
        </w:rPr>
        <w:t> </w:t>
      </w:r>
      <w:r>
        <w:rPr/>
        <w:t>收取该金融资产现金流量的合同权利终止；②</w:t>
      </w:r>
      <w:r>
        <w:rPr>
          <w:spacing w:val="-40"/>
        </w:rPr>
        <w:t> </w:t>
      </w:r>
      <w:r>
        <w:rPr/>
        <w:t>该金融资产已转移，且将</w:t>
      </w:r>
      <w:r>
        <w:rPr/>
        <w:t> </w:t>
      </w:r>
      <w:r>
        <w:rPr>
          <w:spacing w:val="-2"/>
        </w:rPr>
        <w:t>金融资产所有权上几乎所有的风险和报酬转移给转入方；③该金融资产已转移，虽然企业既没有转移也没有保留金融资产所</w:t>
      </w:r>
      <w:r>
        <w:rPr>
          <w:spacing w:val="-64"/>
        </w:rPr>
        <w:t> </w:t>
      </w:r>
      <w:r>
        <w:rPr>
          <w:spacing w:val="-64"/>
        </w:rPr>
      </w:r>
      <w:r>
        <w:rPr/>
        <w:t>有权上几乎所有的风险和报酬，但是放弃了对该金融资产的控制。 </w:t>
      </w:r>
      <w:r>
        <w:rPr>
          <w:spacing w:val="-2"/>
        </w:rPr>
        <w:t>若企业既没有转移也没有保留金融资产所有权上几乎所有的风险和报酬，且未放弃对该金融资产的控制的，则按照继续涉入</w:t>
      </w:r>
      <w:r>
        <w:rPr>
          <w:spacing w:val="-64"/>
        </w:rPr>
        <w:t> </w:t>
      </w:r>
      <w:r>
        <w:rPr>
          <w:spacing w:val="-64"/>
        </w:rPr>
      </w:r>
      <w:r>
        <w:rPr>
          <w:spacing w:val="-2"/>
        </w:rPr>
        <w:t>所转移金融资产的程度确认有关金融资产，并相应确认有关负债。继续涉入所转移金融资产的程度，是指该金融资产价值变</w:t>
      </w:r>
      <w:r>
        <w:rPr>
          <w:spacing w:val="-65"/>
        </w:rPr>
        <w:t> </w:t>
      </w:r>
      <w:r>
        <w:rPr>
          <w:spacing w:val="-65"/>
        </w:rPr>
      </w:r>
      <w:r>
        <w:rPr/>
        <w:t>动使企业面临的风险水平。 </w:t>
      </w:r>
      <w:r>
        <w:rPr>
          <w:spacing w:val="-2"/>
        </w:rPr>
        <w:t>金融资产整体转移满足终止确认条件的，将所转移金融资产的账面价值及因转移而收到的对价与原计入其他综合收益的公允</w:t>
      </w:r>
      <w:r>
        <w:rPr>
          <w:spacing w:val="-64"/>
        </w:rPr>
        <w:t> </w:t>
      </w:r>
      <w:r>
        <w:rPr>
          <w:spacing w:val="-64"/>
        </w:rPr>
      </w:r>
      <w:r>
        <w:rPr/>
        <w:t>价值变动累计额之和的差额计入当期损益。 </w:t>
      </w:r>
      <w:r>
        <w:rPr>
          <w:spacing w:val="-2"/>
        </w:rPr>
        <w:t>金融资产部分转移满足终止确认条件的，将所转移金融资产的账面价值在终止确认及未终止确认部分之间按其相对的公允价</w:t>
      </w:r>
      <w:r>
        <w:rPr>
          <w:spacing w:val="-64"/>
        </w:rPr>
        <w:t> </w:t>
      </w:r>
      <w:r>
        <w:rPr>
          <w:spacing w:val="-64"/>
        </w:rPr>
      </w:r>
      <w:r>
        <w:rPr>
          <w:spacing w:val="-2"/>
        </w:rPr>
        <w:t>值进行分摊，并将因转移而收到的对价与应分摊至终止确认部分的原计入其他综合收益的公允价值变动累计额之和与分摊的</w:t>
      </w:r>
      <w:r>
        <w:rPr>
          <w:spacing w:val="-64"/>
        </w:rPr>
        <w:t> </w:t>
      </w:r>
      <w:r>
        <w:rPr>
          <w:spacing w:val="-64"/>
        </w:rPr>
      </w:r>
      <w:r>
        <w:rPr/>
        <w:t>前述账面金额之差额计入当期损益。 </w:t>
      </w:r>
      <w:r>
        <w:rPr>
          <w:spacing w:val="-2"/>
        </w:rPr>
        <w:t>本公司对采用附追索权方式出售的金融资产，或将持有的金融资产背书转让，需确定该金融资产所有权上几乎所有的风险和</w:t>
      </w:r>
      <w:r>
        <w:rPr>
          <w:spacing w:val="-64"/>
        </w:rPr>
        <w:t> </w:t>
      </w:r>
      <w:r>
        <w:rPr>
          <w:spacing w:val="-64"/>
        </w:rPr>
      </w:r>
      <w:r>
        <w:rPr>
          <w:spacing w:val="-2"/>
        </w:rPr>
        <w:t>报酬是否已经转移。已将该金融资产所有权上几乎所有的风险和报酬转移给转入方的，终止确认该金融资产；保留了金融资</w:t>
      </w:r>
      <w:r>
        <w:rPr>
          <w:spacing w:val="-65"/>
        </w:rPr>
        <w:t> </w:t>
      </w:r>
      <w:r>
        <w:rPr>
          <w:spacing w:val="-65"/>
        </w:rPr>
      </w:r>
      <w:r>
        <w:rPr>
          <w:spacing w:val="-2"/>
        </w:rPr>
        <w:t>产所有权上几乎所有的风险和报酬的，不终止确认该金融资产；既没有转移也没有保留金融资产所有权上几乎所有的风险和</w:t>
      </w:r>
      <w:r>
        <w:rPr>
          <w:spacing w:val="-64"/>
        </w:rPr>
        <w:t> </w:t>
      </w:r>
      <w:r>
        <w:rPr>
          <w:spacing w:val="-64"/>
        </w:rPr>
      </w:r>
      <w:r>
        <w:rPr/>
        <w:t>报酬的，则继续判断企业是否对该资产保留了控制，并根据前面各段所述的原则进行会计处理。</w:t>
      </w:r>
    </w:p>
    <w:p>
      <w:pPr>
        <w:pStyle w:val="BodyText"/>
        <w:spacing w:line="316" w:lineRule="auto" w:before="19"/>
        <w:ind w:right="987"/>
        <w:jc w:val="left"/>
      </w:pPr>
      <w:r>
        <w:rPr/>
        <w:t>（5）金融负债的分类和计量 </w:t>
      </w:r>
      <w:r>
        <w:rPr>
          <w:spacing w:val="-2"/>
        </w:rPr>
        <w:t>金融负债在初始确认时划分为以公允价值计量且其变动计入当期损益的金融负债和其他金融负债。初始确认金融负债，以公</w:t>
      </w:r>
      <w:r>
        <w:rPr>
          <w:spacing w:val="-64"/>
        </w:rPr>
        <w:t> </w:t>
      </w:r>
      <w:r>
        <w:rPr>
          <w:spacing w:val="-64"/>
        </w:rPr>
      </w:r>
      <w:r>
        <w:rPr>
          <w:spacing w:val="-2"/>
        </w:rPr>
        <w:t>允价值计量。对于以公允价值计量且其变动计入当期损益的金融负债，相关的交易费用直接计入当期损益；对于其他金融负</w:t>
      </w:r>
      <w:r>
        <w:rPr>
          <w:spacing w:val="-65"/>
        </w:rPr>
        <w:t> </w:t>
      </w:r>
      <w:r>
        <w:rPr>
          <w:spacing w:val="-65"/>
        </w:rPr>
      </w:r>
      <w:r>
        <w:rPr/>
        <w:t>债，相关交易费用计入初始确认金额。</w:t>
      </w:r>
    </w:p>
    <w:p>
      <w:pPr>
        <w:pStyle w:val="BodyText"/>
        <w:spacing w:line="316" w:lineRule="auto" w:before="19"/>
        <w:ind w:right="1214"/>
        <w:jc w:val="left"/>
      </w:pPr>
      <w:r>
        <w:rPr/>
        <w:t>①</w:t>
      </w:r>
      <w:r>
        <w:rPr>
          <w:spacing w:val="1"/>
        </w:rPr>
        <w:t> </w:t>
      </w:r>
      <w:r>
        <w:rPr/>
        <w:t>以公允价值计量且其变动计入当期损益的金融负债</w:t>
      </w:r>
      <w:r>
        <w:rPr/>
        <w:t> 分类为交易性金融负债和在初始确认时指定为以公允价值计量且其变动计入当期损益的金融负债的条件与分类为交易性金 融资产和在初始确认时指定为以公允价值计量且其变动计入当期损益的金融资产的条件一致。</w:t>
      </w:r>
    </w:p>
    <w:p>
      <w:pPr>
        <w:spacing w:after="0" w:line="316"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316" w:lineRule="auto"/>
        <w:ind w:right="987"/>
        <w:jc w:val="left"/>
      </w:pPr>
      <w:r>
        <w:rPr>
          <w:spacing w:val="-2"/>
        </w:rPr>
        <w:t>以公允价值计量且其变动计入当期损益的金融负债采用公允价值进行后续计量，公允价值的变动形成的利得或损失以及与该</w:t>
      </w:r>
      <w:r>
        <w:rPr>
          <w:spacing w:val="-64"/>
        </w:rPr>
        <w:t> </w:t>
      </w:r>
      <w:r>
        <w:rPr>
          <w:spacing w:val="-64"/>
        </w:rPr>
      </w:r>
      <w:r>
        <w:rPr/>
        <w:t>等金融负债相关的股利和利息支出计入当期损益。</w:t>
      </w:r>
    </w:p>
    <w:p>
      <w:pPr>
        <w:pStyle w:val="BodyText"/>
        <w:spacing w:line="316" w:lineRule="auto" w:before="19"/>
        <w:ind w:right="987"/>
        <w:jc w:val="left"/>
      </w:pPr>
      <w:r>
        <w:rPr/>
        <w:t>②</w:t>
      </w:r>
      <w:r>
        <w:rPr>
          <w:spacing w:val="1"/>
        </w:rPr>
        <w:t> </w:t>
      </w:r>
      <w:r>
        <w:rPr/>
        <w:t>其他金融负债</w:t>
      </w:r>
      <w:r>
        <w:rPr/>
        <w:t> </w:t>
      </w:r>
      <w:r>
        <w:rPr>
          <w:spacing w:val="-2"/>
        </w:rPr>
        <w:t>与在活跃市场中没有报价、公允价值不能可靠计量的权益工具挂钩并须通过交付该权益工具结算的衍生金融负债，按照成本</w:t>
      </w:r>
      <w:r>
        <w:rPr>
          <w:spacing w:val="-64"/>
        </w:rPr>
        <w:t> </w:t>
      </w:r>
      <w:r>
        <w:rPr>
          <w:spacing w:val="-64"/>
        </w:rPr>
      </w:r>
      <w:r>
        <w:rPr>
          <w:spacing w:val="-4"/>
        </w:rPr>
        <w:t>进行后续计量。其他金融负债采用实际利率法，按摊余成本进行后续计量，终止确认或摊销产生的利得或损失计入当期损益。</w:t>
      </w:r>
    </w:p>
    <w:p>
      <w:pPr>
        <w:pStyle w:val="BodyText"/>
        <w:spacing w:line="316" w:lineRule="auto" w:before="19"/>
        <w:ind w:right="987"/>
        <w:jc w:val="left"/>
      </w:pPr>
      <w:r>
        <w:rPr/>
        <w:t>③</w:t>
      </w:r>
      <w:r>
        <w:rPr>
          <w:spacing w:val="1"/>
        </w:rPr>
        <w:t> </w:t>
      </w:r>
      <w:r>
        <w:rPr/>
        <w:t>财务担保合同及贷款承诺</w:t>
      </w:r>
      <w:r>
        <w:rPr/>
        <w:t> </w:t>
      </w:r>
      <w:r>
        <w:rPr>
          <w:spacing w:val="-2"/>
        </w:rPr>
        <w:t>不属于指定为以公允价值计量且其变动计入当期损益的金融负债的财务担保合同，或没有指定为以公允价值计量且其变动计</w:t>
      </w:r>
      <w:r>
        <w:rPr>
          <w:spacing w:val="-64"/>
        </w:rPr>
        <w:t> </w:t>
      </w:r>
      <w:r>
        <w:rPr>
          <w:spacing w:val="-64"/>
        </w:rPr>
      </w:r>
      <w:r>
        <w:rPr>
          <w:spacing w:val="-2"/>
        </w:rPr>
        <w:t>入损益并将以低于市场利率贷款的贷款承诺，以公允价值进行初始确认，在初始确认后按照《企业会计准则第13号—或有事</w:t>
      </w:r>
      <w:r>
        <w:rPr>
          <w:spacing w:val="-64"/>
        </w:rPr>
        <w:t> </w:t>
      </w:r>
      <w:r>
        <w:rPr>
          <w:spacing w:val="-64"/>
        </w:rPr>
      </w:r>
      <w:r>
        <w:rPr>
          <w:spacing w:val="-2"/>
        </w:rPr>
        <w:t>项》确定的金额和初始确认金额扣除按照《企业会计准则第14号—收入》的原则确定的累计摊销额后的余额之中的较高者进</w:t>
      </w:r>
      <w:r>
        <w:rPr>
          <w:spacing w:val="-64"/>
        </w:rPr>
        <w:t> </w:t>
      </w:r>
      <w:r>
        <w:rPr>
          <w:spacing w:val="-64"/>
        </w:rPr>
      </w:r>
      <w:r>
        <w:rPr/>
        <w:t>行后续计量。</w:t>
      </w:r>
    </w:p>
    <w:p>
      <w:pPr>
        <w:pStyle w:val="BodyText"/>
        <w:spacing w:line="316" w:lineRule="auto" w:before="19"/>
        <w:ind w:right="1034"/>
        <w:jc w:val="left"/>
      </w:pPr>
      <w:r>
        <w:rPr/>
        <w:t>（6）金融负债的终止确认 </w:t>
      </w:r>
      <w:r>
        <w:rPr>
          <w:spacing w:val="-2"/>
        </w:rPr>
        <w:t>金融负债的现时义务全部或部分已经解除的，才能终止确认该金融负债或其一部分。本公司（债务人）与债权人之间签订协</w:t>
      </w:r>
      <w:r>
        <w:rPr>
          <w:spacing w:val="-66"/>
        </w:rPr>
        <w:t> </w:t>
      </w:r>
      <w:r>
        <w:rPr>
          <w:spacing w:val="-66"/>
        </w:rPr>
      </w:r>
      <w:r>
        <w:rPr>
          <w:spacing w:val="-2"/>
        </w:rPr>
        <w:t>议，以承担新金融负债方式替换现存金融负债，且新金融负债与现存金融负债的合同条款实质上不同的，终止确认现存金融</w:t>
      </w:r>
      <w:r>
        <w:rPr>
          <w:spacing w:val="-65"/>
        </w:rPr>
        <w:t> </w:t>
      </w:r>
      <w:r>
        <w:rPr>
          <w:spacing w:val="-65"/>
        </w:rPr>
      </w:r>
      <w:r>
        <w:rPr/>
        <w:t>负债，并同时确认新金融负债。 金融负债全部或部分终止确认的，将终止确认部分的账面价值与支付的对价（包括转出的非现金资产或承担的新金融负债） 之间的差额，计入当期损益。</w:t>
      </w:r>
    </w:p>
    <w:p>
      <w:pPr>
        <w:pStyle w:val="BodyText"/>
        <w:spacing w:line="316" w:lineRule="auto" w:before="19"/>
        <w:ind w:right="987"/>
        <w:jc w:val="left"/>
      </w:pPr>
      <w:r>
        <w:rPr/>
        <w:t>（7）衍生工具及嵌入衍生工具 </w:t>
      </w:r>
      <w:r>
        <w:rPr>
          <w:spacing w:val="-4"/>
        </w:rPr>
        <w:t>衍生工具于相关合同签署日以公允价值进行初始计量，并以公允价值进行后续计量。衍生工具的公允价值变动计入当期损益。</w:t>
      </w:r>
      <w:r>
        <w:rPr>
          <w:spacing w:val="-41"/>
        </w:rPr>
        <w:t> </w:t>
      </w:r>
      <w:r>
        <w:rPr>
          <w:spacing w:val="-41"/>
        </w:rPr>
      </w:r>
      <w:r>
        <w:rPr>
          <w:spacing w:val="-2"/>
        </w:rPr>
        <w:t>对包含嵌入衍生工具的混合工具，如未指定为以公允价值计量且其变动计入当期损益的金融资产或金融负债，嵌入衍生工具</w:t>
      </w:r>
      <w:r>
        <w:rPr>
          <w:spacing w:val="-64"/>
        </w:rPr>
        <w:t> </w:t>
      </w:r>
      <w:r>
        <w:rPr>
          <w:spacing w:val="-64"/>
        </w:rPr>
      </w:r>
      <w:r>
        <w:rPr>
          <w:spacing w:val="-2"/>
        </w:rPr>
        <w:t>与该主合同在经济特征及风险方面不存在紧密关系，且与嵌入衍生工具条件相同，单独存在的工具符合衍生工具定义的，嵌</w:t>
      </w:r>
      <w:r>
        <w:rPr>
          <w:spacing w:val="-65"/>
        </w:rPr>
        <w:t> </w:t>
      </w:r>
      <w:r>
        <w:rPr>
          <w:spacing w:val="-65"/>
        </w:rPr>
      </w:r>
      <w:r>
        <w:rPr>
          <w:spacing w:val="-2"/>
        </w:rPr>
        <w:t>入衍生工具从混合工具中分拆，作为单独的衍生金融工具处理。如果无法在取得时或后续的资产负债表日对嵌入衍生工具进</w:t>
      </w:r>
      <w:r>
        <w:rPr>
          <w:spacing w:val="-64"/>
        </w:rPr>
        <w:t> </w:t>
      </w:r>
      <w:r>
        <w:rPr>
          <w:spacing w:val="-64"/>
        </w:rPr>
      </w:r>
      <w:r>
        <w:rPr/>
        <w:t>行单独计量，则将混合工具整体指定为以公允价值计量且其变动计入当期损益的金融资产或金融负债。</w:t>
      </w:r>
    </w:p>
    <w:p>
      <w:pPr>
        <w:pStyle w:val="BodyText"/>
        <w:spacing w:line="316" w:lineRule="auto" w:before="19"/>
        <w:ind w:right="987"/>
        <w:jc w:val="left"/>
      </w:pPr>
      <w:r>
        <w:rPr/>
        <w:t>（8）金融资产和金融负债的抵销 </w:t>
      </w:r>
      <w:r>
        <w:rPr>
          <w:spacing w:val="-2"/>
        </w:rPr>
        <w:t>当本公司具有抵销已确认金融资产和金融负债的法定权利，且目前可执行该种法定权利，同时本公司计划以净额结算或同时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5"/>
        </w:rPr>
        <w:t> </w:t>
      </w:r>
      <w:r>
        <w:rPr>
          <w:spacing w:val="-65"/>
        </w:rPr>
      </w:r>
      <w:r>
        <w:rPr/>
        <w:t>和金融负债在资产负债表内分别列示，不予相互抵销。</w:t>
      </w:r>
    </w:p>
    <w:p>
      <w:pPr>
        <w:pStyle w:val="BodyText"/>
        <w:spacing w:line="316" w:lineRule="auto" w:before="19"/>
        <w:ind w:right="987"/>
        <w:jc w:val="left"/>
      </w:pPr>
      <w:r>
        <w:rPr/>
        <w:t>（9）权益工具 </w:t>
      </w:r>
      <w:r>
        <w:rPr>
          <w:spacing w:val="-2"/>
        </w:rPr>
        <w:t>权益工具是指能证明拥有本公司在扣除所有负债后的资产中的剩余权益的合同。本公司发行（含再融资）、回购、出售或注</w:t>
      </w:r>
      <w:r>
        <w:rPr>
          <w:spacing w:val="-71"/>
        </w:rPr>
        <w:t> </w:t>
      </w:r>
      <w:r>
        <w:rPr>
          <w:spacing w:val="-71"/>
        </w:rPr>
      </w:r>
      <w:r>
        <w:rPr/>
        <w:t>销权益工具作为权益的变动处理。与权益性交易相关的交易费用从权益中扣减。 </w:t>
      </w:r>
      <w:r>
        <w:rPr>
          <w:spacing w:val="-2"/>
        </w:rPr>
        <w:t>本公司对权益工具持有方的各种分配（不包括股票股利），减少股东权益。本公司不确认权益工具的公允价值变动额。</w:t>
      </w:r>
    </w:p>
    <w:p>
      <w:pPr>
        <w:spacing w:line="240" w:lineRule="auto" w:before="6"/>
        <w:rPr>
          <w:rFonts w:ascii="宋体" w:hAnsi="宋体" w:cs="宋体" w:eastAsia="宋体" w:hint="default"/>
          <w:sz w:val="22"/>
          <w:szCs w:val="22"/>
        </w:rPr>
      </w:pPr>
    </w:p>
    <w:p>
      <w:pPr>
        <w:pStyle w:val="Heading4"/>
        <w:spacing w:line="240" w:lineRule="auto"/>
        <w:ind w:right="987"/>
        <w:jc w:val="left"/>
        <w:rPr>
          <w:b w:val="0"/>
          <w:bCs w:val="0"/>
        </w:rPr>
      </w:pPr>
      <w:bookmarkStart w:name="10、应收票据及应收账款" w:id="168"/>
      <w:bookmarkEnd w:id="168"/>
      <w:r>
        <w:rPr>
          <w:b w:val="0"/>
          <w:bCs w:val="0"/>
        </w:rPr>
      </w:r>
      <w:r>
        <w:rPr>
          <w:rFonts w:ascii="Times New Roman" w:hAnsi="Times New Roman" w:cs="Times New Roman" w:eastAsia="Times New Roman" w:hint="default"/>
        </w:rPr>
        <w:t>10</w:t>
      </w:r>
      <w:r>
        <w:rPr/>
        <w:t>、应收票据及应收账款</w:t>
      </w:r>
      <w:r>
        <w:rPr>
          <w:b w:val="0"/>
          <w:bCs w:val="0"/>
        </w:rPr>
      </w:r>
    </w:p>
    <w:p>
      <w:pPr>
        <w:spacing w:line="240" w:lineRule="auto" w:before="10"/>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单项金额重大并单独计提坏账准备的应收款项" w:id="169"/>
      <w:bookmarkEnd w:id="1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14"/>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万元以上的应收款项确认为 单项金额重大的应收款项。</w:t>
            </w:r>
          </w:p>
        </w:tc>
      </w:tr>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独测试未发生减值的金融资产，包括在具有类似信用风险</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特征的金融资产组合中进行减值测试。单项测试已确认减</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值损失的应收款项，不再包括在具有类似信用风险特征的</w:t>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应收款项组合中进行减值测试。</w:t>
            </w:r>
          </w:p>
        </w:tc>
      </w:tr>
    </w:tbl>
    <w:p>
      <w:pPr>
        <w:spacing w:after="0" w:line="240" w:lineRule="auto"/>
        <w:jc w:val="left"/>
        <w:rPr>
          <w:rFonts w:ascii="宋体" w:hAnsi="宋体" w:cs="宋体" w:eastAsia="宋体" w:hint="default"/>
          <w:sz w:val="18"/>
          <w:szCs w:val="18"/>
        </w:rPr>
        <w:sectPr>
          <w:pgSz w:w="11910" w:h="16840"/>
          <w:pgMar w:header="907" w:footer="1028" w:top="1100" w:bottom="1220" w:left="1020" w:right="0"/>
        </w:sectPr>
      </w:pPr>
    </w:p>
    <w:p>
      <w:pPr>
        <w:spacing w:line="240" w:lineRule="auto" w:before="10"/>
        <w:rPr>
          <w:rFonts w:ascii="宋体" w:hAnsi="宋体" w:cs="宋体" w:eastAsia="宋体" w:hint="default"/>
          <w:b/>
          <w:bCs/>
          <w:sz w:val="21"/>
          <w:szCs w:val="21"/>
        </w:rPr>
      </w:pPr>
    </w:p>
    <w:p>
      <w:pPr>
        <w:spacing w:before="34"/>
        <w:ind w:left="112" w:right="987" w:firstLine="0"/>
        <w:jc w:val="left"/>
        <w:rPr>
          <w:rFonts w:ascii="宋体" w:hAnsi="宋体" w:cs="宋体" w:eastAsia="宋体" w:hint="default"/>
          <w:sz w:val="21"/>
          <w:szCs w:val="21"/>
        </w:rPr>
      </w:pPr>
      <w:bookmarkStart w:name="（2）按信用风险特征组合计提坏账准备的应收款项" w:id="170"/>
      <w:bookmarkEnd w:id="1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应收退税款组合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987"/>
        <w:jc w:val="left"/>
      </w:pPr>
      <w:r>
        <w:rPr/>
        <w:t>组合中，采用账龄分析法计提坏账准备的：</w:t>
      </w:r>
    </w:p>
    <w:p>
      <w:pPr>
        <w:pStyle w:val="BodyText"/>
        <w:spacing w:line="240" w:lineRule="auto" w:before="117"/>
        <w:ind w:right="987"/>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1"/>
        <w:ind w:right="987"/>
        <w:jc w:val="left"/>
      </w:pPr>
      <w:r>
        <w:rPr/>
        <w:t>组合中，采用余额百分比法计提坏账准备的：</w:t>
      </w:r>
    </w:p>
    <w:p>
      <w:pPr>
        <w:pStyle w:val="BodyText"/>
        <w:spacing w:line="357" w:lineRule="auto" w:before="117"/>
        <w:ind w:right="7514"/>
        <w:jc w:val="left"/>
      </w:pPr>
      <w:r>
        <w:rPr/>
        <w:t>□ 适用 √ 不适用 组合中，采用其他方法计提坏账准备的：</w:t>
      </w:r>
    </w:p>
    <w:p>
      <w:pPr>
        <w:pStyle w:val="BodyText"/>
        <w:spacing w:line="240" w:lineRule="auto" w:before="29"/>
        <w:ind w:right="987"/>
        <w:jc w:val="left"/>
      </w:pPr>
      <w:r>
        <w:rPr/>
        <w:t>□ 适用 √ 不适用</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3）单项金额不重大但单独计提坏账准备的应收款项" w:id="171"/>
      <w:bookmarkEnd w:id="171"/>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both"/>
              <w:rPr>
                <w:rFonts w:ascii="宋体" w:hAnsi="宋体" w:cs="宋体" w:eastAsia="宋体" w:hint="default"/>
                <w:sz w:val="18"/>
                <w:szCs w:val="18"/>
              </w:rPr>
            </w:pPr>
            <w:r>
              <w:rPr>
                <w:rFonts w:ascii="宋体" w:hAnsi="宋体" w:cs="宋体" w:eastAsia="宋体" w:hint="default"/>
                <w:sz w:val="18"/>
                <w:szCs w:val="18"/>
              </w:rPr>
              <w:t>如应收关联方款项；与对方存在争议或涉及诉讼、仲裁的 应收款项；已有明显迹象表明债务人很可能无法履行还款 义务的应收款项；等等。</w:t>
            </w:r>
          </w:p>
        </w:tc>
      </w:tr>
      <w:tr>
        <w:trPr>
          <w:trHeight w:val="133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 </w:t>
            </w:r>
            <w:r>
              <w:rPr>
                <w:rFonts w:ascii="宋体" w:hAnsi="宋体" w:cs="宋体" w:eastAsia="宋体" w:hint="default"/>
                <w:spacing w:val="-1"/>
                <w:sz w:val="18"/>
                <w:szCs w:val="18"/>
              </w:rPr>
              <w:t>项，单独进行减值测试，有客观证据表明其发生了减值的，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根据其未来现金流量现值低于其账面价值的差额，确认减 值损失，计提坏账准备</w:t>
            </w:r>
          </w:p>
        </w:tc>
      </w:tr>
    </w:tbl>
    <w:p>
      <w:pPr>
        <w:spacing w:line="240" w:lineRule="auto" w:before="3"/>
        <w:rPr>
          <w:rFonts w:ascii="宋体" w:hAnsi="宋体" w:cs="宋体" w:eastAsia="宋体" w:hint="default"/>
          <w:b/>
          <w:bCs/>
          <w:sz w:val="19"/>
          <w:szCs w:val="19"/>
        </w:rPr>
      </w:pPr>
    </w:p>
    <w:p>
      <w:pPr>
        <w:spacing w:before="34"/>
        <w:ind w:left="112" w:right="987" w:firstLine="0"/>
        <w:jc w:val="left"/>
        <w:rPr>
          <w:rFonts w:ascii="宋体" w:hAnsi="宋体" w:cs="宋体" w:eastAsia="宋体" w:hint="default"/>
          <w:sz w:val="21"/>
          <w:szCs w:val="21"/>
        </w:rPr>
      </w:pPr>
      <w:bookmarkStart w:name="11、存货" w:id="172"/>
      <w:bookmarkEnd w:id="172"/>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60" w:lineRule="auto" w:before="0"/>
        <w:ind w:right="7694"/>
        <w:jc w:val="left"/>
      </w:pPr>
      <w:r>
        <w:rPr/>
        <w:t>公司是否需要遵守特殊行业的披露要求 否</w:t>
      </w:r>
    </w:p>
    <w:p>
      <w:pPr>
        <w:pStyle w:val="BodyText"/>
        <w:spacing w:line="316" w:lineRule="auto" w:before="25"/>
        <w:ind w:right="3194"/>
        <w:jc w:val="left"/>
      </w:pPr>
      <w:r>
        <w:rPr/>
        <w:t>（1）存货的分类 存货主要包括原材料、在产品及自制半成品、产成品、库存商品、委托加工物资、发出商品等。</w:t>
      </w:r>
    </w:p>
    <w:p>
      <w:pPr>
        <w:pStyle w:val="BodyText"/>
        <w:spacing w:line="316" w:lineRule="auto" w:before="19"/>
        <w:ind w:right="1754"/>
        <w:jc w:val="left"/>
      </w:pPr>
      <w:r>
        <w:rPr/>
        <w:t>（2）存货取得和发出的计价方法 存货在取得时按实际成本计价，存货成本包括采购成本、加工成本和其他成本。领用和发出时按加权平均法计价。</w:t>
      </w:r>
    </w:p>
    <w:p>
      <w:pPr>
        <w:spacing w:after="0" w:line="316"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316" w:lineRule="auto"/>
        <w:ind w:right="987"/>
        <w:jc w:val="left"/>
      </w:pPr>
      <w:r>
        <w:rPr/>
        <w:t>（3）存货可变现净值的确认和跌价准备的计提方法 </w:t>
      </w:r>
      <w:r>
        <w:rPr>
          <w:spacing w:val="-4"/>
        </w:rPr>
        <w:t>可变现净值是指在日常活动中，存货的估计售价减去至完工时估计将要发生的成本、估计的销售费用以及相关税费后的金额。</w:t>
      </w:r>
      <w:r>
        <w:rPr>
          <w:spacing w:val="-41"/>
        </w:rPr>
        <w:t> </w:t>
      </w:r>
      <w:r>
        <w:rPr>
          <w:spacing w:val="-41"/>
        </w:rPr>
      </w:r>
      <w:r>
        <w:rPr/>
        <w:t>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在资产负债表日，存货按照成本与可变现净值孰低计量。当其可变现净值低于成本时，提取存货跌价准备。存货跌价准备通</w:t>
      </w:r>
      <w:r>
        <w:rPr>
          <w:spacing w:val="-66"/>
        </w:rPr>
        <w:t> </w:t>
      </w:r>
      <w:r>
        <w:rPr>
          <w:spacing w:val="-66"/>
        </w:rPr>
      </w:r>
      <w:r>
        <w:rPr/>
        <w:t>常按单个存货项目的成本高于其可变现净值的差额提取。 </w:t>
      </w:r>
      <w:r>
        <w:rPr>
          <w:spacing w:val="-2"/>
        </w:rPr>
        <w:t>计提存货跌价准备后，如果以前减记存货价值的影响因素已经消失，导致存货的可变现净值高于其账面价值的，在原已计提</w:t>
      </w:r>
      <w:r>
        <w:rPr>
          <w:spacing w:val="-65"/>
        </w:rPr>
        <w:t> </w:t>
      </w:r>
      <w:r>
        <w:rPr>
          <w:spacing w:val="-65"/>
        </w:rPr>
      </w:r>
      <w:r>
        <w:rPr/>
        <w:t>的存货跌价准备金额内予以转回，转回的金额计入当期损益。</w:t>
      </w:r>
    </w:p>
    <w:p>
      <w:pPr>
        <w:pStyle w:val="BodyText"/>
        <w:spacing w:line="240" w:lineRule="auto" w:before="19"/>
        <w:ind w:right="987"/>
        <w:jc w:val="left"/>
      </w:pPr>
      <w:r>
        <w:rPr/>
        <w:t>（4）存货的盘存制度为永续盘存制。</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12、持有待售资产" w:id="173"/>
      <w:bookmarkEnd w:id="173"/>
      <w:r>
        <w:rPr>
          <w:b w:val="0"/>
          <w:bCs w:val="0"/>
        </w:rPr>
      </w:r>
      <w:r>
        <w:rPr>
          <w:rFonts w:ascii="Times New Roman" w:hAnsi="Times New Roman" w:cs="Times New Roman" w:eastAsia="Times New Roman" w:hint="default"/>
        </w:rPr>
        <w:t>12</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23"/>
        <w:jc w:val="left"/>
      </w:pPr>
      <w:r>
        <w:rPr>
          <w:spacing w:val="-2"/>
        </w:rPr>
        <w:t>本公司若主要通过出售（包括具有商业实质的非货币性资产交换，下同）而非持续使用一项非流动资产或处置组收回其账面</w:t>
      </w:r>
      <w:r>
        <w:rPr>
          <w:spacing w:val="-65"/>
        </w:rPr>
        <w:t> </w:t>
      </w:r>
      <w:r>
        <w:rPr>
          <w:spacing w:val="-65"/>
        </w:rPr>
      </w:r>
      <w:r>
        <w:rPr>
          <w:spacing w:val="-2"/>
        </w:rPr>
        <w:t>价值的，则将其划分为持有待售类别。具体标准为同时满足以下条件：某项非流动资产或处置组根据类似交易中出售此类资</w:t>
      </w:r>
      <w:r>
        <w:rPr>
          <w:spacing w:val="-65"/>
        </w:rPr>
        <w:t> </w:t>
      </w:r>
      <w:r>
        <w:rPr>
          <w:spacing w:val="-65"/>
        </w:rPr>
      </w:r>
      <w:r>
        <w:rPr>
          <w:spacing w:val="-2"/>
        </w:rPr>
        <w:t>产或处置组的惯例，在当前状况下即可立即出售；本公司已经就出售计划作出决议且获得确定的购买承诺；预计出售将在一</w:t>
      </w:r>
      <w:r>
        <w:rPr>
          <w:spacing w:val="-65"/>
        </w:rPr>
        <w:t> </w:t>
      </w:r>
      <w:r>
        <w:rPr>
          <w:spacing w:val="-65"/>
        </w:rPr>
      </w:r>
      <w:r>
        <w:rPr>
          <w:spacing w:val="-2"/>
        </w:rPr>
        <w:t>年内完成。其中，处置组是指在一项交易中作为整体通过出售或其他方式一并处置的一组资产，以及在该交易中转让的与这</w:t>
      </w:r>
      <w:r>
        <w:rPr>
          <w:spacing w:val="-65"/>
        </w:rPr>
        <w:t> </w:t>
      </w:r>
      <w:r>
        <w:rPr>
          <w:spacing w:val="-65"/>
        </w:rPr>
      </w:r>
      <w:r>
        <w:rPr/>
        <w:t>些资产直接相关的负债。处置组所属的资产组或资产组组合按照《企业会计准则第 8</w:t>
      </w:r>
      <w:r>
        <w:rPr>
          <w:spacing w:val="1"/>
        </w:rPr>
        <w:t> </w:t>
      </w:r>
      <w:r>
        <w:rPr/>
        <w:t>号——资产减值》分摊了企业合并中</w:t>
      </w:r>
      <w:r>
        <w:rPr/>
        <w:t> 取得的商誉的，该处置组应当包含分摊至处置组的商誉。 </w:t>
      </w:r>
      <w:r>
        <w:rPr>
          <w:spacing w:val="-2"/>
        </w:rPr>
        <w:t>本公司初始计量或在资产负债表日重新计量划分为持有待售的非流动资产和处置组时，其账面价值高于公允价值减去出售费</w:t>
      </w:r>
      <w:r>
        <w:rPr>
          <w:spacing w:val="-64"/>
        </w:rPr>
        <w:t> </w:t>
      </w:r>
      <w:r>
        <w:rPr>
          <w:spacing w:val="-64"/>
        </w:rPr>
      </w:r>
      <w:r>
        <w:rPr>
          <w:spacing w:val="-2"/>
        </w:rPr>
        <w:t>用后的净额的，将账面价值减记至公允价值减去出售费用后的净额，减记的金额确认为资产减值损失，计入当期损益，同时</w:t>
      </w:r>
      <w:r>
        <w:rPr>
          <w:spacing w:val="-66"/>
        </w:rPr>
        <w:t> </w:t>
      </w:r>
      <w:r>
        <w:rPr>
          <w:spacing w:val="-66"/>
        </w:rPr>
      </w:r>
      <w:r>
        <w:rPr>
          <w:spacing w:val="-2"/>
        </w:rPr>
        <w:t>计提持有待售资产减值准备。对于处置组，所确认的资产减值损失先抵减处置组中商誉的账面价值，再按比例抵减该处置组</w:t>
      </w:r>
      <w:r>
        <w:rPr>
          <w:spacing w:val="-65"/>
        </w:rPr>
        <w:t> </w:t>
      </w:r>
      <w:r>
        <w:rPr>
          <w:spacing w:val="-65"/>
        </w:rPr>
      </w:r>
      <w:r>
        <w:rPr>
          <w:spacing w:val="-5"/>
        </w:rPr>
        <w:t>内适用《企业会计准则第42号——持有待售的非流动资产、处置组和终止经营》（以下简称“持有待售准则”）的计量规定的</w:t>
      </w:r>
      <w:r>
        <w:rPr>
          <w:spacing w:val="-76"/>
        </w:rPr>
        <w:t> </w:t>
      </w:r>
      <w:r>
        <w:rPr>
          <w:spacing w:val="-76"/>
        </w:rPr>
      </w:r>
      <w:r>
        <w:rPr>
          <w:spacing w:val="-2"/>
        </w:rPr>
        <w:t>各项非流动资产的账面价值。后续资产负债表日持有待售的处置组公允价值减去出售费用后的净额增加的，以前减记的金额</w:t>
      </w:r>
      <w:r>
        <w:rPr>
          <w:spacing w:val="-64"/>
        </w:rPr>
        <w:t> </w:t>
      </w:r>
      <w:r>
        <w:rPr>
          <w:spacing w:val="-64"/>
        </w:rPr>
      </w:r>
      <w:r>
        <w:rPr>
          <w:spacing w:val="-2"/>
        </w:rPr>
        <w:t>应当予以恢复，并在划分为持有待售类别后适用持有待售准则计量规定的非流动资产确认的资产减值损失金额内转回，转回</w:t>
      </w:r>
      <w:r>
        <w:rPr>
          <w:spacing w:val="-64"/>
        </w:rPr>
        <w:t> </w:t>
      </w:r>
      <w:r>
        <w:rPr>
          <w:spacing w:val="-64"/>
        </w:rPr>
      </w:r>
      <w:r>
        <w:rPr>
          <w:spacing w:val="-2"/>
        </w:rPr>
        <w:t>金额计入当期损益，并根据处置组中除商誉外适用持有待售准则计量规定的各项非流动资产账面价值所占比重按比例增加其</w:t>
      </w:r>
      <w:r>
        <w:rPr>
          <w:spacing w:val="-64"/>
        </w:rPr>
        <w:t> </w:t>
      </w:r>
      <w:r>
        <w:rPr>
          <w:spacing w:val="-64"/>
        </w:rPr>
      </w:r>
      <w:r>
        <w:rPr>
          <w:spacing w:val="-2"/>
        </w:rPr>
        <w:t>账面价值；已抵减的商誉账面价值，以及适用持有待售准则计量规定的非流动资产在划分为持有待售类别前确认的资产减值</w:t>
      </w:r>
      <w:r>
        <w:rPr>
          <w:spacing w:val="-64"/>
        </w:rPr>
        <w:t> </w:t>
      </w:r>
      <w:r>
        <w:rPr>
          <w:spacing w:val="-64"/>
        </w:rPr>
      </w:r>
      <w:r>
        <w:rPr/>
        <w:t>损失不得转回。 </w:t>
      </w:r>
      <w:r>
        <w:rPr>
          <w:spacing w:val="-2"/>
        </w:rPr>
        <w:t>持有待售的非流动资产或处置组中的非流动资产不计提折旧或摊销，持有待售的处置组中负债的利息和其他费用继续予以确</w:t>
      </w:r>
      <w:r>
        <w:rPr>
          <w:spacing w:val="-64"/>
        </w:rPr>
        <w:t> </w:t>
      </w:r>
      <w:r>
        <w:rPr>
          <w:spacing w:val="-64"/>
        </w:rPr>
      </w:r>
      <w:r>
        <w:rPr/>
        <w:t>认。 </w:t>
      </w:r>
      <w:r>
        <w:rPr>
          <w:spacing w:val="-2"/>
        </w:rPr>
        <w:t>非流动资产或处置组不再满足持有待售类别的划分条件时，本公司不再将其继续划分为持有待售类别或将非流动资产从持有</w:t>
      </w:r>
      <w:r>
        <w:rPr>
          <w:spacing w:val="-64"/>
        </w:rPr>
        <w:t> </w:t>
      </w:r>
      <w:r>
        <w:rPr>
          <w:spacing w:val="-64"/>
        </w:rPr>
      </w:r>
      <w:r>
        <w:rPr>
          <w:spacing w:val="-4"/>
        </w:rPr>
        <w:t>待售的处置组中移除，并按照以下两者孰低计量：（1）划分为持有待售类别前的账面价值，按照假定不划分为持有待售类别</w:t>
      </w:r>
      <w:r>
        <w:rPr>
          <w:spacing w:val="-45"/>
        </w:rPr>
        <w:t> </w:t>
      </w:r>
      <w:r>
        <w:rPr>
          <w:spacing w:val="-45"/>
        </w:rPr>
      </w:r>
      <w:r>
        <w:rPr>
          <w:spacing w:val="-3"/>
        </w:rPr>
        <w:t>情况下本应确认的折旧、摊销或减值等进行调整后的金额；（2）可收回金额。</w:t>
      </w:r>
    </w:p>
    <w:p>
      <w:pPr>
        <w:spacing w:line="240" w:lineRule="auto" w:before="8"/>
        <w:rPr>
          <w:rFonts w:ascii="宋体" w:hAnsi="宋体" w:cs="宋体" w:eastAsia="宋体" w:hint="default"/>
          <w:sz w:val="22"/>
          <w:szCs w:val="22"/>
        </w:rPr>
      </w:pPr>
    </w:p>
    <w:p>
      <w:pPr>
        <w:pStyle w:val="Heading4"/>
        <w:spacing w:line="240" w:lineRule="auto"/>
        <w:ind w:right="987"/>
        <w:jc w:val="left"/>
        <w:rPr>
          <w:b w:val="0"/>
          <w:bCs w:val="0"/>
        </w:rPr>
      </w:pPr>
      <w:bookmarkStart w:name="13、长期股权投资" w:id="174"/>
      <w:bookmarkEnd w:id="174"/>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7"/>
        <w:jc w:val="left"/>
      </w:pPr>
      <w:r>
        <w:rPr>
          <w:spacing w:val="-2"/>
        </w:rPr>
        <w:t>本部分所指的长期股权投资是指本公司对被投资单位具有控制、共同控制或重大影响的长期股权投资。本公司对被投资单位</w:t>
      </w:r>
      <w:r>
        <w:rPr>
          <w:spacing w:val="-64"/>
        </w:rPr>
        <w:t> </w:t>
      </w:r>
      <w:r>
        <w:rPr>
          <w:spacing w:val="-64"/>
        </w:rPr>
      </w:r>
      <w:r>
        <w:rPr>
          <w:spacing w:val="-2"/>
        </w:rPr>
        <w:t>不具有控制、共同控制或重大影响的长期股权投资，作为可供出售金融资产或以公允价值计量且其变动计入当期损益的金融</w:t>
      </w:r>
      <w:r>
        <w:rPr>
          <w:spacing w:val="-64"/>
        </w:rPr>
        <w:t> </w:t>
      </w:r>
      <w:r>
        <w:rPr>
          <w:spacing w:val="-64"/>
        </w:rPr>
      </w:r>
      <w:r>
        <w:rPr>
          <w:spacing w:val="-4"/>
        </w:rPr>
        <w:t>资产核算，其会计政策详见附注五、9“金融工具”。</w:t>
      </w:r>
      <w:r>
        <w:rPr>
          <w:spacing w:val="-85"/>
        </w:rPr>
        <w:t> </w:t>
      </w:r>
      <w:r>
        <w:rPr>
          <w:spacing w:val="-85"/>
        </w:rPr>
      </w:r>
      <w:r>
        <w:rPr>
          <w:spacing w:val="-2"/>
        </w:rPr>
        <w:t>共同控制，是指本公司按照相关约定对某项安排所共有的控制，并且该安排的相关活动必须经过分享控制权的参与方一致同</w:t>
      </w:r>
      <w:r>
        <w:rPr>
          <w:spacing w:val="-64"/>
        </w:rPr>
        <w:t> </w:t>
      </w:r>
      <w:r>
        <w:rPr>
          <w:spacing w:val="-64"/>
        </w:rPr>
      </w:r>
      <w:r>
        <w:rPr>
          <w:spacing w:val="-2"/>
        </w:rPr>
        <w:t>意后才能决策。重大影响，是指本公司对被投资单位的财务和经营政策有参与决策的权力，但并不能够控制或者与其他方一</w:t>
      </w:r>
      <w:r>
        <w:rPr>
          <w:spacing w:val="-65"/>
        </w:rPr>
        <w:t> </w:t>
      </w:r>
      <w:r>
        <w:rPr>
          <w:spacing w:val="-65"/>
        </w:rPr>
      </w:r>
      <w:r>
        <w:rPr/>
        <w:t>起共同控制这些政策的制定。</w:t>
      </w:r>
    </w:p>
    <w:p>
      <w:pPr>
        <w:pStyle w:val="BodyText"/>
        <w:spacing w:line="316" w:lineRule="auto" w:before="19"/>
        <w:ind w:right="987"/>
        <w:jc w:val="left"/>
      </w:pPr>
      <w:r>
        <w:rPr/>
        <w:t>（1）投资成本的确定 </w:t>
      </w:r>
      <w:r>
        <w:rPr>
          <w:spacing w:val="-2"/>
        </w:rPr>
        <w:t>对于同一控制下的企业合并取得的长期股权投资，在合并日按照被合并方股东权益在最终控制方合并财务报表中的账面价值</w:t>
      </w:r>
      <w:r>
        <w:rPr>
          <w:spacing w:val="-64"/>
        </w:rPr>
        <w:t> </w:t>
      </w:r>
      <w:r>
        <w:rPr>
          <w:spacing w:val="-64"/>
        </w:rPr>
      </w:r>
      <w:r>
        <w:rPr>
          <w:spacing w:val="-2"/>
        </w:rPr>
        <w:t>的份额作为长期股权投资的初始投资成本。长期股权投资初始投资成本与支付的现金、转让的非现金资产以及所承担债务账</w:t>
      </w:r>
      <w:r>
        <w:rPr>
          <w:spacing w:val="-64"/>
        </w:rPr>
        <w:t> </w:t>
      </w:r>
      <w:r>
        <w:rPr>
          <w:spacing w:val="-64"/>
        </w:rPr>
      </w:r>
      <w:r>
        <w:rPr>
          <w:spacing w:val="-2"/>
        </w:rPr>
        <w:t>面价值之间的差额，调整资本公积；资本公积不足冲减的，调整留存收益。以发行权益性证券作为合并对价的，在合并日按</w:t>
      </w:r>
      <w:r>
        <w:rPr>
          <w:spacing w:val="-65"/>
        </w:rPr>
        <w:t> </w:t>
      </w:r>
      <w:r>
        <w:rPr>
          <w:spacing w:val="-65"/>
        </w:rPr>
      </w:r>
      <w:r>
        <w:rPr>
          <w:spacing w:val="-2"/>
        </w:rPr>
        <w:t>照被合并方股东权益在最终控制方合并财务报表中的账面价值的份额作为长期股权投资的初始投资成本，按照发行股份的面</w:t>
      </w:r>
    </w:p>
    <w:p>
      <w:pPr>
        <w:spacing w:after="0" w:line="316" w:lineRule="auto"/>
        <w:jc w:val="left"/>
        <w:sectPr>
          <w:footerReference w:type="default" r:id="rId33"/>
          <w:pgSz w:w="11910" w:h="16840"/>
          <w:pgMar w:footer="1028" w:header="907" w:top="1100" w:bottom="1220" w:left="1020" w:right="0"/>
          <w:pgNumType w:start="110"/>
        </w:sectPr>
      </w:pPr>
    </w:p>
    <w:p>
      <w:pPr>
        <w:spacing w:line="240" w:lineRule="auto" w:before="13"/>
        <w:rPr>
          <w:rFonts w:ascii="宋体" w:hAnsi="宋体" w:cs="宋体" w:eastAsia="宋体" w:hint="default"/>
          <w:sz w:val="22"/>
          <w:szCs w:val="22"/>
        </w:rPr>
      </w:pPr>
    </w:p>
    <w:p>
      <w:pPr>
        <w:pStyle w:val="BodyText"/>
        <w:spacing w:line="316" w:lineRule="auto"/>
        <w:ind w:right="1034"/>
        <w:jc w:val="left"/>
      </w:pPr>
      <w:r>
        <w:rPr>
          <w:spacing w:val="-2"/>
        </w:rPr>
        <w:t>值总额作为股本，长期股权投资初始投资成本与所发行股份面值总额之间的差额，调整资本公积；资本公积不足冲减的，调</w:t>
      </w:r>
      <w:r>
        <w:rPr>
          <w:spacing w:val="-66"/>
        </w:rPr>
        <w:t> </w:t>
      </w:r>
      <w:r>
        <w:rPr>
          <w:spacing w:val="-66"/>
        </w:rPr>
      </w:r>
      <w:r>
        <w:rPr>
          <w:spacing w:val="-2"/>
        </w:rPr>
        <w:t>整留存收益。通过多次交易分步取得同一控制下被合并方的股权，最终形成同一控制下企业合并的，应分别是否属于“一揽</w:t>
      </w:r>
      <w:r>
        <w:rPr>
          <w:spacing w:val="-66"/>
        </w:rPr>
        <w:t> </w:t>
      </w:r>
      <w:r>
        <w:rPr>
          <w:spacing w:val="-66"/>
        </w:rPr>
      </w:r>
      <w:r>
        <w:rPr/>
        <w:t>子交易”进行处理：属于“一揽子交易”的，将各项交易作为一项取得控制权的交易进行会计处理。不属于“一揽子交易” </w:t>
      </w:r>
      <w:r>
        <w:rPr>
          <w:spacing w:val="-2"/>
        </w:rPr>
        <w:t>的，在合并日按照应享有被合并方股东权益在最终控制方合并财务报表中的账面价值的份额作为长期股权投资的初始投资成</w:t>
      </w:r>
      <w:r>
        <w:rPr>
          <w:spacing w:val="-64"/>
        </w:rPr>
        <w:t> </w:t>
      </w:r>
      <w:r>
        <w:rPr>
          <w:spacing w:val="-64"/>
        </w:rPr>
      </w:r>
      <w:r>
        <w:rPr>
          <w:spacing w:val="-2"/>
        </w:rPr>
        <w:t>本，长期股权投资初始投资成本与达到合并前的长期股权投资账面价值加上合并日进一步取得股份新支付对价的账面价值之</w:t>
      </w:r>
      <w:r>
        <w:rPr>
          <w:spacing w:val="-64"/>
        </w:rPr>
        <w:t> </w:t>
      </w:r>
      <w:r>
        <w:rPr>
          <w:spacing w:val="-64"/>
        </w:rPr>
      </w:r>
      <w:r>
        <w:rPr/>
        <w:t>和的差额，调整资本公积；资本公积不足冲减的，调整留存收益。 </w:t>
      </w:r>
      <w:r>
        <w:rPr>
          <w:spacing w:val="-2"/>
        </w:rPr>
        <w:t>对于非同一控制下的企业合并取得的长期股权投资，在购买日按照合并成本作为长期股权投资的初始投资成本，合并成本包</w:t>
      </w:r>
      <w:r>
        <w:rPr>
          <w:spacing w:val="-64"/>
        </w:rPr>
        <w:t> </w:t>
      </w:r>
      <w:r>
        <w:rPr>
          <w:spacing w:val="-64"/>
        </w:rPr>
      </w:r>
      <w:r>
        <w:rPr>
          <w:spacing w:val="-2"/>
        </w:rPr>
        <w:t>括购买方付出的资产、发生或承担的负债、发行的权益性证券的公允价值之和。通过多次交易分步取得被购买方的股权，最</w:t>
      </w:r>
      <w:r>
        <w:rPr>
          <w:spacing w:val="-66"/>
        </w:rPr>
        <w:t> </w:t>
      </w:r>
      <w:r>
        <w:rPr>
          <w:spacing w:val="-66"/>
        </w:rPr>
      </w:r>
      <w:r>
        <w:rPr>
          <w:spacing w:val="-2"/>
        </w:rPr>
        <w:t>终形成非同一控制下的企业合并的，应分别是否属于“一揽子交易”进行处理：属于“一揽子交易”的，将各项交易作为一</w:t>
      </w:r>
      <w:r>
        <w:rPr>
          <w:spacing w:val="-65"/>
        </w:rPr>
        <w:t> </w:t>
      </w:r>
      <w:r>
        <w:rPr>
          <w:spacing w:val="-65"/>
        </w:rPr>
      </w:r>
      <w:r>
        <w:rPr>
          <w:spacing w:val="-2"/>
        </w:rPr>
        <w:t>项取得控制权的交易进行会计处理。不属于“一揽子交易”的，按照原持有被购买方的股权投资账面价值加上新增投资成本</w:t>
      </w:r>
      <w:r>
        <w:rPr>
          <w:spacing w:val="-66"/>
        </w:rPr>
        <w:t> </w:t>
      </w:r>
      <w:r>
        <w:rPr>
          <w:spacing w:val="-66"/>
        </w:rPr>
      </w:r>
      <w:r>
        <w:rPr>
          <w:spacing w:val="-2"/>
        </w:rPr>
        <w:t>之和，作为改按成本法核算的长期股权投资的初始投资成本。原持有的股权采用权益法核算的，相关其他综合收益暂不进行</w:t>
      </w:r>
      <w:r>
        <w:rPr>
          <w:spacing w:val="-65"/>
        </w:rPr>
        <w:t> </w:t>
      </w:r>
      <w:r>
        <w:rPr>
          <w:spacing w:val="-65"/>
        </w:rPr>
      </w:r>
      <w:r>
        <w:rPr>
          <w:spacing w:val="-2"/>
        </w:rPr>
        <w:t>会计处理。原持有股权投资为可供出售金融资产的，其公允价值与账面价值之间的差额，以及原计入其他综合收益的累计公</w:t>
      </w:r>
      <w:r>
        <w:rPr>
          <w:spacing w:val="-65"/>
        </w:rPr>
        <w:t> </w:t>
      </w:r>
      <w:r>
        <w:rPr>
          <w:spacing w:val="-65"/>
        </w:rPr>
      </w:r>
      <w:r>
        <w:rPr/>
        <w:t>允价值变动转入当期损益。 合并方或购买方为企业合并发生的审计、法律服务、评估咨询等中介费用以及其他相关管理费用，于发生时计入当期损益。 </w:t>
      </w:r>
      <w:r>
        <w:rPr>
          <w:spacing w:val="-2"/>
        </w:rPr>
        <w:t>除企业合并形成的长期股权投资外的其他股权投资，按成本进行初始计量，该成本视长期股权投资取得方式的不同，分别按</w:t>
      </w:r>
      <w:r>
        <w:rPr>
          <w:spacing w:val="-65"/>
        </w:rPr>
        <w:t> </w:t>
      </w:r>
      <w:r>
        <w:rPr>
          <w:spacing w:val="-65"/>
        </w:rPr>
      </w:r>
      <w:r>
        <w:rPr>
          <w:spacing w:val="-2"/>
        </w:rPr>
        <w:t>照本公司实际支付的现金购买价款、本公司发行的权益性证券的公允价值、投资合同或协议约定的价值、非货币性资产交换</w:t>
      </w:r>
      <w:r>
        <w:rPr>
          <w:spacing w:val="-65"/>
        </w:rPr>
        <w:t> </w:t>
      </w:r>
      <w:r>
        <w:rPr>
          <w:spacing w:val="-65"/>
        </w:rPr>
      </w:r>
      <w:r>
        <w:rPr>
          <w:spacing w:val="-2"/>
        </w:rPr>
        <w:t>交易中换出资产的公允价值或原账面价值、该项长期股权投资自身的公允价值等方式确定。与取得长期股权投资直接相关的</w:t>
      </w:r>
      <w:r>
        <w:rPr>
          <w:spacing w:val="-64"/>
        </w:rPr>
        <w:t> </w:t>
      </w:r>
      <w:r>
        <w:rPr>
          <w:spacing w:val="-64"/>
        </w:rPr>
      </w:r>
      <w:r>
        <w:rPr>
          <w:spacing w:val="-2"/>
        </w:rPr>
        <w:t>费用、税金及其他必要支出也计入投资成本。对于因追加投资能够对被投资单位实施重大影响或实施共同控制但不构成控制</w:t>
      </w:r>
      <w:r>
        <w:rPr>
          <w:spacing w:val="-64"/>
        </w:rPr>
        <w:t> </w:t>
      </w:r>
      <w:r>
        <w:rPr>
          <w:spacing w:val="-64"/>
        </w:rPr>
      </w:r>
      <w:r>
        <w:rPr>
          <w:spacing w:val="-2"/>
        </w:rPr>
        <w:t>的，长期股权投资成本为按照《企业会计准则第22号——金融工具确认和计量》确定的原持有股权投资的公允价值加上新增</w:t>
      </w:r>
      <w:r>
        <w:rPr>
          <w:spacing w:val="-64"/>
        </w:rPr>
        <w:t> </w:t>
      </w:r>
      <w:r>
        <w:rPr>
          <w:spacing w:val="-64"/>
        </w:rPr>
      </w:r>
      <w:r>
        <w:rPr/>
        <w:t>投资成本之和。</w:t>
      </w:r>
    </w:p>
    <w:p>
      <w:pPr>
        <w:pStyle w:val="BodyText"/>
        <w:spacing w:line="316" w:lineRule="auto" w:before="19"/>
        <w:ind w:right="987"/>
        <w:jc w:val="left"/>
      </w:pPr>
      <w:r>
        <w:rPr/>
        <w:t>（2）后续计量及损益确认方法 </w:t>
      </w:r>
      <w:r>
        <w:rPr>
          <w:spacing w:val="-2"/>
        </w:rPr>
        <w:t>对被投资单位具有共同控制（构成共同经营者除外）或重大影响的长期股权投资，采用权益法核算。此外，公司财务报表采</w:t>
      </w:r>
      <w:r>
        <w:rPr>
          <w:spacing w:val="-66"/>
        </w:rPr>
        <w:t> </w:t>
      </w:r>
      <w:r>
        <w:rPr>
          <w:spacing w:val="-66"/>
        </w:rPr>
      </w:r>
      <w:r>
        <w:rPr/>
        <w:t>用成本法核算能够对被投资单位实施控制的长期股权投资。</w:t>
      </w:r>
    </w:p>
    <w:p>
      <w:pPr>
        <w:pStyle w:val="BodyText"/>
        <w:spacing w:line="316" w:lineRule="auto" w:before="19"/>
        <w:ind w:right="987"/>
        <w:jc w:val="left"/>
      </w:pPr>
      <w:r>
        <w:rPr/>
        <w:t>①</w:t>
      </w:r>
      <w:r>
        <w:rPr>
          <w:spacing w:val="1"/>
        </w:rPr>
        <w:t> </w:t>
      </w:r>
      <w:r>
        <w:rPr/>
        <w:t>成本法核算的长期股权投资</w:t>
      </w:r>
      <w:r>
        <w:rPr/>
        <w:t> </w:t>
      </w:r>
      <w:r>
        <w:rPr>
          <w:spacing w:val="-2"/>
        </w:rPr>
        <w:t>采用成本法核算时，长期股权投资按初始投资成本计价，追加或收回投资调整长期股权投资的成本。除取得投资时实际支付</w:t>
      </w:r>
      <w:r>
        <w:rPr>
          <w:spacing w:val="-65"/>
        </w:rPr>
        <w:t> </w:t>
      </w:r>
      <w:r>
        <w:rPr>
          <w:spacing w:val="-65"/>
        </w:rPr>
      </w:r>
      <w:r>
        <w:rPr>
          <w:spacing w:val="-2"/>
        </w:rPr>
        <w:t>的价款或者对价中包含的已宣告但尚未发放的现金股利或者利润外，当期投资收益按照享有被投资单位宣告发放的现金股利</w:t>
      </w:r>
      <w:r>
        <w:rPr>
          <w:spacing w:val="-64"/>
        </w:rPr>
        <w:t> </w:t>
      </w:r>
      <w:r>
        <w:rPr>
          <w:spacing w:val="-64"/>
        </w:rPr>
      </w:r>
      <w:r>
        <w:rPr/>
        <w:t>或利润确认。</w:t>
      </w:r>
    </w:p>
    <w:p>
      <w:pPr>
        <w:pStyle w:val="BodyText"/>
        <w:spacing w:line="316" w:lineRule="auto" w:before="19"/>
        <w:ind w:right="987"/>
        <w:jc w:val="left"/>
      </w:pPr>
      <w:r>
        <w:rPr/>
        <w:t>②</w:t>
      </w:r>
      <w:r>
        <w:rPr>
          <w:spacing w:val="1"/>
        </w:rPr>
        <w:t> </w:t>
      </w:r>
      <w:r>
        <w:rPr/>
        <w:t>权益法核算的长期股权投资</w:t>
      </w:r>
      <w:r>
        <w:rPr/>
        <w:t> </w:t>
      </w:r>
      <w:r>
        <w:rPr>
          <w:spacing w:val="-2"/>
        </w:rPr>
        <w:t>采用权益法核算时，长期股权投资的初始投资成本大于投资时应享有被投资单位可辨认净资产公允价值份额的，不调整长期</w:t>
      </w:r>
      <w:r>
        <w:rPr>
          <w:spacing w:val="-64"/>
        </w:rPr>
        <w:t> </w:t>
      </w:r>
      <w:r>
        <w:rPr>
          <w:spacing w:val="-64"/>
        </w:rPr>
      </w:r>
      <w:r>
        <w:rPr>
          <w:spacing w:val="-4"/>
        </w:rPr>
        <w:t>股权投资的初始投资成本；初始投资成本小于投资时应享有被投资单位可辨认净资产公允价值份额的，其差额计入当期损益，</w:t>
      </w:r>
      <w:r>
        <w:rPr>
          <w:spacing w:val="-41"/>
        </w:rPr>
        <w:t> </w:t>
      </w:r>
      <w:r>
        <w:rPr>
          <w:spacing w:val="-41"/>
        </w:rPr>
      </w:r>
      <w:r>
        <w:rPr/>
        <w:t>同时调整长期股权投资的成本。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r>
        <w:rPr>
          <w:spacing w:val="-65"/>
        </w:rPr>
        <w:t> </w:t>
      </w:r>
      <w:r>
        <w:rPr>
          <w:spacing w:val="-65"/>
        </w:rPr>
      </w:r>
      <w:r>
        <w:rPr>
          <w:spacing w:val="-2"/>
        </w:rPr>
        <w:t>权投资的账面价值；对于被投资单位除净损益、其他综合收益和利润分配以外所有者权益的其他变动，调整长期股权投资的</w:t>
      </w:r>
      <w:r>
        <w:rPr>
          <w:spacing w:val="-65"/>
        </w:rPr>
        <w:t> </w:t>
      </w:r>
      <w:r>
        <w:rPr>
          <w:spacing w:val="-65"/>
        </w:rPr>
      </w:r>
      <w:r>
        <w:rPr>
          <w:spacing w:val="-2"/>
        </w:rPr>
        <w:t>账面价值并计入资本公积。在确认应享有被投资单位净损益的份额时，以取得投资时被投资单位各项可辨认资产等的公允价</w:t>
      </w:r>
      <w:r>
        <w:rPr>
          <w:spacing w:val="-64"/>
        </w:rPr>
        <w:t> </w:t>
      </w:r>
      <w:r>
        <w:rPr>
          <w:spacing w:val="-64"/>
        </w:rPr>
      </w:r>
      <w:r>
        <w:rPr>
          <w:spacing w:val="-2"/>
        </w:rPr>
        <w:t>值为基础，对被投资单位的净利润进行调整后确认。被投资单位采用的会计政策及会计期间与本公司不一致的，按照本公司</w:t>
      </w:r>
      <w:r>
        <w:rPr>
          <w:spacing w:val="-65"/>
        </w:rPr>
        <w:t> </w:t>
      </w:r>
      <w:r>
        <w:rPr>
          <w:spacing w:val="-65"/>
        </w:rPr>
      </w:r>
      <w:r>
        <w:rPr>
          <w:spacing w:val="-2"/>
        </w:rPr>
        <w:t>的会计政策及会计期间对被投资单位的财务报表进行调整，并据以确认投资收益和其他综合收益。对于本公司与联营企业及</w:t>
      </w:r>
      <w:r>
        <w:rPr>
          <w:spacing w:val="-64"/>
        </w:rPr>
        <w:t> </w:t>
      </w:r>
      <w:r>
        <w:rPr>
          <w:spacing w:val="-64"/>
        </w:rPr>
      </w:r>
      <w:r>
        <w:rPr>
          <w:spacing w:val="-2"/>
        </w:rPr>
        <w:t>合营企业之间发生的交易，投出或出售的资产不构成业务的，未实现内部交易损益按照享有的比例计算归属于本公司的部分</w:t>
      </w:r>
      <w:r>
        <w:rPr>
          <w:spacing w:val="-64"/>
        </w:rPr>
        <w:t> </w:t>
      </w:r>
      <w:r>
        <w:rPr>
          <w:spacing w:val="-64"/>
        </w:rPr>
      </w:r>
      <w:r>
        <w:rPr>
          <w:spacing w:val="-2"/>
        </w:rPr>
        <w:t>予以抵销，在此基础上确认投资损益。但本公司与被投资单位发生的未实现内部交易损失，属于所转让资产减值损失的，不</w:t>
      </w:r>
      <w:r>
        <w:rPr>
          <w:spacing w:val="-66"/>
        </w:rPr>
        <w:t> </w:t>
      </w:r>
      <w:r>
        <w:rPr>
          <w:spacing w:val="-66"/>
        </w:rPr>
      </w:r>
      <w:r>
        <w:rPr>
          <w:spacing w:val="-2"/>
        </w:rPr>
        <w:t>予以抵销。本公司向合营企业或联营企业投出的资产构成业务的，投资方因此取得长期股权投资但未取得控制权的，以投出</w:t>
      </w:r>
      <w:r>
        <w:rPr>
          <w:spacing w:val="-65"/>
        </w:rPr>
        <w:t> </w:t>
      </w:r>
      <w:r>
        <w:rPr>
          <w:spacing w:val="-65"/>
        </w:rPr>
      </w:r>
      <w:r>
        <w:rPr>
          <w:spacing w:val="-2"/>
        </w:rPr>
        <w:t>业务的公允价值作为新增长期股权投资的初始投资成本，初始投资成本与投出业务的账面价值之差，全额计入当期损益。本</w:t>
      </w:r>
      <w:r>
        <w:rPr>
          <w:spacing w:val="-65"/>
        </w:rPr>
        <w:t> </w:t>
      </w:r>
      <w:r>
        <w:rPr>
          <w:spacing w:val="-65"/>
        </w:rPr>
      </w:r>
      <w:r>
        <w:rPr>
          <w:spacing w:val="-2"/>
        </w:rPr>
        <w:t>公司向合营企业或联营企业出售的资产构成业务的，取得的对价与业务的账面价值之差，全额计入当期损益。本公司自联营</w:t>
      </w:r>
      <w:r>
        <w:rPr>
          <w:spacing w:val="-65"/>
        </w:rPr>
        <w:t> </w:t>
      </w:r>
      <w:r>
        <w:rPr>
          <w:spacing w:val="-65"/>
        </w:rPr>
      </w:r>
      <w:r>
        <w:rPr>
          <w:spacing w:val="-2"/>
        </w:rPr>
        <w:t>企业及合营企业购入的资产构成业务的，按《企业会计准则第20号——企业合并》的规定进行会计处理，全额确认与交易相</w:t>
      </w:r>
      <w:r>
        <w:rPr>
          <w:spacing w:val="-65"/>
        </w:rPr>
        <w:t> </w:t>
      </w:r>
      <w:r>
        <w:rPr>
          <w:spacing w:val="-65"/>
        </w:rPr>
      </w:r>
      <w:r>
        <w:rPr/>
        <w:t>关的利得或损失。</w:t>
      </w:r>
    </w:p>
    <w:p>
      <w:pPr>
        <w:spacing w:after="0" w:line="316"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316" w:lineRule="auto"/>
        <w:ind w:right="1132"/>
        <w:jc w:val="both"/>
      </w:pPr>
      <w:r>
        <w:rPr>
          <w:spacing w:val="-2"/>
        </w:rPr>
        <w:t>在确认应分担被投资单位发生的净亏损时，以长期股权投资的账面价值和其他实质上构成对被投资单位净投资的长期权益减</w:t>
      </w:r>
      <w:r>
        <w:rPr>
          <w:spacing w:val="-64"/>
        </w:rPr>
        <w:t> </w:t>
      </w:r>
      <w:r>
        <w:rPr>
          <w:spacing w:val="-64"/>
        </w:rPr>
      </w:r>
      <w:r>
        <w:rPr>
          <w:spacing w:val="-2"/>
        </w:rPr>
        <w:t>记至零为限。此外，如本公司对被投资单位负有承担额外损失的义务，则按预计承担的义务确认预计负债，计入当期投资损</w:t>
      </w:r>
      <w:r>
        <w:rPr>
          <w:spacing w:val="-66"/>
        </w:rPr>
        <w:t> </w:t>
      </w:r>
      <w:r>
        <w:rPr>
          <w:spacing w:val="-66"/>
        </w:rPr>
      </w:r>
      <w:r>
        <w:rPr/>
        <w:t>失。被投资单位以后期间实现净利润的，本公司在收益分享额弥补未确认的亏损分担额后，恢复确认收益分享额。</w:t>
      </w:r>
    </w:p>
    <w:p>
      <w:pPr>
        <w:pStyle w:val="BodyText"/>
        <w:spacing w:line="316" w:lineRule="auto" w:before="19"/>
        <w:ind w:right="1034"/>
        <w:jc w:val="left"/>
      </w:pPr>
      <w:r>
        <w:rPr/>
        <w:t>③</w:t>
      </w:r>
      <w:r>
        <w:rPr>
          <w:spacing w:val="1"/>
        </w:rPr>
        <w:t> </w:t>
      </w:r>
      <w:r>
        <w:rPr/>
        <w:t>收购少数股权</w:t>
      </w:r>
      <w:r>
        <w:rPr/>
        <w:t> 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BodyText"/>
        <w:spacing w:line="316" w:lineRule="auto" w:before="19"/>
        <w:ind w:right="987"/>
        <w:jc w:val="left"/>
      </w:pPr>
      <w:r>
        <w:rPr/>
        <w:t>④</w:t>
      </w:r>
      <w:r>
        <w:rPr>
          <w:spacing w:val="1"/>
        </w:rPr>
        <w:t> </w:t>
      </w:r>
      <w:r>
        <w:rPr/>
        <w:t>处置长期股权投资</w:t>
      </w:r>
      <w:r>
        <w:rPr/>
        <w:t> </w:t>
      </w:r>
      <w:r>
        <w:rPr>
          <w:spacing w:val="-2"/>
        </w:rPr>
        <w:t>在合并财务报表中，母公司在不丧失控制权的情况下部分处置对子公司的长期股权投资，处置价款与处置长期股权投资相对</w:t>
      </w:r>
      <w:r>
        <w:rPr>
          <w:spacing w:val="-64"/>
        </w:rPr>
        <w:t> </w:t>
      </w:r>
      <w:r>
        <w:rPr>
          <w:spacing w:val="-64"/>
        </w:rPr>
      </w:r>
      <w:r>
        <w:rPr>
          <w:spacing w:val="-2"/>
        </w:rPr>
        <w:t>应享有子公司净资产的差额计入股东权益；母公司部分处置对子公司的长期股权投资导致丧失对子公司控制权的，按本附注</w:t>
      </w:r>
      <w:r>
        <w:rPr>
          <w:spacing w:val="-64"/>
        </w:rPr>
        <w:t> </w:t>
      </w:r>
      <w:r>
        <w:rPr>
          <w:spacing w:val="-64"/>
        </w:rPr>
      </w:r>
      <w:r>
        <w:rPr>
          <w:spacing w:val="-6"/>
        </w:rPr>
        <w:t>五、5、（2）“合并财务报表编制的方法”中所述的相关会计政策处理。</w:t>
      </w:r>
      <w:r>
        <w:rPr>
          <w:spacing w:val="-74"/>
        </w:rPr>
        <w:t> </w:t>
      </w:r>
      <w:r>
        <w:rPr>
          <w:spacing w:val="-74"/>
        </w:rPr>
      </w: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采用权益法核算的长期股权投资，处置后的剩余股权仍采用权益法核算的，在处置时将原计入股东权益的其他综合收益部分</w:t>
      </w:r>
      <w:r>
        <w:rPr>
          <w:spacing w:val="-64"/>
        </w:rPr>
        <w:t> </w:t>
      </w:r>
      <w:r>
        <w:rPr>
          <w:spacing w:val="-64"/>
        </w:rPr>
      </w:r>
      <w:r>
        <w:rPr>
          <w:spacing w:val="-2"/>
        </w:rPr>
        <w:t>按相应的比例采用与被投资单位直接处置相关资产或负债相同的基础进行会计处理。因被投资方除净损益、其他综合收益和</w:t>
      </w:r>
      <w:r>
        <w:rPr>
          <w:spacing w:val="-64"/>
        </w:rPr>
        <w:t> </w:t>
      </w:r>
      <w:r>
        <w:rPr>
          <w:spacing w:val="-64"/>
        </w:rPr>
      </w:r>
      <w:r>
        <w:rPr/>
        <w:t>利润分配以外的其他所有者权益变动而确认的所有者权益，按比例结转入当期损益。 </w:t>
      </w:r>
      <w:r>
        <w:rPr>
          <w:spacing w:val="-2"/>
        </w:rPr>
        <w:t>采用成本法核算的长期股权投资，处置后剩余股权仍采用成本法核算的，其在取得对被投资单位的控制之前因采用权益法核</w:t>
      </w:r>
      <w:r>
        <w:rPr>
          <w:spacing w:val="-64"/>
        </w:rPr>
        <w:t> </w:t>
      </w:r>
      <w:r>
        <w:rPr>
          <w:spacing w:val="-64"/>
        </w:rPr>
      </w:r>
      <w:r>
        <w:rPr>
          <w:spacing w:val="-2"/>
        </w:rPr>
        <w:t>算或金融工具确认和计量准则核算而确认的其他综合收益，采用与被投资单位直接处置相关资产或负债相同的基础进行会计</w:t>
      </w:r>
      <w:r>
        <w:rPr>
          <w:spacing w:val="-64"/>
        </w:rPr>
        <w:t> </w:t>
      </w:r>
      <w:r>
        <w:rPr>
          <w:spacing w:val="-64"/>
        </w:rPr>
      </w:r>
      <w:r>
        <w:rPr>
          <w:spacing w:val="-2"/>
        </w:rPr>
        <w:t>处理，并按比例结转当期损益；因采用权益法核算而确认的被投资单位净资产中除净损益、其他综合收益和利润分配以外的</w:t>
      </w:r>
      <w:r>
        <w:rPr>
          <w:spacing w:val="-65"/>
        </w:rPr>
        <w:t> </w:t>
      </w:r>
      <w:r>
        <w:rPr>
          <w:spacing w:val="-65"/>
        </w:rPr>
      </w:r>
      <w:r>
        <w:rPr/>
        <w:t>其他所有者权益变动按比例结转当期损益。 </w:t>
      </w:r>
      <w:r>
        <w:rPr>
          <w:spacing w:val="-2"/>
        </w:rPr>
        <w:t>本公司因处置部分股权投资丧失了对被投资单位的控制的，在编制个别财务报表时，处置后的剩余股权能够对被投资单位实</w:t>
      </w:r>
      <w:r>
        <w:rPr>
          <w:spacing w:val="-64"/>
        </w:rPr>
        <w:t> </w:t>
      </w:r>
      <w:r>
        <w:rPr>
          <w:spacing w:val="-64"/>
        </w:rPr>
      </w:r>
      <w:r>
        <w:rPr>
          <w:spacing w:val="-2"/>
        </w:rPr>
        <w:t>施共同控制或施加重大影响的，改按权益法核算，并对该剩余股权视同自取得时即采用权益法核算进行调整；处置后的剩余</w:t>
      </w:r>
      <w:r>
        <w:rPr>
          <w:spacing w:val="-65"/>
        </w:rPr>
        <w:t> </w:t>
      </w:r>
      <w:r>
        <w:rPr>
          <w:spacing w:val="-65"/>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spacing w:val="-2"/>
        </w:rPr>
        <w:t>控制之日的公允价值与账面价值之间的差额计入当期损益。对于本公司取得对被投资单位的控制之前，因采用权益法核算或</w:t>
      </w:r>
      <w:r>
        <w:rPr>
          <w:spacing w:val="-64"/>
        </w:rPr>
        <w:t> </w:t>
      </w:r>
      <w:r>
        <w:rPr>
          <w:spacing w:val="-64"/>
        </w:rPr>
      </w:r>
      <w:r>
        <w:rPr>
          <w:spacing w:val="-2"/>
        </w:rPr>
        <w:t>金融工具确认和计量准则核算而确认的其他综合收益，在丧失对被投资单位控制时采用与被投资单位直接处置相关资产或负</w:t>
      </w:r>
      <w:r>
        <w:rPr>
          <w:spacing w:val="-64"/>
        </w:rPr>
        <w:t> </w:t>
      </w:r>
      <w:r>
        <w:rPr>
          <w:spacing w:val="-64"/>
        </w:rPr>
      </w:r>
      <w:r>
        <w:rPr>
          <w:spacing w:val="-2"/>
        </w:rPr>
        <w:t>债相同的基础进行会计处理，因采用权益法核算而确认的被投资单位净资产中除净损益、其他综合收益和利润分配以外的其</w:t>
      </w:r>
      <w:r>
        <w:rPr>
          <w:spacing w:val="-64"/>
        </w:rPr>
        <w:t> </w:t>
      </w:r>
      <w:r>
        <w:rPr>
          <w:spacing w:val="-64"/>
        </w:rPr>
      </w:r>
      <w:r>
        <w:rPr>
          <w:spacing w:val="-2"/>
        </w:rPr>
        <w:t>他所有者权益变动在丧失对被投资单位控制时结转入当期损益。其中，处置后的剩余股权采用权益法核算的，其他综合收益</w:t>
      </w:r>
      <w:r>
        <w:rPr>
          <w:spacing w:val="-65"/>
        </w:rPr>
        <w:t> </w:t>
      </w:r>
      <w:r>
        <w:rPr>
          <w:spacing w:val="-65"/>
        </w:rPr>
      </w:r>
      <w:r>
        <w:rPr>
          <w:spacing w:val="-2"/>
        </w:rPr>
        <w:t>和其他所有者权益按比例结转；处置后的剩余股权改按金融工具确认和计量准则进行会计处理的，其他综合收益和其他所有</w:t>
      </w:r>
      <w:r>
        <w:rPr>
          <w:spacing w:val="-64"/>
        </w:rPr>
        <w:t> </w:t>
      </w:r>
      <w:r>
        <w:rPr>
          <w:spacing w:val="-64"/>
        </w:rPr>
      </w:r>
      <w:r>
        <w:rPr/>
        <w:t>者权益全部结转。 </w:t>
      </w:r>
      <w:r>
        <w:rPr>
          <w:spacing w:val="-2"/>
        </w:rPr>
        <w:t>本公司因处置部分股权投资丧失了对被投资单位的共同控制或重大影响的，处置后的剩余股权改按金融工具确认和计量准则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投资方除净损益、其他综合收益和利润分配以外的其他所有者权益变动而确认的所有者权益，在终止采用权益法时全部转入</w:t>
      </w:r>
      <w:r>
        <w:rPr>
          <w:spacing w:val="-64"/>
        </w:rPr>
        <w:t> </w:t>
      </w:r>
      <w:r>
        <w:rPr>
          <w:spacing w:val="-64"/>
        </w:rPr>
      </w:r>
      <w:r>
        <w:rPr/>
        <w:t>当期投资收益。 </w:t>
      </w:r>
      <w:r>
        <w:rPr>
          <w:spacing w:val="-2"/>
        </w:rPr>
        <w:t>本公司通过多次交易分步处置对子公司股权投资直至丧失控制权，如果上述交易属于一揽子交易的，将各项交易作为一项处</w:t>
      </w:r>
      <w:r>
        <w:rPr>
          <w:spacing w:val="-64"/>
        </w:rPr>
        <w:t> </w:t>
      </w:r>
      <w:r>
        <w:rPr>
          <w:spacing w:val="-64"/>
        </w:rPr>
      </w:r>
      <w:r>
        <w:rPr>
          <w:spacing w:val="-2"/>
        </w:rPr>
        <w:t>置子公司股权投资并丧失控制权的交易进行会计处理，在丧失控制权之前每一次处置价款与所处置的股权对应的长期股权投</w:t>
      </w:r>
      <w:r>
        <w:rPr>
          <w:spacing w:val="-64"/>
        </w:rPr>
        <w:t> </w:t>
      </w:r>
      <w:r>
        <w:rPr>
          <w:spacing w:val="-64"/>
        </w:rPr>
      </w:r>
      <w:r>
        <w:rPr/>
        <w:t>资账面价值之间的差额，先确认为其他综合收益，到丧失控制权时再一并转入丧失控制权的当期损益。</w:t>
      </w:r>
    </w:p>
    <w:p>
      <w:pPr>
        <w:spacing w:line="240" w:lineRule="auto" w:before="6"/>
        <w:rPr>
          <w:rFonts w:ascii="宋体" w:hAnsi="宋体" w:cs="宋体" w:eastAsia="宋体" w:hint="default"/>
          <w:sz w:val="22"/>
          <w:szCs w:val="22"/>
        </w:rPr>
      </w:pPr>
    </w:p>
    <w:p>
      <w:pPr>
        <w:pStyle w:val="Heading4"/>
        <w:spacing w:line="240" w:lineRule="auto"/>
        <w:ind w:right="987"/>
        <w:jc w:val="left"/>
        <w:rPr>
          <w:b w:val="0"/>
          <w:bCs w:val="0"/>
        </w:rPr>
      </w:pPr>
      <w:bookmarkStart w:name="14、固定资产" w:id="175"/>
      <w:bookmarkEnd w:id="175"/>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确认条件" w:id="176"/>
      <w:bookmarkEnd w:id="1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before="0"/>
        <w:ind w:right="1132"/>
        <w:jc w:val="both"/>
      </w:pPr>
      <w:r>
        <w:rPr>
          <w:spacing w:val="-2"/>
        </w:rPr>
        <w:t>固定资产是指为生产商品、提供劳务、出租或经营管理而持有的，使用寿命超过一个会计年度的有形资产。固定资产仅在与</w:t>
      </w:r>
      <w:r>
        <w:rPr>
          <w:spacing w:val="-66"/>
        </w:rPr>
        <w:t> </w:t>
      </w:r>
      <w:r>
        <w:rPr>
          <w:spacing w:val="-66"/>
        </w:rPr>
      </w:r>
      <w:r>
        <w:rPr>
          <w:spacing w:val="-2"/>
        </w:rPr>
        <w:t>其有关的经济利益很可能流入本公司，且其成本能够可靠地计量时才予以确认。固定资产按成本并考虑预计弃置费用因素的</w:t>
      </w:r>
      <w:r>
        <w:rPr>
          <w:spacing w:val="-64"/>
        </w:rPr>
        <w:t> </w:t>
      </w:r>
      <w:r>
        <w:rPr>
          <w:spacing w:val="-64"/>
        </w:rPr>
      </w:r>
      <w:r>
        <w:rPr/>
        <w:t>影响进行初始计量。</w:t>
      </w:r>
    </w:p>
    <w:p>
      <w:pPr>
        <w:spacing w:after="0" w:line="316" w:lineRule="auto"/>
        <w:jc w:val="both"/>
        <w:sectPr>
          <w:pgSz w:w="11910" w:h="16840"/>
          <w:pgMar w:header="907" w:footer="1028" w:top="1100" w:bottom="1220" w:left="1020" w:right="0"/>
        </w:sectPr>
      </w:pPr>
    </w:p>
    <w:p>
      <w:pPr>
        <w:spacing w:line="240" w:lineRule="auto" w:before="10"/>
        <w:rPr>
          <w:rFonts w:ascii="宋体" w:hAnsi="宋体" w:cs="宋体" w:eastAsia="宋体" w:hint="default"/>
          <w:sz w:val="21"/>
          <w:szCs w:val="21"/>
        </w:rPr>
      </w:pPr>
    </w:p>
    <w:p>
      <w:pPr>
        <w:pStyle w:val="Heading4"/>
        <w:spacing w:line="240" w:lineRule="auto" w:before="34"/>
        <w:ind w:right="987"/>
        <w:jc w:val="left"/>
        <w:rPr>
          <w:b w:val="0"/>
          <w:bCs w:val="0"/>
        </w:rPr>
      </w:pPr>
      <w:bookmarkStart w:name="（2）折旧方法" w:id="177"/>
      <w:bookmarkEnd w:id="177"/>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10.00-30.00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3.17-9.50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3.00-5.00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19.00-31.67</w:t>
            </w:r>
          </w:p>
        </w:tc>
      </w:tr>
    </w:tbl>
    <w:p>
      <w:pPr>
        <w:pStyle w:val="BodyText"/>
        <w:spacing w:line="240" w:lineRule="auto" w:before="11"/>
        <w:ind w:right="987"/>
        <w:jc w:val="left"/>
      </w:pPr>
      <w:r>
        <w:rPr/>
        <w:t>不适用</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15、在建工程" w:id="178"/>
      <w:bookmarkEnd w:id="178"/>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4"/>
        <w:jc w:val="left"/>
      </w:pPr>
      <w:r>
        <w:rPr/>
        <w:t>公司是否需要遵守特殊行业的披露要求 否</w:t>
      </w:r>
    </w:p>
    <w:p>
      <w:pPr>
        <w:pStyle w:val="BodyText"/>
        <w:spacing w:line="316" w:lineRule="auto" w:before="25"/>
        <w:ind w:right="1132"/>
        <w:jc w:val="both"/>
      </w:pPr>
      <w:r>
        <w:rPr>
          <w:spacing w:val="-2"/>
        </w:rPr>
        <w:t>在建工程成本按实际工程支出确定，包括在建期间发生的各项工程支出、工程达到预定可使用状态前的资本化的借款费用以</w:t>
      </w:r>
      <w:r>
        <w:rPr>
          <w:spacing w:val="-64"/>
        </w:rPr>
        <w:t> </w:t>
      </w:r>
      <w:r>
        <w:rPr>
          <w:spacing w:val="-64"/>
        </w:rPr>
      </w:r>
      <w:r>
        <w:rPr>
          <w:spacing w:val="-2"/>
        </w:rPr>
        <w:t>及其他相关费用等。在建工程在达到预定可使用状态后结转为固定资产。在建工程的减值测试方法和减值准备计提方法详见</w:t>
      </w:r>
      <w:r>
        <w:rPr>
          <w:spacing w:val="-64"/>
        </w:rPr>
        <w:t> </w:t>
      </w:r>
      <w:r>
        <w:rPr>
          <w:spacing w:val="-64"/>
        </w:rPr>
      </w:r>
      <w:r>
        <w:rPr>
          <w:spacing w:val="-6"/>
        </w:rPr>
        <w:t>附注五、18“长期资产减值”。</w:t>
      </w:r>
    </w:p>
    <w:p>
      <w:pPr>
        <w:spacing w:line="240" w:lineRule="auto" w:before="8"/>
        <w:rPr>
          <w:rFonts w:ascii="宋体" w:hAnsi="宋体" w:cs="宋体" w:eastAsia="宋体" w:hint="default"/>
          <w:sz w:val="22"/>
          <w:szCs w:val="22"/>
        </w:rPr>
      </w:pPr>
    </w:p>
    <w:p>
      <w:pPr>
        <w:pStyle w:val="Heading4"/>
        <w:spacing w:line="240" w:lineRule="auto"/>
        <w:ind w:right="987"/>
        <w:jc w:val="left"/>
        <w:rPr>
          <w:b w:val="0"/>
          <w:bCs w:val="0"/>
        </w:rPr>
      </w:pPr>
      <w:bookmarkStart w:name="16、借款费用" w:id="179"/>
      <w:bookmarkEnd w:id="179"/>
      <w:r>
        <w:rPr>
          <w:b w:val="0"/>
          <w:bCs w:val="0"/>
        </w:rPr>
      </w:r>
      <w:r>
        <w:rPr>
          <w:rFonts w:ascii="Times New Roman" w:hAnsi="Times New Roman" w:cs="Times New Roman" w:eastAsia="Times New Roman" w:hint="default"/>
        </w:rPr>
        <w:t>16</w:t>
      </w:r>
      <w:r>
        <w:rPr/>
        <w:t>、借款费用</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034"/>
        <w:jc w:val="left"/>
      </w:pPr>
      <w:r>
        <w:rPr>
          <w:spacing w:val="-2"/>
        </w:rPr>
        <w:t>借款费用包括借款利息、折价或溢价的摊销、辅助费用以及因外币借款而发生的汇兑差额等。可直接归属于符合资本化条件</w:t>
      </w:r>
      <w:r>
        <w:rPr>
          <w:spacing w:val="-65"/>
        </w:rPr>
        <w:t> </w:t>
      </w:r>
      <w:r>
        <w:rPr>
          <w:spacing w:val="-65"/>
        </w:rPr>
      </w:r>
      <w:r>
        <w:rPr>
          <w:spacing w:val="-2"/>
        </w:rPr>
        <w:t>的资产的购建或者生产的借款费用，在资产支出已经发生、借款费用已经发生、为使资产达到预定可使用或可销售状态所必</w:t>
      </w:r>
      <w:r>
        <w:rPr>
          <w:spacing w:val="-65"/>
        </w:rPr>
        <w:t> </w:t>
      </w:r>
      <w:r>
        <w:rPr>
          <w:spacing w:val="-65"/>
        </w:rPr>
      </w:r>
      <w:r>
        <w:rPr>
          <w:spacing w:val="-2"/>
        </w:rPr>
        <w:t>要的购建或生产活动已经开始时，开始资本化；构建或者生产的符合资本化条件的资产达到预定可使用状态或者可销售状态</w:t>
      </w:r>
      <w:r>
        <w:rPr>
          <w:spacing w:val="-64"/>
        </w:rPr>
        <w:t> </w:t>
      </w:r>
      <w:r>
        <w:rPr>
          <w:spacing w:val="-64"/>
        </w:rPr>
      </w:r>
      <w:r>
        <w:rPr/>
        <w:t>时，停止资本化。其余借款费用在发生当期确认为费用。 </w:t>
      </w: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 确定资本化金额。资本化率根据一般借款的加权平均利率计算确定。 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符合资本化条件的资产指需要经过相当长时间的购建或者生产活动才能达到预定可使用或可销售状态的固定资产、投资性房</w:t>
      </w:r>
      <w:r>
        <w:rPr>
          <w:spacing w:val="-64"/>
        </w:rPr>
        <w:t> </w:t>
      </w:r>
      <w:r>
        <w:rPr>
          <w:spacing w:val="-64"/>
        </w:rPr>
      </w:r>
      <w:r>
        <w:rPr/>
        <w:t>地产和存货等资产。 </w:t>
      </w:r>
      <w:r>
        <w:rPr>
          <w:spacing w:val="-2"/>
        </w:rPr>
        <w:t>如果符合资本化条件的资产在购建或生产过程中发生非正常中断、并且中断时间连续超过3个月的，暂停借款费用的资本化，</w:t>
      </w:r>
      <w:r>
        <w:rPr>
          <w:spacing w:val="-61"/>
        </w:rPr>
        <w:t> </w:t>
      </w:r>
      <w:r>
        <w:rPr>
          <w:spacing w:val="-61"/>
        </w:rPr>
      </w:r>
      <w:r>
        <w:rPr/>
        <w:t>直至资产的购建或生产活动重新开始。</w:t>
      </w:r>
    </w:p>
    <w:p>
      <w:pPr>
        <w:spacing w:line="240" w:lineRule="auto" w:before="6"/>
        <w:rPr>
          <w:rFonts w:ascii="宋体" w:hAnsi="宋体" w:cs="宋体" w:eastAsia="宋体" w:hint="default"/>
          <w:sz w:val="22"/>
          <w:szCs w:val="22"/>
        </w:rPr>
      </w:pPr>
    </w:p>
    <w:p>
      <w:pPr>
        <w:pStyle w:val="Heading4"/>
        <w:spacing w:line="240" w:lineRule="auto"/>
        <w:ind w:right="987"/>
        <w:jc w:val="left"/>
        <w:rPr>
          <w:b w:val="0"/>
          <w:bCs w:val="0"/>
        </w:rPr>
      </w:pPr>
      <w:bookmarkStart w:name="17、无形资产" w:id="180"/>
      <w:bookmarkEnd w:id="180"/>
      <w:r>
        <w:rPr>
          <w:b w:val="0"/>
          <w:bCs w:val="0"/>
        </w:rPr>
      </w:r>
      <w:r>
        <w:rPr>
          <w:rFonts w:ascii="Times New Roman" w:hAnsi="Times New Roman" w:cs="Times New Roman" w:eastAsia="Times New Roman" w:hint="default"/>
        </w:rPr>
        <w:t>17</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计价方法、使用寿命、减值测试" w:id="181"/>
      <w:bookmarkEnd w:id="1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60" w:lineRule="auto" w:before="0"/>
        <w:ind w:right="7694"/>
        <w:jc w:val="left"/>
      </w:pPr>
      <w:r>
        <w:rPr/>
        <w:t>公司是否需要遵守特殊行业的披露要求 否</w:t>
      </w:r>
    </w:p>
    <w:p>
      <w:pPr>
        <w:pStyle w:val="BodyText"/>
        <w:spacing w:line="316" w:lineRule="auto" w:before="25"/>
        <w:ind w:right="987"/>
        <w:jc w:val="left"/>
      </w:pPr>
      <w:r>
        <w:rPr/>
        <w:t>无形资产是指本公司拥有或者控制的没有实物形态的可辨认非货币性资产。 </w:t>
      </w:r>
      <w:r>
        <w:rPr>
          <w:spacing w:val="-2"/>
        </w:rPr>
        <w:t>无形资产按成本进行初始计量。与无形资产有关的支出，如果相关的经济利益很可能流入本公司且其成本能可靠地计量，则</w:t>
      </w:r>
      <w:r>
        <w:rPr>
          <w:spacing w:val="-65"/>
        </w:rPr>
        <w:t> </w:t>
      </w:r>
      <w:r>
        <w:rPr>
          <w:spacing w:val="-65"/>
        </w:rPr>
      </w:r>
      <w:r>
        <w:rPr/>
        <w:t>计入无形资产成本。除此以外的其他项目的支出，在发生时计入当期损益。 </w:t>
      </w:r>
      <w:r>
        <w:rPr>
          <w:spacing w:val="-2"/>
        </w:rPr>
        <w:t>取得的土地使用权通常作为无形资产核算。自行开发建造厂房等建筑物，相关的土地使用权支出和建筑物建造成本则分别作</w:t>
      </w:r>
      <w:r>
        <w:rPr>
          <w:spacing w:val="-64"/>
        </w:rPr>
        <w:t> </w:t>
      </w:r>
      <w:r>
        <w:rPr>
          <w:spacing w:val="-64"/>
        </w:rPr>
      </w:r>
      <w:r>
        <w:rPr>
          <w:spacing w:val="-2"/>
        </w:rPr>
        <w:t>为无形资产和固定资产核算。如为外购的房屋及建筑物，则将有关价款在土地使用权和建筑物之间进行分配，难以合理分配</w:t>
      </w:r>
    </w:p>
    <w:p>
      <w:pPr>
        <w:spacing w:after="0" w:line="316"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316" w:lineRule="auto"/>
        <w:ind w:right="987"/>
        <w:jc w:val="left"/>
      </w:pPr>
      <w:r>
        <w:rPr/>
        <w:t>的，全部作为固定资产处理。 </w:t>
      </w:r>
      <w:r>
        <w:rPr>
          <w:spacing w:val="-2"/>
        </w:rPr>
        <w:t>使用寿命有限的无形资产自可供使用时起，对其原值减去预计净残值和已计提的减值准备累计金额在其预计使用寿命内采用</w:t>
      </w:r>
      <w:r>
        <w:rPr>
          <w:spacing w:val="-64"/>
        </w:rPr>
        <w:t> </w:t>
      </w:r>
      <w:r>
        <w:rPr>
          <w:spacing w:val="-64"/>
        </w:rPr>
      </w:r>
      <w:r>
        <w:rPr/>
        <w:t>直线法分期平均摊销。使用寿命不确定的无形资产不予摊销。 其中，知识产权类无形资产项目的使用寿命及摊销方法如下：项</w:t>
      </w:r>
      <w:r>
        <w:rPr>
          <w:spacing w:val="88"/>
        </w:rPr>
        <w:t> </w:t>
      </w:r>
      <w:r>
        <w:rPr/>
        <w:t>目：专利权，使用寿命：4-10年，摊销方法：直线法。</w:t>
      </w:r>
      <w:r>
        <w:rPr/>
        <w:t> </w:t>
      </w:r>
      <w:r>
        <w:rPr>
          <w:spacing w:val="-2"/>
        </w:rPr>
        <w:t>期末，对使用寿命有限的无形资产的使用寿命和摊销方法进行复核，如发生变更则作为会计估计变更处理。此外，还对使用</w:t>
      </w:r>
      <w:r>
        <w:rPr>
          <w:spacing w:val="-66"/>
        </w:rPr>
        <w:t> </w:t>
      </w:r>
      <w:r>
        <w:rPr>
          <w:spacing w:val="-66"/>
        </w:rPr>
      </w:r>
      <w:r>
        <w:rPr>
          <w:spacing w:val="-2"/>
        </w:rPr>
        <w:t>寿命不确定的无形资产的使用寿命进行复核，如果有证据表明该无形资产为企业带来经济利益的期限是可预见的，则估计其</w:t>
      </w:r>
      <w:r>
        <w:rPr>
          <w:spacing w:val="-64"/>
        </w:rPr>
        <w:t> </w:t>
      </w:r>
      <w:r>
        <w:rPr>
          <w:spacing w:val="-64"/>
        </w:rPr>
      </w:r>
      <w:r>
        <w:rPr/>
        <w:t>使用寿命并按照使用寿命有限的无形资产的摊销政策进行摊销。</w:t>
      </w:r>
    </w:p>
    <w:p>
      <w:pPr>
        <w:spacing w:line="240" w:lineRule="auto" w:before="6"/>
        <w:rPr>
          <w:rFonts w:ascii="宋体" w:hAnsi="宋体" w:cs="宋体" w:eastAsia="宋体" w:hint="default"/>
          <w:sz w:val="22"/>
          <w:szCs w:val="22"/>
        </w:rPr>
      </w:pPr>
    </w:p>
    <w:p>
      <w:pPr>
        <w:pStyle w:val="Heading4"/>
        <w:spacing w:line="240" w:lineRule="auto"/>
        <w:ind w:right="987"/>
        <w:jc w:val="left"/>
        <w:rPr>
          <w:b w:val="0"/>
          <w:bCs w:val="0"/>
        </w:rPr>
      </w:pPr>
      <w:bookmarkStart w:name="（2）内部研究开发支出会计政策" w:id="182"/>
      <w:bookmarkEnd w:id="18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5354"/>
        <w:jc w:val="left"/>
      </w:pPr>
      <w:r>
        <w:rPr/>
        <w:t>本公司内部研究开发项目的支出分为研究阶段支出与开发阶段支出。 研究阶段的支出，于发生时计入当期损益。</w:t>
      </w:r>
    </w:p>
    <w:p>
      <w:pPr>
        <w:pStyle w:val="BodyText"/>
        <w:spacing w:line="316" w:lineRule="auto" w:before="19"/>
        <w:ind w:right="1123"/>
        <w:jc w:val="left"/>
      </w:pPr>
      <w:r>
        <w:rPr/>
        <w:t>开发阶段的支出同时满足下列条件的，确认为无形资产，不能满足下述条件的开发阶段的支出计入当期损益：①</w:t>
      </w:r>
      <w:r>
        <w:rPr>
          <w:spacing w:val="1"/>
        </w:rPr>
        <w:t> </w:t>
      </w:r>
      <w:r>
        <w:rPr/>
        <w:t>完成该无</w:t>
      </w:r>
      <w:r>
        <w:rPr/>
        <w:t> 形资产以使其能够使用或出售在技术上具有可行性；</w:t>
      </w:r>
    </w:p>
    <w:p>
      <w:pPr>
        <w:pStyle w:val="BodyText"/>
        <w:spacing w:line="240" w:lineRule="auto" w:before="19"/>
        <w:ind w:right="987"/>
        <w:jc w:val="left"/>
      </w:pPr>
      <w:r>
        <w:rPr/>
        <w:t>②</w:t>
      </w:r>
      <w:r>
        <w:rPr>
          <w:spacing w:val="1"/>
        </w:rPr>
        <w:t> </w:t>
      </w:r>
      <w:r>
        <w:rPr/>
        <w:t>具有完成该无形资产并使用或出售的意图；</w:t>
      </w:r>
    </w:p>
    <w:p>
      <w:pPr>
        <w:pStyle w:val="BodyText"/>
        <w:spacing w:line="316" w:lineRule="auto" w:before="76"/>
        <w:ind w:right="1123"/>
        <w:jc w:val="left"/>
      </w:pPr>
      <w:r>
        <w:rPr/>
        <w:t>③</w:t>
      </w:r>
      <w:r>
        <w:rPr>
          <w:spacing w:val="1"/>
        </w:rPr>
        <w:t> </w:t>
      </w:r>
      <w:r>
        <w:rPr/>
        <w:t>无形资产产生经济利益的方式，包括能够证明运用该无形资产生产的产品存在市场或无形资产自身存在市场，无形资产</w:t>
      </w:r>
      <w:r>
        <w:rPr/>
        <w:t> 将在内部使用的，能够证明其有用性；</w:t>
      </w:r>
    </w:p>
    <w:p>
      <w:pPr>
        <w:pStyle w:val="BodyText"/>
        <w:spacing w:line="240" w:lineRule="auto" w:before="19"/>
        <w:ind w:right="987"/>
        <w:jc w:val="left"/>
      </w:pPr>
      <w:r>
        <w:rPr/>
        <w:t>④</w:t>
      </w:r>
      <w:r>
        <w:rPr>
          <w:spacing w:val="1"/>
        </w:rPr>
        <w:t> </w:t>
      </w:r>
      <w:r>
        <w:rPr/>
        <w:t>有足够的技术、财务资源和其他资源支持，以完成该无形资产的开发，并有能力使用或出售该无形资产；</w:t>
      </w:r>
    </w:p>
    <w:p>
      <w:pPr>
        <w:pStyle w:val="BodyText"/>
        <w:spacing w:line="316" w:lineRule="auto" w:before="76"/>
        <w:ind w:right="4274"/>
        <w:jc w:val="left"/>
      </w:pPr>
      <w:r>
        <w:rPr/>
        <w:t>⑤</w:t>
      </w:r>
      <w:r>
        <w:rPr>
          <w:spacing w:val="1"/>
        </w:rPr>
        <w:t> </w:t>
      </w:r>
      <w:r>
        <w:rPr/>
        <w:t>归属于该无形资产开发阶段的支出能够可靠地计量。</w:t>
      </w:r>
      <w:r>
        <w:rPr/>
        <w:t> 无法区分研究阶段支出和开发阶段支出的，将发生的研发支出全部计入当期损益。</w:t>
      </w:r>
    </w:p>
    <w:p>
      <w:pPr>
        <w:pStyle w:val="BodyText"/>
        <w:spacing w:line="316" w:lineRule="auto" w:before="19"/>
        <w:ind w:right="987"/>
        <w:jc w:val="left"/>
      </w:pPr>
      <w:r>
        <w:rPr/>
        <w:t>（3）无形资产的减值测试方法及减值准备计提方法 </w:t>
      </w:r>
      <w:r>
        <w:rPr>
          <w:spacing w:val="-3"/>
        </w:rPr>
        <w:t>无形资产的减值测试方法和减值准备计提方法详见附注五、18“长期资产减值”。</w:t>
      </w:r>
    </w:p>
    <w:p>
      <w:pPr>
        <w:spacing w:line="240" w:lineRule="auto" w:before="8"/>
        <w:rPr>
          <w:rFonts w:ascii="宋体" w:hAnsi="宋体" w:cs="宋体" w:eastAsia="宋体" w:hint="default"/>
          <w:sz w:val="22"/>
          <w:szCs w:val="22"/>
        </w:rPr>
      </w:pPr>
    </w:p>
    <w:p>
      <w:pPr>
        <w:pStyle w:val="Heading4"/>
        <w:spacing w:line="240" w:lineRule="auto"/>
        <w:ind w:right="987"/>
        <w:jc w:val="left"/>
        <w:rPr>
          <w:b w:val="0"/>
          <w:bCs w:val="0"/>
        </w:rPr>
      </w:pPr>
      <w:bookmarkStart w:name="18、长期资产减值" w:id="183"/>
      <w:bookmarkEnd w:id="183"/>
      <w:r>
        <w:rPr>
          <w:b w:val="0"/>
          <w:bCs w:val="0"/>
        </w:rPr>
      </w:r>
      <w:r>
        <w:rPr>
          <w:rFonts w:ascii="Times New Roman" w:hAnsi="Times New Roman" w:cs="Times New Roman" w:eastAsia="Times New Roman" w:hint="default"/>
        </w:rPr>
        <w:t>18</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34"/>
        <w:jc w:val="left"/>
      </w:pPr>
      <w:r>
        <w:rPr>
          <w:spacing w:val="-2"/>
        </w:rPr>
        <w:t>对于固定资产、在建工程、使用寿命有限的无形资产、以成本模式计量的投资性房地产及对子公司、合营企业、联营企业的</w:t>
      </w:r>
      <w:r>
        <w:rPr>
          <w:spacing w:val="-65"/>
        </w:rPr>
        <w:t> </w:t>
      </w:r>
      <w:r>
        <w:rPr>
          <w:spacing w:val="-65"/>
        </w:rPr>
      </w:r>
      <w:r>
        <w:rPr>
          <w:spacing w:val="-2"/>
        </w:rPr>
        <w:t>长期股权投资等非流动非金融资产，本公司于资产负债表日判断是否存在减值迹象。如存在减值迹象的，则估计其可收回金</w:t>
      </w:r>
      <w:r>
        <w:rPr>
          <w:spacing w:val="-65"/>
        </w:rPr>
        <w:t> </w:t>
      </w:r>
      <w:r>
        <w:rPr>
          <w:spacing w:val="-65"/>
        </w:rPr>
      </w:r>
      <w:r>
        <w:rPr>
          <w:spacing w:val="-2"/>
        </w:rPr>
        <w:t>额，进行减值测试。商誉、使用寿命不确定的无形资产和尚未达到可使用状态的无形资产，无论是否存在减值迹象，每年均</w:t>
      </w:r>
      <w:r>
        <w:rPr>
          <w:spacing w:val="-65"/>
        </w:rPr>
        <w:t> </w:t>
      </w:r>
      <w:r>
        <w:rPr>
          <w:spacing w:val="-65"/>
        </w:rPr>
      </w:r>
      <w:r>
        <w:rPr/>
        <w:t>进行减值测试。 </w:t>
      </w:r>
      <w:r>
        <w:rPr>
          <w:spacing w:val="-2"/>
        </w:rPr>
        <w:t>减值测试结果表明资产的可收回金额低于其账面价值的，按其差额计提减值准备并计入减值损失。可收回金额为资产的公允</w:t>
      </w:r>
      <w:r>
        <w:rPr>
          <w:spacing w:val="-64"/>
        </w:rPr>
        <w:t> </w:t>
      </w:r>
      <w:r>
        <w:rPr>
          <w:spacing w:val="-64"/>
        </w:rPr>
      </w:r>
      <w:r>
        <w:rPr>
          <w:spacing w:val="-2"/>
        </w:rPr>
        <w:t>价值减去处置费用后的净额与资产预计未来现金流量的现值两者之间的较高者。资产的公允价值根据公平交易中销售协议价</w:t>
      </w:r>
      <w:r>
        <w:rPr>
          <w:spacing w:val="-64"/>
        </w:rPr>
        <w:t> </w:t>
      </w:r>
      <w:r>
        <w:rPr>
          <w:spacing w:val="-64"/>
        </w:rPr>
      </w:r>
      <w:r>
        <w:rPr>
          <w:spacing w:val="-4"/>
        </w:rPr>
        <w:t>格确定；不存在销售协议但存在资产活跃市场的，公允价值按照该资产的买方出价确定；不存在销售协议和资产活跃市场的，</w:t>
      </w:r>
      <w:r>
        <w:rPr>
          <w:spacing w:val="-42"/>
        </w:rPr>
        <w:t> </w:t>
      </w:r>
      <w:r>
        <w:rPr>
          <w:spacing w:val="-42"/>
        </w:rPr>
      </w:r>
      <w:r>
        <w:rPr>
          <w:spacing w:val="-2"/>
        </w:rPr>
        <w:t>则以可获取的最佳信息为基础估计资产的公允价值。处置费用包括与资产处置有关的法律费用、相关税费、搬运费以及为使</w:t>
      </w:r>
      <w:r>
        <w:rPr>
          <w:spacing w:val="-65"/>
        </w:rPr>
        <w:t> </w:t>
      </w:r>
      <w:r>
        <w:rPr>
          <w:spacing w:val="-65"/>
        </w:rPr>
      </w:r>
      <w:r>
        <w:rPr>
          <w:spacing w:val="-2"/>
        </w:rPr>
        <w:t>资产达到可销售状态所发生的直接费用。资产预计未来现金流量的现值，按照资产在持续使用过程中和最终处置时所产生的</w:t>
      </w:r>
      <w:r>
        <w:rPr>
          <w:spacing w:val="-64"/>
        </w:rPr>
        <w:t> </w:t>
      </w:r>
      <w:r>
        <w:rPr>
          <w:spacing w:val="-64"/>
        </w:rPr>
      </w:r>
      <w:r>
        <w:rPr>
          <w:spacing w:val="-2"/>
        </w:rPr>
        <w:t>预计未来现金流量，选择恰当的折现率对其进行折现后的金额加以确定。资产减值准备按单项资产为基础计算并确认，如果</w:t>
      </w:r>
      <w:r>
        <w:rPr>
          <w:spacing w:val="-65"/>
        </w:rPr>
        <w:t> </w:t>
      </w:r>
      <w:r>
        <w:rPr>
          <w:spacing w:val="-65"/>
        </w:rPr>
      </w:r>
      <w:r>
        <w:rPr>
          <w:spacing w:val="-2"/>
        </w:rPr>
        <w:t>难以对单项资产的可收回金额进行估计的，以该资产所属的资产组确定资产组的可收回金额。资产组是能够独立产生现金流</w:t>
      </w:r>
      <w:r>
        <w:rPr>
          <w:spacing w:val="-64"/>
        </w:rPr>
        <w:t> </w:t>
      </w:r>
      <w:r>
        <w:rPr>
          <w:spacing w:val="-64"/>
        </w:rPr>
      </w:r>
      <w:r>
        <w:rPr/>
        <w:t>入的最小资产组合。 </w:t>
      </w:r>
      <w:r>
        <w:rPr>
          <w:spacing w:val="-2"/>
        </w:rPr>
        <w:t>在财务报表中单独列示的商誉，在进行减值测试时，将商誉的账面价值分摊至预期从企业合并的协同效应中受益的资产组或</w:t>
      </w:r>
      <w:r>
        <w:rPr>
          <w:spacing w:val="-64"/>
        </w:rPr>
        <w:t> </w:t>
      </w:r>
      <w:r>
        <w:rPr>
          <w:spacing w:val="-64"/>
        </w:rPr>
      </w:r>
      <w:r>
        <w:rPr/>
        <w:t>资产组组合。测试结果表明包含分摊的商誉的资产组或资产组组合的可收回金额低于其账面价值的，确认相应的减值损失。 </w:t>
      </w:r>
      <w:r>
        <w:rPr>
          <w:spacing w:val="-2"/>
        </w:rPr>
        <w:t>减值损失金额先抵减分摊至该资产组或资产组组合的商誉的账面价值，再根据资产组或资产组组合中除商誉以外的其他各项</w:t>
      </w:r>
      <w:r>
        <w:rPr>
          <w:spacing w:val="-64"/>
        </w:rPr>
        <w:t> </w:t>
      </w:r>
      <w:r>
        <w:rPr>
          <w:spacing w:val="-64"/>
        </w:rPr>
      </w:r>
      <w:r>
        <w:rPr/>
        <w:t>资产的账面价值所占比重，按比例抵减其他各项资产的账面价值。 上述资产减值损失一经确认，以后期间不予转回价值得以恢复的部分。</w:t>
      </w:r>
    </w:p>
    <w:p>
      <w:pPr>
        <w:spacing w:after="0" w:line="316" w:lineRule="auto"/>
        <w:jc w:val="left"/>
        <w:sectPr>
          <w:pgSz w:w="11910" w:h="16840"/>
          <w:pgMar w:header="907" w:footer="1028" w:top="1100" w:bottom="1220" w:left="1020" w:right="0"/>
        </w:sectPr>
      </w:pPr>
    </w:p>
    <w:p>
      <w:pPr>
        <w:spacing w:line="240" w:lineRule="auto" w:before="10"/>
        <w:rPr>
          <w:rFonts w:ascii="宋体" w:hAnsi="宋体" w:cs="宋体" w:eastAsia="宋体" w:hint="default"/>
          <w:sz w:val="21"/>
          <w:szCs w:val="21"/>
        </w:rPr>
      </w:pPr>
    </w:p>
    <w:p>
      <w:pPr>
        <w:pStyle w:val="Heading4"/>
        <w:spacing w:line="240" w:lineRule="auto" w:before="34"/>
        <w:ind w:right="987"/>
        <w:jc w:val="left"/>
        <w:rPr>
          <w:b w:val="0"/>
          <w:bCs w:val="0"/>
        </w:rPr>
      </w:pPr>
      <w:bookmarkStart w:name="19、长期待摊费用" w:id="184"/>
      <w:bookmarkEnd w:id="184"/>
      <w:r>
        <w:rPr>
          <w:b w:val="0"/>
          <w:bCs w:val="0"/>
        </w:rPr>
      </w:r>
      <w:r>
        <w:rPr>
          <w:rFonts w:ascii="Times New Roman" w:hAnsi="Times New Roman" w:cs="Times New Roman" w:eastAsia="Times New Roman" w:hint="default"/>
        </w:rPr>
        <w:t>19</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87"/>
        <w:jc w:val="left"/>
      </w:pPr>
      <w:r>
        <w:rPr>
          <w:spacing w:val="-2"/>
        </w:rPr>
        <w:t>长期待摊费用为已经发生但应由报告期和以后各期负担的分摊期限在一年以上的各项费用。本公司的长期待摊费用主要包括</w:t>
      </w:r>
      <w:r>
        <w:rPr>
          <w:spacing w:val="-64"/>
        </w:rPr>
        <w:t> </w:t>
      </w:r>
      <w:r>
        <w:rPr>
          <w:spacing w:val="-64"/>
        </w:rPr>
      </w:r>
      <w:r>
        <w:rPr/>
        <w:t>会籍费、土地租赁费。长期待摊费用在预计受益期间按直线法摊销。</w:t>
      </w:r>
    </w:p>
    <w:p>
      <w:pPr>
        <w:spacing w:line="240" w:lineRule="auto" w:before="8"/>
        <w:rPr>
          <w:rFonts w:ascii="宋体" w:hAnsi="宋体" w:cs="宋体" w:eastAsia="宋体" w:hint="default"/>
          <w:sz w:val="22"/>
          <w:szCs w:val="22"/>
        </w:rPr>
      </w:pPr>
    </w:p>
    <w:p>
      <w:pPr>
        <w:pStyle w:val="Heading4"/>
        <w:spacing w:line="240" w:lineRule="auto"/>
        <w:ind w:right="987"/>
        <w:jc w:val="left"/>
        <w:rPr>
          <w:b w:val="0"/>
          <w:bCs w:val="0"/>
        </w:rPr>
      </w:pPr>
      <w:bookmarkStart w:name="20、职工薪酬" w:id="185"/>
      <w:bookmarkEnd w:id="185"/>
      <w:r>
        <w:rPr>
          <w:b w:val="0"/>
          <w:bCs w:val="0"/>
        </w:rPr>
      </w:r>
      <w:r>
        <w:rPr>
          <w:rFonts w:ascii="Times New Roman" w:hAnsi="Times New Roman" w:cs="Times New Roman" w:eastAsia="Times New Roman" w:hint="default"/>
        </w:rPr>
        <w:t>20</w:t>
      </w:r>
      <w:r>
        <w:rPr/>
        <w:t>、职工薪酬</w:t>
      </w:r>
      <w:r>
        <w:rPr>
          <w:b w:val="0"/>
          <w:bCs w:val="0"/>
        </w:rPr>
      </w:r>
    </w:p>
    <w:p>
      <w:pPr>
        <w:spacing w:line="240" w:lineRule="auto" w:before="7"/>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短期薪酬的会计处理方法" w:id="186"/>
      <w:bookmarkEnd w:id="1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pStyle w:val="BodyText"/>
        <w:spacing w:line="316" w:lineRule="auto" w:before="0"/>
        <w:ind w:right="1132"/>
        <w:jc w:val="both"/>
      </w:pPr>
      <w:r>
        <w:rPr>
          <w:spacing w:val="-2"/>
        </w:rPr>
        <w:t>短期薪酬主要包括工资、奖金、津贴和补贴、职工福利费、医疗保险费、生育保险费、工伤保险费、住房公积金、工会经费</w:t>
      </w:r>
      <w:r>
        <w:rPr>
          <w:spacing w:val="-66"/>
        </w:rPr>
        <w:t> </w:t>
      </w:r>
      <w:r>
        <w:rPr>
          <w:spacing w:val="-66"/>
        </w:rPr>
      </w:r>
      <w:r>
        <w:rPr>
          <w:spacing w:val="-2"/>
        </w:rPr>
        <w:t>和职工教育经费、非货币性福利等。本公司在职工为本公司提供服务的会计期间将实际发生的短期职工薪酬确认为负债，并</w:t>
      </w:r>
      <w:r>
        <w:rPr>
          <w:spacing w:val="-65"/>
        </w:rPr>
        <w:t> </w:t>
      </w:r>
      <w:r>
        <w:rPr>
          <w:spacing w:val="-65"/>
        </w:rPr>
      </w:r>
      <w:r>
        <w:rPr/>
        <w:t>计入当期损益或相关资产成本。其中非货币性福利按公允价值计量。</w:t>
      </w:r>
    </w:p>
    <w:p>
      <w:pPr>
        <w:spacing w:line="240" w:lineRule="auto" w:before="6"/>
        <w:rPr>
          <w:rFonts w:ascii="宋体" w:hAnsi="宋体" w:cs="宋体" w:eastAsia="宋体" w:hint="default"/>
          <w:sz w:val="22"/>
          <w:szCs w:val="22"/>
        </w:rPr>
      </w:pPr>
    </w:p>
    <w:p>
      <w:pPr>
        <w:pStyle w:val="Heading4"/>
        <w:spacing w:line="240" w:lineRule="auto"/>
        <w:ind w:right="987"/>
        <w:jc w:val="left"/>
        <w:rPr>
          <w:b w:val="0"/>
          <w:bCs w:val="0"/>
        </w:rPr>
      </w:pPr>
      <w:bookmarkStart w:name="（2）离职后福利的会计处理方法" w:id="187"/>
      <w:bookmarkEnd w:id="18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before="0"/>
        <w:ind w:right="987"/>
        <w:jc w:val="left"/>
      </w:pPr>
      <w:r>
        <w:rPr>
          <w:spacing w:val="-2"/>
        </w:rPr>
        <w:t>离职后福利主要包括基本养老保险、失业保险。离职后福利计划包括设定提存计划。采用设定提存计划的，相应的应缴存金</w:t>
      </w:r>
      <w:r>
        <w:rPr>
          <w:spacing w:val="-66"/>
        </w:rPr>
        <w:t> </w:t>
      </w:r>
      <w:r>
        <w:rPr>
          <w:spacing w:val="-66"/>
        </w:rPr>
      </w:r>
      <w:r>
        <w:rPr/>
        <w:t>额于发生时计入相关资产成本或当期损益。</w:t>
      </w:r>
    </w:p>
    <w:p>
      <w:pPr>
        <w:spacing w:line="240" w:lineRule="auto" w:before="6"/>
        <w:rPr>
          <w:rFonts w:ascii="宋体" w:hAnsi="宋体" w:cs="宋体" w:eastAsia="宋体" w:hint="default"/>
          <w:sz w:val="22"/>
          <w:szCs w:val="22"/>
        </w:rPr>
      </w:pPr>
    </w:p>
    <w:p>
      <w:pPr>
        <w:pStyle w:val="Heading4"/>
        <w:spacing w:line="240" w:lineRule="auto"/>
        <w:ind w:right="987"/>
        <w:jc w:val="left"/>
        <w:rPr>
          <w:b w:val="0"/>
          <w:bCs w:val="0"/>
        </w:rPr>
      </w:pPr>
      <w:bookmarkStart w:name="（3）辞退福利的会计处理方法" w:id="188"/>
      <w:bookmarkEnd w:id="188"/>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4"/>
        <w:jc w:val="left"/>
      </w:pPr>
      <w:r>
        <w:rPr>
          <w:spacing w:val="-2"/>
        </w:rPr>
        <w:t>在职工劳动合同到期之前解除与职工的劳动关系，或为鼓励职工自愿接受裁减而提出给予补偿的建议，在本公司不能单方面</w:t>
      </w:r>
      <w:r>
        <w:rPr>
          <w:spacing w:val="-64"/>
        </w:rPr>
        <w:t> </w:t>
      </w:r>
      <w:r>
        <w:rPr>
          <w:spacing w:val="-64"/>
        </w:rPr>
      </w:r>
      <w:r>
        <w:rPr/>
        <w:t>撤回因解除劳动关系计划或裁减建议所提供的辞退福利时，和本公司确认与涉及支付辞退福利的重组相关的成本两者孰早 日，确认辞退福利产生的职工薪酬负债，并计入当期损益。但辞退福利预期在年度报告期结束后十二个月不能完全支付的， 按照其他长期职工薪酬处理。 </w:t>
      </w:r>
      <w:r>
        <w:rPr>
          <w:spacing w:val="-2"/>
        </w:rPr>
        <w:t>职工内部退休计划采用与上述辞退福利相同的原则处理。本公司将自职工停止提供服务日至正常退休日的期间拟支付的内退</w:t>
      </w:r>
      <w:r>
        <w:rPr>
          <w:spacing w:val="-64"/>
        </w:rPr>
        <w:t> </w:t>
      </w:r>
      <w:r>
        <w:rPr>
          <w:spacing w:val="-64"/>
        </w:rPr>
      </w:r>
      <w:r>
        <w:rPr>
          <w:spacing w:val="-3"/>
        </w:rPr>
        <w:t>人员工资和缴纳的社会保险费等，在符合预计负债确认条件时，计入当期损益（辞退福利）。</w:t>
      </w:r>
    </w:p>
    <w:p>
      <w:pPr>
        <w:spacing w:line="240" w:lineRule="auto" w:before="8"/>
        <w:rPr>
          <w:rFonts w:ascii="宋体" w:hAnsi="宋体" w:cs="宋体" w:eastAsia="宋体" w:hint="default"/>
          <w:sz w:val="22"/>
          <w:szCs w:val="22"/>
        </w:rPr>
      </w:pPr>
    </w:p>
    <w:p>
      <w:pPr>
        <w:pStyle w:val="Heading4"/>
        <w:spacing w:line="240" w:lineRule="auto"/>
        <w:ind w:right="987"/>
        <w:jc w:val="left"/>
        <w:rPr>
          <w:b w:val="0"/>
          <w:bCs w:val="0"/>
        </w:rPr>
      </w:pPr>
      <w:bookmarkStart w:name="（4）其他长期职工福利的会计处理方法" w:id="189"/>
      <w:bookmarkEnd w:id="18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316" w:lineRule="auto" w:before="0"/>
        <w:ind w:right="987"/>
        <w:jc w:val="left"/>
      </w:pPr>
      <w:r>
        <w:rPr>
          <w:spacing w:val="-2"/>
        </w:rPr>
        <w:t>本公司向职工提供的其他长期职工福利，符合设定提存计划的，按照设定提存计划进行会计处理，除此之外按照设定受益计</w:t>
      </w:r>
      <w:r>
        <w:rPr>
          <w:spacing w:val="-65"/>
        </w:rPr>
        <w:t> </w:t>
      </w:r>
      <w:r>
        <w:rPr>
          <w:spacing w:val="-65"/>
        </w:rPr>
      </w:r>
      <w:r>
        <w:rPr/>
        <w:t>划进行会计处理。</w:t>
      </w:r>
    </w:p>
    <w:p>
      <w:pPr>
        <w:spacing w:line="240" w:lineRule="auto" w:before="6"/>
        <w:rPr>
          <w:rFonts w:ascii="宋体" w:hAnsi="宋体" w:cs="宋体" w:eastAsia="宋体" w:hint="default"/>
          <w:sz w:val="22"/>
          <w:szCs w:val="22"/>
        </w:rPr>
      </w:pPr>
    </w:p>
    <w:p>
      <w:pPr>
        <w:pStyle w:val="Heading4"/>
        <w:spacing w:line="240" w:lineRule="auto"/>
        <w:ind w:right="987"/>
        <w:jc w:val="left"/>
        <w:rPr>
          <w:b w:val="0"/>
          <w:bCs w:val="0"/>
        </w:rPr>
      </w:pPr>
      <w:bookmarkStart w:name="21、股份支付" w:id="190"/>
      <w:bookmarkEnd w:id="190"/>
      <w:r>
        <w:rPr>
          <w:b w:val="0"/>
          <w:bCs w:val="0"/>
        </w:rPr>
      </w:r>
      <w:r>
        <w:rPr>
          <w:rFonts w:ascii="Times New Roman" w:hAnsi="Times New Roman" w:cs="Times New Roman" w:eastAsia="Times New Roman" w:hint="default"/>
        </w:rPr>
        <w:t>21</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87"/>
        <w:jc w:val="left"/>
      </w:pPr>
      <w:r>
        <w:rPr/>
        <w:t>（1）股份支付的会计处理方法 </w:t>
      </w:r>
      <w:r>
        <w:rPr>
          <w:spacing w:val="-2"/>
        </w:rPr>
        <w:t>股份支付是为了获取职工或其他方提供服务而授予权益工具或者承担以权益工具为基础确定的负债的交易。股份支付分为以</w:t>
      </w:r>
      <w:r>
        <w:rPr>
          <w:spacing w:val="-64"/>
        </w:rPr>
        <w:t> </w:t>
      </w:r>
      <w:r>
        <w:rPr>
          <w:spacing w:val="-64"/>
        </w:rPr>
      </w:r>
      <w:r>
        <w:rPr/>
        <w:t>权益结算的股份支付和以现金结算的股份支付。</w:t>
      </w:r>
    </w:p>
    <w:p>
      <w:pPr>
        <w:pStyle w:val="BodyText"/>
        <w:spacing w:line="316" w:lineRule="auto" w:before="19"/>
        <w:ind w:right="987"/>
        <w:jc w:val="left"/>
      </w:pPr>
      <w:r>
        <w:rPr/>
        <w:t>①</w:t>
      </w:r>
      <w:r>
        <w:rPr>
          <w:spacing w:val="1"/>
        </w:rPr>
        <w:t> </w:t>
      </w:r>
      <w:r>
        <w:rPr/>
        <w:t>以权益结算的股份支付</w:t>
      </w:r>
      <w:r>
        <w:rPr/>
        <w:t> </w:t>
      </w:r>
      <w:r>
        <w:rPr>
          <w:spacing w:val="-2"/>
        </w:rPr>
        <w:t>用以换取职工提供的服务的权益结算的股份支付，以授予职工权益工具在授予日的公允价值计量。该公允价值的金额在完成</w:t>
      </w:r>
      <w:r>
        <w:rPr>
          <w:spacing w:val="-64"/>
        </w:rPr>
        <w:t> </w:t>
      </w:r>
      <w:r>
        <w:rPr>
          <w:spacing w:val="-64"/>
        </w:rPr>
      </w:r>
      <w:r>
        <w:rPr>
          <w:spacing w:val="-2"/>
        </w:rPr>
        <w:t>等待期内的服务或达到规定业绩条件才可行权的情况下，在等待期内以对可行权权益工具数量的最佳估计为基础，按直线法</w:t>
      </w:r>
      <w:r>
        <w:rPr>
          <w:spacing w:val="-64"/>
        </w:rPr>
        <w:t> </w:t>
      </w:r>
      <w:r>
        <w:rPr>
          <w:spacing w:val="-64"/>
        </w:rPr>
      </w:r>
      <w:r>
        <w:rPr/>
        <w:t>计算计入相关成本或费用/在授予后立即可行权时，在授予日计入相关成本或费用，相应增加资本公积。</w:t>
      </w:r>
      <w:r>
        <w:rPr/>
        <w:t> </w:t>
      </w:r>
      <w:r>
        <w:rPr>
          <w:spacing w:val="-2"/>
        </w:rPr>
        <w:t>在等待期内每个资产负债表日，本公司根据最新取得的可行权职工人数变动等后续信息做出最佳估计，修正预计可行权的权</w:t>
      </w:r>
      <w:r>
        <w:rPr>
          <w:spacing w:val="-64"/>
        </w:rPr>
        <w:t> </w:t>
      </w:r>
      <w:r>
        <w:rPr>
          <w:spacing w:val="-64"/>
        </w:rPr>
      </w:r>
      <w:r>
        <w:rPr/>
        <w:t>益工具数量。上述估计的影响计入当期相关成本或费用，并相应调整资本公积。 </w:t>
      </w:r>
      <w:r>
        <w:rPr>
          <w:spacing w:val="-2"/>
        </w:rPr>
        <w:t>用以换取其他方服务的权益结算的股份支付，如果其他方服务的公允价值能够可靠计量，按照其他方服务在取得日的公允价</w:t>
      </w:r>
    </w:p>
    <w:p>
      <w:pPr>
        <w:spacing w:after="0" w:line="316"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316" w:lineRule="auto"/>
        <w:ind w:right="987"/>
        <w:jc w:val="left"/>
      </w:pPr>
      <w:r>
        <w:rPr>
          <w:spacing w:val="-2"/>
        </w:rPr>
        <w:t>值计量，如果其他方服务的公允价值不能可靠计量，但权益工具的公允价值能够可靠计量的，按照权益工具在服务取得日的</w:t>
      </w:r>
      <w:r>
        <w:rPr>
          <w:spacing w:val="-65"/>
        </w:rPr>
        <w:t> </w:t>
      </w:r>
      <w:r>
        <w:rPr>
          <w:spacing w:val="-65"/>
        </w:rPr>
      </w:r>
      <w:r>
        <w:rPr/>
        <w:t>公允价值计量，计入相关成本或费用，相应增加股东权益。</w:t>
      </w:r>
    </w:p>
    <w:p>
      <w:pPr>
        <w:pStyle w:val="BodyText"/>
        <w:spacing w:line="316" w:lineRule="auto" w:before="19"/>
        <w:ind w:right="987"/>
        <w:jc w:val="left"/>
      </w:pPr>
      <w:r>
        <w:rPr/>
        <w:t>②</w:t>
      </w:r>
      <w:r>
        <w:rPr>
          <w:spacing w:val="1"/>
        </w:rPr>
        <w:t> </w:t>
      </w:r>
      <w:r>
        <w:rPr/>
        <w:t>以现金结算的股份支付</w:t>
      </w:r>
      <w:r>
        <w:rPr/>
        <w:t> </w:t>
      </w:r>
      <w:r>
        <w:rPr>
          <w:spacing w:val="-4"/>
        </w:rPr>
        <w:t>以现金结算的股份支付，按照本公司承担的以股份或其他权益工具为基础确定的负债的公允价值计量。如授予后立即可行权，</w:t>
      </w:r>
      <w:r>
        <w:rPr>
          <w:spacing w:val="-41"/>
        </w:rPr>
        <w:t> </w:t>
      </w:r>
      <w:r>
        <w:rPr>
          <w:spacing w:val="-41"/>
        </w:rPr>
      </w:r>
      <w:r>
        <w:rPr>
          <w:spacing w:val="-2"/>
        </w:rPr>
        <w:t>在授予日计入相关成本或费用，相应增加负债；如须完成等待期内的服务或达到规定业绩条件以后才可行权，在等待期的每</w:t>
      </w:r>
      <w:r>
        <w:rPr>
          <w:spacing w:val="-65"/>
        </w:rPr>
        <w:t> </w:t>
      </w:r>
      <w:r>
        <w:rPr>
          <w:spacing w:val="-65"/>
        </w:rPr>
      </w:r>
      <w:r>
        <w:rPr>
          <w:spacing w:val="-2"/>
        </w:rPr>
        <w:t>个资产负债表日，以对可行权情况的最佳估计为基础，按照本公司承担负债的公允价值金额，将当期取得的服务计入成本或</w:t>
      </w:r>
      <w:r>
        <w:rPr>
          <w:spacing w:val="-65"/>
        </w:rPr>
        <w:t> </w:t>
      </w:r>
      <w:r>
        <w:rPr>
          <w:spacing w:val="-65"/>
        </w:rPr>
      </w:r>
      <w:r>
        <w:rPr/>
        <w:t>费用，相应增加负债。 在相关负债结算前的每个资产负债表日以及结算日，对负债的公允价值重新计量，其变动计入当期损益。</w:t>
      </w:r>
    </w:p>
    <w:p>
      <w:pPr>
        <w:pStyle w:val="BodyText"/>
        <w:spacing w:line="316" w:lineRule="auto" w:before="19"/>
        <w:ind w:right="987"/>
        <w:jc w:val="left"/>
      </w:pPr>
      <w:r>
        <w:rPr/>
        <w:t>（2）修改、终止股份支付计划的相关会计处理 </w:t>
      </w:r>
      <w:r>
        <w:rPr>
          <w:spacing w:val="-2"/>
        </w:rPr>
        <w:t>本公司对股份支付计划进行修改时，若修改增加了所授予权益工具的公允价值，按照权益工具公允价值的增加相应确认取得</w:t>
      </w:r>
      <w:r>
        <w:rPr>
          <w:spacing w:val="-64"/>
        </w:rPr>
        <w:t> </w:t>
      </w:r>
      <w:r>
        <w:rPr>
          <w:spacing w:val="-64"/>
        </w:rPr>
      </w:r>
      <w:r>
        <w:rPr>
          <w:spacing w:val="-2"/>
        </w:rPr>
        <w:t>服务的增加。权益工具公允价值的增加是指修改前后的权益工具在修改日的公允价值之间的差额。若修改减少了股份支付公</w:t>
      </w:r>
      <w:r>
        <w:rPr>
          <w:spacing w:val="-64"/>
        </w:rPr>
        <w:t> </w:t>
      </w:r>
      <w:r>
        <w:rPr>
          <w:spacing w:val="-64"/>
        </w:rPr>
      </w:r>
      <w:r>
        <w:rPr>
          <w:spacing w:val="-2"/>
        </w:rPr>
        <w:t>允价值总额或采用了其他不利于职工的方式，则仍继续对取得的服务进行会计处理，视同该变更从未发生，除非本公司取消</w:t>
      </w:r>
      <w:r>
        <w:rPr>
          <w:spacing w:val="-65"/>
        </w:rPr>
        <w:t> </w:t>
      </w:r>
      <w:r>
        <w:rPr>
          <w:spacing w:val="-65"/>
        </w:rPr>
      </w:r>
      <w:r>
        <w:rPr/>
        <w:t>了部分或全部已授予的权益工具。 </w:t>
      </w:r>
      <w:r>
        <w:rPr>
          <w:spacing w:val="-2"/>
        </w:rPr>
        <w:t>在等待期内，如果取消了授予的权益工具，本公司对取消所授予的权益性工具作为加速行权处理，将剩余等待期内应确认的</w:t>
      </w:r>
      <w:r>
        <w:rPr>
          <w:spacing w:val="-65"/>
        </w:rPr>
        <w:t> </w:t>
      </w:r>
      <w:r>
        <w:rPr>
          <w:spacing w:val="-65"/>
        </w:rPr>
      </w:r>
      <w:r>
        <w:rPr>
          <w:spacing w:val="-2"/>
        </w:rPr>
        <w:t>金额立即计入当期损益，同时确认资本公积。职工或其他方能够选择满足非可行权条件但在等待期内未满足的，本公司将其</w:t>
      </w:r>
      <w:r>
        <w:rPr>
          <w:spacing w:val="-65"/>
        </w:rPr>
        <w:t> </w:t>
      </w:r>
      <w:r>
        <w:rPr>
          <w:spacing w:val="-65"/>
        </w:rPr>
      </w:r>
      <w:r>
        <w:rPr/>
        <w:t>作为授予权益工具的取消处理。</w:t>
      </w:r>
    </w:p>
    <w:p>
      <w:pPr>
        <w:spacing w:line="240" w:lineRule="auto" w:before="6"/>
        <w:rPr>
          <w:rFonts w:ascii="宋体" w:hAnsi="宋体" w:cs="宋体" w:eastAsia="宋体" w:hint="default"/>
          <w:sz w:val="22"/>
          <w:szCs w:val="22"/>
        </w:rPr>
      </w:pPr>
    </w:p>
    <w:p>
      <w:pPr>
        <w:pStyle w:val="Heading4"/>
        <w:spacing w:line="240" w:lineRule="auto"/>
        <w:ind w:right="987"/>
        <w:jc w:val="left"/>
        <w:rPr>
          <w:b w:val="0"/>
          <w:bCs w:val="0"/>
        </w:rPr>
      </w:pPr>
      <w:bookmarkStart w:name="22、收入" w:id="191"/>
      <w:bookmarkEnd w:id="191"/>
      <w:r>
        <w:rPr>
          <w:b w:val="0"/>
          <w:bCs w:val="0"/>
        </w:rPr>
      </w:r>
      <w:r>
        <w:rPr>
          <w:rFonts w:ascii="Times New Roman" w:hAnsi="Times New Roman" w:cs="Times New Roman" w:eastAsia="Times New Roman" w:hint="default"/>
        </w:rPr>
        <w:t>22</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4"/>
        <w:jc w:val="left"/>
      </w:pPr>
      <w:r>
        <w:rPr/>
        <w:t>公司是否需要遵守特殊行业的披露要求 否</w:t>
      </w:r>
    </w:p>
    <w:p>
      <w:pPr>
        <w:pStyle w:val="BodyText"/>
        <w:spacing w:line="316" w:lineRule="auto" w:before="25"/>
        <w:ind w:right="987"/>
        <w:jc w:val="left"/>
      </w:pPr>
      <w:r>
        <w:rPr/>
        <w:t>（1）商品销售收入 </w:t>
      </w:r>
      <w:r>
        <w:rPr>
          <w:spacing w:val="-2"/>
        </w:rPr>
        <w:t>在已将商品所有权上的主要风险和报酬转移给买方，既没有保留通常与所有权相联系的继续管理权，也没有对已售商品实施</w:t>
      </w:r>
      <w:r>
        <w:rPr>
          <w:spacing w:val="-64"/>
        </w:rPr>
        <w:t> </w:t>
      </w:r>
      <w:r>
        <w:rPr>
          <w:spacing w:val="-64"/>
        </w:rPr>
      </w:r>
      <w:r>
        <w:rPr>
          <w:spacing w:val="-4"/>
        </w:rPr>
        <w:t>有效控制，收入的金额能够可靠地计量，相关的经济利益很可能流入企业，相关的已发生或将发生的成本能够可靠地计量时，</w:t>
      </w:r>
      <w:r>
        <w:rPr>
          <w:spacing w:val="-42"/>
        </w:rPr>
        <w:t> </w:t>
      </w:r>
      <w:r>
        <w:rPr>
          <w:spacing w:val="-42"/>
        </w:rPr>
      </w:r>
      <w:r>
        <w:rPr/>
        <w:t>确认商品销售收入的实现。</w:t>
      </w:r>
    </w:p>
    <w:p>
      <w:pPr>
        <w:pStyle w:val="BodyText"/>
        <w:spacing w:line="240" w:lineRule="auto" w:before="19"/>
        <w:ind w:right="987"/>
        <w:jc w:val="left"/>
      </w:pPr>
      <w:r>
        <w:rPr/>
        <w:t>公司煤矿板块业务的收入确认销售分直销与经销。</w:t>
      </w:r>
    </w:p>
    <w:p>
      <w:pPr>
        <w:pStyle w:val="BodyText"/>
        <w:spacing w:line="316" w:lineRule="auto" w:before="76"/>
        <w:ind w:right="987"/>
        <w:jc w:val="left"/>
      </w:pPr>
      <w:r>
        <w:rPr>
          <w:spacing w:val="-2"/>
        </w:rPr>
        <w:t>①直销：在客户矿井内安装调试完毕后，客户进行验收，并调试运行一段时间（通常为一个月至三个月）。验收结束后公司</w:t>
      </w:r>
      <w:r>
        <w:rPr>
          <w:spacing w:val="-71"/>
        </w:rPr>
        <w:t> </w:t>
      </w:r>
      <w:r>
        <w:rPr>
          <w:spacing w:val="-71"/>
        </w:rPr>
      </w:r>
      <w:r>
        <w:rPr/>
        <w:t>开具发票并确认收入。</w:t>
      </w:r>
    </w:p>
    <w:p>
      <w:pPr>
        <w:pStyle w:val="BodyText"/>
        <w:spacing w:line="316" w:lineRule="auto" w:before="19"/>
        <w:ind w:right="987"/>
        <w:jc w:val="left"/>
      </w:pPr>
      <w:r>
        <w:rPr>
          <w:spacing w:val="-2"/>
        </w:rPr>
        <w:t>②经销：公司与经销商签订经销协议，当业务发生时，经销商需先预付全部货款后，由公司向对方发货，同时开具发票确认</w:t>
      </w:r>
      <w:r>
        <w:rPr>
          <w:spacing w:val="-65"/>
        </w:rPr>
        <w:t> </w:t>
      </w:r>
      <w:r>
        <w:rPr>
          <w:spacing w:val="-65"/>
        </w:rPr>
      </w:r>
      <w:r>
        <w:rPr/>
        <w:t>收入。</w:t>
      </w:r>
    </w:p>
    <w:p>
      <w:pPr>
        <w:pStyle w:val="BodyText"/>
        <w:spacing w:line="316" w:lineRule="auto" w:before="19"/>
        <w:ind w:right="987"/>
        <w:jc w:val="left"/>
      </w:pPr>
      <w:r>
        <w:rPr/>
        <w:t>公司通讯板块业务的收入确认： </w:t>
      </w:r>
      <w:r>
        <w:rPr>
          <w:spacing w:val="-2"/>
        </w:rPr>
        <w:t>系统产品销售业务经安装调试后并取得经客户确认的系统产品验收报告确认收入；产品销售业务在货物运抵客户指定地点并</w:t>
      </w:r>
      <w:r>
        <w:rPr>
          <w:spacing w:val="-64"/>
        </w:rPr>
        <w:t> </w:t>
      </w:r>
      <w:r>
        <w:rPr>
          <w:spacing w:val="-64"/>
        </w:rPr>
      </w:r>
      <w:r>
        <w:rPr/>
        <w:t>取得经客户认可的产品开箱验收单后确认收入。</w:t>
      </w:r>
    </w:p>
    <w:p>
      <w:pPr>
        <w:pStyle w:val="BodyText"/>
        <w:spacing w:line="316" w:lineRule="auto" w:before="19"/>
        <w:ind w:right="2294"/>
        <w:jc w:val="left"/>
      </w:pPr>
      <w:r>
        <w:rPr/>
        <w:t>公司军工板块业务的收入确认： 产品发出时，需经公司内部质检部门及军方代表共同检验后，完成产品所有权和控制权的转移并确认收入。</w:t>
      </w:r>
    </w:p>
    <w:p>
      <w:pPr>
        <w:pStyle w:val="BodyText"/>
        <w:spacing w:line="316" w:lineRule="auto" w:before="19"/>
        <w:ind w:right="1034"/>
        <w:jc w:val="left"/>
      </w:pPr>
      <w:r>
        <w:rPr/>
        <w:t>（2）提供劳务收入 </w:t>
      </w:r>
      <w:r>
        <w:rPr>
          <w:spacing w:val="-2"/>
        </w:rPr>
        <w:t>在提供劳务交易的结果能够可靠估计的情况下，于资产负债表日按照完工百分比法确认提供的劳务收入。劳务交易的完工进</w:t>
      </w:r>
      <w:r>
        <w:rPr>
          <w:spacing w:val="-64"/>
        </w:rPr>
        <w:t> </w:t>
      </w:r>
      <w:r>
        <w:rPr>
          <w:spacing w:val="-64"/>
        </w:rPr>
      </w:r>
      <w:r>
        <w:rPr/>
        <w:t>度按已经发生的劳务成本占估计总成本的比例确定。 </w:t>
      </w:r>
      <w:r>
        <w:rPr>
          <w:spacing w:val="-2"/>
        </w:rPr>
        <w:t>提供劳务交易的结果能够可靠估计是指同时满足：①收入的金额能够可靠地计量；②相关的经济利益很可能流入企业；③交</w:t>
      </w:r>
      <w:r>
        <w:rPr>
          <w:spacing w:val="-65"/>
        </w:rPr>
        <w:t> </w:t>
      </w:r>
      <w:r>
        <w:rPr>
          <w:spacing w:val="-65"/>
        </w:rPr>
      </w:r>
      <w:r>
        <w:rPr/>
        <w:t>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如果提供劳务交易的结果不能够可靠估计，则按已经发生并预计能够得到补偿的劳务成本金额确认提供的劳务收入，并将已</w:t>
      </w:r>
      <w:r>
        <w:rPr>
          <w:spacing w:val="-64"/>
        </w:rPr>
        <w:t> </w:t>
      </w:r>
      <w:r>
        <w:rPr>
          <w:spacing w:val="-64"/>
        </w:rPr>
      </w:r>
      <w:r>
        <w:rPr/>
        <w:t>发生的劳务成本作为当期费用。已经发生的劳务成本如预计不能得到补偿的，则不确认收入。 本公司与其他企业签订的合同或协议包括销售商品和提供劳务时，如销售商品部分和提供劳务部分能够区分并单独计量的，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w:t>
      </w:r>
    </w:p>
    <w:p>
      <w:pPr>
        <w:spacing w:after="0" w:line="316"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240" w:lineRule="auto"/>
        <w:ind w:right="987"/>
        <w:jc w:val="left"/>
      </w:pPr>
      <w:r>
        <w:rPr/>
        <w:t>将该合同全部作为销售商品处理。</w:t>
      </w:r>
    </w:p>
    <w:p>
      <w:pPr>
        <w:pStyle w:val="BodyText"/>
        <w:spacing w:line="316" w:lineRule="auto" w:before="76"/>
        <w:ind w:right="6974"/>
        <w:jc w:val="left"/>
      </w:pPr>
      <w:r>
        <w:rPr/>
        <w:t>（3）使用费收入 根据有关合同或协议，按权责发生制确认收入。</w:t>
      </w:r>
    </w:p>
    <w:p>
      <w:pPr>
        <w:pStyle w:val="BodyText"/>
        <w:spacing w:line="316" w:lineRule="auto" w:before="19"/>
        <w:ind w:right="6074"/>
        <w:jc w:val="left"/>
      </w:pPr>
      <w:r>
        <w:rPr/>
        <w:t>（4）利息收入 按照他人使用本公司货币资金的时间和实际利率计算确定。</w:t>
      </w:r>
    </w:p>
    <w:p>
      <w:pPr>
        <w:spacing w:line="240" w:lineRule="auto" w:before="6"/>
        <w:rPr>
          <w:rFonts w:ascii="宋体" w:hAnsi="宋体" w:cs="宋体" w:eastAsia="宋体" w:hint="default"/>
          <w:sz w:val="22"/>
          <w:szCs w:val="22"/>
        </w:rPr>
      </w:pPr>
    </w:p>
    <w:p>
      <w:pPr>
        <w:pStyle w:val="Heading4"/>
        <w:spacing w:line="240" w:lineRule="auto"/>
        <w:ind w:right="987"/>
        <w:jc w:val="left"/>
        <w:rPr>
          <w:b w:val="0"/>
          <w:bCs w:val="0"/>
        </w:rPr>
      </w:pPr>
      <w:bookmarkStart w:name="23、政府补助" w:id="192"/>
      <w:bookmarkEnd w:id="192"/>
      <w:r>
        <w:rPr>
          <w:b w:val="0"/>
          <w:bCs w:val="0"/>
        </w:rPr>
      </w:r>
      <w:r>
        <w:rPr>
          <w:rFonts w:ascii="Times New Roman" w:hAnsi="Times New Roman" w:cs="Times New Roman" w:eastAsia="Times New Roman" w:hint="default"/>
        </w:rPr>
        <w:t>23</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87"/>
        <w:jc w:val="left"/>
      </w:pPr>
      <w:r>
        <w:rPr>
          <w:spacing w:val="-2"/>
        </w:rPr>
        <w:t>政府补助是指本公司从政府无偿取得货币性资产和非货币性资产，不包括政府以投资者身份并享有相应所有者权益而投入的</w:t>
      </w:r>
      <w:r>
        <w:rPr>
          <w:spacing w:val="-64"/>
        </w:rPr>
        <w:t> </w:t>
      </w:r>
      <w:r>
        <w:rPr>
          <w:spacing w:val="-64"/>
        </w:rPr>
      </w:r>
      <w:r>
        <w:rPr>
          <w:spacing w:val="-2"/>
        </w:rPr>
        <w:t>资本。政府补助分为与资产相关的政府补助和与收益相关的政府补助。本公司将所取得的用于购建或以其他方式形成长期资</w:t>
      </w:r>
      <w:r>
        <w:rPr>
          <w:spacing w:val="-64"/>
        </w:rPr>
        <w:t> </w:t>
      </w:r>
      <w:r>
        <w:rPr>
          <w:spacing w:val="-64"/>
        </w:rPr>
      </w:r>
      <w:r>
        <w:rPr>
          <w:spacing w:val="-4"/>
        </w:rPr>
        <w:t>产的政府补助界定为与资产相关的政府补助；其余政府补助界定为与收益相关的政府补助。若政府文件未明确规定补助对象，</w:t>
      </w:r>
      <w:r>
        <w:rPr>
          <w:spacing w:val="-41"/>
        </w:rPr>
        <w:t> </w:t>
      </w:r>
      <w:r>
        <w:rPr>
          <w:spacing w:val="-41"/>
        </w:rPr>
      </w:r>
      <w:r>
        <w:rPr>
          <w:spacing w:val="-4"/>
        </w:rPr>
        <w:t>则采用以下方式将补助款划分为与收益相关的政府补助和与资产相关的政府补助：（1）政府文件明确了补助所针对的特定项</w:t>
      </w:r>
      <w:r>
        <w:rPr>
          <w:spacing w:val="-43"/>
        </w:rPr>
        <w:t> </w:t>
      </w:r>
      <w:r>
        <w:rPr>
          <w:spacing w:val="-43"/>
        </w:rPr>
      </w:r>
      <w:r>
        <w:rPr>
          <w:spacing w:val="-2"/>
        </w:rPr>
        <w:t>目的，根据该特定项目的预算中将形成资产的支出金额和计入费用的支出金额的相对比例进行划分，对该划分比例需在每个</w:t>
      </w:r>
      <w:r>
        <w:rPr>
          <w:spacing w:val="-64"/>
        </w:rPr>
        <w:t> </w:t>
      </w:r>
      <w:r>
        <w:rPr>
          <w:spacing w:val="-64"/>
        </w:rPr>
      </w:r>
      <w:r>
        <w:rPr>
          <w:spacing w:val="-4"/>
        </w:rPr>
        <w:t>资产负债表日进行复核，必要时进行变更；（2）政府文件中对用途仅作一般性表述，没有指明特定项目的，作为与收益相关</w:t>
      </w:r>
      <w:r>
        <w:rPr>
          <w:spacing w:val="-43"/>
        </w:rPr>
        <w:t> </w:t>
      </w:r>
      <w:r>
        <w:rPr>
          <w:spacing w:val="-43"/>
        </w:rPr>
      </w:r>
      <w:r>
        <w:rPr>
          <w:spacing w:val="-2"/>
        </w:rPr>
        <w:t>的政府补助。政府补助为货币性资产的，按照收到或应收的金额计量。政府补助为非货币性资产的，按照公允价值计量；公</w:t>
      </w:r>
      <w:r>
        <w:rPr>
          <w:spacing w:val="-65"/>
        </w:rPr>
        <w:t> </w:t>
      </w:r>
      <w:r>
        <w:rPr>
          <w:spacing w:val="-65"/>
        </w:rPr>
      </w:r>
      <w:r>
        <w:rPr/>
        <w:t>允价值不能够可靠取得的，按照名义金额计量。按照名义金额计量的政府补助，直接计入当期损益。 </w:t>
      </w:r>
      <w:r>
        <w:rPr>
          <w:spacing w:val="-2"/>
        </w:rPr>
        <w:t>本公司对于政府补助通常在实际收到时，按照实收金额予以确认和计量。但对于期末有确凿证据表明能够符合财政扶持政策</w:t>
      </w:r>
      <w:r>
        <w:rPr>
          <w:spacing w:val="-64"/>
        </w:rPr>
        <w:t> </w:t>
      </w:r>
      <w:r>
        <w:rPr>
          <w:spacing w:val="-64"/>
        </w:rPr>
      </w:r>
      <w:r>
        <w:rPr>
          <w:spacing w:val="-5"/>
        </w:rPr>
        <w:t>规定的相关条件预计能够收到财政扶持资金，按照应收的金额计量。按照应收金额计量的政府补助应同时符合以下条件：（1）</w:t>
      </w:r>
      <w:r>
        <w:rPr>
          <w:spacing w:val="-73"/>
        </w:rPr>
        <w:t> </w:t>
      </w:r>
      <w:r>
        <w:rPr>
          <w:spacing w:val="-73"/>
        </w:rPr>
      </w:r>
      <w:r>
        <w:rPr>
          <w:spacing w:val="-2"/>
        </w:rPr>
        <w:t>应收补助款的金额已经过有权政府部门发文确认，或者可根据正式发布的财政资金管理办法的有关规定自行合理测算，且预</w:t>
      </w:r>
      <w:r>
        <w:rPr>
          <w:spacing w:val="-64"/>
        </w:rPr>
        <w:t> </w:t>
      </w:r>
      <w:r>
        <w:rPr>
          <w:spacing w:val="-64"/>
        </w:rPr>
      </w:r>
      <w:r>
        <w:rPr>
          <w:spacing w:val="-4"/>
        </w:rPr>
        <w:t>计其金额不存在重大不确定性；（2）所依据的是当地财政部门正式发布并按照《政府信息公开条例》的规定予以主动公开的</w:t>
      </w:r>
      <w:r>
        <w:rPr>
          <w:spacing w:val="-44"/>
        </w:rPr>
        <w:t> </w:t>
      </w:r>
      <w:r>
        <w:rPr>
          <w:spacing w:val="-44"/>
        </w:rPr>
      </w:r>
      <w:r>
        <w:rPr>
          <w:spacing w:val="-2"/>
        </w:rPr>
        <w:t>财政扶持项目及其财政资金管理办法，且该管理办法应当是普惠性的（任何符合规定条件的企业均可申请），而不是专门针</w:t>
      </w:r>
      <w:r>
        <w:rPr>
          <w:spacing w:val="-71"/>
        </w:rPr>
        <w:t> </w:t>
      </w:r>
      <w:r>
        <w:rPr>
          <w:spacing w:val="-71"/>
        </w:rPr>
      </w:r>
      <w:r>
        <w:rPr>
          <w:spacing w:val="-4"/>
        </w:rPr>
        <w:t>对特定企业制定的；（3）相关的补助款批文中已明确承诺了拨付期限，且该款项的拨付是有相应财政预算作为保障的，因而</w:t>
      </w:r>
      <w:r>
        <w:rPr>
          <w:spacing w:val="-44"/>
        </w:rPr>
        <w:t> </w:t>
      </w:r>
      <w:r>
        <w:rPr>
          <w:spacing w:val="-44"/>
        </w:rPr>
      </w:r>
      <w:r>
        <w:rPr>
          <w:spacing w:val="-4"/>
        </w:rPr>
        <w:t>可以合理保证其可在规定期限内收到；（4）根据本公司和该补助事项的具体情况，应满足的其他相关条件（如有）。</w:t>
      </w:r>
      <w:r>
        <w:rPr>
          <w:spacing w:val="-62"/>
        </w:rPr>
        <w:t> </w:t>
      </w:r>
      <w:r>
        <w:rPr>
          <w:spacing w:val="-62"/>
        </w:rPr>
      </w:r>
      <w:r>
        <w:rPr>
          <w:spacing w:val="-2"/>
        </w:rPr>
        <w:t>与资产相关的政府补助，确认为递延收益，并在相关资产的使用寿命内按照合理、系统的方法分期计入当期损益。与收益相</w:t>
      </w:r>
      <w:r>
        <w:rPr>
          <w:spacing w:val="-66"/>
        </w:rPr>
        <w:t> </w:t>
      </w:r>
      <w:r>
        <w:rPr>
          <w:spacing w:val="-66"/>
        </w:rPr>
      </w:r>
      <w:r>
        <w:rPr>
          <w:spacing w:val="-2"/>
        </w:rPr>
        <w:t>关的政府补助，用于补偿以后期间的相关成本费用或损失的，确认为递延收益，并在确认相关成本费用或损失的期间计入当</w:t>
      </w:r>
      <w:r>
        <w:rPr>
          <w:spacing w:val="-65"/>
        </w:rPr>
        <w:t> </w:t>
      </w:r>
      <w:r>
        <w:rPr>
          <w:spacing w:val="-65"/>
        </w:rPr>
      </w:r>
      <w:r>
        <w:rPr/>
        <w:t>期损益；用于补偿已经发生的相关成本费用或损失的，直接计入当期损益。 </w:t>
      </w:r>
      <w:r>
        <w:rPr>
          <w:spacing w:val="-2"/>
        </w:rPr>
        <w:t>同时包含与资产相关部分和与收益相关部分的政府补助，区分不同部分分别进行会计处理；难以区分的，将其整体归类为与</w:t>
      </w:r>
      <w:r>
        <w:rPr>
          <w:spacing w:val="-65"/>
        </w:rPr>
        <w:t> </w:t>
      </w:r>
      <w:r>
        <w:rPr>
          <w:spacing w:val="-65"/>
        </w:rPr>
      </w:r>
      <w:r>
        <w:rPr/>
        <w:t>收益相关的政府补助。 </w:t>
      </w:r>
      <w:r>
        <w:rPr>
          <w:spacing w:val="-4"/>
        </w:rPr>
        <w:t>与本公司日常活动相关的政府补助，按照经济业务的实质，计入其他收益或冲减相关成本费用；与日常活动无关的政府补助，</w:t>
      </w:r>
      <w:r>
        <w:rPr>
          <w:spacing w:val="-42"/>
        </w:rPr>
        <w:t> </w:t>
      </w:r>
      <w:r>
        <w:rPr>
          <w:spacing w:val="-42"/>
        </w:rPr>
      </w:r>
      <w:r>
        <w:rPr/>
        <w:t>计入营业外收支。</w:t>
      </w:r>
    </w:p>
    <w:p>
      <w:pPr>
        <w:spacing w:line="240" w:lineRule="auto" w:before="8"/>
        <w:rPr>
          <w:rFonts w:ascii="宋体" w:hAnsi="宋体" w:cs="宋体" w:eastAsia="宋体" w:hint="default"/>
          <w:sz w:val="22"/>
          <w:szCs w:val="22"/>
        </w:rPr>
      </w:pPr>
    </w:p>
    <w:p>
      <w:pPr>
        <w:pStyle w:val="Heading4"/>
        <w:spacing w:line="240" w:lineRule="auto"/>
        <w:ind w:right="987"/>
        <w:jc w:val="left"/>
        <w:rPr>
          <w:b w:val="0"/>
          <w:bCs w:val="0"/>
        </w:rPr>
      </w:pPr>
      <w:bookmarkStart w:name="24、递延所得税资产/递延所得税负债" w:id="193"/>
      <w:bookmarkEnd w:id="193"/>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7"/>
        <w:jc w:val="left"/>
      </w:pPr>
      <w:r>
        <w:rPr/>
        <w:t>（1）当期所得税 </w:t>
      </w:r>
      <w:r>
        <w:rPr>
          <w:spacing w:val="-2"/>
        </w:rPr>
        <w:t>资产负债表日，对于当期和以前期间形成的当期所得税负债（或资产），以按照税法规定计算的预期应交纳（或返还）的所</w:t>
      </w:r>
      <w:r>
        <w:rPr>
          <w:spacing w:val="-71"/>
        </w:rPr>
        <w:t> </w:t>
      </w:r>
      <w:r>
        <w:rPr>
          <w:spacing w:val="-71"/>
        </w:rPr>
      </w:r>
      <w:r>
        <w:rPr>
          <w:spacing w:val="-2"/>
        </w:rPr>
        <w:t>得税金额计量。计算当期所得税费用所依据的应纳税所得额系根据有关税法规定对本年度税前会计利润作相应调整后计算得</w:t>
      </w:r>
      <w:r>
        <w:rPr>
          <w:spacing w:val="-64"/>
        </w:rPr>
        <w:t> </w:t>
      </w:r>
      <w:r>
        <w:rPr>
          <w:spacing w:val="-64"/>
        </w:rPr>
      </w:r>
      <w:r>
        <w:rPr/>
        <w:t>出。</w:t>
      </w:r>
    </w:p>
    <w:p>
      <w:pPr>
        <w:pStyle w:val="BodyText"/>
        <w:spacing w:line="316" w:lineRule="auto" w:before="19"/>
        <w:ind w:right="987"/>
        <w:jc w:val="left"/>
      </w:pPr>
      <w:r>
        <w:rPr/>
        <w:t>（2）递延所得税资产及递延所得税负债 </w:t>
      </w:r>
      <w:r>
        <w:rPr>
          <w:spacing w:val="-2"/>
        </w:rPr>
        <w:t>某些资产、负债项目的账面价值与其计税基础之间的差额，以及未作为资产和负债确认但按照税法规定可以确定其计税基础</w:t>
      </w:r>
      <w:r>
        <w:rPr>
          <w:spacing w:val="-64"/>
        </w:rPr>
        <w:t> </w:t>
      </w:r>
      <w:r>
        <w:rPr>
          <w:spacing w:val="-64"/>
        </w:rPr>
      </w:r>
      <w:r>
        <w:rPr/>
        <w:t>的项目的账面价值与计税基础之间的差额产生的暂时性差异，采用资产负债表债务法确认递延所得税资产及递延所得税负 债。 </w:t>
      </w:r>
      <w:r>
        <w:rPr>
          <w:spacing w:val="-2"/>
        </w:rPr>
        <w:t>与商誉的初始确认有关，以及与既不是企业合并、发生时也不影响会计利润和应纳税所得额（或可抵扣亏损）的交易中产生</w:t>
      </w:r>
      <w:r>
        <w:rPr>
          <w:spacing w:val="-66"/>
        </w:rPr>
        <w:t> </w:t>
      </w:r>
      <w:r>
        <w:rPr>
          <w:spacing w:val="-66"/>
        </w:rPr>
      </w:r>
      <w:r>
        <w:rPr>
          <w:spacing w:val="-2"/>
        </w:rPr>
        <w:t>的资产或负债的初始确认有关的应纳税暂时性差异，不予确认有关的递延所得税负债。此外，对与子公司、联营企业及合营</w:t>
      </w:r>
      <w:r>
        <w:rPr>
          <w:spacing w:val="-66"/>
        </w:rPr>
        <w:t> </w:t>
      </w:r>
      <w:r>
        <w:rPr>
          <w:spacing w:val="-66"/>
        </w:rPr>
      </w:r>
      <w:r>
        <w:rPr>
          <w:spacing w:val="-2"/>
        </w:rPr>
        <w:t>企业投资相关的应纳税暂时性差异，如果本公司能够控制暂时性差异转回的时间，而且该暂时性差异在可预见的未来很可能</w:t>
      </w:r>
      <w:r>
        <w:rPr>
          <w:spacing w:val="-64"/>
        </w:rPr>
        <w:t> </w:t>
      </w:r>
      <w:r>
        <w:rPr>
          <w:spacing w:val="-64"/>
        </w:rPr>
      </w:r>
      <w:r>
        <w:rPr>
          <w:spacing w:val="-2"/>
        </w:rPr>
        <w:t>不会转回，也不予确认有关的递延所得税负债。除上述例外情况，本公司确认其他所有应纳税暂时性差异产生的递延所得税</w:t>
      </w:r>
    </w:p>
    <w:p>
      <w:pPr>
        <w:spacing w:after="0" w:line="316"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316" w:lineRule="auto"/>
        <w:ind w:right="1034"/>
        <w:jc w:val="left"/>
      </w:pPr>
      <w:r>
        <w:rPr/>
        <w:t>负债。 </w:t>
      </w:r>
      <w:r>
        <w:rPr>
          <w:spacing w:val="-2"/>
        </w:rPr>
        <w:t>与既不是企业合并、发生时也不影响会计利润和应纳税所得额（或可抵扣亏损）的交易中产生的资产或负债的初始确认有关</w:t>
      </w:r>
      <w:r>
        <w:rPr>
          <w:spacing w:val="-65"/>
        </w:rPr>
        <w:t> </w:t>
      </w:r>
      <w:r>
        <w:rPr>
          <w:spacing w:val="-65"/>
        </w:rPr>
      </w:r>
      <w:r>
        <w:rPr>
          <w:spacing w:val="-2"/>
        </w:rPr>
        <w:t>的可抵扣暂时性差异，不予确认有关的递延所得税资产。此外，对与子公司、联营企业及合营企业投资相关的可抵扣暂时性</w:t>
      </w:r>
      <w:r>
        <w:rPr>
          <w:spacing w:val="-66"/>
        </w:rPr>
        <w:t> </w:t>
      </w:r>
      <w:r>
        <w:rPr>
          <w:spacing w:val="-66"/>
        </w:rPr>
      </w:r>
      <w:r>
        <w:rPr>
          <w:spacing w:val="-2"/>
        </w:rPr>
        <w:t>差异，如果暂时性差异在可预见的未来不是很可能转回，或者未来不是很可能获得用来抵扣可抵扣暂时性差异的应纳税所得</w:t>
      </w:r>
      <w:r>
        <w:rPr>
          <w:spacing w:val="-64"/>
        </w:rPr>
        <w:t> </w:t>
      </w:r>
      <w:r>
        <w:rPr>
          <w:spacing w:val="-64"/>
        </w:rPr>
      </w:r>
      <w:r>
        <w:rPr>
          <w:spacing w:val="-2"/>
        </w:rPr>
        <w:t>额，不予确认有关的递延所得税资产。除上述例外情况，本公司以很可能取得用来抵扣可抵扣暂时性差异的应纳税所得额为</w:t>
      </w:r>
      <w:r>
        <w:rPr>
          <w:spacing w:val="-65"/>
        </w:rPr>
        <w:t> </w:t>
      </w:r>
      <w:r>
        <w:rPr>
          <w:spacing w:val="-65"/>
        </w:rPr>
      </w:r>
      <w:r>
        <w:rPr/>
        <w:t>限，确认其他可抵扣暂时性差异产生的递延所得税资产。 对于能够结转以后年度的可抵扣亏损和税款抵减，以很可能获得用来抵扣可抵扣亏损和税款抵减的未来应纳税所得额为限， 确认相应的递延所得税资产。 </w:t>
      </w:r>
      <w:r>
        <w:rPr>
          <w:spacing w:val="-2"/>
        </w:rPr>
        <w:t>资产负债表日，对于递延所得税资产和递延所得税负债，根据税法规定，按照预期收回相关资产或清偿相关负债期间的适用</w:t>
      </w:r>
      <w:r>
        <w:rPr>
          <w:spacing w:val="-65"/>
        </w:rPr>
        <w:t> </w:t>
      </w:r>
      <w:r>
        <w:rPr>
          <w:spacing w:val="-65"/>
        </w:rPr>
      </w:r>
      <w:r>
        <w:rPr/>
        <w:t>税率计量。 </w:t>
      </w:r>
      <w:r>
        <w:rPr>
          <w:spacing w:val="-2"/>
        </w:rPr>
        <w:t>于资产负债表日，对递延所得税资产的账面价值进行复核，如果未来很可能无法获得足够的应纳税所得额用以抵扣递延所得</w:t>
      </w:r>
      <w:r>
        <w:rPr>
          <w:spacing w:val="-64"/>
        </w:rPr>
        <w:t> </w:t>
      </w:r>
      <w:r>
        <w:rPr>
          <w:spacing w:val="-64"/>
        </w:rPr>
      </w:r>
      <w:r>
        <w:rPr/>
        <w:t>税资产的利益，则减记递延所得税资产的账面价值。在很可能获得足够的应纳税所得额时，减记的金额予以转回。</w:t>
      </w:r>
    </w:p>
    <w:p>
      <w:pPr>
        <w:pStyle w:val="BodyText"/>
        <w:spacing w:line="316" w:lineRule="auto" w:before="19"/>
        <w:ind w:right="7334"/>
        <w:jc w:val="left"/>
      </w:pPr>
      <w:r>
        <w:rPr/>
        <w:t>（3）所得税费用 所得税费用包括当期所得税和递延所得税。</w:t>
      </w:r>
    </w:p>
    <w:p>
      <w:pPr>
        <w:pStyle w:val="BodyText"/>
        <w:spacing w:line="316" w:lineRule="auto" w:before="19"/>
        <w:ind w:right="987"/>
        <w:jc w:val="left"/>
      </w:pPr>
      <w:r>
        <w:rPr>
          <w:spacing w:val="-2"/>
        </w:rPr>
        <w:t>除确认为其他综合收益或直接计入股东权益的交易和事项相关的当期所得税和递延所得税计入其他综合收益或股东权益，以</w:t>
      </w:r>
      <w:r>
        <w:rPr>
          <w:spacing w:val="-64"/>
        </w:rPr>
        <w:t> </w:t>
      </w:r>
      <w:r>
        <w:rPr>
          <w:spacing w:val="-64"/>
        </w:rPr>
      </w:r>
      <w:r>
        <w:rPr/>
        <w:t>及企业合并产生的递延所得税调整商誉的账面价值外，其余当期所得税和递延所得税费用或收益计入当期损益。</w:t>
      </w:r>
    </w:p>
    <w:p>
      <w:pPr>
        <w:pStyle w:val="BodyText"/>
        <w:spacing w:line="316" w:lineRule="auto" w:before="19"/>
        <w:ind w:right="987"/>
        <w:jc w:val="left"/>
      </w:pPr>
      <w:r>
        <w:rPr/>
        <w:t>（4）所得税的抵销 </w:t>
      </w:r>
      <w:r>
        <w:rPr>
          <w:spacing w:val="-2"/>
        </w:rPr>
        <w:t>当拥有以净额结算的法定权利，且意图以净额结算或取得资产、清偿负债同时进行时，本公司当期所得税资产及当期所得税</w:t>
      </w:r>
      <w:r>
        <w:rPr>
          <w:spacing w:val="-65"/>
        </w:rPr>
        <w:t> </w:t>
      </w:r>
      <w:r>
        <w:rPr>
          <w:spacing w:val="-65"/>
        </w:rPr>
      </w:r>
      <w:r>
        <w:rPr/>
        <w:t>负债以抵销后的净额列报。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r>
        <w:rPr>
          <w:spacing w:val="-65"/>
        </w:rPr>
        <w:t> </w:t>
      </w:r>
      <w:r>
        <w:rPr>
          <w:spacing w:val="-65"/>
        </w:rPr>
      </w:r>
      <w:r>
        <w:rPr/>
        <w:t>及递延所得税负债以抵销后的净额列报。</w:t>
      </w:r>
    </w:p>
    <w:p>
      <w:pPr>
        <w:spacing w:line="240" w:lineRule="auto" w:before="6"/>
        <w:rPr>
          <w:rFonts w:ascii="宋体" w:hAnsi="宋体" w:cs="宋体" w:eastAsia="宋体" w:hint="default"/>
          <w:sz w:val="22"/>
          <w:szCs w:val="22"/>
        </w:rPr>
      </w:pPr>
    </w:p>
    <w:p>
      <w:pPr>
        <w:pStyle w:val="Heading4"/>
        <w:spacing w:line="240" w:lineRule="auto"/>
        <w:ind w:right="987"/>
        <w:jc w:val="left"/>
        <w:rPr>
          <w:b w:val="0"/>
          <w:bCs w:val="0"/>
        </w:rPr>
      </w:pPr>
      <w:bookmarkStart w:name="25、租赁" w:id="194"/>
      <w:bookmarkEnd w:id="194"/>
      <w:r>
        <w:rPr>
          <w:b w:val="0"/>
          <w:bCs w:val="0"/>
        </w:rPr>
      </w:r>
      <w:r>
        <w:rPr>
          <w:rFonts w:ascii="Times New Roman" w:hAnsi="Times New Roman" w:cs="Times New Roman" w:eastAsia="Times New Roman" w:hint="default"/>
        </w:rPr>
        <w:t>25</w:t>
      </w:r>
      <w:r>
        <w:rPr/>
        <w:t>、租赁</w:t>
      </w:r>
      <w:r>
        <w:rPr>
          <w:b w:val="0"/>
          <w:bCs w:val="0"/>
        </w:rPr>
      </w:r>
    </w:p>
    <w:p>
      <w:pPr>
        <w:spacing w:line="240" w:lineRule="auto" w:before="10"/>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经营租赁的会计处理方法" w:id="195"/>
      <w:bookmarkEnd w:id="1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before="0"/>
        <w:ind w:right="987"/>
        <w:jc w:val="left"/>
      </w:pPr>
      <w:r>
        <w:rPr>
          <w:spacing w:val="-2"/>
        </w:rPr>
        <w:t>融资租赁为实质上转移了与资产所有权有关的全部风险和报酬的租赁，其所有权最终可能转移，也可能不转移。融资租赁以</w:t>
      </w:r>
      <w:r>
        <w:rPr>
          <w:spacing w:val="-65"/>
        </w:rPr>
        <w:t> </w:t>
      </w:r>
      <w:r>
        <w:rPr>
          <w:spacing w:val="-65"/>
        </w:rPr>
      </w:r>
      <w:r>
        <w:rPr/>
        <w:t>外的其他租赁为经营租赁。</w:t>
      </w:r>
    </w:p>
    <w:p>
      <w:pPr>
        <w:pStyle w:val="BodyText"/>
        <w:spacing w:line="316" w:lineRule="auto" w:before="19"/>
        <w:ind w:right="987"/>
        <w:jc w:val="left"/>
      </w:pPr>
      <w:r>
        <w:rPr/>
        <w:t>（1）本公司作为承租人记录经营租赁业务 </w:t>
      </w:r>
      <w:r>
        <w:rPr>
          <w:spacing w:val="-2"/>
        </w:rPr>
        <w:t>经营租赁的租金支出在租赁期内的各个期间按直线法计入相关资产成本或当期损益。初始直接费用计入当期损益。或有租金</w:t>
      </w:r>
      <w:r>
        <w:rPr>
          <w:spacing w:val="-64"/>
        </w:rPr>
        <w:t> </w:t>
      </w:r>
      <w:r>
        <w:rPr>
          <w:spacing w:val="-64"/>
        </w:rPr>
      </w:r>
      <w:r>
        <w:rPr/>
        <w:t>于实际发生时计入当期损益。</w:t>
      </w:r>
    </w:p>
    <w:p>
      <w:pPr>
        <w:pStyle w:val="BodyText"/>
        <w:spacing w:line="316" w:lineRule="auto" w:before="19"/>
        <w:ind w:right="1034"/>
        <w:jc w:val="left"/>
      </w:pPr>
      <w:r>
        <w:rPr/>
        <w:t>（2）本公司作为出租人记录经营租赁业务 </w:t>
      </w:r>
      <w:r>
        <w:rPr>
          <w:spacing w:val="-2"/>
        </w:rPr>
        <w:t>经营租赁的租金收入在租赁期内的各个期间按直线法确认为当期损益。对金额较大的初始直接费用于发生时予以资本化，在</w:t>
      </w:r>
      <w:r>
        <w:rPr>
          <w:spacing w:val="-64"/>
        </w:rPr>
        <w:t> </w:t>
      </w:r>
      <w:r>
        <w:rPr>
          <w:spacing w:val="-64"/>
        </w:rPr>
      </w:r>
      <w:r>
        <w:rPr/>
        <w:t>整个租赁期间内按照与确认租金收入相同的基础分期计入当期损益；其他金额较小的初始直接费用于发生时计入当期损益。 或有租金于实际发生时计入当期损益。</w:t>
      </w:r>
    </w:p>
    <w:p>
      <w:pPr>
        <w:spacing w:line="240" w:lineRule="auto" w:before="8"/>
        <w:rPr>
          <w:rFonts w:ascii="宋体" w:hAnsi="宋体" w:cs="宋体" w:eastAsia="宋体" w:hint="default"/>
          <w:sz w:val="22"/>
          <w:szCs w:val="22"/>
        </w:rPr>
      </w:pPr>
    </w:p>
    <w:p>
      <w:pPr>
        <w:pStyle w:val="Heading4"/>
        <w:spacing w:line="240" w:lineRule="auto"/>
        <w:ind w:right="987"/>
        <w:jc w:val="left"/>
        <w:rPr>
          <w:b w:val="0"/>
          <w:bCs w:val="0"/>
        </w:rPr>
      </w:pPr>
      <w:bookmarkStart w:name="26、其他重要的会计政策和会计估计" w:id="196"/>
      <w:bookmarkEnd w:id="196"/>
      <w:r>
        <w:rPr>
          <w:b w:val="0"/>
          <w:bCs w:val="0"/>
        </w:rPr>
      </w:r>
      <w:r>
        <w:rPr>
          <w:rFonts w:ascii="Times New Roman" w:hAnsi="Times New Roman" w:cs="Times New Roman" w:eastAsia="Times New Roman" w:hint="default"/>
        </w:rPr>
        <w:t>26</w:t>
      </w:r>
      <w:r>
        <w:rPr/>
        <w:t>、其他重要的会计政策和会计估计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987"/>
        <w:jc w:val="left"/>
      </w:pPr>
      <w:r>
        <w:rPr>
          <w:spacing w:val="-4"/>
        </w:rPr>
        <w:t>本公司在运用会计政策过程中，由于经营活动内在的不确定性，本公司需要对无法准确计量的报表项目的账面价值进行判断、</w:t>
      </w:r>
      <w:r>
        <w:rPr>
          <w:spacing w:val="-41"/>
        </w:rPr>
        <w:t> </w:t>
      </w:r>
      <w:r>
        <w:rPr>
          <w:spacing w:val="-41"/>
        </w:rPr>
      </w:r>
      <w:r>
        <w:rPr>
          <w:spacing w:val="-2"/>
        </w:rPr>
        <w:t>估计和假设。这些判断、估计和假设是基于本公司管理层过去的历史经验，并在考虑其他相关因素的基础上做出的。这些判</w:t>
      </w:r>
      <w:r>
        <w:rPr>
          <w:spacing w:val="-66"/>
        </w:rPr>
        <w:t> </w:t>
      </w:r>
      <w:r>
        <w:rPr>
          <w:spacing w:val="-66"/>
        </w:rPr>
      </w:r>
      <w:r>
        <w:rPr>
          <w:spacing w:val="-2"/>
        </w:rPr>
        <w:t>断、估计和假设会影响收入、费用、资产和负债的报告金额以及资产负债表日或有负债的披露。然而，这些估计的不确定性</w:t>
      </w:r>
      <w:r>
        <w:rPr>
          <w:spacing w:val="-65"/>
        </w:rPr>
        <w:t> </w:t>
      </w:r>
      <w:r>
        <w:rPr>
          <w:spacing w:val="-65"/>
        </w:rPr>
      </w:r>
      <w:r>
        <w:rPr/>
        <w:t>所导致的实际结果可能与本公司管理层当前的估计存在差异，进而造成对未来受影响的资产或负债的账面金额进行重大调 整。</w:t>
      </w:r>
    </w:p>
    <w:p>
      <w:pPr>
        <w:spacing w:after="0" w:line="316"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316" w:lineRule="auto"/>
        <w:ind w:right="987"/>
        <w:jc w:val="left"/>
      </w:pPr>
      <w:r>
        <w:rPr>
          <w:spacing w:val="-2"/>
        </w:rPr>
        <w:t>本公司对前述判断、估计和假设在持续经营的基础上进行定期复核，会计估计的变更仅影响变更当期的，其影响数在变更当</w:t>
      </w:r>
      <w:r>
        <w:rPr>
          <w:spacing w:val="-65"/>
        </w:rPr>
        <w:t> </w:t>
      </w:r>
      <w:r>
        <w:rPr>
          <w:spacing w:val="-65"/>
        </w:rPr>
      </w:r>
      <w:r>
        <w:rPr/>
        <w:t>期予以确认；既影响变更当期又影响未来期间的，其影响数在变更当期和未来期间予以确认。 于资产负债表日，本公司需对财务报表项目金额进行判断、估计和假设的重要领域如下：</w:t>
      </w:r>
    </w:p>
    <w:p>
      <w:pPr>
        <w:pStyle w:val="BodyText"/>
        <w:spacing w:line="316" w:lineRule="auto" w:before="19"/>
        <w:ind w:right="987"/>
        <w:jc w:val="left"/>
      </w:pPr>
      <w:r>
        <w:rPr/>
        <w:t>（1）租赁的归类 </w:t>
      </w:r>
      <w:r>
        <w:rPr>
          <w:spacing w:val="-2"/>
        </w:rPr>
        <w:t>本公司根据《企业会计准则第21号——租赁》的规定，将租赁归类为经营租赁和融资租赁，在进行归类时，管理层需要对是</w:t>
      </w:r>
      <w:r>
        <w:rPr>
          <w:spacing w:val="-65"/>
        </w:rPr>
        <w:t> </w:t>
      </w:r>
      <w:r>
        <w:rPr>
          <w:spacing w:val="-65"/>
        </w:rPr>
      </w:r>
      <w:r>
        <w:rPr>
          <w:spacing w:val="-2"/>
        </w:rPr>
        <w:t>否已将与租出资产所有权有关的全部风险和报酬实质上转移给承租人，或者本公司是否已经实质上承担与租入资产所有权有</w:t>
      </w:r>
      <w:r>
        <w:rPr>
          <w:spacing w:val="-64"/>
        </w:rPr>
        <w:t> </w:t>
      </w:r>
      <w:r>
        <w:rPr>
          <w:spacing w:val="-64"/>
        </w:rPr>
      </w:r>
      <w:r>
        <w:rPr/>
        <w:t>关的全部风险和报酬，作出分析和判断。</w:t>
      </w:r>
    </w:p>
    <w:p>
      <w:pPr>
        <w:pStyle w:val="BodyText"/>
        <w:spacing w:line="316" w:lineRule="auto" w:before="19"/>
        <w:ind w:right="987"/>
        <w:jc w:val="left"/>
      </w:pPr>
      <w:r>
        <w:rPr/>
        <w:t>（2）坏账准备计提 </w:t>
      </w:r>
      <w:r>
        <w:rPr>
          <w:spacing w:val="-2"/>
        </w:rPr>
        <w:t>本公司根据应收款项的会计政策，采用备抵法核算坏账损失。应收款项减值是基于评估应收款项的可收回性。鉴定应收款项</w:t>
      </w:r>
      <w:r>
        <w:rPr>
          <w:spacing w:val="-65"/>
        </w:rPr>
        <w:t> </w:t>
      </w:r>
      <w:r>
        <w:rPr>
          <w:spacing w:val="-65"/>
        </w:rPr>
      </w:r>
      <w:r>
        <w:rPr>
          <w:spacing w:val="-2"/>
        </w:rPr>
        <w:t>减值要求管理层的判断和估计。实际的结果与原先估计的差异将在估计被改变的期间影响应收款项的账面价值及应收款项坏</w:t>
      </w:r>
      <w:r>
        <w:rPr>
          <w:spacing w:val="-64"/>
        </w:rPr>
        <w:t> </w:t>
      </w:r>
      <w:r>
        <w:rPr>
          <w:spacing w:val="-64"/>
        </w:rPr>
      </w:r>
      <w:r>
        <w:rPr/>
        <w:t>账准备的计提或转回。</w:t>
      </w:r>
    </w:p>
    <w:p>
      <w:pPr>
        <w:pStyle w:val="BodyText"/>
        <w:spacing w:line="316" w:lineRule="auto" w:before="19"/>
        <w:ind w:right="987"/>
        <w:jc w:val="left"/>
      </w:pPr>
      <w:r>
        <w:rPr/>
        <w:t>（3）存货跌价准备 </w:t>
      </w:r>
      <w:r>
        <w:rPr>
          <w:spacing w:val="-2"/>
        </w:rPr>
        <w:t>本公司根据存货会计政策，按照成本与可变现净值孰低计量，对成本高于可变现净值及陈旧和滞销的存货，计提存货跌价准</w:t>
      </w:r>
      <w:r>
        <w:rPr>
          <w:spacing w:val="-65"/>
        </w:rPr>
        <w:t> </w:t>
      </w:r>
      <w:r>
        <w:rPr>
          <w:spacing w:val="-65"/>
        </w:rPr>
      </w:r>
      <w:r>
        <w:rPr>
          <w:spacing w:val="-2"/>
        </w:rPr>
        <w:t>备。存货减值至可变现净值是基于评估存货的可售性及其可变现净值。鉴定存货减值要求管理层在取得确凿证据，并且考虑</w:t>
      </w:r>
      <w:r>
        <w:rPr>
          <w:spacing w:val="-65"/>
        </w:rPr>
        <w:t> </w:t>
      </w:r>
      <w:r>
        <w:rPr>
          <w:spacing w:val="-65"/>
        </w:rPr>
      </w:r>
      <w:r>
        <w:rPr>
          <w:spacing w:val="-2"/>
        </w:rPr>
        <w:t>持有存货的目的、资产负债表日后事项的影响等因素的基础上作出判断和估计。实际的结果与原先估计的差异将在估计被改</w:t>
      </w:r>
      <w:r>
        <w:rPr>
          <w:spacing w:val="-64"/>
        </w:rPr>
        <w:t> </w:t>
      </w:r>
      <w:r>
        <w:rPr>
          <w:spacing w:val="-64"/>
        </w:rPr>
      </w:r>
      <w:r>
        <w:rPr/>
        <w:t>变的期间影响存货的账面价值及存货跌价准备的计提或转回。</w:t>
      </w:r>
    </w:p>
    <w:p>
      <w:pPr>
        <w:pStyle w:val="BodyText"/>
        <w:spacing w:line="316" w:lineRule="auto" w:before="19"/>
        <w:ind w:right="1034"/>
        <w:jc w:val="left"/>
      </w:pPr>
      <w:r>
        <w:rPr/>
        <w:t>（4）长期资产减值准备 本公司于资产负债表日对除金融资产之外的非流动资产判断是否存在可能发生减值的迹象。对使用寿命不确定的无形资产， </w:t>
      </w:r>
      <w:r>
        <w:rPr>
          <w:spacing w:val="-2"/>
        </w:rPr>
        <w:t>除每年进行的减值测试外，当其存在减值迹象时，也进行减值测试。其他除金融资产之外的非流动资产，当存在迹象表明其</w:t>
      </w:r>
      <w:r>
        <w:rPr>
          <w:spacing w:val="-66"/>
        </w:rPr>
        <w:t> </w:t>
      </w:r>
      <w:r>
        <w:rPr>
          <w:spacing w:val="-66"/>
        </w:rPr>
      </w:r>
      <w:r>
        <w:rPr/>
        <w:t>账面金额不可收回时，进行减值测试。 </w:t>
      </w:r>
      <w:r>
        <w:rPr>
          <w:spacing w:val="-2"/>
        </w:rPr>
        <w:t>当资产或资产组的账面价值高于可收回金额，即公允价值减去处置费用后的净额和预计未来现金流量的现值中的较高者，表</w:t>
      </w:r>
      <w:r>
        <w:rPr>
          <w:spacing w:val="-64"/>
        </w:rPr>
        <w:t> </w:t>
      </w:r>
      <w:r>
        <w:rPr>
          <w:spacing w:val="-64"/>
        </w:rPr>
      </w:r>
      <w:r>
        <w:rPr/>
        <w:t>明发生了减值。 </w:t>
      </w:r>
      <w:r>
        <w:rPr>
          <w:spacing w:val="-2"/>
        </w:rPr>
        <w:t>公允价值减去处置费用后的净额，参考公平交易中类似资产的销售协议价格或可观察到的市场价格，减去可直接归属于该资</w:t>
      </w:r>
      <w:r>
        <w:rPr>
          <w:spacing w:val="-64"/>
        </w:rPr>
        <w:t> </w:t>
      </w:r>
      <w:r>
        <w:rPr>
          <w:spacing w:val="-64"/>
        </w:rPr>
      </w:r>
      <w:r>
        <w:rPr/>
        <w:t>产处置的增量成本确定。 </w:t>
      </w:r>
      <w:r>
        <w:rPr>
          <w:spacing w:val="-2"/>
        </w:rPr>
        <w:t>在预计未来现金流量现值时，需要对该资产（或资产组）的产量、售价、相关经营成本以及计算现值时使用的折现率等作出</w:t>
      </w:r>
      <w:r>
        <w:rPr>
          <w:spacing w:val="-65"/>
        </w:rPr>
        <w:t> </w:t>
      </w:r>
      <w:r>
        <w:rPr>
          <w:spacing w:val="-65"/>
        </w:rPr>
      </w:r>
      <w:r>
        <w:rPr>
          <w:spacing w:val="-2"/>
        </w:rPr>
        <w:t>重大判断。本公司在估计可收回金额时会采用所有能够获得的相关资料，包括根据合理和可支持的假设所作出有关产量、售</w:t>
      </w:r>
      <w:r>
        <w:rPr>
          <w:spacing w:val="-65"/>
        </w:rPr>
        <w:t> </w:t>
      </w:r>
      <w:r>
        <w:rPr>
          <w:spacing w:val="-65"/>
        </w:rPr>
      </w:r>
      <w:r>
        <w:rPr/>
        <w:t>价和相关经营成本的预测。 </w:t>
      </w:r>
      <w:r>
        <w:rPr>
          <w:spacing w:val="-2"/>
        </w:rPr>
        <w:t>本公司至少每年测试商誉是否发生减值。这要求对分配了商誉的资产组或者资产组组合的未来现金流量的现值进行预计。对</w:t>
      </w:r>
      <w:r>
        <w:rPr>
          <w:spacing w:val="-64"/>
        </w:rPr>
        <w:t> </w:t>
      </w:r>
      <w:r>
        <w:rPr>
          <w:spacing w:val="-64"/>
        </w:rPr>
      </w:r>
      <w:r>
        <w:rPr>
          <w:spacing w:val="-2"/>
        </w:rPr>
        <w:t>未来现金流量的现值进行预计时，本公司需要预计未来资产组或者资产组组合产生的现金流量，同时选择恰当的折现率确定</w:t>
      </w:r>
      <w:r>
        <w:rPr>
          <w:spacing w:val="-64"/>
        </w:rPr>
        <w:t> </w:t>
      </w:r>
      <w:r>
        <w:rPr>
          <w:spacing w:val="-64"/>
        </w:rPr>
      </w:r>
      <w:r>
        <w:rPr/>
        <w:t>未来现金流量的现值。</w:t>
      </w:r>
    </w:p>
    <w:p>
      <w:pPr>
        <w:pStyle w:val="BodyText"/>
        <w:spacing w:line="316" w:lineRule="auto" w:before="19"/>
        <w:ind w:right="987"/>
        <w:jc w:val="left"/>
      </w:pPr>
      <w:r>
        <w:rPr/>
        <w:t>（5）折旧和摊销 </w:t>
      </w:r>
      <w:r>
        <w:rPr>
          <w:spacing w:val="-2"/>
        </w:rPr>
        <w:t>本公司对投资性房地产、固定资产和无形资产在考虑其残值后，在使用寿命内按直线法计提折旧和摊销。本公司定期复核使</w:t>
      </w:r>
      <w:r>
        <w:rPr>
          <w:spacing w:val="-65"/>
        </w:rPr>
        <w:t> </w:t>
      </w:r>
      <w:r>
        <w:rPr>
          <w:spacing w:val="-65"/>
        </w:rPr>
      </w:r>
      <w:r>
        <w:rPr>
          <w:spacing w:val="-2"/>
        </w:rPr>
        <w:t>用寿命，以决定将计入每个报告期的折旧和摊销费用数额。使用寿命是本公司根据对同类资产的以往经验并结合预期的技术</w:t>
      </w:r>
      <w:r>
        <w:rPr>
          <w:spacing w:val="-64"/>
        </w:rPr>
        <w:t> </w:t>
      </w:r>
      <w:r>
        <w:rPr>
          <w:spacing w:val="-64"/>
        </w:rPr>
      </w:r>
      <w:r>
        <w:rPr/>
        <w:t>更新而确定的。如果以前的估计发生重大变化，则会在未来期间对折旧和摊销费用进行调整。</w:t>
      </w:r>
    </w:p>
    <w:p>
      <w:pPr>
        <w:pStyle w:val="BodyText"/>
        <w:spacing w:line="316" w:lineRule="auto" w:before="19"/>
        <w:ind w:right="1124"/>
        <w:jc w:val="left"/>
      </w:pPr>
      <w:r>
        <w:rPr/>
        <w:t>（6）开发支出 确定资本化的金额时，本公司管理层需要作出有关资产的预计未来现金流量、适用的折现率以及预计受益期间的假设。 </w:t>
      </w:r>
      <w:r>
        <w:rPr>
          <w:spacing w:val="-2"/>
        </w:rPr>
        <w:t>2018年12月31日本公司自行开发的钻孔数码成像探测仪分析系统、煤矿井下安全运输系统、煤矿综采工作面乳化液全自动配</w:t>
      </w:r>
      <w:r>
        <w:rPr>
          <w:spacing w:val="-60"/>
        </w:rPr>
        <w:t> </w:t>
      </w:r>
      <w:r>
        <w:rPr>
          <w:spacing w:val="-60"/>
        </w:rPr>
      </w:r>
      <w:r>
        <w:rPr/>
        <w:t>液装置及乳化液高压自动反冲洗过滤站装置、矿用智能集成供液系统等无形资产在资产负债表中的余额为人民币 57,237,688.38元。本公司管理层认为该业务的前景和目前的发展良好，市场对以该无形资产生产的产品的反应也证实了管</w:t>
      </w:r>
      <w:r>
        <w:rPr/>
        <w:t> </w:t>
      </w:r>
      <w:r>
        <w:rPr>
          <w:spacing w:val="-2"/>
        </w:rPr>
        <w:t>理层之前对这一项目预期收入的估计。但是日益增加的竞争也使得管理层重新考虑对市场份额和有关产品的预计毛利等方面</w:t>
      </w:r>
      <w:r>
        <w:rPr>
          <w:spacing w:val="-64"/>
        </w:rPr>
        <w:t> </w:t>
      </w:r>
      <w:r>
        <w:rPr>
          <w:spacing w:val="-64"/>
        </w:rPr>
      </w:r>
      <w:r>
        <w:rPr/>
        <w:t>的假设。经过全面的检视后，本公司管理层认为即使在产品回报率出现下调的情况下，仍可以全额收回25,342,507.63无形</w:t>
      </w:r>
      <w:r>
        <w:rPr/>
        <w:t> </w:t>
      </w:r>
      <w:r>
        <w:rPr>
          <w:spacing w:val="-2"/>
        </w:rPr>
        <w:t>资产账面价值。本公司将继续密切检视有关情况，一旦有迹象表明需要调整相关会计估计的假设，本公司将在有关迹象发生</w:t>
      </w:r>
      <w:r>
        <w:rPr>
          <w:spacing w:val="-65"/>
        </w:rPr>
        <w:t> </w:t>
      </w:r>
      <w:r>
        <w:rPr>
          <w:spacing w:val="-65"/>
        </w:rPr>
      </w:r>
      <w:r>
        <w:rPr/>
        <w:t>的期间作出调整。</w:t>
      </w:r>
    </w:p>
    <w:p>
      <w:pPr>
        <w:pStyle w:val="BodyText"/>
        <w:spacing w:line="240" w:lineRule="auto" w:before="19"/>
        <w:ind w:right="987"/>
        <w:jc w:val="left"/>
      </w:pPr>
      <w:r>
        <w:rPr/>
        <w:t>（7）递延所得税资产</w:t>
      </w:r>
    </w:p>
    <w:p>
      <w:pPr>
        <w:spacing w:after="0" w:line="240"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316" w:lineRule="auto"/>
        <w:ind w:right="1132"/>
        <w:jc w:val="both"/>
      </w:pPr>
      <w:r>
        <w:rPr>
          <w:spacing w:val="-2"/>
        </w:rPr>
        <w:t>在很有可能有足够的应纳税利润来抵扣亏损的限度内，本公司就所有未利用的税务亏损确认递延所得税资产。这需要本公司</w:t>
      </w:r>
      <w:r>
        <w:rPr>
          <w:spacing w:val="-64"/>
        </w:rPr>
        <w:t> </w:t>
      </w:r>
      <w:r>
        <w:rPr>
          <w:spacing w:val="-64"/>
        </w:rPr>
      </w:r>
      <w:r>
        <w:rPr>
          <w:spacing w:val="-2"/>
        </w:rPr>
        <w:t>管理层运用大量的判断来估计未来应纳税利润发生的时间和金额，结合纳税筹划策略，以决定应确认的递延所得税资产的金</w:t>
      </w:r>
      <w:r>
        <w:rPr>
          <w:spacing w:val="-64"/>
        </w:rPr>
        <w:t> </w:t>
      </w:r>
      <w:r>
        <w:rPr>
          <w:spacing w:val="-64"/>
        </w:rPr>
      </w:r>
      <w:r>
        <w:rPr/>
        <w:t>额。</w:t>
      </w:r>
    </w:p>
    <w:p>
      <w:pPr>
        <w:pStyle w:val="BodyText"/>
        <w:spacing w:line="316" w:lineRule="auto" w:before="19"/>
        <w:ind w:right="987"/>
        <w:jc w:val="left"/>
      </w:pPr>
      <w:r>
        <w:rPr/>
        <w:t>（8）所得税 </w:t>
      </w:r>
      <w:r>
        <w:rPr>
          <w:spacing w:val="-2"/>
        </w:rPr>
        <w:t>本公司在正常的经营活动中，有部分交易其最终的税务处理和计算存在一定的不确定性。部分项目是否能够在税前列支需要</w:t>
      </w:r>
      <w:r>
        <w:rPr>
          <w:spacing w:val="-64"/>
        </w:rPr>
        <w:t> </w:t>
      </w:r>
      <w:r>
        <w:rPr>
          <w:spacing w:val="-64"/>
        </w:rPr>
      </w:r>
      <w:r>
        <w:rPr>
          <w:spacing w:val="-2"/>
        </w:rPr>
        <w:t>税收主管机关的审批。如果这些税务事项的最终认定结果同最初估计的金额存在差异，则该差异将对其最终认定期间的当期</w:t>
      </w:r>
      <w:r>
        <w:rPr>
          <w:spacing w:val="-64"/>
        </w:rPr>
        <w:t> </w:t>
      </w:r>
      <w:r>
        <w:rPr>
          <w:spacing w:val="-64"/>
        </w:rPr>
      </w:r>
      <w:r>
        <w:rPr/>
        <w:t>所得税和递延所得税产生影响。</w:t>
      </w:r>
    </w:p>
    <w:p>
      <w:pPr>
        <w:spacing w:line="240" w:lineRule="auto" w:before="6"/>
        <w:rPr>
          <w:rFonts w:ascii="宋体" w:hAnsi="宋体" w:cs="宋体" w:eastAsia="宋体" w:hint="default"/>
          <w:sz w:val="22"/>
          <w:szCs w:val="22"/>
        </w:rPr>
      </w:pPr>
    </w:p>
    <w:p>
      <w:pPr>
        <w:pStyle w:val="Heading4"/>
        <w:spacing w:line="240" w:lineRule="auto"/>
        <w:ind w:right="987"/>
        <w:jc w:val="left"/>
        <w:rPr>
          <w:b w:val="0"/>
          <w:bCs w:val="0"/>
        </w:rPr>
      </w:pPr>
      <w:bookmarkStart w:name="27、重要会计政策和会计估计变更" w:id="197"/>
      <w:bookmarkEnd w:id="197"/>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重要会计政策变更"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before="0"/>
        <w:ind w:right="987"/>
        <w:jc w:val="left"/>
      </w:pPr>
      <w:r>
        <w:rPr/>
        <w:t>□ 适用 √ 不适用</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2）重要会计估计变更" w:id="199"/>
      <w:bookmarkEnd w:id="19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7"/>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987"/>
        <w:jc w:val="left"/>
        <w:rPr>
          <w:b w:val="0"/>
          <w:bCs w:val="0"/>
        </w:rPr>
      </w:pPr>
      <w:bookmarkStart w:name="六、税项" w:id="200"/>
      <w:bookmarkEnd w:id="200"/>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7"/>
        <w:jc w:val="left"/>
        <w:rPr>
          <w:b w:val="0"/>
          <w:bCs w:val="0"/>
        </w:rPr>
      </w:pPr>
      <w:bookmarkStart w:name="1、主要税种及税率" w:id="201"/>
      <w:bookmarkEnd w:id="20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61"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的税率计</w:t>
            </w:r>
          </w:p>
        </w:tc>
        <w:tc>
          <w:tcPr>
            <w:tcW w:w="319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算销项税</w:t>
            </w:r>
            <w:r>
              <w:rPr>
                <w:rFonts w:ascii="宋体" w:hAnsi="宋体" w:cs="宋体" w:eastAsia="宋体" w:hint="default"/>
                <w:spacing w:val="-87"/>
                <w:sz w:val="18"/>
                <w:szCs w:val="18"/>
              </w:rPr>
              <w:t>，</w:t>
            </w:r>
            <w:r>
              <w:rPr>
                <w:rFonts w:ascii="宋体" w:hAnsi="宋体" w:cs="宋体" w:eastAsia="宋体" w:hint="default"/>
                <w:sz w:val="18"/>
                <w:szCs w:val="18"/>
              </w:rPr>
              <w:t>并按扣除当期允许抵扣的进</w:t>
            </w:r>
          </w:p>
        </w:tc>
        <w:tc>
          <w:tcPr>
            <w:tcW w:w="319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5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项税额后的差额计缴增值税。</w:t>
            </w:r>
          </w:p>
        </w:tc>
        <w:tc>
          <w:tcPr>
            <w:tcW w:w="3190"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987"/>
        <w:jc w:val="left"/>
      </w:pPr>
      <w:r>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尤洛卡精准信息工程股份有限公司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尤洛卡（山东）矿业科技有限公司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尤洛卡（上海）国际贸易有限公司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尤洛卡（北京）产业信息技术研究院有限公司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尤洛卡（广东）精准信息工程技术研究院有限公司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长春师凯科技产业有限责任公司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上海富华软件有限公司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12.50%</w:t>
            </w:r>
          </w:p>
        </w:tc>
      </w:tr>
      <w:tr>
        <w:trPr>
          <w:trHeight w:val="400"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北京富优氢能技术有限公司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12.50%</w:t>
            </w:r>
          </w:p>
        </w:tc>
      </w:tr>
    </w:tbl>
    <w:p>
      <w:pPr>
        <w:spacing w:after="0" w:line="240" w:lineRule="auto"/>
        <w:jc w:val="left"/>
        <w:rPr>
          <w:rFonts w:ascii="Times New Roman" w:hAnsi="Times New Roman" w:cs="Times New Roman" w:eastAsia="Times New Roman" w:hint="default"/>
          <w:sz w:val="18"/>
          <w:szCs w:val="18"/>
        </w:rPr>
        <w:sectPr>
          <w:footerReference w:type="default" r:id="rId34"/>
          <w:pgSz w:w="11910" w:h="16840"/>
          <w:pgMar w:footer="1028" w:header="907" w:top="1100" w:bottom="1220" w:left="1020" w:right="0"/>
          <w:pgNumType w:start="1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成都富华宇祺通讯有限公司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泰安宇祺通讯技术有限公司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长春继珩精密光学技术有限公司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泰安市强德食品有限公司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4"/>
        <w:ind w:right="987"/>
        <w:jc w:val="left"/>
        <w:rPr>
          <w:b w:val="0"/>
          <w:bCs w:val="0"/>
        </w:rPr>
      </w:pPr>
      <w:bookmarkStart w:name="2、税收优惠" w:id="202"/>
      <w:bookmarkEnd w:id="20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4"/>
        <w:jc w:val="left"/>
      </w:pPr>
      <w:r>
        <w:rPr/>
        <w:t>（1）根据财政部、国家税务总局关于软件产品增值税政策的通知（财税（2000）25号、财税（2011）100号）的相关规定， </w:t>
      </w:r>
      <w:r>
        <w:rPr>
          <w:spacing w:val="-2"/>
        </w:rPr>
        <w:t>本公司子公司尤洛卡（山东）矿业科技有限公司、尤洛卡（北京）产业信息技术研究院有限公司、北京富华宇祺信息技术有</w:t>
      </w:r>
      <w:r>
        <w:rPr>
          <w:spacing w:val="-66"/>
        </w:rPr>
        <w:t> </w:t>
      </w:r>
      <w:r>
        <w:rPr>
          <w:spacing w:val="-66"/>
        </w:rPr>
      </w:r>
      <w:r>
        <w:rPr/>
        <w:t>限公司、上海富华软件有限公司、北京富优氢能技术有限公司、成都富华宇祺通讯有限公司享受“增值税实际税负超过3%</w:t>
      </w:r>
      <w:r>
        <w:rPr/>
        <w:t> 的部分执行即征即退”的政策。</w:t>
      </w:r>
    </w:p>
    <w:p>
      <w:pPr>
        <w:pStyle w:val="BodyText"/>
        <w:spacing w:line="316" w:lineRule="auto" w:before="19"/>
        <w:ind w:right="987"/>
        <w:jc w:val="left"/>
      </w:pPr>
      <w:r>
        <w:rPr>
          <w:spacing w:val="-2"/>
        </w:rPr>
        <w:t>（2）本公司2017年通过高新技术企业复审，证书编号GR2017137001560，将连续三年（2017年至2019年）继续享受国家关于</w:t>
      </w:r>
      <w:r>
        <w:rPr>
          <w:spacing w:val="-50"/>
        </w:rPr>
        <w:t> </w:t>
      </w:r>
      <w:r>
        <w:rPr>
          <w:spacing w:val="-50"/>
        </w:rPr>
      </w:r>
      <w:r>
        <w:rPr/>
        <w:t>高新技术企业的相关优惠政策，并按15%的税率缴纳企业所得税。</w:t>
      </w:r>
    </w:p>
    <w:p>
      <w:pPr>
        <w:pStyle w:val="BodyText"/>
        <w:spacing w:line="316" w:lineRule="auto" w:before="19"/>
        <w:ind w:right="1124"/>
        <w:jc w:val="left"/>
      </w:pPr>
      <w:r>
        <w:rPr/>
        <w:t>（3）本公司子公司尤洛卡（山东）矿业科技有限公司于2016年通过高新技术企业复审，证书编号GR201637000308，将连续 三年（2016年至2018年）继续享受国家关于高新技术企业的相关优惠政策，并按15%的税率缴纳企业所得税。</w:t>
      </w:r>
    </w:p>
    <w:p>
      <w:pPr>
        <w:pStyle w:val="BodyText"/>
        <w:spacing w:line="240" w:lineRule="auto" w:before="19"/>
        <w:ind w:right="987"/>
        <w:jc w:val="left"/>
      </w:pPr>
      <w:r>
        <w:rPr/>
        <w:t>（4）本公司子公司北京富华宇祺信息技术有限公司2017年通过高新技术企业复审，证书编号GR201711004119，将连续三年</w:t>
      </w:r>
    </w:p>
    <w:p>
      <w:pPr>
        <w:pStyle w:val="BodyText"/>
        <w:spacing w:line="240" w:lineRule="auto" w:before="76"/>
        <w:ind w:right="987"/>
        <w:jc w:val="left"/>
      </w:pPr>
      <w:r>
        <w:rPr/>
        <w:t>（2017年至2019年）继续享受国家关于高新技术企业的相关优惠政策，并按15%的税率缴纳企业所得税。</w:t>
      </w:r>
    </w:p>
    <w:p>
      <w:pPr>
        <w:pStyle w:val="BodyText"/>
        <w:spacing w:line="316" w:lineRule="auto" w:before="76"/>
        <w:ind w:right="1124"/>
        <w:jc w:val="left"/>
      </w:pPr>
      <w:r>
        <w:rPr/>
        <w:t>（5）本公司子公司尤洛卡（北京）产业信息技术研究院有限公司于2018年通过高新技术企业的认定，证书编号 GR201811005654，将连续三年（2018年至2020年）继续享受国家关于高新技术企业的相关优惠政策，并按15%的税率缴纳企 业所得税。</w:t>
      </w:r>
    </w:p>
    <w:p>
      <w:pPr>
        <w:pStyle w:val="BodyText"/>
        <w:spacing w:line="316" w:lineRule="auto" w:before="19"/>
        <w:ind w:right="1034"/>
        <w:jc w:val="left"/>
      </w:pPr>
      <w:r>
        <w:rPr/>
        <w:t>（6）本公司子公司北京富华宇祺信息技术有限公司的全资子公司上海富华软件有限公司于2015年5月6日取得上海市浦东新 区地方税务局关于企业所得税优惠事先备案结果通知书，根据财税【2012】27号文享受“第一年和第二年免征企业所得税、 第三年至第五年减半征收企业所得税”的政策，即自首个获利年度起，2014年至2015年免缴企业所得税，自2016年至2018 年减半缴纳企业所得税，本年度适用12.50%的税率。 </w:t>
      </w:r>
      <w:r>
        <w:rPr>
          <w:spacing w:val="-3"/>
        </w:rPr>
        <w:t>注：根据《关于软件和集成电路产业企业所得税优惠政策有关问题的通知》（财税【2016】49号文）规定，享受财税〔2012〕</w:t>
      </w:r>
      <w:r>
        <w:rPr>
          <w:spacing w:val="-88"/>
        </w:rPr>
        <w:t> </w:t>
      </w:r>
      <w:r>
        <w:rPr>
          <w:spacing w:val="-88"/>
        </w:rPr>
      </w:r>
      <w:r>
        <w:rPr>
          <w:spacing w:val="-2"/>
        </w:rPr>
        <w:t>27号文件规定的税收优惠政策的软件、集成电路企业，每年汇算清缴时应按照《国家税务总局关于发布〈企业所得税优惠政</w:t>
      </w:r>
      <w:r>
        <w:rPr>
          <w:spacing w:val="-65"/>
        </w:rPr>
        <w:t> </w:t>
      </w:r>
      <w:r>
        <w:rPr>
          <w:spacing w:val="-65"/>
        </w:rPr>
      </w:r>
      <w:r>
        <w:rPr>
          <w:spacing w:val="-2"/>
        </w:rPr>
        <w:t>策事项办理办法〉的公告》（国家税务总局公告2015年第76号）规定向税务机关备案，同时提交《享受企业所得税优惠政策</w:t>
      </w:r>
      <w:r>
        <w:rPr>
          <w:spacing w:val="-68"/>
        </w:rPr>
        <w:t> </w:t>
      </w:r>
      <w:r>
        <w:rPr>
          <w:spacing w:val="-68"/>
        </w:rPr>
      </w:r>
      <w:r>
        <w:rPr/>
        <w:t>的软件和集成电路企业备案资料明细表》规定的备案资料，公司管理层认为尤洛卡（北京）产业信息技术研究院有限公司、 </w:t>
      </w:r>
      <w:r>
        <w:rPr>
          <w:spacing w:val="-2"/>
        </w:rPr>
        <w:t>上海富华软件有限公司2018年度符合软件和集成电路产业企业所得税优惠政策的相关要求，2018年度按12.50%的税率计算缴</w:t>
      </w:r>
      <w:r>
        <w:rPr>
          <w:spacing w:val="-57"/>
        </w:rPr>
        <w:t> </w:t>
      </w:r>
      <w:r>
        <w:rPr>
          <w:spacing w:val="-57"/>
        </w:rPr>
      </w:r>
      <w:r>
        <w:rPr/>
        <w:t>纳企业所得税。</w:t>
      </w:r>
    </w:p>
    <w:p>
      <w:pPr>
        <w:pStyle w:val="BodyText"/>
        <w:spacing w:line="316" w:lineRule="auto" w:before="19"/>
        <w:ind w:right="1124"/>
        <w:jc w:val="left"/>
      </w:pPr>
      <w:r>
        <w:rPr/>
        <w:t>（7）本公司子公司北京富华宇祺信息技术有限公司的全资子公司北京富优氢能技术有限公司根据财税【2012】27号文享受 “第一年和第二年免征企业所得税、第三年至第五年减半征收企业所得税”的政策，即自首个获利年度起，2016年至2017 年免缴企业所得税，自2018年至2020年减半缴纳企业所得税，2018年度按12.50%税率计算缴纳企业所得税。 </w:t>
      </w:r>
      <w:r>
        <w:rPr>
          <w:spacing w:val="-2"/>
        </w:rPr>
        <w:t>根据《关于软件和集成电路产业企业所得税优惠政策有关问题的通知》（财税【2016】49号文）规定，享受财税〔2012〕27</w:t>
      </w:r>
      <w:r>
        <w:rPr>
          <w:spacing w:val="-63"/>
        </w:rPr>
        <w:t> </w:t>
      </w:r>
      <w:r>
        <w:rPr>
          <w:spacing w:val="-63"/>
        </w:rPr>
      </w:r>
      <w:r>
        <w:rPr>
          <w:spacing w:val="-2"/>
        </w:rPr>
        <w:t>号文件规定的税收优惠政策的软件、集成电路企业，每年汇算清缴时应按照《国家税务总局关于发布〈企业所得税优惠政策</w:t>
      </w:r>
      <w:r>
        <w:rPr>
          <w:spacing w:val="-66"/>
        </w:rPr>
        <w:t> </w:t>
      </w:r>
      <w:r>
        <w:rPr>
          <w:spacing w:val="-66"/>
        </w:rPr>
      </w:r>
      <w:r>
        <w:rPr>
          <w:spacing w:val="-2"/>
        </w:rPr>
        <w:t>事项办理办法〉的公告》（国家税务总局公告2015年第76号）规定向税务机关备案，同时提交《享受企业所得税优惠政策的</w:t>
      </w:r>
      <w:r>
        <w:rPr>
          <w:spacing w:val="-68"/>
        </w:rPr>
        <w:t> </w:t>
      </w:r>
      <w:r>
        <w:rPr>
          <w:spacing w:val="-68"/>
        </w:rPr>
      </w:r>
      <w:r>
        <w:rPr>
          <w:spacing w:val="-2"/>
        </w:rPr>
        <w:t>软件和集成电路企业备案资料明细表》规定的备案资料，公司管理层认为2018年度符合软件和集成电路产业企业所得税优惠</w:t>
      </w:r>
      <w:r>
        <w:rPr>
          <w:spacing w:val="-62"/>
        </w:rPr>
        <w:t> </w:t>
      </w:r>
      <w:r>
        <w:rPr>
          <w:spacing w:val="-62"/>
        </w:rPr>
      </w:r>
      <w:r>
        <w:rPr/>
        <w:t>政策的相关要求，2018年度按12.50%税率计算缴纳企业所得税。</w:t>
      </w:r>
    </w:p>
    <w:p>
      <w:pPr>
        <w:pStyle w:val="BodyText"/>
        <w:spacing w:line="316" w:lineRule="auto" w:before="19"/>
        <w:ind w:right="1141"/>
        <w:jc w:val="left"/>
      </w:pPr>
      <w:r>
        <w:rPr/>
        <w:t>（8）本公司子公司长春师凯科技产业有限责任公司2018年提交高新技术企业重新认定资料，并通过了2018年高新技术企业 认定，证书编号：GR201822000326，资格有效期3年，企业所得税优惠期为2018年-2020年，2018年的企业所得税税率15%。</w:t>
      </w:r>
    </w:p>
    <w:p>
      <w:pPr>
        <w:pStyle w:val="BodyText"/>
        <w:spacing w:line="316" w:lineRule="auto" w:before="19"/>
        <w:ind w:right="1141"/>
        <w:jc w:val="left"/>
      </w:pPr>
      <w:r>
        <w:rPr/>
        <w:t>（9）本公司的全资子公司长春继珩精密光学技术有限公司2018年提交高新技术企业认定资料，并通过了2018年高新技术企 业认定，证书编号：GR201822000027，资格有效期3年，企业所得税优惠期为2018年-2020年。</w:t>
      </w:r>
    </w:p>
    <w:p>
      <w:pPr>
        <w:pStyle w:val="BodyText"/>
        <w:spacing w:line="240" w:lineRule="auto" w:before="19"/>
        <w:ind w:right="987"/>
        <w:jc w:val="left"/>
      </w:pPr>
      <w:r>
        <w:rPr/>
        <w:t>（10）本公司子公司长春师凯科技产业有限责任公司根据财政部、国家税务总局有关文件，军品合同享受免征增值税政策，</w:t>
      </w:r>
    </w:p>
    <w:p>
      <w:pPr>
        <w:spacing w:after="0" w:line="240"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240" w:lineRule="auto"/>
        <w:ind w:right="987"/>
        <w:jc w:val="left"/>
      </w:pPr>
      <w:r>
        <w:rPr/>
        <w:t>对已征收入库的应予免征增值税税款，可抵减纳税人以后月份应缴纳的增值税税款或者办理税款退款。</w:t>
      </w:r>
    </w:p>
    <w:p>
      <w:pPr>
        <w:spacing w:line="240" w:lineRule="auto" w:before="1"/>
        <w:rPr>
          <w:rFonts w:ascii="宋体" w:hAnsi="宋体" w:cs="宋体" w:eastAsia="宋体" w:hint="default"/>
          <w:sz w:val="25"/>
          <w:szCs w:val="25"/>
        </w:rPr>
      </w:pPr>
    </w:p>
    <w:p>
      <w:pPr>
        <w:pStyle w:val="Heading2"/>
        <w:spacing w:line="240" w:lineRule="auto"/>
        <w:ind w:right="987"/>
        <w:jc w:val="left"/>
        <w:rPr>
          <w:b w:val="0"/>
          <w:bCs w:val="0"/>
        </w:rPr>
      </w:pPr>
      <w:bookmarkStart w:name="七、合并财务报表项目注释" w:id="203"/>
      <w:bookmarkEnd w:id="203"/>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7"/>
        <w:jc w:val="left"/>
        <w:rPr>
          <w:b w:val="0"/>
          <w:bCs w:val="0"/>
        </w:rPr>
      </w:pPr>
      <w:bookmarkStart w:name="1、货币资金" w:id="204"/>
      <w:bookmarkEnd w:id="204"/>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25,152.49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56,292.92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143,979,891.95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291,565,878.44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3,569,749.70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2,710,500.00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147,574,794.14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294,332,671.36</w:t>
            </w:r>
          </w:p>
        </w:tc>
      </w:tr>
    </w:tbl>
    <w:p>
      <w:pPr>
        <w:pStyle w:val="BodyText"/>
        <w:spacing w:line="240" w:lineRule="auto" w:before="49"/>
        <w:ind w:right="987"/>
        <w:jc w:val="left"/>
      </w:pPr>
      <w:r>
        <w:rPr/>
        <w:t>其他说明</w:t>
      </w:r>
    </w:p>
    <w:p>
      <w:pPr>
        <w:pStyle w:val="BodyText"/>
        <w:spacing w:line="316" w:lineRule="auto" w:before="117"/>
        <w:ind w:right="1124"/>
        <w:jc w:val="left"/>
      </w:pPr>
      <w:r>
        <w:rPr/>
        <w:t>（1）其他货币资金年末余额3,569,749.70元，系本公司为保证合同的履行向银行存入的履约保函金3,186,835.17元，银行 承兑汇票保证金382,914.53元；</w:t>
      </w:r>
    </w:p>
    <w:p>
      <w:pPr>
        <w:pStyle w:val="BodyText"/>
        <w:spacing w:line="240" w:lineRule="auto" w:before="19"/>
        <w:ind w:right="987"/>
        <w:jc w:val="left"/>
      </w:pPr>
      <w:r>
        <w:rPr/>
        <w:t>（2）其他货币资金年初余额2,710,500.00元，系本公司为保证合同的履行向银行存入的履约保函金。</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2、应收票据及应收账款" w:id="205"/>
      <w:bookmarkEnd w:id="205"/>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141,905,472.10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122,541,114.44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323,326,530.24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326,973,205.98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465,232,002.34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449,514,320.42</w:t>
            </w:r>
          </w:p>
        </w:tc>
      </w:tr>
    </w:tbl>
    <w:p>
      <w:pPr>
        <w:spacing w:line="240" w:lineRule="auto" w:before="3"/>
        <w:rPr>
          <w:rFonts w:ascii="宋体" w:hAnsi="宋体" w:cs="宋体" w:eastAsia="宋体" w:hint="default"/>
          <w:sz w:val="19"/>
          <w:szCs w:val="19"/>
        </w:rPr>
      </w:pPr>
    </w:p>
    <w:p>
      <w:pPr>
        <w:pStyle w:val="Heading4"/>
        <w:spacing w:line="240" w:lineRule="auto" w:before="34"/>
        <w:ind w:right="987"/>
        <w:jc w:val="left"/>
        <w:rPr>
          <w:b w:val="0"/>
          <w:bCs w:val="0"/>
        </w:rPr>
      </w:pPr>
      <w:bookmarkStart w:name="（1）应收票据" w:id="206"/>
      <w:bookmarkEnd w:id="206"/>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987"/>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36,545,472.10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26,148,635.69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105,360,000.00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96,392,478.75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141,905,472.10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122,541,114.44</w:t>
            </w:r>
          </w:p>
        </w:tc>
      </w:tr>
    </w:tbl>
    <w:p>
      <w:pPr>
        <w:pStyle w:val="BodyText"/>
        <w:spacing w:line="240" w:lineRule="auto" w:before="50"/>
        <w:ind w:right="987"/>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40,132,197.53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19,891,300.00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1" w:right="0"/>
              <w:jc w:val="left"/>
              <w:rPr>
                <w:rFonts w:ascii="Times New Roman" w:hAnsi="Times New Roman" w:cs="Times New Roman" w:eastAsia="Times New Roman" w:hint="default"/>
                <w:sz w:val="18"/>
                <w:szCs w:val="18"/>
              </w:rPr>
            </w:pPr>
            <w:r>
              <w:rPr>
                <w:rFonts w:ascii="Times New Roman"/>
                <w:sz w:val="18"/>
              </w:rPr>
              <w:t>60,023,497.53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987"/>
        <w:jc w:val="left"/>
        <w:rPr>
          <w:b w:val="0"/>
          <w:bCs w:val="0"/>
        </w:rPr>
      </w:pPr>
      <w:bookmarkStart w:name="（2）应收账款" w:id="207"/>
      <w:bookmarkEnd w:id="207"/>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987"/>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384,99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7,599.5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61,671,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069.35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16.02</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323,32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6,530.2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386,6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90,08</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8.79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59,716,</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882.81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326,973,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205.98</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384,99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7,599.5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61,671,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069.35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16.02</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323,32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6,530.2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386,6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90,08</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8.79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59,716,</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882.81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326,973,</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205.98</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28" w:top="1100" w:bottom="1220" w:left="1020" w:right="0"/>
        </w:sectPr>
      </w:pPr>
    </w:p>
    <w:p>
      <w:pPr>
        <w:pStyle w:val="BodyText"/>
        <w:spacing w:line="240" w:lineRule="auto" w:before="50"/>
        <w:ind w:right="-20"/>
        <w:jc w:val="left"/>
      </w:pPr>
      <w:r>
        <w:rPr/>
        <w:t>期末单项金额重大并单项计提坏账准备的应收账款：</w:t>
      </w:r>
    </w:p>
    <w:p>
      <w:pPr>
        <w:pStyle w:val="BodyText"/>
        <w:spacing w:line="360" w:lineRule="auto" w:before="117"/>
        <w:ind w:right="160"/>
        <w:jc w:val="left"/>
      </w:pPr>
      <w:r>
        <w:rPr/>
        <w:t>□ 适用 √ 不适用 组合中，按账龄分析法计提坏账准备的应收账款：</w:t>
      </w:r>
    </w:p>
    <w:p>
      <w:pPr>
        <w:pStyle w:val="BodyText"/>
        <w:spacing w:line="240" w:lineRule="auto" w:before="25"/>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w:t>
      </w:r>
      <w:r>
        <w:rPr>
          <w:spacing w:val="-2"/>
        </w:rPr>
        <w:t> </w:t>
      </w:r>
      <w:r>
        <w:rPr/>
        <w:t>元</w:t>
      </w:r>
    </w:p>
    <w:p>
      <w:pPr>
        <w:spacing w:after="0" w:line="240" w:lineRule="auto"/>
        <w:jc w:val="left"/>
        <w:sectPr>
          <w:type w:val="continuous"/>
          <w:pgSz w:w="11910" w:h="16840"/>
          <w:pgMar w:top="1100" w:bottom="700" w:left="1020" w:right="0"/>
          <w:cols w:num="2" w:equalWidth="0">
            <w:col w:w="4253" w:space="4576"/>
            <w:col w:w="206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238,844,538.44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11,942,226.93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71,020,846.27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7,102,084.63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46,436,367.27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13,930,910.18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28,695,847.61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28,695,847.61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7,174,597.90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7,174,597.90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9,801,795.10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9,801,795.10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11,719,454.61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11,719,454.61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384,997,599.59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61,671,069.35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4"/>
        <w:jc w:val="left"/>
      </w:pPr>
      <w:r>
        <w:rPr/>
        <w:t>确定该组合依据的说明： 组合中，采用余额百分比法计提坏账准备的应收账款：</w:t>
      </w:r>
    </w:p>
    <w:p>
      <w:pPr>
        <w:pStyle w:val="BodyText"/>
        <w:spacing w:line="360" w:lineRule="auto" w:before="25"/>
        <w:ind w:right="6794"/>
        <w:jc w:val="left"/>
      </w:pPr>
      <w:r>
        <w:rPr/>
        <w:t>□ 适用 √ 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240" w:lineRule="auto" w:before="1"/>
        <w:ind w:right="987"/>
        <w:jc w:val="left"/>
      </w:pPr>
      <w:r>
        <w:rPr/>
        <w:t>本期计提坏账准备金额</w:t>
      </w:r>
      <w:r>
        <w:rPr>
          <w:spacing w:val="-47"/>
        </w:rPr>
        <w:t> </w:t>
      </w:r>
      <w:r>
        <w:rPr>
          <w:rFonts w:ascii="Times New Roman" w:hAnsi="Times New Roman" w:cs="Times New Roman" w:eastAsia="Times New Roman" w:hint="default"/>
        </w:rPr>
        <w:t>1,954,186.54</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w:t>
      </w:r>
    </w:p>
    <w:p>
      <w:pPr>
        <w:spacing w:after="0" w:line="240" w:lineRule="auto"/>
        <w:jc w:val="left"/>
        <w:sectPr>
          <w:type w:val="continuous"/>
          <w:pgSz w:w="11910" w:h="16840"/>
          <w:pgMar w:top="1100" w:bottom="700" w:left="1020" w:right="0"/>
        </w:sectPr>
      </w:pPr>
    </w:p>
    <w:p>
      <w:pPr>
        <w:spacing w:line="240" w:lineRule="auto" w:before="13"/>
        <w:rPr>
          <w:rFonts w:ascii="宋体" w:hAnsi="宋体" w:cs="宋体" w:eastAsia="宋体" w:hint="default"/>
          <w:sz w:val="22"/>
          <w:szCs w:val="22"/>
        </w:rPr>
      </w:pPr>
    </w:p>
    <w:p>
      <w:pPr>
        <w:pStyle w:val="BodyText"/>
        <w:spacing w:line="240" w:lineRule="auto"/>
        <w:ind w:right="987"/>
        <w:jc w:val="left"/>
      </w:pPr>
      <w:r>
        <w:rPr/>
        <w:t>其中本期坏账准备收回或转回金额重要的：</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340" w:lineRule="auto" w:before="50"/>
        <w:ind w:right="6824"/>
        <w:jc w:val="left"/>
      </w:pPr>
      <w:r>
        <w:rPr>
          <w:rFonts w:ascii="Times New Roman" w:hAnsi="Times New Roman" w:cs="Times New Roman" w:eastAsia="Times New Roman" w:hint="default"/>
        </w:rPr>
        <w:t>3)</w:t>
      </w:r>
      <w:r>
        <w:rPr/>
        <w:t>按欠款方归集的期末余额前五名的应收账款情况 公司是否需要遵守特殊行业的披露要求</w:t>
      </w:r>
    </w:p>
    <w:p>
      <w:pPr>
        <w:pStyle w:val="BodyText"/>
        <w:spacing w:line="338" w:lineRule="auto" w:before="41"/>
        <w:ind w:right="1214"/>
        <w:jc w:val="left"/>
      </w:pPr>
      <w:r>
        <w:rPr/>
        <w:t>否 本公司本年按欠款方归集的年末余额前五名应收账款汇总金额为155,924,968.56元，占应收账款年末余额合计数的比例为 40.50%，相应计提的坏账准备年末余额汇总金额为12,902,574.07元。</w:t>
      </w:r>
    </w:p>
    <w:p>
      <w:pPr>
        <w:spacing w:line="240" w:lineRule="auto" w:before="5"/>
        <w:rPr>
          <w:rFonts w:ascii="宋体" w:hAnsi="宋体" w:cs="宋体" w:eastAsia="宋体" w:hint="default"/>
          <w:sz w:val="21"/>
          <w:szCs w:val="21"/>
        </w:rPr>
      </w:pPr>
    </w:p>
    <w:p>
      <w:pPr>
        <w:pStyle w:val="Heading4"/>
        <w:spacing w:line="240" w:lineRule="auto"/>
        <w:ind w:right="987"/>
        <w:jc w:val="left"/>
        <w:rPr>
          <w:b w:val="0"/>
          <w:bCs w:val="0"/>
        </w:rPr>
      </w:pPr>
      <w:bookmarkStart w:name="3、预付款项" w:id="208"/>
      <w:bookmarkEnd w:id="208"/>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7"/>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预付款项按账龄列示"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before="0"/>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9,299,047.30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11,681,965.49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56.02%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3,345,526.61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9,170,650.80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12,644,573.91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20,852,616.29</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7"/>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3"/>
        <w:rPr>
          <w:rFonts w:ascii="宋体" w:hAnsi="宋体" w:cs="宋体" w:eastAsia="宋体" w:hint="default"/>
          <w:sz w:val="25"/>
          <w:szCs w:val="25"/>
        </w:rPr>
      </w:pPr>
    </w:p>
    <w:p>
      <w:pPr>
        <w:pStyle w:val="Heading4"/>
        <w:spacing w:line="240" w:lineRule="auto"/>
        <w:ind w:right="987"/>
        <w:jc w:val="left"/>
        <w:rPr>
          <w:b w:val="0"/>
          <w:bCs w:val="0"/>
        </w:rPr>
      </w:pPr>
      <w:bookmarkStart w:name="（2）按预付对象归集的期末余额前五名的预付款情况" w:id="210"/>
      <w:bookmarkEnd w:id="21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574"/>
        <w:jc w:val="left"/>
      </w:pPr>
      <w:r>
        <w:rPr/>
        <w:t>本公司按预付对象归集的年末余额前五名预付账款汇总金额为8,330,908.25元，占预付账款年末余额合计数的比例为 65.89%。</w:t>
      </w:r>
    </w:p>
    <w:p>
      <w:pPr>
        <w:pStyle w:val="BodyText"/>
        <w:spacing w:line="240" w:lineRule="auto" w:before="57"/>
        <w:ind w:right="98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4、其他应收款" w:id="211"/>
      <w:bookmarkEnd w:id="211"/>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1,968,560.45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467,863.15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84,738,448.55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37,050,381.61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86,707,009.00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37,518,244.76</w:t>
            </w:r>
          </w:p>
        </w:tc>
      </w:tr>
    </w:tbl>
    <w:p>
      <w:pPr>
        <w:spacing w:line="240" w:lineRule="auto" w:before="3"/>
        <w:rPr>
          <w:rFonts w:ascii="宋体" w:hAnsi="宋体" w:cs="宋体" w:eastAsia="宋体" w:hint="default"/>
          <w:sz w:val="19"/>
          <w:szCs w:val="19"/>
        </w:rPr>
      </w:pPr>
    </w:p>
    <w:p>
      <w:pPr>
        <w:pStyle w:val="Heading4"/>
        <w:spacing w:line="240" w:lineRule="auto" w:before="34"/>
        <w:ind w:right="987"/>
        <w:jc w:val="left"/>
        <w:rPr>
          <w:b w:val="0"/>
          <w:bCs w:val="0"/>
        </w:rPr>
      </w:pPr>
      <w:bookmarkStart w:name="（1）应收利息" w:id="212"/>
      <w:bookmarkEnd w:id="21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987"/>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1,968,560.45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467,863.15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1,968,560.45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467,863.15</w:t>
            </w:r>
          </w:p>
        </w:tc>
      </w:tr>
    </w:tbl>
    <w:p>
      <w:pPr>
        <w:spacing w:line="240" w:lineRule="auto" w:before="3"/>
        <w:rPr>
          <w:rFonts w:ascii="宋体" w:hAnsi="宋体" w:cs="宋体" w:eastAsia="宋体" w:hint="default"/>
          <w:sz w:val="19"/>
          <w:szCs w:val="19"/>
        </w:rPr>
      </w:pPr>
    </w:p>
    <w:p>
      <w:pPr>
        <w:pStyle w:val="Heading4"/>
        <w:spacing w:line="240" w:lineRule="auto" w:before="34"/>
        <w:ind w:right="987"/>
        <w:jc w:val="left"/>
        <w:rPr>
          <w:b w:val="0"/>
          <w:bCs w:val="0"/>
        </w:rPr>
      </w:pPr>
      <w:bookmarkStart w:name="（2）其他应收款" w:id="213"/>
      <w:bookmarkEnd w:id="213"/>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987"/>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86,552,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989.48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1,814,5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40.93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84,738,</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448.55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38,32</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9,764</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1,279,3</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83.03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37,050,3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81.61</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86,552,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989.48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1,814,5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40.93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84,738,</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448.55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38,32</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9,764</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1,279,3</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83.03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37,050,3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81.61</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28" w:top="1100" w:bottom="1220" w:left="102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right="0"/>
        <w:jc w:val="left"/>
      </w:pPr>
      <w:r>
        <w:rPr/>
        <w:t>单位：</w:t>
      </w:r>
      <w:r>
        <w:rPr>
          <w:spacing w:val="-2"/>
        </w:rPr>
        <w:t> </w:t>
      </w:r>
      <w:r>
        <w:rPr/>
        <w:t>元</w:t>
      </w:r>
    </w:p>
    <w:p>
      <w:pPr>
        <w:spacing w:after="0" w:line="240" w:lineRule="auto"/>
        <w:jc w:val="left"/>
        <w:sectPr>
          <w:type w:val="continuous"/>
          <w:pgSz w:w="11910" w:h="16840"/>
          <w:pgMar w:top="1100" w:bottom="700" w:left="1020" w:right="0"/>
          <w:cols w:num="2" w:equalWidth="0">
            <w:col w:w="4433" w:space="439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7,241,514.68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362,075.75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1,347,077.18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134,707.72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1,366,209.05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409,862.72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907,894.74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907,894.74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324,164.47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324,164.47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463,806.87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463,806.87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119,923.40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119,923.40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10,862,695.65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1,814,540.93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2"/>
        <w:ind w:right="6254"/>
        <w:jc w:val="left"/>
      </w:pPr>
      <w:r>
        <w:rPr/>
        <w:t>确定该组合依据的说明： 组合中，采用余额百分比法计提坏账准备的其他应收款：</w:t>
      </w:r>
    </w:p>
    <w:p>
      <w:pPr>
        <w:pStyle w:val="BodyText"/>
        <w:spacing w:line="360" w:lineRule="auto" w:before="29"/>
        <w:ind w:right="6614"/>
        <w:jc w:val="left"/>
      </w:pPr>
      <w:r>
        <w:rPr/>
        <w:t>□ 适用 √ 不适用 组合中，采用其他方法计提坏账准备的其他应收款：</w:t>
      </w:r>
    </w:p>
    <w:p>
      <w:pPr>
        <w:spacing w:after="0" w:line="360" w:lineRule="auto"/>
        <w:jc w:val="left"/>
        <w:sectPr>
          <w:type w:val="continuous"/>
          <w:pgSz w:w="11910" w:h="16840"/>
          <w:pgMar w:top="1100" w:bottom="700" w:left="1020" w:right="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07" w:footer="1028" w:top="1100" w:bottom="1220" w:left="1020" w:right="0"/>
        </w:sectPr>
      </w:pPr>
    </w:p>
    <w:p>
      <w:pPr>
        <w:pStyle w:val="BodyText"/>
        <w:spacing w:line="240" w:lineRule="auto"/>
        <w:ind w:right="-9"/>
        <w:jc w:val="left"/>
      </w:pPr>
      <w:r>
        <w:rPr/>
        <w:t>□ 适用 √ 不适用</w:t>
      </w:r>
    </w:p>
    <w:p>
      <w:pPr>
        <w:pStyle w:val="BodyText"/>
        <w:spacing w:line="240" w:lineRule="auto" w:before="115"/>
        <w:ind w:right="-9"/>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3"/>
        <w:ind w:right="-9"/>
        <w:jc w:val="left"/>
      </w:pPr>
      <w:r>
        <w:rPr/>
        <w:t>本期计提坏账准备金额</w:t>
      </w:r>
      <w:r>
        <w:rPr>
          <w:spacing w:val="-47"/>
        </w:rPr>
        <w:t> </w:t>
      </w:r>
      <w:r>
        <w:rPr>
          <w:rFonts w:ascii="Times New Roman" w:hAnsi="Times New Roman" w:cs="Times New Roman" w:eastAsia="Times New Roman" w:hint="default"/>
        </w:rPr>
        <w:t>535,157.90</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before="0"/>
        <w:ind w:right="0"/>
        <w:jc w:val="left"/>
      </w:pPr>
      <w:r>
        <w:rPr/>
        <w:t>单位：</w:t>
      </w:r>
      <w:r>
        <w:rPr>
          <w:spacing w:val="-2"/>
        </w:rPr>
        <w:t> </w:t>
      </w:r>
      <w:r>
        <w:rPr/>
        <w:t>元</w:t>
      </w:r>
    </w:p>
    <w:p>
      <w:pPr>
        <w:spacing w:after="0" w:line="240" w:lineRule="auto"/>
        <w:jc w:val="left"/>
        <w:sectPr>
          <w:type w:val="continuous"/>
          <w:pgSz w:w="11910" w:h="16840"/>
          <w:pgMar w:top="1100" w:bottom="700" w:left="1020" w:right="0"/>
          <w:cols w:num="2" w:equalWidth="0">
            <w:col w:w="6279" w:space="2551"/>
            <w:col w:w="206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100" w:bottom="700" w:left="1020" w:right="0"/>
        </w:sectPr>
      </w:pPr>
    </w:p>
    <w:p>
      <w:pPr>
        <w:pStyle w:val="BodyText"/>
        <w:spacing w:line="240" w:lineRule="auto" w:before="12"/>
        <w:ind w:right="-20"/>
        <w:jc w:val="left"/>
      </w:pPr>
      <w:r>
        <w:rPr/>
        <w:t>不适用</w:t>
      </w:r>
    </w:p>
    <w:p>
      <w:pPr>
        <w:spacing w:before="28"/>
        <w:ind w:left="112" w:right="-2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pStyle w:val="BodyText"/>
        <w:spacing w:line="240" w:lineRule="auto" w:before="0"/>
        <w:ind w:right="0"/>
        <w:jc w:val="left"/>
      </w:pPr>
      <w:r>
        <w:rPr/>
        <w:t>单位：</w:t>
      </w:r>
      <w:r>
        <w:rPr>
          <w:spacing w:val="-2"/>
        </w:rPr>
        <w:t> </w:t>
      </w:r>
      <w:r>
        <w:rPr/>
        <w:t>元</w:t>
      </w:r>
    </w:p>
    <w:p>
      <w:pPr>
        <w:spacing w:after="0" w:line="240" w:lineRule="auto"/>
        <w:jc w:val="left"/>
        <w:sectPr>
          <w:type w:val="continuous"/>
          <w:pgSz w:w="11910" w:h="16840"/>
          <w:pgMar w:top="1100" w:bottom="700" w:left="1020" w:right="0"/>
          <w:cols w:num="2" w:equalWidth="0">
            <w:col w:w="3673" w:space="5157"/>
            <w:col w:w="206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2,177,380.38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1,761,433.05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3,878,403.48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4,222,308.68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185,796.00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75,690,293.83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30,998,803.78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1,806,911.79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1,161,423.13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86,552,989.48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38,329,764.64</w:t>
            </w:r>
          </w:p>
        </w:tc>
      </w:tr>
    </w:tbl>
    <w:p>
      <w:pPr>
        <w:pStyle w:val="BodyText"/>
        <w:spacing w:line="240" w:lineRule="auto" w:before="50"/>
        <w:ind w:right="987"/>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102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2" w:right="160"/>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01"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left"/>
              <w:rPr>
                <w:rFonts w:ascii="宋体" w:hAnsi="宋体" w:cs="宋体" w:eastAsia="宋体" w:hint="default"/>
                <w:sz w:val="18"/>
                <w:szCs w:val="18"/>
              </w:rPr>
            </w:pPr>
            <w:r>
              <w:rPr>
                <w:rFonts w:ascii="宋体" w:hAnsi="宋体" w:cs="宋体" w:eastAsia="宋体" w:hint="default"/>
                <w:sz w:val="18"/>
                <w:szCs w:val="18"/>
              </w:rPr>
              <w:t>长春市高新区国 税局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74,139,201.54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年以内、</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85.66%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00"/>
              <w:jc w:val="left"/>
              <w:rPr>
                <w:rFonts w:ascii="宋体" w:hAnsi="宋体" w:cs="宋体" w:eastAsia="宋体" w:hint="default"/>
                <w:sz w:val="18"/>
                <w:szCs w:val="18"/>
              </w:rPr>
            </w:pPr>
            <w:r>
              <w:rPr>
                <w:rFonts w:ascii="宋体" w:hAnsi="宋体" w:cs="宋体" w:eastAsia="宋体" w:hint="default"/>
                <w:spacing w:val="-8"/>
                <w:sz w:val="18"/>
                <w:szCs w:val="18"/>
              </w:rPr>
              <w:t>尤洛卡（山东）特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高压电气有限公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left"/>
              <w:rPr>
                <w:rFonts w:ascii="宋体" w:hAnsi="宋体" w:cs="宋体" w:eastAsia="宋体" w:hint="default"/>
                <w:sz w:val="18"/>
                <w:szCs w:val="18"/>
              </w:rPr>
            </w:pPr>
            <w:r>
              <w:rPr>
                <w:rFonts w:ascii="宋体" w:hAnsi="宋体" w:cs="宋体" w:eastAsia="宋体" w:hint="default"/>
                <w:sz w:val="18"/>
                <w:szCs w:val="18"/>
              </w:rPr>
              <w:t>义马煤业集团股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934,180.00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93,418.00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left"/>
              <w:rPr>
                <w:rFonts w:ascii="宋体" w:hAnsi="宋体" w:cs="宋体" w:eastAsia="宋体" w:hint="default"/>
                <w:sz w:val="18"/>
                <w:szCs w:val="18"/>
              </w:rPr>
            </w:pPr>
            <w:r>
              <w:rPr>
                <w:rFonts w:ascii="宋体" w:hAnsi="宋体" w:cs="宋体" w:eastAsia="宋体" w:hint="default"/>
                <w:sz w:val="18"/>
                <w:szCs w:val="18"/>
              </w:rPr>
              <w:t>中国神华国际工 程有限公司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594,897.16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35,148.22</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both"/>
              <w:rPr>
                <w:rFonts w:ascii="宋体" w:hAnsi="宋体" w:cs="宋体" w:eastAsia="宋体" w:hint="default"/>
                <w:sz w:val="18"/>
                <w:szCs w:val="18"/>
              </w:rPr>
            </w:pPr>
            <w:r>
              <w:rPr>
                <w:rFonts w:ascii="宋体" w:hAnsi="宋体" w:cs="宋体" w:eastAsia="宋体" w:hint="default"/>
                <w:sz w:val="18"/>
                <w:szCs w:val="18"/>
              </w:rPr>
              <w:t>北京海淀区国家 税务局第七税务 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542,367.53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0.63%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79,210,646.23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91.53%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278,566.22</w:t>
            </w:r>
          </w:p>
        </w:tc>
      </w:tr>
    </w:tbl>
    <w:p>
      <w:pPr>
        <w:pStyle w:val="BodyText"/>
        <w:spacing w:line="240" w:lineRule="auto" w:before="51"/>
        <w:ind w:right="987"/>
        <w:jc w:val="left"/>
      </w:pPr>
      <w:r>
        <w:rPr>
          <w:rFonts w:ascii="Times New Roman" w:hAnsi="Times New Roman" w:cs="Times New Roman" w:eastAsia="Times New Roman" w:hint="default"/>
        </w:rPr>
        <w:t>5)</w:t>
      </w:r>
      <w:r>
        <w:rPr/>
        <w:t>涉及政府补助的应收款项</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93" w:right="142" w:hanging="452"/>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bl>
    <w:p>
      <w:pPr>
        <w:spacing w:after="0" w:line="316" w:lineRule="auto"/>
        <w:jc w:val="left"/>
        <w:rPr>
          <w:rFonts w:ascii="宋体" w:hAnsi="宋体" w:cs="宋体" w:eastAsia="宋体" w:hint="default"/>
          <w:sz w:val="18"/>
          <w:szCs w:val="18"/>
        </w:rPr>
        <w:sectPr>
          <w:type w:val="continuous"/>
          <w:pgSz w:w="11910" w:h="16840"/>
          <w:pgMar w:top="1100" w:bottom="7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长春市高新区国税局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79"/>
              <w:jc w:val="left"/>
              <w:rPr>
                <w:rFonts w:ascii="宋体" w:hAnsi="宋体" w:cs="宋体" w:eastAsia="宋体" w:hint="default"/>
                <w:sz w:val="18"/>
                <w:szCs w:val="18"/>
              </w:rPr>
            </w:pPr>
            <w:r>
              <w:rPr>
                <w:rFonts w:ascii="宋体" w:hAnsi="宋体" w:cs="宋体" w:eastAsia="宋体" w:hint="default"/>
                <w:sz w:val="18"/>
                <w:szCs w:val="18"/>
              </w:rPr>
              <w:t>增值税及附加税返还 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74,139,201.54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年以内、</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不定期返还</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北京海淀区国家税务 局第七税务所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542,367.53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季度收 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泰安市高新区国税局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409,079.73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月全部收回</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78"/>
              <w:jc w:val="left"/>
              <w:rPr>
                <w:rFonts w:ascii="宋体" w:hAnsi="宋体" w:cs="宋体" w:eastAsia="宋体" w:hint="default"/>
                <w:sz w:val="18"/>
                <w:szCs w:val="18"/>
              </w:rPr>
            </w:pPr>
            <w:r>
              <w:rPr>
                <w:rFonts w:ascii="宋体" w:hAnsi="宋体" w:cs="宋体" w:eastAsia="宋体" w:hint="default"/>
                <w:sz w:val="18"/>
                <w:szCs w:val="18"/>
              </w:rPr>
              <w:t>北京市丰台区国家税 务局第五税务所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385,831.01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月收回</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83,603.43 </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月收回</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302,227.58</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78"/>
              <w:jc w:val="left"/>
              <w:rPr>
                <w:rFonts w:ascii="宋体" w:hAnsi="宋体" w:cs="宋体" w:eastAsia="宋体" w:hint="default"/>
                <w:sz w:val="18"/>
                <w:szCs w:val="18"/>
              </w:rPr>
            </w:pPr>
            <w:r>
              <w:rPr>
                <w:rFonts w:ascii="宋体" w:hAnsi="宋体" w:cs="宋体" w:eastAsia="宋体" w:hint="default"/>
                <w:sz w:val="18"/>
                <w:szCs w:val="18"/>
              </w:rPr>
              <w:t>上海市浦东新区国家 税务局第十五税务所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96,519.74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月收回</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37,318.54 </w:t>
            </w:r>
            <w:r>
              <w:rPr>
                <w:rFonts w:ascii="宋体" w:hAnsi="宋体" w:cs="宋体" w:eastAsia="宋体" w:hint="default"/>
                <w:sz w:val="18"/>
                <w:szCs w:val="18"/>
              </w:rPr>
              <w:t>元，</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月收</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59,201.20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北京市国家税务局第 三直属税务分局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86,443.10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月全部收回</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成都高新区国税局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30,851.18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01"/>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季度收 回</w:t>
            </w:r>
          </w:p>
        </w:tc>
      </w:tr>
    </w:tbl>
    <w:p>
      <w:pPr>
        <w:spacing w:line="240" w:lineRule="auto" w:before="4"/>
        <w:rPr>
          <w:rFonts w:ascii="宋体" w:hAnsi="宋体" w:cs="宋体" w:eastAsia="宋体" w:hint="default"/>
          <w:sz w:val="19"/>
          <w:szCs w:val="19"/>
        </w:rPr>
      </w:pPr>
    </w:p>
    <w:p>
      <w:pPr>
        <w:pStyle w:val="Heading4"/>
        <w:spacing w:line="240" w:lineRule="auto" w:before="34"/>
        <w:ind w:right="987"/>
        <w:jc w:val="left"/>
        <w:rPr>
          <w:b w:val="0"/>
          <w:bCs w:val="0"/>
        </w:rPr>
      </w:pPr>
      <w:bookmarkStart w:name="5、存货" w:id="214"/>
      <w:bookmarkEnd w:id="214"/>
      <w:r>
        <w:rPr>
          <w:b w:val="0"/>
          <w:bCs w:val="0"/>
        </w:rPr>
      </w:r>
      <w:r>
        <w:rPr>
          <w:rFonts w:ascii="Times New Roman" w:hAnsi="Times New Roman" w:cs="Times New Roman" w:eastAsia="Times New Roman" w:hint="default"/>
        </w:rPr>
        <w:t>5</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7514"/>
        <w:jc w:val="left"/>
      </w:pPr>
      <w:r>
        <w:rPr/>
        <w:t>公司是否需要遵守房地产行业的披露要求 否</w:t>
      </w:r>
    </w:p>
    <w:p>
      <w:pPr>
        <w:spacing w:line="240" w:lineRule="auto" w:before="3"/>
        <w:rPr>
          <w:rFonts w:ascii="宋体" w:hAnsi="宋体" w:cs="宋体" w:eastAsia="宋体" w:hint="default"/>
          <w:sz w:val="20"/>
          <w:szCs w:val="20"/>
        </w:rPr>
      </w:pPr>
    </w:p>
    <w:p>
      <w:pPr>
        <w:pStyle w:val="Heading4"/>
        <w:spacing w:line="240" w:lineRule="auto"/>
        <w:ind w:right="987"/>
        <w:jc w:val="left"/>
        <w:rPr>
          <w:b w:val="0"/>
          <w:bCs w:val="0"/>
        </w:rPr>
      </w:pPr>
      <w:bookmarkStart w:name="（1）存货分类" w:id="215"/>
      <w:bookmarkEnd w:id="21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46,585,046.48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46,585,046.48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31,672,080.76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31,672,080.76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15,729,568.75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15,729,568.75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14,483,887.82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14,483,887.82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22,581,987.39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169,999.30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22,411,988.09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24,809,557.80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169,999.30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24,639,558.50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24,737,990.83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937,667.56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23,800,323.27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23,928,472.53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362,732.03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23,565,740.50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2,541,266.44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2,541,266.44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1,158,917.69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1,158,917.69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112,175,859.89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1,107,666.86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2"/>
                <w:sz w:val="18"/>
              </w:rPr>
              <w:t>111,068,193.03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96,052,916.60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532,731.33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95,520,185.27</w:t>
            </w:r>
          </w:p>
        </w:tc>
      </w:tr>
    </w:tbl>
    <w:p>
      <w:pPr>
        <w:pStyle w:val="BodyText"/>
        <w:spacing w:line="340" w:lineRule="auto" w:before="49"/>
        <w:ind w:right="2475"/>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号—上市公司从事种业、种植业务》的披露要求 否</w:t>
      </w:r>
    </w:p>
    <w:p>
      <w:pPr>
        <w:pStyle w:val="BodyText"/>
        <w:spacing w:line="338" w:lineRule="auto" w:before="41"/>
        <w:ind w:right="1575"/>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号——上市公司从事广播电影电视业务》的披露要求 否</w:t>
      </w:r>
    </w:p>
    <w:p>
      <w:pPr>
        <w:pStyle w:val="BodyText"/>
        <w:spacing w:line="340" w:lineRule="auto" w:before="43"/>
        <w:ind w:right="175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 否</w:t>
      </w:r>
    </w:p>
    <w:p>
      <w:pPr>
        <w:pStyle w:val="BodyText"/>
        <w:spacing w:line="240" w:lineRule="auto" w:before="39"/>
        <w:ind w:right="987"/>
        <w:jc w:val="left"/>
      </w:pPr>
      <w:r>
        <w:rPr/>
        <w:t>公司需遵守《深圳证券交易所行业信息披露指引第</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5"/>
        </w:rPr>
        <w:t> </w:t>
      </w:r>
      <w:r>
        <w:rPr/>
        <w:t>号——上市公司从事珠宝相关业务》的披露要求</w:t>
      </w:r>
    </w:p>
    <w:p>
      <w:pPr>
        <w:spacing w:after="0" w:line="240"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240" w:lineRule="auto"/>
        <w:ind w:right="987"/>
        <w:jc w:val="left"/>
      </w:pPr>
      <w:r>
        <w:rPr/>
        <w:t>否</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2）存货跌价准备" w:id="216"/>
      <w:bookmarkEnd w:id="21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169,999.30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169,999.30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362,732.03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5" w:right="0"/>
              <w:jc w:val="left"/>
              <w:rPr>
                <w:rFonts w:ascii="Times New Roman" w:hAnsi="Times New Roman" w:cs="Times New Roman" w:eastAsia="Times New Roman" w:hint="default"/>
                <w:sz w:val="18"/>
                <w:szCs w:val="18"/>
              </w:rPr>
            </w:pPr>
            <w:r>
              <w:rPr>
                <w:rFonts w:ascii="Times New Roman"/>
                <w:sz w:val="18"/>
              </w:rPr>
              <w:t>937,667.56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362,732.03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937,667.56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532,731.33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5" w:right="0"/>
              <w:jc w:val="left"/>
              <w:rPr>
                <w:rFonts w:ascii="Times New Roman" w:hAnsi="Times New Roman" w:cs="Times New Roman" w:eastAsia="Times New Roman" w:hint="default"/>
                <w:sz w:val="18"/>
                <w:szCs w:val="18"/>
              </w:rPr>
            </w:pPr>
            <w:r>
              <w:rPr>
                <w:rFonts w:ascii="Times New Roman"/>
                <w:sz w:val="18"/>
              </w:rPr>
              <w:t>937,667.56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362,732.03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1,107,666.86</w:t>
            </w:r>
          </w:p>
        </w:tc>
      </w:tr>
    </w:tbl>
    <w:p>
      <w:pPr>
        <w:spacing w:line="240" w:lineRule="auto" w:before="4"/>
        <w:rPr>
          <w:rFonts w:ascii="宋体" w:hAnsi="宋体" w:cs="宋体" w:eastAsia="宋体" w:hint="default"/>
          <w:sz w:val="19"/>
          <w:szCs w:val="19"/>
        </w:rPr>
      </w:pPr>
    </w:p>
    <w:p>
      <w:pPr>
        <w:pStyle w:val="Heading4"/>
        <w:spacing w:line="240" w:lineRule="auto" w:before="34"/>
        <w:ind w:right="987"/>
        <w:jc w:val="left"/>
        <w:rPr>
          <w:b w:val="0"/>
          <w:bCs w:val="0"/>
        </w:rPr>
      </w:pPr>
      <w:bookmarkStart w:name="（3）存货期末余额含有借款费用资本化金额的说明" w:id="217"/>
      <w:bookmarkEnd w:id="21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7"/>
        <w:jc w:val="left"/>
      </w:pPr>
      <w:r>
        <w:rPr/>
        <w:t>不适用</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4）期末建造合同形成的已完工未结算资产情况" w:id="218"/>
      <w:bookmarkEnd w:id="21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2;width:4778;height:397" coordorigin="13,12" coordsize="4778,397">
              <v:shape style="position:absolute;left:13;top:12;width:4778;height:397" coordorigin="13,12" coordsize="4778,397" path="m13,12l4791,12,4791,409,13,409,13,12xe" filled="true" fillcolor="#d2d2d2" stroked="false">
                <v:path arrowok="t"/>
                <v:fill type="solid"/>
              </v:shape>
            </v:group>
            <v:group style="position:absolute;left:4796;top:12;width:4780;height:397" coordorigin="4796,12" coordsize="4780,397">
              <v:shape style="position:absolute;left:4796;top:12;width:4780;height:397" coordorigin="4796,12" coordsize="4780,397" path="m4796,12l9576,12,9576,409,4796,409,4796,12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360" w:lineRule="auto" w:before="50"/>
        <w:ind w:right="9854"/>
        <w:jc w:val="left"/>
      </w:pPr>
      <w:r>
        <w:rPr/>
        <w:t>其他说明： 不适用</w:t>
      </w:r>
    </w:p>
    <w:p>
      <w:pPr>
        <w:spacing w:line="240" w:lineRule="auto" w:before="12"/>
        <w:rPr>
          <w:rFonts w:ascii="宋体" w:hAnsi="宋体" w:cs="宋体" w:eastAsia="宋体" w:hint="default"/>
          <w:sz w:val="19"/>
          <w:szCs w:val="19"/>
        </w:rPr>
      </w:pPr>
    </w:p>
    <w:p>
      <w:pPr>
        <w:pStyle w:val="Heading4"/>
        <w:spacing w:line="240" w:lineRule="auto"/>
        <w:ind w:right="987"/>
        <w:jc w:val="left"/>
        <w:rPr>
          <w:b w:val="0"/>
          <w:bCs w:val="0"/>
        </w:rPr>
      </w:pPr>
      <w:bookmarkStart w:name="6、其他流动资产" w:id="219"/>
      <w:bookmarkEnd w:id="219"/>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尚未抵扣增值税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2,400,013.02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2,908,692.50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62,336.17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5,142,997.95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预付房租及网络费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1,148,596.93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802,167.67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187,000,000.00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105,500,000.00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190,610,946.12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114,353,858.12</w:t>
            </w:r>
          </w:p>
        </w:tc>
      </w:tr>
    </w:tbl>
    <w:p>
      <w:pPr>
        <w:pStyle w:val="BodyText"/>
        <w:spacing w:line="240" w:lineRule="auto" w:before="50"/>
        <w:ind w:right="98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7、可供出售金融资产" w:id="220"/>
      <w:bookmarkEnd w:id="220"/>
      <w:r>
        <w:rPr>
          <w:b w:val="0"/>
          <w:bCs w:val="0"/>
        </w:rPr>
      </w:r>
      <w:r>
        <w:rPr>
          <w:rFonts w:ascii="Times New Roman" w:hAnsi="Times New Roman" w:cs="Times New Roman" w:eastAsia="Times New Roman" w:hint="default"/>
        </w:rPr>
        <w:t>7</w:t>
      </w:r>
      <w:r>
        <w:rPr/>
        <w:t>、可供出售金融资产</w:t>
      </w:r>
      <w:r>
        <w:rPr>
          <w:b w:val="0"/>
          <w:bCs w:val="0"/>
        </w:rPr>
      </w:r>
    </w:p>
    <w:p>
      <w:pPr>
        <w:spacing w:line="240" w:lineRule="auto" w:before="7"/>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可供出售金融资产情况" w:id="221"/>
      <w:bookmarkEnd w:id="2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0"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65,600,000.0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65,600,000.0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31,200,000.00</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65,600,000.0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65,600,000.0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31,200,000.00</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65,600,000.0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65,600,000.0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31,200,000.00</w:t>
            </w:r>
          </w:p>
        </w:tc>
      </w:tr>
    </w:tbl>
    <w:p>
      <w:pPr>
        <w:spacing w:line="240" w:lineRule="auto" w:before="4"/>
        <w:rPr>
          <w:rFonts w:ascii="宋体" w:hAnsi="宋体" w:cs="宋体" w:eastAsia="宋体" w:hint="default"/>
          <w:sz w:val="19"/>
          <w:szCs w:val="19"/>
        </w:rPr>
      </w:pPr>
    </w:p>
    <w:p>
      <w:pPr>
        <w:pStyle w:val="Heading4"/>
        <w:spacing w:line="240" w:lineRule="auto" w:before="34"/>
        <w:ind w:right="987"/>
        <w:jc w:val="left"/>
        <w:rPr>
          <w:b w:val="0"/>
          <w:bCs w:val="0"/>
        </w:rPr>
      </w:pPr>
      <w:bookmarkStart w:name="（2）期末按成本计量的可供出售金融资产" w:id="222"/>
      <w:bookmarkEnd w:id="222"/>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在被投</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12" w:hRule="exact"/>
        </w:trPr>
        <w:tc>
          <w:tcPr>
            <w:tcW w:w="8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157" w:right="0"/>
              <w:jc w:val="left"/>
              <w:rPr>
                <w:rFonts w:ascii="宋体" w:hAnsi="宋体" w:cs="宋体" w:eastAsia="宋体" w:hint="default"/>
                <w:sz w:val="18"/>
                <w:szCs w:val="18"/>
              </w:rPr>
            </w:pPr>
            <w:r>
              <w:rPr>
                <w:rFonts w:ascii="宋体" w:hAnsi="宋体" w:cs="宋体" w:eastAsia="宋体" w:hint="default"/>
                <w:sz w:val="18"/>
                <w:szCs w:val="18"/>
              </w:rPr>
              <w:t>被投资</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160" w:right="0"/>
              <w:jc w:val="left"/>
              <w:rPr>
                <w:rFonts w:ascii="宋体" w:hAnsi="宋体" w:cs="宋体" w:eastAsia="宋体" w:hint="default"/>
                <w:sz w:val="18"/>
                <w:szCs w:val="18"/>
              </w:rPr>
            </w:pPr>
            <w:r>
              <w:rPr>
                <w:rFonts w:ascii="宋体" w:hAnsi="宋体" w:cs="宋体" w:eastAsia="宋体" w:hint="default"/>
                <w:sz w:val="18"/>
                <w:szCs w:val="18"/>
              </w:rPr>
              <w:t>资单位</w:t>
            </w:r>
          </w:p>
        </w:tc>
        <w:tc>
          <w:tcPr>
            <w:tcW w:w="8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right="1"/>
              <w:jc w:val="center"/>
              <w:rPr>
                <w:rFonts w:ascii="宋体" w:hAnsi="宋体" w:cs="宋体" w:eastAsia="宋体" w:hint="default"/>
                <w:sz w:val="18"/>
                <w:szCs w:val="18"/>
              </w:rPr>
            </w:pPr>
            <w:r>
              <w:rPr>
                <w:rFonts w:ascii="宋体" w:hAnsi="宋体" w:cs="宋体" w:eastAsia="宋体" w:hint="default"/>
                <w:sz w:val="18"/>
                <w:szCs w:val="18"/>
              </w:rPr>
              <w:t>本期现</w:t>
            </w:r>
          </w:p>
        </w:tc>
      </w:tr>
      <w:tr>
        <w:trPr>
          <w:trHeight w:val="724" w:hRule="exact"/>
        </w:trPr>
        <w:tc>
          <w:tcPr>
            <w:tcW w:w="86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5"/>
              <w:ind w:left="245"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1" w:lineRule="exact"/>
              <w:ind w:right="1"/>
              <w:jc w:val="center"/>
              <w:rPr>
                <w:rFonts w:ascii="宋体" w:hAnsi="宋体" w:cs="宋体" w:eastAsia="宋体" w:hint="default"/>
                <w:sz w:val="18"/>
                <w:szCs w:val="18"/>
              </w:rPr>
            </w:pPr>
            <w:r>
              <w:rPr>
                <w:rFonts w:ascii="宋体" w:hAnsi="宋体" w:cs="宋体" w:eastAsia="宋体" w:hint="default"/>
                <w:sz w:val="18"/>
                <w:szCs w:val="18"/>
              </w:rPr>
              <w:t>本期增</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加</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本期减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少</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1" w:lineRule="exact"/>
              <w:ind w:right="1"/>
              <w:jc w:val="center"/>
              <w:rPr>
                <w:rFonts w:ascii="宋体" w:hAnsi="宋体" w:cs="宋体" w:eastAsia="宋体" w:hint="default"/>
                <w:sz w:val="18"/>
                <w:szCs w:val="18"/>
              </w:rPr>
            </w:pPr>
            <w:r>
              <w:rPr>
                <w:rFonts w:ascii="宋体" w:hAnsi="宋体" w:cs="宋体" w:eastAsia="宋体" w:hint="default"/>
                <w:sz w:val="18"/>
                <w:szCs w:val="18"/>
              </w:rPr>
              <w:t>本期增</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加</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本期减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少</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65"/>
              <w:ind w:left="340" w:right="157"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金红利</w:t>
            </w: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西安鲁</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312"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信尤洛</w:t>
            </w: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r>
      <w:tr>
        <w:trPr>
          <w:trHeight w:val="93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09"/>
              <w:jc w:val="both"/>
              <w:rPr>
                <w:rFonts w:ascii="宋体" w:hAnsi="宋体" w:cs="宋体" w:eastAsia="宋体" w:hint="default"/>
                <w:sz w:val="18"/>
                <w:szCs w:val="18"/>
              </w:rPr>
            </w:pPr>
            <w:r>
              <w:rPr>
                <w:rFonts w:ascii="宋体" w:hAnsi="宋体" w:cs="宋体" w:eastAsia="宋体" w:hint="default"/>
                <w:sz w:val="18"/>
                <w:szCs w:val="18"/>
              </w:rPr>
              <w:t>卡股权 投资中 心合伙</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31,200,0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23,400,0</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00.00</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54,600,0</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39.00%</w:t>
            </w:r>
          </w:p>
        </w:tc>
        <w:tc>
          <w:tcPr>
            <w:tcW w:w="870" w:type="dxa"/>
            <w:vMerge/>
            <w:tcBorders>
              <w:left w:val="single" w:sz="4" w:space="0" w:color="000000"/>
              <w:right w:val="single" w:sz="4" w:space="0" w:color="000000"/>
            </w:tcBorders>
          </w:tcPr>
          <w:p>
            <w:pPr/>
          </w:p>
        </w:tc>
      </w:tr>
      <w:tr>
        <w:trPr>
          <w:trHeight w:val="312"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18"/>
                <w:sz w:val="18"/>
                <w:szCs w:val="18"/>
              </w:rPr>
              <w:t>企业（有</w:t>
            </w:r>
          </w:p>
        </w:tc>
        <w:tc>
          <w:tcPr>
            <w:tcW w:w="870" w:type="dxa"/>
            <w:tcBorders>
              <w:top w:val="nil" w:sz="6" w:space="0" w:color="auto"/>
              <w:left w:val="single" w:sz="4" w:space="0" w:color="000000"/>
              <w:bottom w:val="nil" w:sz="6" w:space="0" w:color="auto"/>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r>
      <w:tr>
        <w:trPr>
          <w:trHeight w:val="356"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7"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山东奥</w:t>
            </w: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93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09"/>
              <w:jc w:val="both"/>
              <w:rPr>
                <w:rFonts w:ascii="宋体" w:hAnsi="宋体" w:cs="宋体" w:eastAsia="宋体" w:hint="default"/>
                <w:sz w:val="18"/>
                <w:szCs w:val="18"/>
              </w:rPr>
            </w:pPr>
            <w:r>
              <w:rPr>
                <w:rFonts w:ascii="宋体" w:hAnsi="宋体" w:cs="宋体" w:eastAsia="宋体" w:hint="default"/>
                <w:sz w:val="18"/>
                <w:szCs w:val="18"/>
              </w:rPr>
              <w:t>扬新能 源科技 股份有</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00.00</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z w:val="18"/>
              </w:rPr>
              <w:t>0.65%</w:t>
            </w:r>
          </w:p>
        </w:tc>
        <w:tc>
          <w:tcPr>
            <w:tcW w:w="870" w:type="dxa"/>
            <w:vMerge/>
            <w:tcBorders>
              <w:left w:val="single" w:sz="4" w:space="0" w:color="000000"/>
              <w:right w:val="single" w:sz="4" w:space="0" w:color="000000"/>
            </w:tcBorders>
          </w:tcPr>
          <w:p>
            <w:pPr/>
          </w:p>
        </w:tc>
      </w:tr>
      <w:tr>
        <w:trPr>
          <w:trHeight w:val="357"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北京普</w:t>
            </w: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628"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09"/>
              <w:jc w:val="left"/>
              <w:rPr>
                <w:rFonts w:ascii="宋体" w:hAnsi="宋体" w:cs="宋体" w:eastAsia="宋体" w:hint="default"/>
                <w:sz w:val="18"/>
                <w:szCs w:val="18"/>
              </w:rPr>
            </w:pPr>
            <w:r>
              <w:rPr>
                <w:rFonts w:ascii="宋体" w:hAnsi="宋体" w:cs="宋体" w:eastAsia="宋体" w:hint="default"/>
                <w:sz w:val="18"/>
                <w:szCs w:val="18"/>
              </w:rPr>
              <w:t>链信息 技术有</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8"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28"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w:t>
            </w:r>
          </w:p>
        </w:tc>
        <w:tc>
          <w:tcPr>
            <w:tcW w:w="870" w:type="dxa"/>
            <w:vMerge/>
            <w:tcBorders>
              <w:left w:val="single" w:sz="4" w:space="0" w:color="000000"/>
              <w:right w:val="single" w:sz="4" w:space="0" w:color="000000"/>
            </w:tcBorders>
          </w:tcPr>
          <w:p>
            <w:pPr/>
          </w:p>
        </w:tc>
      </w:tr>
      <w:tr>
        <w:trPr>
          <w:trHeight w:val="352"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31,200,0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34,400,0</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65,600,0</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4"/>
        <w:ind w:right="987"/>
        <w:jc w:val="left"/>
        <w:rPr>
          <w:b w:val="0"/>
          <w:bCs w:val="0"/>
        </w:rPr>
      </w:pPr>
      <w:bookmarkStart w:name="8、长期股权投资" w:id="223"/>
      <w:bookmarkEnd w:id="223"/>
      <w:r>
        <w:rPr>
          <w:b w:val="0"/>
          <w:bCs w:val="0"/>
        </w:rPr>
      </w:r>
      <w:r>
        <w:rPr>
          <w:rFonts w:ascii="Times New Roman" w:hAnsi="Times New Roman" w:cs="Times New Roman" w:eastAsia="Times New Roman" w:hint="default"/>
        </w:rPr>
        <w:t>8</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212" w:right="120"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6" w:lineRule="auto"/>
              <w:ind w:left="305"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6"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西安鲁</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信股权 投资管 理有限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812,15</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0.77</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9,772.1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821,92</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2.96</w:t>
            </w:r>
          </w:p>
        </w:tc>
        <w:tc>
          <w:tcPr>
            <w:tcW w:w="798" w:type="dxa"/>
            <w:vMerge/>
            <w:tcBorders>
              <w:left w:val="single" w:sz="4" w:space="0" w:color="000000"/>
              <w:right w:val="single" w:sz="4" w:space="0" w:color="000000"/>
            </w:tcBorders>
          </w:tcPr>
          <w:p>
            <w:pPr/>
          </w:p>
        </w:tc>
      </w:tr>
      <w:tr>
        <w:trPr>
          <w:trHeight w:val="358"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8"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尤洛卡</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（山</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1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东）特</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1,920,5</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-682,24</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1,238,2</w:t>
            </w:r>
          </w:p>
        </w:tc>
        <w:tc>
          <w:tcPr>
            <w:tcW w:w="798" w:type="dxa"/>
            <w:vMerge/>
            <w:tcBorders>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高压电</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z w:val="18"/>
              </w:rPr>
              <w:t>02.35</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7.75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00"/>
              <w:jc w:val="right"/>
              <w:rPr>
                <w:rFonts w:ascii="Times New Roman" w:hAnsi="Times New Roman" w:cs="Times New Roman" w:eastAsia="Times New Roman" w:hint="default"/>
                <w:sz w:val="18"/>
                <w:szCs w:val="18"/>
              </w:rPr>
            </w:pPr>
            <w:r>
              <w:rPr>
                <w:rFonts w:ascii="Times New Roman"/>
                <w:spacing w:val="-1"/>
                <w:sz w:val="18"/>
              </w:rPr>
              <w:t>54.60</w:t>
            </w:r>
          </w:p>
        </w:tc>
        <w:tc>
          <w:tcPr>
            <w:tcW w:w="798" w:type="dxa"/>
            <w:vMerge/>
            <w:tcBorders>
              <w:left w:val="single" w:sz="4" w:space="0" w:color="000000"/>
              <w:right w:val="single" w:sz="4" w:space="0" w:color="000000"/>
            </w:tcBorders>
          </w:tcPr>
          <w:p>
            <w:pPr/>
          </w:p>
        </w:tc>
      </w:tr>
      <w:tr>
        <w:trPr>
          <w:trHeight w:val="30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气有限</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6"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center"/>
              <w:rPr>
                <w:rFonts w:ascii="Times New Roman" w:hAnsi="Times New Roman" w:cs="Times New Roman" w:eastAsia="Times New Roman" w:hint="default"/>
                <w:sz w:val="18"/>
                <w:szCs w:val="18"/>
              </w:rPr>
            </w:pPr>
            <w:r>
              <w:rPr>
                <w:rFonts w:ascii="Times New Roman"/>
                <w:sz w:val="18"/>
              </w:rPr>
              <w:t>2,732,6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53.12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0" w:right="0"/>
              <w:jc w:val="left"/>
              <w:rPr>
                <w:rFonts w:ascii="Times New Roman" w:hAnsi="Times New Roman" w:cs="Times New Roman" w:eastAsia="Times New Roman" w:hint="default"/>
                <w:sz w:val="18"/>
                <w:szCs w:val="18"/>
              </w:rPr>
            </w:pPr>
            <w:r>
              <w:rPr>
                <w:rFonts w:ascii="Times New Roman"/>
                <w:sz w:val="18"/>
              </w:rPr>
              <w:t>-672,47</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5.56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center"/>
              <w:rPr>
                <w:rFonts w:ascii="Times New Roman" w:hAnsi="Times New Roman" w:cs="Times New Roman" w:eastAsia="Times New Roman" w:hint="default"/>
                <w:sz w:val="18"/>
                <w:szCs w:val="18"/>
              </w:rPr>
            </w:pPr>
            <w:r>
              <w:rPr>
                <w:rFonts w:ascii="Times New Roman"/>
                <w:sz w:val="18"/>
              </w:rPr>
              <w:t>2,060,1</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77.56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center"/>
              <w:rPr>
                <w:rFonts w:ascii="Times New Roman" w:hAnsi="Times New Roman" w:cs="Times New Roman" w:eastAsia="Times New Roman" w:hint="default"/>
                <w:sz w:val="18"/>
                <w:szCs w:val="18"/>
              </w:rPr>
            </w:pPr>
            <w:r>
              <w:rPr>
                <w:rFonts w:ascii="Times New Roman"/>
                <w:sz w:val="18"/>
              </w:rPr>
              <w:t>2,732,6</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53.12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0" w:right="0"/>
              <w:jc w:val="left"/>
              <w:rPr>
                <w:rFonts w:ascii="Times New Roman" w:hAnsi="Times New Roman" w:cs="Times New Roman" w:eastAsia="Times New Roman" w:hint="default"/>
                <w:sz w:val="18"/>
                <w:szCs w:val="18"/>
              </w:rPr>
            </w:pPr>
            <w:r>
              <w:rPr>
                <w:rFonts w:ascii="Times New Roman"/>
                <w:sz w:val="18"/>
              </w:rPr>
              <w:t>-672,47</w:t>
            </w:r>
          </w:p>
          <w:p>
            <w:pPr>
              <w:pStyle w:val="TableParagraph"/>
              <w:spacing w:line="240" w:lineRule="auto" w:before="105"/>
              <w:ind w:left="370" w:right="0"/>
              <w:jc w:val="left"/>
              <w:rPr>
                <w:rFonts w:ascii="Times New Roman" w:hAnsi="Times New Roman" w:cs="Times New Roman" w:eastAsia="Times New Roman" w:hint="default"/>
                <w:sz w:val="18"/>
                <w:szCs w:val="18"/>
              </w:rPr>
            </w:pPr>
            <w:r>
              <w:rPr>
                <w:rFonts w:ascii="Times New Roman"/>
                <w:sz w:val="18"/>
              </w:rPr>
              <w:t>5.56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center"/>
              <w:rPr>
                <w:rFonts w:ascii="Times New Roman" w:hAnsi="Times New Roman" w:cs="Times New Roman" w:eastAsia="Times New Roman" w:hint="default"/>
                <w:sz w:val="18"/>
                <w:szCs w:val="18"/>
              </w:rPr>
            </w:pPr>
            <w:r>
              <w:rPr>
                <w:rFonts w:ascii="Times New Roman"/>
                <w:sz w:val="18"/>
              </w:rPr>
              <w:t>2,060,1</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77.56</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98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9、固定资产" w:id="224"/>
      <w:bookmarkEnd w:id="224"/>
      <w:r>
        <w:rPr>
          <w:b w:val="0"/>
          <w:bCs w:val="0"/>
        </w:rPr>
      </w:r>
      <w:r>
        <w:rPr>
          <w:rFonts w:ascii="Times New Roman" w:hAnsi="Times New Roman" w:cs="Times New Roman" w:eastAsia="Times New Roman" w:hint="default"/>
        </w:rPr>
        <w:t>9</w:t>
      </w:r>
      <w:r>
        <w:rPr/>
        <w:t>、固定资产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4"/>
        <w:gridCol w:w="3187"/>
        <w:gridCol w:w="318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197,666,185.67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206,619,677.99</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197,666,185.67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206,619,677.99</w:t>
            </w:r>
          </w:p>
        </w:tc>
      </w:tr>
    </w:tbl>
    <w:p>
      <w:pPr>
        <w:spacing w:line="240" w:lineRule="auto" w:before="5"/>
        <w:rPr>
          <w:rFonts w:ascii="宋体" w:hAnsi="宋体" w:cs="宋体" w:eastAsia="宋体" w:hint="default"/>
          <w:sz w:val="19"/>
          <w:szCs w:val="19"/>
        </w:rPr>
      </w:pPr>
    </w:p>
    <w:p>
      <w:pPr>
        <w:pStyle w:val="Heading4"/>
        <w:spacing w:line="240" w:lineRule="auto" w:before="34"/>
        <w:ind w:right="987"/>
        <w:jc w:val="left"/>
        <w:rPr>
          <w:b w:val="0"/>
          <w:bCs w:val="0"/>
        </w:rPr>
      </w:pPr>
      <w:bookmarkStart w:name="（1）固定资产情况" w:id="225"/>
      <w:bookmarkEnd w:id="22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159"/>
              <w:jc w:val="right"/>
              <w:rPr>
                <w:rFonts w:ascii="宋体" w:hAnsi="宋体" w:cs="宋体" w:eastAsia="宋体" w:hint="default"/>
                <w:sz w:val="18"/>
                <w:szCs w:val="18"/>
              </w:rPr>
            </w:pPr>
            <w:r>
              <w:rPr>
                <w:rFonts w:ascii="宋体" w:hAnsi="宋体" w:cs="宋体" w:eastAsia="宋体" w:hint="default"/>
                <w:sz w:val="18"/>
                <w:szCs w:val="18"/>
              </w:rPr>
              <w:t>电子设备及其他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201,456,847.02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39,740,390.99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39,550,019.30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22,175,170.23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302,922,427.54</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1,427,580.78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653,770.91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4,781,031.51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2,124,873.54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8,987,256.74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653,770.91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4,781,031.51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2,124,873.54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7,559,675.96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1,427,580.78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1,427,580.78</w:t>
            </w:r>
          </w:p>
        </w:tc>
      </w:tr>
      <w:tr>
        <w:trPr>
          <w:trHeight w:val="71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5"/>
          <w:pgSz w:w="11910" w:h="16840"/>
          <w:pgMar w:footer="1028" w:header="907" w:top="1100" w:bottom="1220" w:left="1020" w:right="0"/>
          <w:pgNumType w:start="13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4,791,785.95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500,610.41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5,292,396.36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4,791,785.95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500,610.41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5,292,396.36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202,884,427.80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40,394,161.90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39,539,264.86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23,799,433.36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306,617,287.92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30,776,300.61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18,719,389.80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30,642,449.62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16,164,609.52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96,302,749.55</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7,904,417.49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3,958,046.56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3,396,865.26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1,839,520.42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17,098,849.73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7,904,417.49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3,958,046.56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3,396,865.26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1,839,520.42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17,098,849.73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3,975,851.47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474,645.56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4,450,497.03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3,975,851.47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474,645.56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4,450,497.03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38,680,718.10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22,677,436.36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30,063,463.41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17,529,484.38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108,951,102.25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164,203,709.70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17,716,725.54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9,475,801.45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6,269,948.98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197,666,185.67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170,680,546.41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21,021,001.19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8,907,569.68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6,010,560.71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206,619,677.99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9"/>
        <w:rPr>
          <w:rFonts w:ascii="Times New Roman" w:hAnsi="Times New Roman" w:cs="Times New Roman" w:eastAsia="Times New Roman" w:hint="default"/>
          <w:sz w:val="24"/>
          <w:szCs w:val="24"/>
        </w:rPr>
      </w:pPr>
    </w:p>
    <w:p>
      <w:pPr>
        <w:pStyle w:val="Heading4"/>
        <w:spacing w:line="240" w:lineRule="auto" w:before="34"/>
        <w:ind w:right="987"/>
        <w:jc w:val="left"/>
        <w:rPr>
          <w:b w:val="0"/>
          <w:bCs w:val="0"/>
        </w:rPr>
      </w:pPr>
      <w:bookmarkStart w:name="（2）未办妥产权证书的固定资产情况" w:id="226"/>
      <w:bookmarkEnd w:id="226"/>
      <w:r>
        <w:rPr>
          <w:b w:val="0"/>
          <w:bCs w:val="0"/>
        </w:rPr>
      </w: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机加工车间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34,622,409.14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仪表车间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23,299,304.93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国家工程技术研究中心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10,963,825.85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国家级技术交流中心办公楼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36,341,788.86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519,241.78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pStyle w:val="BodyText"/>
        <w:spacing w:line="240" w:lineRule="auto" w:before="52"/>
        <w:ind w:right="98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10、无形资产" w:id="227"/>
      <w:bookmarkEnd w:id="227"/>
      <w:r>
        <w:rPr>
          <w:b w:val="0"/>
          <w:bCs w:val="0"/>
        </w:rPr>
      </w:r>
      <w:r>
        <w:rPr>
          <w:rFonts w:ascii="Times New Roman" w:hAnsi="Times New Roman" w:cs="Times New Roman" w:eastAsia="Times New Roman" w:hint="default"/>
        </w:rPr>
        <w:t>10</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无形资产情况" w:id="228"/>
      <w:bookmarkEnd w:id="2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40" w:lineRule="auto" w:before="0"/>
        <w:ind w:right="175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 否</w:t>
      </w:r>
    </w:p>
    <w:p>
      <w:pPr>
        <w:pStyle w:val="BodyText"/>
        <w:spacing w:line="240" w:lineRule="auto" w:before="41"/>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1"/>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43,262,590.50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80,063,234.38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5,842,927.75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674,614.44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129,843,367.07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1,148,542.89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10,048,542.89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1,148,542.89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10,048,542.89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1" w:firstLine="53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）内</w:t>
            </w:r>
            <w:r>
              <w:rPr>
                <w:rFonts w:ascii="宋体" w:hAnsi="宋体" w:cs="宋体" w:eastAsia="宋体" w:hint="default"/>
                <w:sz w:val="18"/>
                <w:szCs w:val="18"/>
              </w:rPr>
              <w:t> 部研发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101" w:firstLine="53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w:t>
            </w:r>
            <w:r>
              <w:rPr>
                <w:rFonts w:ascii="宋体" w:hAnsi="宋体" w:cs="宋体" w:eastAsia="宋体" w:hint="default"/>
                <w:sz w:val="18"/>
                <w:szCs w:val="18"/>
              </w:rPr>
              <w:t> 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43,262,590.50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88,963,234.38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5,842,927.75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1,823,157.33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139,891,909.96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73"/>
              <w:jc w:val="righ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7,051,589.20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24,453,723.77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4,780,577.25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649,780.22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36,935,670.44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881,161.30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9,028,200.99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1,062,350.50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216,209.19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11,187,921.98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881,161.30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9,028,200.99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1,062,350.50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216,209.19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11,187,921.98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7,932,750.50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33,481,924.76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5,842,927.75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865,989.41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48,123,592.42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8,068,248.83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8" w:right="0"/>
              <w:jc w:val="center"/>
              <w:rPr>
                <w:rFonts w:ascii="Times New Roman" w:hAnsi="Times New Roman" w:cs="Times New Roman" w:eastAsia="Times New Roman" w:hint="default"/>
                <w:sz w:val="18"/>
                <w:szCs w:val="18"/>
              </w:rPr>
            </w:pPr>
            <w:r>
              <w:rPr>
                <w:rFonts w:ascii="Times New Roman"/>
                <w:sz w:val="18"/>
              </w:rPr>
              <w:t>8,068,248.83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4,660,523.72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8" w:right="0"/>
              <w:jc w:val="center"/>
              <w:rPr>
                <w:rFonts w:ascii="Times New Roman" w:hAnsi="Times New Roman" w:cs="Times New Roman" w:eastAsia="Times New Roman" w:hint="default"/>
                <w:sz w:val="18"/>
                <w:szCs w:val="18"/>
              </w:rPr>
            </w:pPr>
            <w:r>
              <w:rPr>
                <w:rFonts w:ascii="Times New Roman"/>
                <w:sz w:val="18"/>
              </w:rPr>
              <w:t>4,660,523.72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4,660,523.72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8" w:right="0"/>
              <w:jc w:val="center"/>
              <w:rPr>
                <w:rFonts w:ascii="Times New Roman" w:hAnsi="Times New Roman" w:cs="Times New Roman" w:eastAsia="Times New Roman" w:hint="default"/>
                <w:sz w:val="18"/>
                <w:szCs w:val="18"/>
              </w:rPr>
            </w:pPr>
            <w:r>
              <w:rPr>
                <w:rFonts w:ascii="Times New Roman"/>
                <w:sz w:val="18"/>
              </w:rPr>
              <w:t>4,660,523.72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12,728,772.55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12,728,772.55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73"/>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35,329,840.00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42,752,537.07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957,167.92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79,039,544.99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36,211,001.30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47,541,261.78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1,062,350.50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24,834.22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84,839,447.80</w:t>
            </w:r>
          </w:p>
        </w:tc>
      </w:tr>
    </w:tbl>
    <w:p>
      <w:pPr>
        <w:pStyle w:val="BodyText"/>
        <w:spacing w:line="240" w:lineRule="auto" w:before="51"/>
        <w:ind w:right="987"/>
        <w:jc w:val="left"/>
      </w:pPr>
      <w:r>
        <w:rPr/>
        <w:t>本期末通过公司内部研发形成的无形资产占无形资产余额的比例</w:t>
      </w:r>
      <w:r>
        <w:rPr>
          <w:spacing w:val="-49"/>
        </w:rPr>
        <w:t> </w:t>
      </w:r>
      <w:r>
        <w:rPr>
          <w:rFonts w:ascii="Times New Roman" w:hAnsi="Times New Roman" w:cs="Times New Roman" w:eastAsia="Times New Roman" w:hint="default"/>
        </w:rPr>
        <w:t>40.92%</w:t>
      </w:r>
      <w:r>
        <w:rPr/>
        <w:t>。</w:t>
      </w:r>
    </w:p>
    <w:p>
      <w:pPr>
        <w:spacing w:after="0" w:line="240" w:lineRule="auto"/>
        <w:jc w:val="left"/>
        <w:sectPr>
          <w:pgSz w:w="11910" w:h="16840"/>
          <w:pgMar w:header="907" w:footer="1028" w:top="1100" w:bottom="1220" w:left="1020" w:right="0"/>
        </w:sectPr>
      </w:pPr>
    </w:p>
    <w:p>
      <w:pPr>
        <w:spacing w:line="240" w:lineRule="auto" w:before="10"/>
        <w:rPr>
          <w:rFonts w:ascii="宋体" w:hAnsi="宋体" w:cs="宋体" w:eastAsia="宋体" w:hint="default"/>
          <w:sz w:val="21"/>
          <w:szCs w:val="21"/>
        </w:rPr>
      </w:pPr>
    </w:p>
    <w:p>
      <w:pPr>
        <w:pStyle w:val="Heading4"/>
        <w:spacing w:line="240" w:lineRule="auto" w:before="34"/>
        <w:ind w:right="987"/>
        <w:jc w:val="left"/>
        <w:rPr>
          <w:b w:val="0"/>
          <w:bCs w:val="0"/>
        </w:rPr>
      </w:pPr>
      <w:bookmarkStart w:name="11、商誉" w:id="229"/>
      <w:bookmarkEnd w:id="229"/>
      <w:r>
        <w:rPr>
          <w:b w:val="0"/>
          <w:bCs w:val="0"/>
        </w:rPr>
      </w:r>
      <w:r>
        <w:rPr>
          <w:rFonts w:ascii="Times New Roman" w:hAnsi="Times New Roman" w:cs="Times New Roman" w:eastAsia="Times New Roman" w:hint="default"/>
        </w:rPr>
        <w:t>11</w:t>
      </w:r>
      <w:r>
        <w:rPr/>
        <w:t>、商誉</w:t>
      </w:r>
      <w:r>
        <w:rPr>
          <w:b w:val="0"/>
          <w:bCs w:val="0"/>
        </w:rPr>
      </w:r>
    </w:p>
    <w:p>
      <w:pPr>
        <w:spacing w:line="240" w:lineRule="auto" w:before="10"/>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商誉账面原值" w:id="230"/>
      <w:bookmarkEnd w:id="2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5" w:hRule="exact"/>
        </w:trPr>
        <w:tc>
          <w:tcPr>
            <w:tcW w:w="1367" w:type="dxa"/>
            <w:tcBorders>
              <w:top w:val="single" w:sz="4" w:space="0" w:color="000000"/>
              <w:left w:val="single" w:sz="4" w:space="0" w:color="000000"/>
              <w:bottom w:val="nil" w:sz="6" w:space="0" w:color="auto"/>
              <w:right w:val="single" w:sz="4" w:space="0" w:color="000000"/>
            </w:tcBorders>
            <w:shd w:val="clear" w:color="auto" w:fill="E0FFFF"/>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长春师凯科技</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7"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产业有限责任</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512,984,113.56</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512,984,113.56</w:t>
            </w:r>
          </w:p>
        </w:tc>
      </w:tr>
      <w:tr>
        <w:trPr>
          <w:trHeight w:val="354" w:hRule="exact"/>
        </w:trPr>
        <w:tc>
          <w:tcPr>
            <w:tcW w:w="1367" w:type="dxa"/>
            <w:tcBorders>
              <w:top w:val="nil" w:sz="6" w:space="0" w:color="auto"/>
              <w:left w:val="single" w:sz="4" w:space="0" w:color="000000"/>
              <w:bottom w:val="single" w:sz="4" w:space="0" w:color="000000"/>
              <w:right w:val="single" w:sz="4" w:space="0" w:color="000000"/>
            </w:tcBorders>
            <w:shd w:val="clear" w:color="auto" w:fill="E0FFFF"/>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shd w:val="clear" w:color="auto" w:fill="E0FFFF"/>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北京富华宇祺</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7"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信息技术有限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76,333,896.23</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76,333,896.23</w:t>
            </w:r>
          </w:p>
        </w:tc>
      </w:tr>
      <w:tr>
        <w:trPr>
          <w:trHeight w:val="353" w:hRule="exact"/>
        </w:trPr>
        <w:tc>
          <w:tcPr>
            <w:tcW w:w="1367" w:type="dxa"/>
            <w:tcBorders>
              <w:top w:val="nil" w:sz="6" w:space="0" w:color="auto"/>
              <w:left w:val="single" w:sz="4" w:space="0" w:color="000000"/>
              <w:bottom w:val="single" w:sz="4" w:space="0" w:color="000000"/>
              <w:right w:val="single" w:sz="4" w:space="0" w:color="000000"/>
            </w:tcBorders>
            <w:shd w:val="clear" w:color="auto" w:fill="E0FFFF"/>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589,318,009.79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589,318,009.79</w:t>
            </w:r>
          </w:p>
        </w:tc>
      </w:tr>
    </w:tbl>
    <w:p>
      <w:pPr>
        <w:spacing w:line="240" w:lineRule="auto" w:before="3"/>
        <w:rPr>
          <w:rFonts w:ascii="宋体" w:hAnsi="宋体" w:cs="宋体" w:eastAsia="宋体" w:hint="default"/>
          <w:sz w:val="19"/>
          <w:szCs w:val="19"/>
        </w:rPr>
      </w:pPr>
    </w:p>
    <w:p>
      <w:pPr>
        <w:pStyle w:val="Heading4"/>
        <w:spacing w:line="240" w:lineRule="auto" w:before="34"/>
        <w:ind w:right="987"/>
        <w:jc w:val="left"/>
        <w:rPr>
          <w:b w:val="0"/>
          <w:bCs w:val="0"/>
        </w:rPr>
      </w:pPr>
      <w:bookmarkStart w:name="（2）商誉减值准备" w:id="231"/>
      <w:bookmarkEnd w:id="231"/>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shd w:val="clear" w:color="auto" w:fill="E0FFFF"/>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北京富华宇祺</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7"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信息技术有限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20,105,577.70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18,659,704.97</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14" w:right="0"/>
              <w:jc w:val="center"/>
              <w:rPr>
                <w:rFonts w:ascii="Times New Roman" w:hAnsi="Times New Roman" w:cs="Times New Roman" w:eastAsia="Times New Roman" w:hint="default"/>
                <w:sz w:val="18"/>
                <w:szCs w:val="18"/>
              </w:rPr>
            </w:pPr>
            <w:r>
              <w:rPr>
                <w:rFonts w:ascii="Times New Roman"/>
                <w:sz w:val="18"/>
              </w:rPr>
              <w:t>38,765,282.67</w:t>
            </w:r>
          </w:p>
        </w:tc>
      </w:tr>
      <w:tr>
        <w:trPr>
          <w:trHeight w:val="353" w:hRule="exact"/>
        </w:trPr>
        <w:tc>
          <w:tcPr>
            <w:tcW w:w="1367" w:type="dxa"/>
            <w:tcBorders>
              <w:top w:val="nil" w:sz="6" w:space="0" w:color="auto"/>
              <w:left w:val="single" w:sz="4" w:space="0" w:color="000000"/>
              <w:bottom w:val="single" w:sz="4" w:space="0" w:color="000000"/>
              <w:right w:val="single" w:sz="4" w:space="0" w:color="000000"/>
            </w:tcBorders>
            <w:shd w:val="clear" w:color="auto" w:fill="E0FFFF"/>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20,105,577.70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18,659,704.97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4" w:right="0"/>
              <w:jc w:val="center"/>
              <w:rPr>
                <w:rFonts w:ascii="Times New Roman" w:hAnsi="Times New Roman" w:cs="Times New Roman" w:eastAsia="Times New Roman" w:hint="default"/>
                <w:sz w:val="18"/>
                <w:szCs w:val="18"/>
              </w:rPr>
            </w:pPr>
            <w:r>
              <w:rPr>
                <w:rFonts w:ascii="Times New Roman"/>
                <w:sz w:val="18"/>
              </w:rPr>
              <w:t>38,765,282.67</w:t>
            </w:r>
          </w:p>
        </w:tc>
      </w:tr>
    </w:tbl>
    <w:p>
      <w:pPr>
        <w:pStyle w:val="BodyText"/>
        <w:spacing w:line="357" w:lineRule="auto" w:before="50"/>
        <w:ind w:right="3733"/>
        <w:jc w:val="left"/>
      </w:pPr>
      <w:r>
        <w:rPr/>
        <w:t>商誉所在资产组或资产组组合的相关信息 </w:t>
      </w:r>
      <w:r>
        <w:rPr>
          <w:spacing w:val="-4"/>
        </w:rPr>
        <w:t>资产组长春师凯科技产业有限责任公司（简称“师凯科技”）</w:t>
      </w:r>
    </w:p>
    <w:p>
      <w:pPr>
        <w:pStyle w:val="BodyText"/>
        <w:spacing w:line="224" w:lineRule="exact" w:before="0"/>
        <w:ind w:right="987"/>
        <w:jc w:val="left"/>
      </w:pPr>
      <w:r>
        <w:rPr/>
        <w:t>2016年10月公司完成对师凯科技公司100%股权的收购。本次购买师凯科技公司100%股权的合并成本为750,000,000.00元，购</w:t>
      </w:r>
    </w:p>
    <w:p>
      <w:pPr>
        <w:pStyle w:val="BodyText"/>
        <w:spacing w:line="316" w:lineRule="auto" w:before="76"/>
        <w:ind w:right="987"/>
        <w:jc w:val="left"/>
      </w:pPr>
      <w:r>
        <w:rPr>
          <w:spacing w:val="-2"/>
        </w:rPr>
        <w:t>买日账面可辨认净资产的公允价值为237,015,886.44元，故形成合并商誉512,984,113.56元。2018年12月31日的资产组与购</w:t>
      </w:r>
      <w:r>
        <w:rPr>
          <w:spacing w:val="-46"/>
        </w:rPr>
        <w:t> </w:t>
      </w:r>
      <w:r>
        <w:rPr>
          <w:spacing w:val="-46"/>
        </w:rPr>
      </w:r>
      <w:r>
        <w:rPr/>
        <w:t>买日的资产组未发生变化。</w:t>
      </w:r>
    </w:p>
    <w:p>
      <w:pPr>
        <w:pStyle w:val="BodyText"/>
        <w:spacing w:line="316" w:lineRule="auto" w:before="19"/>
        <w:ind w:right="1125"/>
        <w:jc w:val="left"/>
      </w:pPr>
      <w:r>
        <w:rPr/>
        <w:t>资产组北京富华宇祺信息技术有限公司（简称“富华宇祺</w:t>
      </w:r>
      <w:r>
        <w:rPr>
          <w:spacing w:val="-89"/>
        </w:rPr>
        <w:t>”</w:t>
      </w:r>
      <w:r>
        <w:rPr/>
        <w:t>）</w:t>
      </w:r>
      <w:r>
        <w:rPr/>
        <w:t> </w:t>
      </w:r>
      <w:r>
        <w:rPr>
          <w:spacing w:val="1"/>
        </w:rPr>
        <w:t>2</w:t>
      </w:r>
      <w:r>
        <w:rPr>
          <w:spacing w:val="-2"/>
        </w:rPr>
        <w:t>0</w:t>
      </w:r>
      <w:r>
        <w:rPr>
          <w:spacing w:val="1"/>
        </w:rPr>
        <w:t>1</w:t>
      </w:r>
      <w:r>
        <w:rPr>
          <w:spacing w:val="-2"/>
        </w:rPr>
        <w:t>4</w:t>
      </w:r>
      <w:r>
        <w:rPr/>
        <w:t>年</w:t>
      </w:r>
      <w:r>
        <w:rPr>
          <w:spacing w:val="1"/>
        </w:rPr>
        <w:t>1</w:t>
      </w:r>
      <w:r>
        <w:rPr/>
        <w:t>月完成对北京富华宇祺信息技术有限公</w:t>
      </w:r>
      <w:r>
        <w:rPr>
          <w:spacing w:val="-20"/>
        </w:rPr>
        <w:t>司</w:t>
      </w:r>
      <w:r>
        <w:rPr>
          <w:spacing w:val="-3"/>
        </w:rPr>
        <w:t>（</w:t>
      </w:r>
      <w:r>
        <w:rPr/>
        <w:t>以下简</w:t>
      </w:r>
      <w:r>
        <w:rPr>
          <w:spacing w:val="-20"/>
        </w:rPr>
        <w:t>称</w:t>
      </w:r>
      <w:r>
        <w:rPr/>
        <w:t>“富华宇祺公司</w:t>
      </w:r>
      <w:r>
        <w:rPr>
          <w:spacing w:val="-92"/>
        </w:rPr>
        <w:t>”</w:t>
      </w:r>
      <w:r>
        <w:rPr>
          <w:spacing w:val="-20"/>
        </w:rPr>
        <w:t>）</w:t>
      </w:r>
      <w:r>
        <w:rPr>
          <w:spacing w:val="1"/>
        </w:rPr>
        <w:t>5</w:t>
      </w:r>
      <w:r>
        <w:rPr>
          <w:spacing w:val="-2"/>
        </w:rPr>
        <w:t>3</w:t>
      </w:r>
      <w:r>
        <w:rPr>
          <w:spacing w:val="1"/>
        </w:rPr>
        <w:t>.</w:t>
      </w:r>
      <w:r>
        <w:rPr>
          <w:spacing w:val="-2"/>
        </w:rPr>
        <w:t>2</w:t>
      </w:r>
      <w:r>
        <w:rPr>
          <w:spacing w:val="1"/>
        </w:rPr>
        <w:t>1</w:t>
      </w:r>
      <w:r>
        <w:rPr>
          <w:spacing w:val="-2"/>
        </w:rPr>
        <w:t>%</w:t>
      </w:r>
      <w:r>
        <w:rPr/>
        <w:t>股权的收购</w:t>
      </w:r>
      <w:r>
        <w:rPr>
          <w:spacing w:val="-22"/>
        </w:rPr>
        <w:t>，</w:t>
      </w:r>
      <w:r>
        <w:rPr/>
        <w:t>公司购买富华宇祺公司</w:t>
      </w:r>
    </w:p>
    <w:p>
      <w:pPr>
        <w:pStyle w:val="BodyText"/>
        <w:spacing w:line="338" w:lineRule="auto" w:before="19"/>
        <w:ind w:right="987"/>
        <w:jc w:val="left"/>
      </w:pPr>
      <w:r>
        <w:rPr>
          <w:spacing w:val="-2"/>
        </w:rPr>
        <w:t>53.21%股权的合并成本为9,558.34万元，按照持股比例享有购买日账面可辨认净资产的公允价值为1,924.95万元，故本公司</w:t>
      </w:r>
      <w:r>
        <w:rPr>
          <w:spacing w:val="-53"/>
        </w:rPr>
        <w:t> </w:t>
      </w:r>
      <w:r>
        <w:rPr>
          <w:spacing w:val="-53"/>
        </w:rPr>
      </w:r>
      <w:r>
        <w:rPr/>
        <w:t>购买富华宇祺公司53.21%股权形成合并商誉7,633.39万元。2018年12月31日的资产组与购买日的资产组未发生变化。</w:t>
      </w:r>
      <w:r>
        <w:rPr/>
        <w:t> </w:t>
      </w:r>
      <w:r>
        <w:rPr>
          <w:spacing w:val="-2"/>
        </w:rPr>
        <w:t>说明商誉减值测试过程、关键参数（如预计未来现金流量现值时的预测期增长率、稳定期增长率、利润率、折现率、预测期</w:t>
      </w:r>
    </w:p>
    <w:p>
      <w:pPr>
        <w:pStyle w:val="BodyText"/>
        <w:spacing w:line="338" w:lineRule="auto" w:before="2"/>
        <w:ind w:right="987"/>
        <w:jc w:val="left"/>
      </w:pPr>
      <w:r>
        <w:rPr/>
        <w:t>等）及商誉减值损失的确认方法： </w:t>
      </w:r>
      <w:r>
        <w:rPr>
          <w:spacing w:val="-2"/>
        </w:rPr>
        <w:t>本年，本公司评估了商誉的可收回金额，并确定与本公司军工产品业务相关的商誉未发生减值，确定与本公司通讯产品业务</w:t>
      </w:r>
      <w:r>
        <w:rPr>
          <w:spacing w:val="-65"/>
        </w:rPr>
        <w:t> </w:t>
      </w:r>
      <w:r>
        <w:rPr>
          <w:spacing w:val="-65"/>
        </w:rPr>
      </w:r>
      <w:r>
        <w:rPr>
          <w:spacing w:val="-2"/>
        </w:rPr>
        <w:t>相关的商誉发生了减值，金额为18,659,704.97元。本公司以主营业务的类别作为确定报告分部的依据。为减值测试的目的，</w:t>
      </w:r>
    </w:p>
    <w:p>
      <w:pPr>
        <w:pStyle w:val="BodyText"/>
        <w:spacing w:line="316" w:lineRule="auto" w:before="2"/>
        <w:ind w:right="987"/>
        <w:jc w:val="left"/>
      </w:pPr>
      <w:r>
        <w:rPr>
          <w:spacing w:val="-2"/>
        </w:rPr>
        <w:t>本公司将商誉分摊至2个资产组，包括一个属于通讯产品分部的子公司和一个军工产品分部的子公司。截至2018年12月31日，</w:t>
      </w:r>
      <w:r>
        <w:rPr>
          <w:spacing w:val="-57"/>
        </w:rPr>
        <w:t> </w:t>
      </w:r>
      <w:r>
        <w:rPr>
          <w:spacing w:val="-57"/>
        </w:rPr>
      </w:r>
      <w:r>
        <w:rPr>
          <w:spacing w:val="-2"/>
        </w:rPr>
        <w:t>分配到这两个资产组的商誉的账面价值及相关减值准备如下：长春师凯科技产业有限责任公司，成本512,984,113.56元，减</w:t>
      </w:r>
      <w:r>
        <w:rPr>
          <w:spacing w:val="-58"/>
        </w:rPr>
        <w:t> </w:t>
      </w:r>
      <w:r>
        <w:rPr>
          <w:spacing w:val="-58"/>
        </w:rPr>
      </w:r>
      <w:r>
        <w:rPr>
          <w:spacing w:val="-2"/>
        </w:rPr>
        <w:t>值准备0元，净额512,984,113.56元，北京富华宇祺信息技术有限公司，成本76,333,896.23元，减值准备38,765,282.67元，</w:t>
      </w:r>
    </w:p>
    <w:p>
      <w:pPr>
        <w:spacing w:after="0" w:line="316"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240" w:lineRule="auto"/>
        <w:ind w:right="987"/>
        <w:jc w:val="left"/>
      </w:pPr>
      <w:r>
        <w:rPr/>
        <w:t>净额37,568,613.56元。</w:t>
      </w:r>
    </w:p>
    <w:p>
      <w:pPr>
        <w:pStyle w:val="BodyText"/>
        <w:spacing w:line="316" w:lineRule="auto" w:before="76"/>
        <w:ind w:right="3733"/>
        <w:jc w:val="left"/>
      </w:pPr>
      <w:r>
        <w:rPr/>
        <w:t>计算上述资产组的可收回金额的关键假设及其依据如下： </w:t>
      </w:r>
      <w:r>
        <w:rPr>
          <w:spacing w:val="-4"/>
        </w:rPr>
        <w:t>资产组长春师凯科技产业有限责任公司（简称“师凯科技”）</w:t>
      </w:r>
    </w:p>
    <w:p>
      <w:pPr>
        <w:pStyle w:val="BodyText"/>
        <w:spacing w:line="316" w:lineRule="auto" w:before="19"/>
        <w:ind w:right="1132"/>
        <w:jc w:val="both"/>
      </w:pPr>
      <w:r>
        <w:rPr>
          <w:spacing w:val="-2"/>
        </w:rPr>
        <w:t>资产组师凯科技的可收回金额按照预计未来现金流量的现值确定。未来现金流量基于管理层批准的2019年至2023年的盈利预</w:t>
      </w:r>
      <w:r>
        <w:rPr>
          <w:spacing w:val="-60"/>
        </w:rPr>
        <w:t> </w:t>
      </w:r>
      <w:r>
        <w:rPr>
          <w:spacing w:val="-60"/>
        </w:rPr>
      </w:r>
      <w:r>
        <w:rPr>
          <w:spacing w:val="-2"/>
        </w:rPr>
        <w:t>测确定，根据师凯公司已签订的合同、协议、历年经营趋势、行业发展趋势、市场竞争情况等因素的综合分析，对未来五年</w:t>
      </w:r>
      <w:r>
        <w:rPr>
          <w:spacing w:val="-66"/>
        </w:rPr>
        <w:t> </w:t>
      </w:r>
      <w:r>
        <w:rPr>
          <w:spacing w:val="-66"/>
        </w:rPr>
      </w:r>
      <w:r>
        <w:rPr>
          <w:spacing w:val="-2"/>
        </w:rPr>
        <w:t>的主营业务收入及其相关的成本、费用、利润忽略经营的波动性进行预测。预计2019年度的销售收入略有下滑。采用的折现</w:t>
      </w:r>
      <w:r>
        <w:rPr>
          <w:spacing w:val="-64"/>
        </w:rPr>
        <w:t> </w:t>
      </w:r>
      <w:r>
        <w:rPr>
          <w:spacing w:val="-64"/>
        </w:rPr>
      </w:r>
      <w:r>
        <w:rPr>
          <w:spacing w:val="-2"/>
        </w:rPr>
        <w:t>率是反映当前市场货币时间价值和相关资产组特定风险的税前利率12.47%。管理层认为上述假设发生的任何合理变化均不会</w:t>
      </w:r>
      <w:r>
        <w:rPr>
          <w:spacing w:val="-61"/>
        </w:rPr>
        <w:t> </w:t>
      </w:r>
      <w:r>
        <w:rPr>
          <w:spacing w:val="-61"/>
        </w:rPr>
      </w:r>
      <w:r>
        <w:rPr/>
        <w:t>导致资产组师凯科技的账面价值合计超过其可收回金额。</w:t>
      </w:r>
    </w:p>
    <w:p>
      <w:pPr>
        <w:pStyle w:val="BodyText"/>
        <w:spacing w:line="316" w:lineRule="auto" w:before="19"/>
        <w:ind w:right="987"/>
        <w:jc w:val="left"/>
      </w:pPr>
      <w:r>
        <w:rPr>
          <w:spacing w:val="-4"/>
        </w:rPr>
        <w:t>资产组北京富华宇祺信息技术有限公司（简称“富华宇祺”）</w:t>
      </w:r>
      <w:r>
        <w:rPr>
          <w:spacing w:val="-71"/>
        </w:rPr>
        <w:t> </w:t>
      </w:r>
      <w:r>
        <w:rPr>
          <w:spacing w:val="-71"/>
        </w:rPr>
      </w:r>
      <w:r>
        <w:rPr>
          <w:spacing w:val="-2"/>
        </w:rPr>
        <w:t>资产组富华宇祺的可收回金额按照预计未来现金流量的现值确定。未来现金流量基于管理层批准的2019年至2023年的盈利预</w:t>
      </w:r>
      <w:r>
        <w:rPr>
          <w:spacing w:val="-60"/>
        </w:rPr>
        <w:t> </w:t>
      </w:r>
      <w:r>
        <w:rPr>
          <w:spacing w:val="-60"/>
        </w:rPr>
      </w:r>
      <w:r>
        <w:rPr>
          <w:spacing w:val="-2"/>
        </w:rPr>
        <w:t>测确定，根据富华宇祺公司已签订的合同、协议、发展规划、历年经营趋势、行业发展趋势、市场竞争情况等因素的综合分</w:t>
      </w:r>
      <w:r>
        <w:rPr>
          <w:spacing w:val="-66"/>
        </w:rPr>
        <w:t> </w:t>
      </w:r>
      <w:r>
        <w:rPr>
          <w:spacing w:val="-66"/>
        </w:rPr>
      </w:r>
      <w:r>
        <w:rPr/>
        <w:t>析，对未来五年的主营业务收入及其相关的成本、费用、利润忽略经营的波动性进行预测。本年度公司采用的税前折现率 </w:t>
      </w:r>
      <w:r>
        <w:rPr>
          <w:spacing w:val="-2"/>
        </w:rPr>
        <w:t>13.95%和14.37%。由于市场大环境变化，经测试与富华宇祺形成的商誉相关资产组的预计未来现金流量现值低于商誉账面价</w:t>
      </w:r>
      <w:r>
        <w:rPr>
          <w:spacing w:val="-58"/>
        </w:rPr>
        <w:t> </w:t>
      </w:r>
      <w:r>
        <w:rPr>
          <w:spacing w:val="-58"/>
        </w:rPr>
      </w:r>
      <w:r>
        <w:rPr/>
        <w:t>值，因此本年度计提该商誉减值准备18,659,704.97元。</w:t>
      </w:r>
    </w:p>
    <w:p>
      <w:pPr>
        <w:pStyle w:val="BodyText"/>
        <w:spacing w:line="338" w:lineRule="auto" w:before="57"/>
        <w:ind w:right="1132"/>
        <w:jc w:val="left"/>
      </w:pPr>
      <w:r>
        <w:rPr/>
        <w:t>商誉减值测试的影响 </w:t>
      </w:r>
      <w:r>
        <w:rPr>
          <w:spacing w:val="-2"/>
        </w:rPr>
        <w:t>根据签署的《利润补偿协议》及补充协议，交易对方李巍屹等人承诺师凯科技公司2015年至2018年实现的净利润合计不低于</w:t>
      </w:r>
      <w:r>
        <w:rPr>
          <w:spacing w:val="-61"/>
        </w:rPr>
        <w:t> </w:t>
      </w:r>
      <w:r>
        <w:rPr>
          <w:spacing w:val="-61"/>
        </w:rPr>
      </w:r>
      <w:r>
        <w:rPr>
          <w:spacing w:val="-2"/>
        </w:rPr>
        <w:t>26,900万元，师凯科技公司2015-2018年实现的扣除非经常性损益后的净利润为28,388.25万元完成了李巍屹等人的承诺，完</w:t>
      </w:r>
    </w:p>
    <w:p>
      <w:pPr>
        <w:pStyle w:val="BodyText"/>
        <w:spacing w:line="316" w:lineRule="auto" w:before="2"/>
        <w:ind w:right="987"/>
        <w:jc w:val="left"/>
      </w:pPr>
      <w:r>
        <w:rPr/>
        <w:t>成率为105.53%。2018年12月31日公司管理层编制的《尤洛卡精准信息工程股份有限公司进行商誉减值测试了解长春师凯科 </w:t>
      </w:r>
      <w:r>
        <w:rPr>
          <w:spacing w:val="-4"/>
        </w:rPr>
        <w:t>技产业有限责任公司资产组预计未来现金流量的现值盈利预测告》与形成商誉对应的经营性资产组的公允价值（可回收金额）</w:t>
      </w:r>
      <w:r>
        <w:rPr>
          <w:spacing w:val="-41"/>
        </w:rPr>
        <w:t> </w:t>
      </w:r>
      <w:r>
        <w:rPr>
          <w:spacing w:val="-41"/>
        </w:rPr>
      </w:r>
      <w:r>
        <w:rPr/>
        <w:t>为88,612.84万元，大于2018年12月31日账面可辨认该资产组的公允价值与商誉之和剔除非经营性资产后的金额87,332.83</w:t>
      </w:r>
      <w:r>
        <w:rPr/>
        <w:t> 万元。因此，本公司对收购师凯科技公司100%股权形成的资产未发生减值。</w:t>
      </w:r>
    </w:p>
    <w:p>
      <w:pPr>
        <w:pStyle w:val="BodyText"/>
        <w:spacing w:line="357" w:lineRule="auto" w:before="59"/>
        <w:ind w:right="10034"/>
        <w:jc w:val="left"/>
      </w:pPr>
      <w:r>
        <w:rPr/>
        <w:t>其他说明 不适用</w:t>
      </w:r>
    </w:p>
    <w:p>
      <w:pPr>
        <w:spacing w:line="240" w:lineRule="auto" w:before="3"/>
        <w:rPr>
          <w:rFonts w:ascii="宋体" w:hAnsi="宋体" w:cs="宋体" w:eastAsia="宋体" w:hint="default"/>
          <w:sz w:val="20"/>
          <w:szCs w:val="20"/>
        </w:rPr>
      </w:pPr>
    </w:p>
    <w:p>
      <w:pPr>
        <w:pStyle w:val="Heading4"/>
        <w:spacing w:line="240" w:lineRule="auto"/>
        <w:ind w:right="987"/>
        <w:jc w:val="left"/>
        <w:rPr>
          <w:b w:val="0"/>
          <w:bCs w:val="0"/>
        </w:rPr>
      </w:pPr>
      <w:bookmarkStart w:name="12、长期待摊费用" w:id="232"/>
      <w:bookmarkEnd w:id="232"/>
      <w:r>
        <w:rPr>
          <w:b w:val="0"/>
          <w:bCs w:val="0"/>
        </w:rPr>
      </w:r>
      <w:r>
        <w:rPr>
          <w:rFonts w:ascii="Times New Roman" w:hAnsi="Times New Roman" w:cs="Times New Roman" w:eastAsia="Times New Roman" w:hint="default"/>
        </w:rPr>
        <w:t>12</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482,832.26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8,348.68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474,483.58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会籍费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1,313,111.00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29,844.00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1,283,267.00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1,795,943.26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38,192.68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1,757,750.58</w:t>
            </w:r>
          </w:p>
        </w:tc>
      </w:tr>
    </w:tbl>
    <w:p>
      <w:pPr>
        <w:pStyle w:val="BodyText"/>
        <w:spacing w:line="240" w:lineRule="auto" w:before="50"/>
        <w:ind w:right="98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13、递延所得税资产/递延所得税负债" w:id="233"/>
      <w:bookmarkEnd w:id="233"/>
      <w:r>
        <w:rPr>
          <w:b w:val="0"/>
          <w:bCs w:val="0"/>
        </w:rPr>
      </w:r>
      <w:r>
        <w:rPr>
          <w:rFonts w:ascii="Times New Roman" w:hAnsi="Times New Roman" w:cs="Times New Roman" w:eastAsia="Times New Roman" w:hint="default"/>
        </w:rPr>
        <w:t>13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未经抵销的递延所得税资产" w:id="234"/>
      <w:bookmarkEnd w:id="2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7" w:right="0"/>
              <w:jc w:val="left"/>
              <w:rPr>
                <w:rFonts w:ascii="Times New Roman" w:hAnsi="Times New Roman" w:cs="Times New Roman" w:eastAsia="Times New Roman" w:hint="default"/>
                <w:sz w:val="18"/>
                <w:szCs w:val="18"/>
              </w:rPr>
            </w:pPr>
            <w:r>
              <w:rPr>
                <w:rFonts w:ascii="Times New Roman"/>
                <w:sz w:val="18"/>
              </w:rPr>
              <w:t>62,786,989.71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5" w:right="0"/>
              <w:jc w:val="left"/>
              <w:rPr>
                <w:rFonts w:ascii="Times New Roman" w:hAnsi="Times New Roman" w:cs="Times New Roman" w:eastAsia="Times New Roman" w:hint="default"/>
                <w:sz w:val="18"/>
                <w:szCs w:val="18"/>
              </w:rPr>
            </w:pPr>
            <w:r>
              <w:rPr>
                <w:rFonts w:ascii="Times New Roman"/>
                <w:sz w:val="18"/>
              </w:rPr>
              <w:t>9,524,870.62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5" w:right="0"/>
              <w:jc w:val="left"/>
              <w:rPr>
                <w:rFonts w:ascii="Times New Roman" w:hAnsi="Times New Roman" w:cs="Times New Roman" w:eastAsia="Times New Roman" w:hint="default"/>
                <w:sz w:val="18"/>
                <w:szCs w:val="18"/>
              </w:rPr>
            </w:pPr>
            <w:r>
              <w:rPr>
                <w:rFonts w:ascii="Times New Roman"/>
                <w:sz w:val="18"/>
              </w:rPr>
              <w:t>58,759,899.50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5" w:right="0"/>
              <w:jc w:val="left"/>
              <w:rPr>
                <w:rFonts w:ascii="Times New Roman" w:hAnsi="Times New Roman" w:cs="Times New Roman" w:eastAsia="Times New Roman" w:hint="default"/>
                <w:sz w:val="18"/>
                <w:szCs w:val="18"/>
              </w:rPr>
            </w:pPr>
            <w:r>
              <w:rPr>
                <w:rFonts w:ascii="Times New Roman"/>
                <w:sz w:val="18"/>
              </w:rPr>
              <w:t>8,914,556.29</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33,768,553.51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5,745,177.42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23,137,367.66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3,470,605.15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3,116,041.44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751,900.91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4,949,887.17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1,153,480.33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限制性股票摊销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6,438,600.00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965,790.00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106,110,184.66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16,987,738.95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86,847,154.33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13,538,641.77</w:t>
            </w:r>
          </w:p>
        </w:tc>
      </w:tr>
    </w:tbl>
    <w:p>
      <w:pPr>
        <w:spacing w:line="240" w:lineRule="auto" w:before="3"/>
        <w:rPr>
          <w:rFonts w:ascii="宋体" w:hAnsi="宋体" w:cs="宋体" w:eastAsia="宋体" w:hint="default"/>
          <w:sz w:val="19"/>
          <w:szCs w:val="19"/>
        </w:rPr>
      </w:pPr>
    </w:p>
    <w:p>
      <w:pPr>
        <w:pStyle w:val="Heading4"/>
        <w:spacing w:line="240" w:lineRule="auto" w:before="34"/>
        <w:ind w:right="987"/>
        <w:jc w:val="left"/>
        <w:rPr>
          <w:b w:val="0"/>
          <w:bCs w:val="0"/>
        </w:rPr>
      </w:pPr>
      <w:bookmarkStart w:name="（2）未经抵销的递延所得税负债" w:id="235"/>
      <w:bookmarkEnd w:id="23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无形资产评估增值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9,169,500.01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1,375,425.05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14,597,295.19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2,189,594.29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固定资产评估增值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1,241,824.94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186,273.71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1,886,871.48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283,030.69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10,411,324.95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1,561,698.76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16,484,166.67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2,472,624.98</w:t>
            </w:r>
          </w:p>
        </w:tc>
      </w:tr>
    </w:tbl>
    <w:p>
      <w:pPr>
        <w:spacing w:line="240" w:lineRule="auto" w:before="4"/>
        <w:rPr>
          <w:rFonts w:ascii="宋体" w:hAnsi="宋体" w:cs="宋体" w:eastAsia="宋体" w:hint="default"/>
          <w:sz w:val="19"/>
          <w:szCs w:val="19"/>
        </w:rPr>
      </w:pPr>
    </w:p>
    <w:p>
      <w:pPr>
        <w:pStyle w:val="Heading4"/>
        <w:spacing w:line="240" w:lineRule="auto" w:before="34"/>
        <w:ind w:right="987"/>
        <w:jc w:val="left"/>
        <w:rPr>
          <w:b w:val="0"/>
          <w:bCs w:val="0"/>
        </w:rPr>
      </w:pPr>
      <w:bookmarkStart w:name="（3）未确认递延所得税资产明细" w:id="236"/>
      <w:bookmarkEnd w:id="236"/>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14,535,059.98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10,837,346.50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6,028,684.60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795,266.53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20,563,744.58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11,632,613.03</w:t>
            </w:r>
          </w:p>
        </w:tc>
      </w:tr>
    </w:tbl>
    <w:p>
      <w:pPr>
        <w:spacing w:line="240" w:lineRule="auto" w:before="2"/>
        <w:rPr>
          <w:rFonts w:ascii="宋体" w:hAnsi="宋体" w:cs="宋体" w:eastAsia="宋体" w:hint="default"/>
          <w:sz w:val="19"/>
          <w:szCs w:val="19"/>
        </w:rPr>
      </w:pPr>
    </w:p>
    <w:p>
      <w:pPr>
        <w:pStyle w:val="Heading4"/>
        <w:spacing w:line="240" w:lineRule="auto" w:before="34"/>
        <w:ind w:right="987"/>
        <w:jc w:val="left"/>
        <w:rPr>
          <w:b w:val="0"/>
          <w:bCs w:val="0"/>
        </w:rPr>
      </w:pPr>
      <w:bookmarkStart w:name="（4）未确认递延所得税资产的可抵扣亏损将于以下年度到期" w:id="237"/>
      <w:bookmarkEnd w:id="237"/>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795,266.53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795,266.53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5,233,418.07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6,028,684.60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795,266.53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98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14、其他非流动资产" w:id="238"/>
      <w:bookmarkEnd w:id="238"/>
      <w:r>
        <w:rPr>
          <w:b w:val="0"/>
          <w:bCs w:val="0"/>
        </w:rPr>
      </w:r>
      <w:r>
        <w:rPr>
          <w:rFonts w:ascii="Times New Roman" w:hAnsi="Times New Roman" w:cs="Times New Roman" w:eastAsia="Times New Roman" w:hint="default"/>
        </w:rPr>
        <w:t>14</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工程款、设备款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769,669.82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656,426.99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769,669.82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656,426.99</w:t>
            </w:r>
          </w:p>
        </w:tc>
      </w:tr>
    </w:tbl>
    <w:p>
      <w:pPr>
        <w:pStyle w:val="BodyText"/>
        <w:spacing w:line="240" w:lineRule="auto" w:before="52"/>
        <w:ind w:right="987"/>
        <w:jc w:val="left"/>
      </w:pPr>
      <w:r>
        <w:rPr/>
        <w:t>其他说明：</w:t>
      </w:r>
    </w:p>
    <w:p>
      <w:pPr>
        <w:spacing w:after="0" w:line="240" w:lineRule="auto"/>
        <w:jc w:val="left"/>
        <w:sectPr>
          <w:pgSz w:w="11910" w:h="16840"/>
          <w:pgMar w:header="907" w:footer="1028" w:top="1100" w:bottom="1220" w:left="1020" w:right="0"/>
        </w:sectPr>
      </w:pPr>
    </w:p>
    <w:p>
      <w:pPr>
        <w:spacing w:line="240" w:lineRule="auto" w:before="10"/>
        <w:rPr>
          <w:rFonts w:ascii="宋体" w:hAnsi="宋体" w:cs="宋体" w:eastAsia="宋体" w:hint="default"/>
          <w:sz w:val="21"/>
          <w:szCs w:val="21"/>
        </w:rPr>
      </w:pPr>
    </w:p>
    <w:p>
      <w:pPr>
        <w:pStyle w:val="Heading4"/>
        <w:spacing w:line="240" w:lineRule="auto" w:before="34"/>
        <w:ind w:right="987"/>
        <w:jc w:val="left"/>
        <w:rPr>
          <w:b w:val="0"/>
          <w:bCs w:val="0"/>
        </w:rPr>
      </w:pPr>
      <w:bookmarkStart w:name="15、短期借款" w:id="239"/>
      <w:bookmarkEnd w:id="239"/>
      <w:r>
        <w:rPr>
          <w:b w:val="0"/>
          <w:bCs w:val="0"/>
        </w:rPr>
      </w:r>
      <w:r>
        <w:rPr>
          <w:rFonts w:ascii="Times New Roman" w:hAnsi="Times New Roman" w:cs="Times New Roman" w:eastAsia="Times New Roman" w:hint="default"/>
        </w:rPr>
        <w:t>15</w:t>
      </w:r>
      <w:r>
        <w:rPr/>
        <w:t>、短期借款</w:t>
      </w:r>
      <w:r>
        <w:rPr>
          <w:b w:val="0"/>
          <w:bCs w:val="0"/>
        </w:rPr>
      </w:r>
    </w:p>
    <w:p>
      <w:pPr>
        <w:spacing w:line="240" w:lineRule="auto" w:before="10"/>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短期借款分类" w:id="240"/>
      <w:bookmarkEnd w:id="2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5,000,000.00</w:t>
            </w:r>
          </w:p>
        </w:tc>
      </w:tr>
    </w:tbl>
    <w:p>
      <w:pPr>
        <w:pStyle w:val="BodyText"/>
        <w:spacing w:line="240" w:lineRule="auto" w:before="49"/>
        <w:ind w:right="987"/>
        <w:jc w:val="left"/>
      </w:pPr>
      <w:r>
        <w:rPr/>
        <w:t>短期借款分类的说明：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16、应付票据及应付账款" w:id="241"/>
      <w:bookmarkEnd w:id="241"/>
      <w:r>
        <w:rPr>
          <w:b w:val="0"/>
          <w:bCs w:val="0"/>
        </w:rPr>
      </w:r>
      <w:r>
        <w:rPr>
          <w:rFonts w:ascii="Times New Roman" w:hAnsi="Times New Roman" w:cs="Times New Roman" w:eastAsia="Times New Roman" w:hint="default"/>
        </w:rPr>
        <w:t>16</w:t>
      </w:r>
      <w:r>
        <w:rPr/>
        <w:t>、应付票据及应付账款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3,099,741.47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1,239,983.17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68,495,229.35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78,598,823.70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71,594,970.82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79,838,806.87</w:t>
            </w:r>
          </w:p>
        </w:tc>
      </w:tr>
    </w:tbl>
    <w:p>
      <w:pPr>
        <w:spacing w:line="240" w:lineRule="auto" w:before="2"/>
        <w:rPr>
          <w:rFonts w:ascii="宋体" w:hAnsi="宋体" w:cs="宋体" w:eastAsia="宋体" w:hint="default"/>
          <w:sz w:val="19"/>
          <w:szCs w:val="19"/>
        </w:rPr>
      </w:pPr>
    </w:p>
    <w:p>
      <w:pPr>
        <w:pStyle w:val="Heading4"/>
        <w:spacing w:line="240" w:lineRule="auto" w:before="34"/>
        <w:ind w:right="987"/>
        <w:jc w:val="left"/>
        <w:rPr>
          <w:b w:val="0"/>
          <w:bCs w:val="0"/>
        </w:rPr>
      </w:pPr>
      <w:bookmarkStart w:name="（1）应付票据分类列示" w:id="242"/>
      <w:bookmarkEnd w:id="242"/>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2,718,241.47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381,500.00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1,239,983.17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3,099,741.47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1,239,983.17</w:t>
            </w:r>
          </w:p>
        </w:tc>
      </w:tr>
    </w:tbl>
    <w:p>
      <w:pPr>
        <w:pStyle w:val="BodyText"/>
        <w:spacing w:line="240" w:lineRule="auto" w:before="51"/>
        <w:ind w:right="987"/>
        <w:jc w:val="left"/>
      </w:pPr>
      <w:r>
        <w:rPr/>
        <w:t>本期末已到期未支付的应付票据总额为</w:t>
      </w:r>
      <w:r>
        <w:rPr>
          <w:spacing w:val="-45"/>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987"/>
        <w:jc w:val="left"/>
        <w:rPr>
          <w:b w:val="0"/>
          <w:bCs w:val="0"/>
        </w:rPr>
      </w:pPr>
      <w:bookmarkStart w:name="（2）应付账款列示" w:id="243"/>
      <w:bookmarkEnd w:id="243"/>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63,849,288.95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73,970,232.21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工程款、设备款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2,764,714.84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3,536,010.90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418,732.15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187,657.59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1,462,493.41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904,923.00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68,495,229.35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78,598,823.70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10"/>
        <w:rPr>
          <w:rFonts w:ascii="宋体" w:hAnsi="宋体" w:cs="宋体" w:eastAsia="宋体" w:hint="default"/>
          <w:sz w:val="21"/>
          <w:szCs w:val="21"/>
        </w:rPr>
      </w:pPr>
    </w:p>
    <w:p>
      <w:pPr>
        <w:pStyle w:val="Heading4"/>
        <w:spacing w:line="240" w:lineRule="auto" w:before="34"/>
        <w:ind w:right="987"/>
        <w:jc w:val="left"/>
        <w:rPr>
          <w:b w:val="0"/>
          <w:bCs w:val="0"/>
        </w:rPr>
      </w:pPr>
      <w:bookmarkStart w:name="（3）账龄超过1年的重要应付账款" w:id="244"/>
      <w:bookmarkEnd w:id="244"/>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南京未来网络产业创新有限公司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北京中兴高达通信技术有限公司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1,152,000.00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曲阜远大集团工程有限公司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539,769.48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3,701,769.48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98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17、预收款项" w:id="245"/>
      <w:bookmarkEnd w:id="245"/>
      <w:r>
        <w:rPr>
          <w:b w:val="0"/>
          <w:bCs w:val="0"/>
        </w:rPr>
      </w:r>
      <w:r>
        <w:rPr>
          <w:rFonts w:ascii="Times New Roman" w:hAnsi="Times New Roman" w:cs="Times New Roman" w:eastAsia="Times New Roman" w:hint="default"/>
        </w:rPr>
        <w:t>17</w:t>
      </w:r>
      <w:r>
        <w:rPr/>
        <w:t>、预收款项</w:t>
      </w:r>
      <w:r>
        <w:rPr>
          <w:b w:val="0"/>
          <w:bCs w:val="0"/>
        </w:rPr>
      </w:r>
    </w:p>
    <w:p>
      <w:pPr>
        <w:spacing w:line="240" w:lineRule="auto" w:before="7"/>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预收款项列示" w:id="246"/>
      <w:bookmarkEnd w:id="2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9,812,055.03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9,866,200.34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9,812,055.03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9,866,200.34</w:t>
            </w:r>
          </w:p>
        </w:tc>
      </w:tr>
    </w:tbl>
    <w:p>
      <w:pPr>
        <w:spacing w:line="240" w:lineRule="auto" w:before="4"/>
        <w:rPr>
          <w:rFonts w:ascii="宋体" w:hAnsi="宋体" w:cs="宋体" w:eastAsia="宋体" w:hint="default"/>
          <w:sz w:val="19"/>
          <w:szCs w:val="19"/>
        </w:rPr>
      </w:pPr>
    </w:p>
    <w:p>
      <w:pPr>
        <w:pStyle w:val="Heading4"/>
        <w:spacing w:line="240" w:lineRule="auto" w:before="34"/>
        <w:ind w:right="987"/>
        <w:jc w:val="left"/>
        <w:rPr>
          <w:b w:val="0"/>
          <w:bCs w:val="0"/>
        </w:rPr>
      </w:pPr>
      <w:bookmarkStart w:name="18、应付职工薪酬" w:id="247"/>
      <w:bookmarkEnd w:id="247"/>
      <w:r>
        <w:rPr>
          <w:b w:val="0"/>
          <w:bCs w:val="0"/>
        </w:rPr>
      </w:r>
      <w:r>
        <w:rPr>
          <w:rFonts w:ascii="Times New Roman" w:hAnsi="Times New Roman" w:cs="Times New Roman" w:eastAsia="Times New Roman" w:hint="default"/>
        </w:rPr>
        <w:t>18</w:t>
      </w:r>
      <w:r>
        <w:rPr/>
        <w:t>、应付职工薪酬</w:t>
      </w:r>
      <w:r>
        <w:rPr>
          <w:b w:val="0"/>
          <w:bCs w:val="0"/>
        </w:rPr>
      </w:r>
    </w:p>
    <w:p>
      <w:pPr>
        <w:spacing w:line="240" w:lineRule="auto" w:before="10"/>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应付职工薪酬列示"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8,870,701.79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62,530,172.50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65,455,009.73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5,945,864.56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112,154.60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5,073,511.52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5,010,188.95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175,477.17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8,982,856.39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67,603,684.02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70,465,198.68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6,121,341.73</w:t>
            </w:r>
          </w:p>
        </w:tc>
      </w:tr>
    </w:tbl>
    <w:p>
      <w:pPr>
        <w:spacing w:line="240" w:lineRule="auto" w:before="3"/>
        <w:rPr>
          <w:rFonts w:ascii="宋体" w:hAnsi="宋体" w:cs="宋体" w:eastAsia="宋体" w:hint="default"/>
          <w:sz w:val="19"/>
          <w:szCs w:val="19"/>
        </w:rPr>
      </w:pPr>
    </w:p>
    <w:p>
      <w:pPr>
        <w:pStyle w:val="Heading4"/>
        <w:spacing w:line="240" w:lineRule="auto" w:before="34"/>
        <w:ind w:right="987"/>
        <w:jc w:val="left"/>
        <w:rPr>
          <w:b w:val="0"/>
          <w:bCs w:val="0"/>
        </w:rPr>
      </w:pPr>
      <w:bookmarkStart w:name="（2）短期薪酬列示" w:id="249"/>
      <w:bookmarkEnd w:id="24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8,511,766.42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53,058,899.28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56,960,985.20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4,609,680.50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3,697,034.99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3,697,034.99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67,127.81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2,696,442.29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2,669,652.32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93,917.78</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2" w:right="0"/>
              <w:jc w:val="left"/>
              <w:rPr>
                <w:rFonts w:ascii="宋体" w:hAnsi="宋体" w:cs="宋体" w:eastAsia="宋体" w:hint="default"/>
                <w:sz w:val="18"/>
                <w:szCs w:val="18"/>
              </w:rPr>
            </w:pPr>
            <w:r>
              <w:rPr>
                <w:rFonts w:ascii="宋体" w:hAnsi="宋体" w:cs="宋体" w:eastAsia="宋体" w:hint="default"/>
                <w:sz w:val="18"/>
                <w:szCs w:val="18"/>
              </w:rPr>
              <w:t>其中：医疗保险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60,344.58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2,315,862.66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2,291,257.24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84,950.00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36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137,795.29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137,656.87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1,461.98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5,459.67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242,784.34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240,738.21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7,505.80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1,700,112.40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1,694,284.40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6,025.00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育经费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291,610.56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1,377,683.54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433,052.82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1,236,241.28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8,870,701.79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62,530,172.50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65,455,009.73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5,945,864.56</w:t>
            </w:r>
          </w:p>
        </w:tc>
      </w:tr>
    </w:tbl>
    <w:p>
      <w:pPr>
        <w:spacing w:line="240" w:lineRule="auto" w:before="5"/>
        <w:rPr>
          <w:rFonts w:ascii="宋体" w:hAnsi="宋体" w:cs="宋体" w:eastAsia="宋体" w:hint="default"/>
          <w:sz w:val="19"/>
          <w:szCs w:val="19"/>
        </w:rPr>
      </w:pPr>
    </w:p>
    <w:p>
      <w:pPr>
        <w:pStyle w:val="Heading4"/>
        <w:spacing w:line="240" w:lineRule="auto" w:before="34"/>
        <w:ind w:right="987"/>
        <w:jc w:val="left"/>
        <w:rPr>
          <w:b w:val="0"/>
          <w:bCs w:val="0"/>
        </w:rPr>
      </w:pPr>
      <w:bookmarkStart w:name="（3）设定提存计划列示" w:id="250"/>
      <w:bookmarkEnd w:id="25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108,496.84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4,905,116.92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4,844,430.66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169,183.10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3,657.76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168,394.60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165,758.29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6,294.07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112,154.60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5,073,511.52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5,010,188.95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175,477.17</w:t>
            </w:r>
          </w:p>
        </w:tc>
      </w:tr>
    </w:tbl>
    <w:p>
      <w:pPr>
        <w:pStyle w:val="BodyText"/>
        <w:spacing w:line="338" w:lineRule="auto" w:before="51"/>
        <w:ind w:right="987"/>
        <w:jc w:val="left"/>
      </w:pPr>
      <w:r>
        <w:rPr/>
        <w:t>其他说明： </w:t>
      </w:r>
      <w:r>
        <w:rPr>
          <w:spacing w:val="-2"/>
        </w:rPr>
        <w:t>本公司按规定参加由政府机构设立的养老保险、失业保险计划，根据该等计划，本公司每月向该等计划缴存费用。除上述每</w:t>
      </w:r>
      <w:r>
        <w:rPr>
          <w:spacing w:val="-66"/>
        </w:rPr>
        <w:t> </w:t>
      </w:r>
      <w:r>
        <w:rPr>
          <w:spacing w:val="-66"/>
        </w:rPr>
      </w:r>
      <w:r>
        <w:rPr/>
        <w:t>月缴存费用外，本公司不再承担进一步支付义务。相应的支出于发生时计入当期损益或相关资产的成本。</w:t>
      </w:r>
    </w:p>
    <w:p>
      <w:pPr>
        <w:spacing w:line="240" w:lineRule="auto" w:before="2"/>
        <w:rPr>
          <w:rFonts w:ascii="宋体" w:hAnsi="宋体" w:cs="宋体" w:eastAsia="宋体" w:hint="default"/>
          <w:sz w:val="21"/>
          <w:szCs w:val="21"/>
        </w:rPr>
      </w:pPr>
    </w:p>
    <w:p>
      <w:pPr>
        <w:pStyle w:val="Heading4"/>
        <w:spacing w:line="240" w:lineRule="auto"/>
        <w:ind w:right="987"/>
        <w:jc w:val="left"/>
        <w:rPr>
          <w:b w:val="0"/>
          <w:bCs w:val="0"/>
        </w:rPr>
      </w:pPr>
      <w:bookmarkStart w:name="19、应交税费" w:id="251"/>
      <w:bookmarkEnd w:id="251"/>
      <w:r>
        <w:rPr>
          <w:b w:val="0"/>
          <w:bCs w:val="0"/>
        </w:rPr>
      </w:r>
      <w:r>
        <w:rPr>
          <w:rFonts w:ascii="Times New Roman" w:hAnsi="Times New Roman" w:cs="Times New Roman" w:eastAsia="Times New Roman" w:hint="default"/>
        </w:rPr>
        <w:t>19</w:t>
      </w:r>
      <w:r>
        <w:rPr/>
        <w:t>、应交税费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9,578,322.54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19,329,928.13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15,129,948.49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14,855,061.75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711,915.89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590,827.19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510,906.73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457,283.27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423,058.09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428,527.79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493,219.00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493,219.00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917,108.89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3,169,701.77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27,764,479.63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39,324,548.90</w:t>
            </w:r>
          </w:p>
        </w:tc>
      </w:tr>
    </w:tbl>
    <w:p>
      <w:pPr>
        <w:pStyle w:val="BodyText"/>
        <w:spacing w:line="360" w:lineRule="auto" w:before="49"/>
        <w:ind w:right="2474"/>
        <w:jc w:val="left"/>
      </w:pPr>
      <w:r>
        <w:rPr/>
        <w:t>其他说明： 应交税费—其他年初余额中包括富华宇祺分配股利代自然人股东代扣代缴的个人所得税2,807,400.00元。</w:t>
      </w:r>
    </w:p>
    <w:p>
      <w:pPr>
        <w:spacing w:after="0" w:line="360" w:lineRule="auto"/>
        <w:jc w:val="left"/>
        <w:sectPr>
          <w:pgSz w:w="11910" w:h="16840"/>
          <w:pgMar w:header="907" w:footer="1028" w:top="1100" w:bottom="1220" w:left="1020" w:right="0"/>
        </w:sectPr>
      </w:pPr>
    </w:p>
    <w:p>
      <w:pPr>
        <w:spacing w:line="240" w:lineRule="auto" w:before="10"/>
        <w:rPr>
          <w:rFonts w:ascii="宋体" w:hAnsi="宋体" w:cs="宋体" w:eastAsia="宋体" w:hint="default"/>
          <w:sz w:val="21"/>
          <w:szCs w:val="21"/>
        </w:rPr>
      </w:pPr>
    </w:p>
    <w:p>
      <w:pPr>
        <w:spacing w:before="34"/>
        <w:ind w:left="112" w:right="987" w:firstLine="0"/>
        <w:jc w:val="left"/>
        <w:rPr>
          <w:rFonts w:ascii="宋体" w:hAnsi="宋体" w:cs="宋体" w:eastAsia="宋体" w:hint="default"/>
          <w:sz w:val="21"/>
          <w:szCs w:val="21"/>
        </w:rPr>
      </w:pPr>
      <w:bookmarkStart w:name="20、其他应付款" w:id="252"/>
      <w:bookmarkEnd w:id="252"/>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640.19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7,091.10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5,847,351.85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7,557,948.53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5,847,992.04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7,565,039.63</w:t>
            </w:r>
          </w:p>
        </w:tc>
      </w:tr>
    </w:tbl>
    <w:p>
      <w:pPr>
        <w:spacing w:line="240" w:lineRule="auto" w:before="3"/>
        <w:rPr>
          <w:rFonts w:ascii="宋体" w:hAnsi="宋体" w:cs="宋体" w:eastAsia="宋体" w:hint="default"/>
          <w:sz w:val="19"/>
          <w:szCs w:val="19"/>
        </w:rPr>
      </w:pPr>
    </w:p>
    <w:p>
      <w:pPr>
        <w:pStyle w:val="Heading4"/>
        <w:spacing w:line="240" w:lineRule="auto" w:before="34"/>
        <w:ind w:right="987"/>
        <w:jc w:val="left"/>
        <w:rPr>
          <w:b w:val="0"/>
          <w:bCs w:val="0"/>
        </w:rPr>
      </w:pPr>
      <w:bookmarkStart w:name="（1）应付利息" w:id="253"/>
      <w:bookmarkEnd w:id="253"/>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7,091.10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640.19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7,091.10</w:t>
            </w:r>
          </w:p>
        </w:tc>
      </w:tr>
    </w:tbl>
    <w:p>
      <w:pPr>
        <w:pStyle w:val="BodyText"/>
        <w:spacing w:line="240" w:lineRule="auto" w:before="49"/>
        <w:ind w:right="987"/>
        <w:jc w:val="left"/>
      </w:pPr>
      <w:r>
        <w:rPr/>
        <w:t>重要的已逾期未支付的利息情况：</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0"/>
        <w:ind w:right="98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2）其他应付款" w:id="254"/>
      <w:bookmarkEnd w:id="254"/>
      <w:r>
        <w:rPr>
          <w:b w:val="0"/>
          <w:bCs w:val="0"/>
        </w:rPr>
      </w:r>
      <w:r>
        <w:rPr/>
        <w:t>（</w:t>
      </w:r>
      <w:r>
        <w:rPr>
          <w:rFonts w:ascii="Times New Roman" w:hAnsi="Times New Roman" w:cs="Times New Roman" w:eastAsia="Times New Roman" w:hint="default"/>
        </w:rPr>
        <w:t>2</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7"/>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2,314,033.78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5,795,945.76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2,480,696.11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1,611,245.57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1,052,621.96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150,757.20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5,847,351.85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7,557,948.53</w:t>
            </w:r>
          </w:p>
        </w:tc>
      </w:tr>
    </w:tbl>
    <w:p>
      <w:pPr>
        <w:pStyle w:val="BodyText"/>
        <w:spacing w:line="240" w:lineRule="auto" w:before="50"/>
        <w:ind w:right="987"/>
        <w:jc w:val="left"/>
      </w:pPr>
      <w:r>
        <w:rPr>
          <w:rFonts w:ascii="Times New Roman" w:hAnsi="Times New Roman" w:cs="Times New Roman" w:eastAsia="Times New Roman" w:hint="default"/>
        </w:rPr>
        <w:t>2)</w:t>
      </w: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山东科技大学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995,000.00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995,000.00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98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21、股本" w:id="255"/>
      <w:bookmarkEnd w:id="255"/>
      <w:r>
        <w:rPr>
          <w:b w:val="0"/>
          <w:bCs w:val="0"/>
        </w:rPr>
      </w:r>
      <w:r>
        <w:rPr>
          <w:rFonts w:ascii="Times New Roman" w:hAnsi="Times New Roman" w:cs="Times New Roman" w:eastAsia="Times New Roman" w:hint="default"/>
        </w:rPr>
        <w:t>21</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2"/>
        <w:jc w:val="right"/>
      </w:pPr>
      <w:r>
        <w:rPr/>
        <w:t>单位：元</w:t>
      </w:r>
    </w:p>
    <w:p>
      <w:pPr>
        <w:spacing w:after="0" w:line="240" w:lineRule="auto"/>
        <w:jc w:val="right"/>
        <w:sectPr>
          <w:footerReference w:type="default" r:id="rId36"/>
          <w:pgSz w:w="11910" w:h="16840"/>
          <w:pgMar w:footer="1028" w:header="907" w:top="1100" w:bottom="1220" w:left="1020" w:right="0"/>
          <w:pgNumType w:start="14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669,279,255.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669,279,255.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51"/>
        <w:ind w:right="98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22、资本公积" w:id="256"/>
      <w:bookmarkEnd w:id="256"/>
      <w:r>
        <w:rPr>
          <w:b w:val="0"/>
          <w:bCs w:val="0"/>
        </w:rPr>
      </w:r>
      <w:r>
        <w:rPr>
          <w:rFonts w:ascii="Times New Roman" w:hAnsi="Times New Roman" w:cs="Times New Roman" w:eastAsia="Times New Roman" w:hint="default"/>
        </w:rPr>
        <w:t>22</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776,033,579.86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776,033,579.86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572,100.00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6,438,600.00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7,010,700.00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776,605,679.86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6,438,600.00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783,044,279.86</w:t>
            </w:r>
          </w:p>
        </w:tc>
      </w:tr>
    </w:tbl>
    <w:p>
      <w:pPr>
        <w:pStyle w:val="BodyText"/>
        <w:spacing w:line="240" w:lineRule="auto" w:before="51"/>
        <w:ind w:right="987"/>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23、盈余公积" w:id="257"/>
      <w:bookmarkEnd w:id="257"/>
      <w:r>
        <w:rPr>
          <w:b w:val="0"/>
          <w:bCs w:val="0"/>
        </w:rPr>
      </w:r>
      <w:r>
        <w:rPr>
          <w:rFonts w:ascii="Times New Roman" w:hAnsi="Times New Roman" w:cs="Times New Roman" w:eastAsia="Times New Roman" w:hint="default"/>
        </w:rPr>
        <w:t>23</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43,917,887.13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6,180,043.22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50,097,930.35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43,917,887.13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6,180,043.22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50,097,930.35</w:t>
            </w:r>
          </w:p>
        </w:tc>
      </w:tr>
    </w:tbl>
    <w:p>
      <w:pPr>
        <w:pStyle w:val="BodyText"/>
        <w:spacing w:line="338" w:lineRule="auto" w:before="49"/>
        <w:ind w:right="987"/>
        <w:jc w:val="left"/>
      </w:pPr>
      <w:r>
        <w:rPr/>
        <w:t>盈余公积说明，包括本期增减变动情况、变动原因说明： </w:t>
      </w:r>
      <w:r>
        <w:rPr>
          <w:spacing w:val="-2"/>
        </w:rPr>
        <w:t>根据《公司法》、公司章程的规定，本公司按净利润的10%提取法定盈余公积。法定盈余公积累计额达到本公司注册资本50%</w:t>
      </w:r>
      <w:r>
        <w:rPr>
          <w:spacing w:val="-69"/>
        </w:rPr>
        <w:t> </w:t>
      </w:r>
      <w:r>
        <w:rPr>
          <w:spacing w:val="-69"/>
        </w:rPr>
      </w:r>
      <w:r>
        <w:rPr/>
        <w:t>以上的，不再提取。</w:t>
      </w:r>
    </w:p>
    <w:p>
      <w:pPr>
        <w:pStyle w:val="BodyText"/>
        <w:spacing w:line="240" w:lineRule="auto" w:before="2"/>
        <w:ind w:right="987"/>
        <w:jc w:val="left"/>
      </w:pPr>
      <w:r>
        <w:rPr/>
        <w:t>本公司在提取法定盈余公积金后，可提取任意盈余公积金。经批准，任意盈余公积金可用于弥补以前年度亏损或增加股本。</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24、未分配利润" w:id="258"/>
      <w:bookmarkEnd w:id="258"/>
      <w:r>
        <w:rPr>
          <w:b w:val="0"/>
          <w:bCs w:val="0"/>
        </w:rPr>
      </w:r>
      <w:r>
        <w:rPr>
          <w:rFonts w:ascii="Times New Roman" w:hAnsi="Times New Roman" w:cs="Times New Roman" w:eastAsia="Times New Roman" w:hint="default"/>
        </w:rPr>
        <w:t>24</w:t>
      </w:r>
      <w:r>
        <w:rPr/>
        <w:t>、未分配利润</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237,637,699.83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207,544,563.73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237,637,699.83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207,544,563.73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97,453,208.28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101,644,074.39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6,180,043.22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5,516,163.98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66,927,925.50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66,034,774.31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261,982,939.39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237,637,699.83</w:t>
            </w:r>
          </w:p>
        </w:tc>
      </w:tr>
    </w:tbl>
    <w:p>
      <w:pPr>
        <w:pStyle w:val="BodyText"/>
        <w:spacing w:line="240" w:lineRule="auto" w:before="49"/>
        <w:ind w:right="987"/>
        <w:jc w:val="left"/>
      </w:pPr>
      <w:r>
        <w:rPr/>
        <w:t>调整期初未分配利润明细：</w:t>
      </w:r>
    </w:p>
    <w:p>
      <w:pPr>
        <w:pStyle w:val="BodyText"/>
        <w:spacing w:line="240" w:lineRule="auto" w:before="117"/>
        <w:ind w:right="987"/>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240" w:lineRule="auto"/>
        <w:ind w:right="987"/>
        <w:jc w:val="left"/>
      </w:pPr>
      <w:r>
        <w:rPr>
          <w:rFonts w:ascii="Times New Roman" w:hAnsi="Times New Roman" w:cs="Times New Roman" w:eastAsia="Times New Roman" w:hint="default"/>
        </w:rPr>
        <w:t>2)</w:t>
      </w:r>
      <w:r>
        <w:rPr/>
        <w:t>、由于会计政策变更，影响期初未分配利润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987"/>
        <w:jc w:val="left"/>
      </w:pPr>
      <w:r>
        <w:rPr>
          <w:rFonts w:ascii="Times New Roman" w:hAnsi="Times New Roman" w:cs="Times New Roman" w:eastAsia="Times New Roman" w:hint="default"/>
        </w:rPr>
        <w:t>3)</w:t>
      </w:r>
      <w:r>
        <w:rPr/>
        <w:t>、由于重大会计差错更正，影响期初未分配利润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87"/>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87"/>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right="987"/>
        <w:jc w:val="left"/>
        <w:rPr>
          <w:b w:val="0"/>
          <w:bCs w:val="0"/>
        </w:rPr>
      </w:pPr>
      <w:bookmarkStart w:name="25、营业收入和营业成本" w:id="259"/>
      <w:bookmarkEnd w:id="259"/>
      <w:r>
        <w:rPr>
          <w:b w:val="0"/>
          <w:bCs w:val="0"/>
        </w:rPr>
      </w:r>
      <w:r>
        <w:rPr>
          <w:rFonts w:ascii="Times New Roman" w:hAnsi="Times New Roman" w:cs="Times New Roman" w:eastAsia="Times New Roman" w:hint="default"/>
        </w:rPr>
        <w:t>25</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443,078,025.84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217,942,053.21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415,019,175.49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196,512,406.68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3,078,003.13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1,055,493.16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7,892,542.45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3,773,484.91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446,156,028.97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218,997,546.37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422,911,717.94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200,285,891.59</w:t>
            </w:r>
          </w:p>
        </w:tc>
      </w:tr>
    </w:tbl>
    <w:p>
      <w:pPr>
        <w:spacing w:line="240" w:lineRule="auto" w:before="4"/>
        <w:rPr>
          <w:rFonts w:ascii="宋体" w:hAnsi="宋体" w:cs="宋体" w:eastAsia="宋体" w:hint="default"/>
          <w:sz w:val="19"/>
          <w:szCs w:val="19"/>
        </w:rPr>
      </w:pPr>
    </w:p>
    <w:p>
      <w:pPr>
        <w:pStyle w:val="Heading4"/>
        <w:spacing w:line="240" w:lineRule="auto" w:before="34"/>
        <w:ind w:right="987"/>
        <w:jc w:val="left"/>
        <w:rPr>
          <w:b w:val="0"/>
          <w:bCs w:val="0"/>
        </w:rPr>
      </w:pPr>
      <w:bookmarkStart w:name="26、税金及附加" w:id="260"/>
      <w:bookmarkEnd w:id="260"/>
      <w:r>
        <w:rPr>
          <w:b w:val="0"/>
          <w:bCs w:val="0"/>
        </w:rPr>
      </w:r>
      <w:r>
        <w:rPr>
          <w:rFonts w:ascii="Times New Roman" w:hAnsi="Times New Roman" w:cs="Times New Roman" w:eastAsia="Times New Roman" w:hint="default"/>
        </w:rPr>
        <w:t>26</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4,285,522.54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2,467,598.62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1,847,370.55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1,094,368.66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1,743,392.15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1,979,784.26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2,002,657.00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2,174,961.00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319,054.43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634,405.45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1,230,301.45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729,579.13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其他税金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207,787.78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92,419.24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11,636,085.90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9,173,116.36</w:t>
            </w:r>
          </w:p>
        </w:tc>
      </w:tr>
    </w:tbl>
    <w:p>
      <w:pPr>
        <w:pStyle w:val="BodyText"/>
        <w:spacing w:line="240" w:lineRule="auto" w:before="50"/>
        <w:ind w:right="98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27、销售费用" w:id="261"/>
      <w:bookmarkEnd w:id="261"/>
      <w:r>
        <w:rPr>
          <w:b w:val="0"/>
          <w:bCs w:val="0"/>
        </w:rPr>
      </w:r>
      <w:r>
        <w:rPr>
          <w:rFonts w:ascii="Times New Roman" w:hAnsi="Times New Roman" w:cs="Times New Roman" w:eastAsia="Times New Roman" w:hint="default"/>
        </w:rPr>
        <w:t>27</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17,092,663.07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9,121,444.84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6,183,088.39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7,229,478.24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市场推广宣传费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5,298,052.90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4,371,955.57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3,495,935.76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1,924,962.41</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1,748,828.64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1,634,169.25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1,627,074.78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1,017,995.65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1,282,464.69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786,392.55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房屋租赁及物业水电费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807,534.01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1,002,720.70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6,186,700.11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2,792,648.94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43,722,342.35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29,881,768.15</w:t>
            </w:r>
          </w:p>
        </w:tc>
      </w:tr>
    </w:tbl>
    <w:p>
      <w:pPr>
        <w:pStyle w:val="BodyText"/>
        <w:spacing w:line="240" w:lineRule="auto" w:before="51"/>
        <w:ind w:right="98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28、管理费用" w:id="262"/>
      <w:bookmarkEnd w:id="262"/>
      <w:r>
        <w:rPr>
          <w:b w:val="0"/>
          <w:bCs w:val="0"/>
        </w:rPr>
      </w:r>
      <w:r>
        <w:rPr>
          <w:rFonts w:ascii="Times New Roman" w:hAnsi="Times New Roman" w:cs="Times New Roman" w:eastAsia="Times New Roman" w:hint="default"/>
        </w:rPr>
        <w:t>28</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16,310,437.67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14,720,460.38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11,187,921.98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10,450,788.07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7,428,102.39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6,470,369.27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2,965,413.01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2,358,031.27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2,699,799.14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1,859,602.25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聘请中介机构服务费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2,266,509.65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2,414,763.28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1,891,634.77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962,200.04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1,698,577.53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1,509,617.12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1,338,884.54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1,306,568.90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限制性股票摊销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6,438,600.00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572,100.00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3,603,855.73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5,177,171.09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57,829,736.41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47,801,671.67</w:t>
            </w:r>
          </w:p>
        </w:tc>
      </w:tr>
    </w:tbl>
    <w:p>
      <w:pPr>
        <w:pStyle w:val="BodyText"/>
        <w:spacing w:line="240" w:lineRule="auto" w:before="50"/>
        <w:ind w:right="98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29、研发费用" w:id="263"/>
      <w:bookmarkEnd w:id="263"/>
      <w:r>
        <w:rPr>
          <w:b w:val="0"/>
          <w:bCs w:val="0"/>
        </w:rPr>
      </w:r>
      <w:r>
        <w:rPr>
          <w:rFonts w:ascii="Times New Roman" w:hAnsi="Times New Roman" w:cs="Times New Roman" w:eastAsia="Times New Roman" w:hint="default"/>
        </w:rPr>
        <w:t>29</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20,764,764.32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15,690,530.40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直接投入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11,396,721.32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4,781,722.23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2,823,652.36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2"/>
                <w:sz w:val="18"/>
              </w:rPr>
              <w:t>2,673,111.80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委外科研费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7,173,925.96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1,819,234.33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成果申验费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690,331.26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690,914.01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4,754,740.71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4,490,708.06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47,604,135.93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30,146,220.83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240" w:lineRule="auto"/>
        <w:ind w:right="98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30、财务费用" w:id="264"/>
      <w:bookmarkEnd w:id="264"/>
      <w:r>
        <w:rPr>
          <w:b w:val="0"/>
          <w:bCs w:val="0"/>
        </w:rPr>
      </w:r>
      <w:r>
        <w:rPr>
          <w:rFonts w:ascii="Times New Roman" w:hAnsi="Times New Roman" w:cs="Times New Roman" w:eastAsia="Times New Roman" w:hint="default"/>
        </w:rPr>
        <w:t>30</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1,425,890.42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786,148.69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5,918,402.12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7,213,603.42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银行手续费等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56,072.82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72,725.21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-4,436,438.88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-6,354,729.52</w:t>
            </w:r>
          </w:p>
        </w:tc>
      </w:tr>
    </w:tbl>
    <w:p>
      <w:pPr>
        <w:pStyle w:val="BodyText"/>
        <w:spacing w:line="240" w:lineRule="auto" w:before="51"/>
        <w:ind w:right="98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31、资产减值损失" w:id="265"/>
      <w:bookmarkEnd w:id="265"/>
      <w:r>
        <w:rPr>
          <w:b w:val="0"/>
          <w:bCs w:val="0"/>
        </w:rPr>
      </w:r>
      <w:r>
        <w:rPr>
          <w:rFonts w:ascii="Times New Roman" w:hAnsi="Times New Roman" w:cs="Times New Roman" w:eastAsia="Times New Roman" w:hint="default"/>
        </w:rPr>
        <w:t>31</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2,489,344.44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6,135,299.82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937,667.56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4,660,523.72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2,127,082.56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18,659,704.97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26,747,240.69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8,262,382.38</w:t>
            </w:r>
          </w:p>
        </w:tc>
      </w:tr>
    </w:tbl>
    <w:p>
      <w:pPr>
        <w:pStyle w:val="BodyText"/>
        <w:spacing w:line="240" w:lineRule="auto" w:before="50"/>
        <w:ind w:right="98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32、其他收益" w:id="266"/>
      <w:bookmarkEnd w:id="266"/>
      <w:r>
        <w:rPr>
          <w:b w:val="0"/>
          <w:bCs w:val="0"/>
        </w:rPr>
      </w:r>
      <w:r>
        <w:rPr>
          <w:rFonts w:ascii="Times New Roman" w:hAnsi="Times New Roman" w:cs="Times New Roman" w:eastAsia="Times New Roman" w:hint="default"/>
        </w:rPr>
        <w:t>32</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增值税及附加税返还款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50,862,472.01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41" w:right="0"/>
              <w:jc w:val="left"/>
              <w:rPr>
                <w:rFonts w:ascii="Times New Roman" w:hAnsi="Times New Roman" w:cs="Times New Roman" w:eastAsia="Times New Roman" w:hint="default"/>
                <w:sz w:val="18"/>
                <w:szCs w:val="18"/>
              </w:rPr>
            </w:pPr>
            <w:r>
              <w:rPr>
                <w:rFonts w:ascii="Times New Roman"/>
                <w:sz w:val="18"/>
              </w:rPr>
              <w:t>19,328,467.36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与企业日常活动有关的政府补助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905,010.00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代扣代缴个税手续返还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243,792.72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987"/>
        <w:jc w:val="left"/>
        <w:rPr>
          <w:b w:val="0"/>
          <w:bCs w:val="0"/>
        </w:rPr>
      </w:pPr>
      <w:bookmarkStart w:name="33、投资收益" w:id="267"/>
      <w:bookmarkEnd w:id="267"/>
      <w:r>
        <w:rPr>
          <w:b w:val="0"/>
          <w:bCs w:val="0"/>
        </w:rPr>
      </w:r>
      <w:r>
        <w:rPr>
          <w:rFonts w:ascii="Times New Roman" w:hAnsi="Times New Roman" w:cs="Times New Roman" w:eastAsia="Times New Roman" w:hint="default"/>
        </w:rPr>
        <w:t>33</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-672,475.56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-59,599.80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6,708,041.41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3,612,849.86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6,035,565.85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3,553,250.06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240" w:lineRule="auto"/>
        <w:ind w:right="98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34、资产处置收益" w:id="268"/>
      <w:bookmarkEnd w:id="268"/>
      <w:r>
        <w:rPr>
          <w:b w:val="0"/>
          <w:bCs w:val="0"/>
        </w:rPr>
      </w:r>
      <w:r>
        <w:rPr>
          <w:rFonts w:ascii="Times New Roman" w:hAnsi="Times New Roman" w:cs="Times New Roman" w:eastAsia="Times New Roman" w:hint="default"/>
        </w:rPr>
        <w:t>34</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297,205.12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164,774.19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减：固定资产处置损失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56,867.71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400,545.61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240,337.41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-235,771.42</w:t>
            </w:r>
          </w:p>
        </w:tc>
      </w:tr>
    </w:tbl>
    <w:p>
      <w:pPr>
        <w:spacing w:line="240" w:lineRule="auto" w:before="3"/>
        <w:rPr>
          <w:rFonts w:ascii="宋体" w:hAnsi="宋体" w:cs="宋体" w:eastAsia="宋体" w:hint="default"/>
          <w:sz w:val="19"/>
          <w:szCs w:val="19"/>
        </w:rPr>
      </w:pPr>
    </w:p>
    <w:p>
      <w:pPr>
        <w:pStyle w:val="Heading4"/>
        <w:spacing w:line="240" w:lineRule="auto" w:before="34"/>
        <w:ind w:right="987"/>
        <w:jc w:val="left"/>
        <w:rPr>
          <w:b w:val="0"/>
          <w:bCs w:val="0"/>
        </w:rPr>
      </w:pPr>
      <w:bookmarkStart w:name="35、营业外收入" w:id="269"/>
      <w:bookmarkEnd w:id="269"/>
      <w:r>
        <w:rPr>
          <w:b w:val="0"/>
          <w:bCs w:val="0"/>
        </w:rPr>
      </w:r>
      <w:r>
        <w:rPr>
          <w:rFonts w:ascii="Times New Roman" w:hAnsi="Times New Roman" w:cs="Times New Roman" w:eastAsia="Times New Roman" w:hint="default"/>
        </w:rPr>
        <w:t>35</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195,593.93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195,593.93</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5"/>
              <w:jc w:val="left"/>
              <w:rPr>
                <w:rFonts w:ascii="宋体" w:hAnsi="宋体" w:cs="宋体" w:eastAsia="宋体" w:hint="default"/>
                <w:sz w:val="18"/>
                <w:szCs w:val="18"/>
              </w:rPr>
            </w:pPr>
            <w:r>
              <w:rPr>
                <w:rFonts w:ascii="宋体" w:hAnsi="宋体" w:cs="宋体" w:eastAsia="宋体" w:hint="default"/>
                <w:sz w:val="18"/>
                <w:szCs w:val="18"/>
              </w:rPr>
              <w:t>与企业日常活动无关的政府 补助</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1,478,266.00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1,680,739.81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276,900.91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1,680,739.81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1,876,333.74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1,755,166.91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1,876,333.74</w:t>
            </w:r>
          </w:p>
        </w:tc>
      </w:tr>
    </w:tbl>
    <w:p>
      <w:pPr>
        <w:pStyle w:val="BodyText"/>
        <w:spacing w:line="240" w:lineRule="auto" w:before="49"/>
        <w:ind w:right="987"/>
        <w:jc w:val="left"/>
      </w:pPr>
      <w:r>
        <w:rPr/>
        <w:t>计入当期损益的政府补助：</w:t>
      </w:r>
    </w:p>
    <w:p>
      <w:pPr>
        <w:pStyle w:val="BodyText"/>
        <w:spacing w:line="240" w:lineRule="auto" w:before="117"/>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165"/>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40" w:right="141" w:firstLine="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因从事国</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家鼓励和</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扶持特定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1"/>
              <w:jc w:val="left"/>
              <w:rPr>
                <w:rFonts w:ascii="宋体" w:hAnsi="宋体" w:cs="宋体" w:eastAsia="宋体" w:hint="default"/>
                <w:sz w:val="18"/>
                <w:szCs w:val="18"/>
              </w:rPr>
            </w:pPr>
            <w:r>
              <w:rPr>
                <w:rFonts w:ascii="宋体" w:hAnsi="宋体" w:cs="宋体" w:eastAsia="宋体" w:hint="default"/>
                <w:sz w:val="18"/>
                <w:szCs w:val="18"/>
              </w:rPr>
              <w:t>增值税返 </w:t>
            </w:r>
            <w:r>
              <w:rPr>
                <w:rFonts w:ascii="宋体" w:hAnsi="宋体" w:cs="宋体" w:eastAsia="宋体" w:hint="default"/>
                <w:spacing w:val="-11"/>
                <w:sz w:val="18"/>
                <w:szCs w:val="18"/>
              </w:rPr>
              <w:t>还款（师凯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长春市高 新区国税 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1"/>
              <w:jc w:val="left"/>
              <w:rPr>
                <w:rFonts w:ascii="宋体" w:hAnsi="宋体" w:cs="宋体" w:eastAsia="宋体" w:hint="default"/>
                <w:sz w:val="18"/>
                <w:szCs w:val="18"/>
              </w:rPr>
            </w:pP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47,348,798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15,199,422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家级政策</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规定依法</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46"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因承担国</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258"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101" w:right="101"/>
              <w:jc w:val="left"/>
              <w:rPr>
                <w:rFonts w:ascii="宋体" w:hAnsi="宋体" w:cs="宋体" w:eastAsia="宋体" w:hint="default"/>
                <w:sz w:val="18"/>
                <w:szCs w:val="18"/>
              </w:rPr>
            </w:pPr>
            <w:r>
              <w:rPr>
                <w:rFonts w:ascii="宋体" w:hAnsi="宋体" w:cs="宋体" w:eastAsia="宋体" w:hint="default"/>
                <w:sz w:val="18"/>
                <w:szCs w:val="18"/>
              </w:rPr>
              <w:t>增值税返 </w:t>
            </w:r>
            <w:r>
              <w:rPr>
                <w:rFonts w:ascii="宋体" w:hAnsi="宋体" w:cs="宋体" w:eastAsia="宋体" w:hint="default"/>
                <w:spacing w:val="-11"/>
                <w:sz w:val="18"/>
                <w:szCs w:val="18"/>
              </w:rPr>
              <w:t>还款（富华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宇祺）</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102" w:right="228"/>
              <w:jc w:val="both"/>
              <w:rPr>
                <w:rFonts w:ascii="宋体" w:hAnsi="宋体" w:cs="宋体" w:eastAsia="宋体" w:hint="default"/>
                <w:sz w:val="18"/>
                <w:szCs w:val="18"/>
              </w:rPr>
            </w:pPr>
            <w:r>
              <w:rPr>
                <w:rFonts w:ascii="宋体" w:hAnsi="宋体" w:cs="宋体" w:eastAsia="宋体" w:hint="default"/>
                <w:sz w:val="18"/>
                <w:szCs w:val="18"/>
              </w:rPr>
              <w:t>北京市丰 台区国家 税务局第 五税务所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2" w:right="228"/>
              <w:jc w:val="both"/>
              <w:rPr>
                <w:rFonts w:ascii="宋体" w:hAnsi="宋体" w:cs="宋体" w:eastAsia="宋体" w:hint="default"/>
                <w:sz w:val="18"/>
                <w:szCs w:val="18"/>
              </w:rPr>
            </w:pPr>
            <w:r>
              <w:rPr>
                <w:rFonts w:ascii="宋体" w:hAnsi="宋体" w:cs="宋体" w:eastAsia="宋体" w:hint="default"/>
                <w:sz w:val="18"/>
                <w:szCs w:val="18"/>
              </w:rPr>
              <w:t>家为保障 某种公用 事业或社 会必要产</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778,075.74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154,789.74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品供应或</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986" w:hRule="exact"/>
        </w:trPr>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228"/>
              <w:jc w:val="both"/>
              <w:rPr>
                <w:rFonts w:ascii="宋体" w:hAnsi="宋体" w:cs="宋体" w:eastAsia="宋体" w:hint="default"/>
                <w:sz w:val="18"/>
                <w:szCs w:val="18"/>
              </w:rPr>
            </w:pPr>
            <w:r>
              <w:rPr>
                <w:rFonts w:ascii="宋体" w:hAnsi="宋体" w:cs="宋体" w:eastAsia="宋体" w:hint="default"/>
                <w:sz w:val="18"/>
                <w:szCs w:val="18"/>
              </w:rPr>
              <w:t>价格控制 职能而获 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因从事国</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家鼓励和</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1" w:right="101"/>
              <w:jc w:val="left"/>
              <w:rPr>
                <w:rFonts w:ascii="宋体" w:hAnsi="宋体" w:cs="宋体" w:eastAsia="宋体" w:hint="default"/>
                <w:sz w:val="18"/>
                <w:szCs w:val="18"/>
              </w:rPr>
            </w:pPr>
            <w:r>
              <w:rPr>
                <w:rFonts w:ascii="宋体" w:hAnsi="宋体" w:cs="宋体" w:eastAsia="宋体" w:hint="default"/>
                <w:sz w:val="18"/>
                <w:szCs w:val="18"/>
              </w:rPr>
              <w:t>增值税返 </w:t>
            </w:r>
            <w:r>
              <w:rPr>
                <w:rFonts w:ascii="宋体" w:hAnsi="宋体" w:cs="宋体" w:eastAsia="宋体" w:hint="default"/>
                <w:spacing w:val="-11"/>
                <w:sz w:val="18"/>
                <w:szCs w:val="18"/>
              </w:rPr>
              <w:t>还款（北京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富优）</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228"/>
              <w:jc w:val="both"/>
              <w:rPr>
                <w:rFonts w:ascii="宋体" w:hAnsi="宋体" w:cs="宋体" w:eastAsia="宋体" w:hint="default"/>
                <w:sz w:val="18"/>
                <w:szCs w:val="18"/>
              </w:rPr>
            </w:pPr>
            <w:r>
              <w:rPr>
                <w:rFonts w:ascii="宋体" w:hAnsi="宋体" w:cs="宋体" w:eastAsia="宋体" w:hint="default"/>
                <w:sz w:val="18"/>
                <w:szCs w:val="18"/>
              </w:rPr>
              <w:t>北京市丰 台区国家 税务局第 五税务所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1"/>
              <w:jc w:val="left"/>
              <w:rPr>
                <w:rFonts w:ascii="宋体" w:hAnsi="宋体" w:cs="宋体" w:eastAsia="宋体" w:hint="default"/>
                <w:sz w:val="18"/>
                <w:szCs w:val="18"/>
              </w:rPr>
            </w:pPr>
            <w:r>
              <w:rPr>
                <w:rFonts w:ascii="宋体" w:hAnsi="宋体" w:cs="宋体" w:eastAsia="宋体" w:hint="default"/>
                <w:sz w:val="18"/>
                <w:szCs w:val="18"/>
              </w:rPr>
              <w:t>扶持特定 </w:t>
            </w: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家级政策</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286,984.93</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777,777.49</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规定依法</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因从事国</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家鼓励和</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上海市浦</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扶持特定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1"/>
              <w:jc w:val="left"/>
              <w:rPr>
                <w:rFonts w:ascii="宋体" w:hAnsi="宋体" w:cs="宋体" w:eastAsia="宋体" w:hint="default"/>
                <w:sz w:val="18"/>
                <w:szCs w:val="18"/>
              </w:rPr>
            </w:pPr>
            <w:r>
              <w:rPr>
                <w:rFonts w:ascii="宋体" w:hAnsi="宋体" w:cs="宋体" w:eastAsia="宋体" w:hint="default"/>
                <w:sz w:val="18"/>
                <w:szCs w:val="18"/>
              </w:rPr>
              <w:t>增值税返 </w:t>
            </w:r>
            <w:r>
              <w:rPr>
                <w:rFonts w:ascii="宋体" w:hAnsi="宋体" w:cs="宋体" w:eastAsia="宋体" w:hint="default"/>
                <w:spacing w:val="-11"/>
                <w:sz w:val="18"/>
                <w:szCs w:val="18"/>
              </w:rPr>
              <w:t>还款（上海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富华）</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东新区国 家税务局 第十五税</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1"/>
              <w:jc w:val="left"/>
              <w:rPr>
                <w:rFonts w:ascii="宋体" w:hAnsi="宋体" w:cs="宋体" w:eastAsia="宋体" w:hint="default"/>
                <w:sz w:val="18"/>
                <w:szCs w:val="18"/>
              </w:rPr>
            </w:pP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304,287.15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1,047,342.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45</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务所</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家级政策</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规定依法</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因从事国</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家鼓励和</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扶持特定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1"/>
              <w:jc w:val="left"/>
              <w:rPr>
                <w:rFonts w:ascii="宋体" w:hAnsi="宋体" w:cs="宋体" w:eastAsia="宋体" w:hint="default"/>
                <w:sz w:val="18"/>
                <w:szCs w:val="18"/>
              </w:rPr>
            </w:pPr>
            <w:r>
              <w:rPr>
                <w:rFonts w:ascii="宋体" w:hAnsi="宋体" w:cs="宋体" w:eastAsia="宋体" w:hint="default"/>
                <w:sz w:val="18"/>
                <w:szCs w:val="18"/>
              </w:rPr>
              <w:t>增值税返 </w:t>
            </w:r>
            <w:r>
              <w:rPr>
                <w:rFonts w:ascii="宋体" w:hAnsi="宋体" w:cs="宋体" w:eastAsia="宋体" w:hint="default"/>
                <w:spacing w:val="-11"/>
                <w:sz w:val="18"/>
                <w:szCs w:val="18"/>
              </w:rPr>
              <w:t>还款（成都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宇祺）</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228"/>
              <w:jc w:val="left"/>
              <w:rPr>
                <w:rFonts w:ascii="宋体" w:hAnsi="宋体" w:cs="宋体" w:eastAsia="宋体" w:hint="default"/>
                <w:sz w:val="18"/>
                <w:szCs w:val="18"/>
              </w:rPr>
            </w:pPr>
            <w:r>
              <w:rPr>
                <w:rFonts w:ascii="宋体" w:hAnsi="宋体" w:cs="宋体" w:eastAsia="宋体" w:hint="default"/>
                <w:sz w:val="18"/>
                <w:szCs w:val="18"/>
              </w:rPr>
              <w:t>成都高新 区国税局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1"/>
              <w:jc w:val="left"/>
              <w:rPr>
                <w:rFonts w:ascii="宋体" w:hAnsi="宋体" w:cs="宋体" w:eastAsia="宋体" w:hint="default"/>
                <w:sz w:val="18"/>
                <w:szCs w:val="18"/>
              </w:rPr>
            </w:pP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9"/>
              <w:jc w:val="right"/>
              <w:rPr>
                <w:rFonts w:ascii="Times New Roman" w:hAnsi="Times New Roman" w:cs="Times New Roman" w:eastAsia="Times New Roman" w:hint="default"/>
                <w:sz w:val="18"/>
                <w:szCs w:val="18"/>
              </w:rPr>
            </w:pPr>
            <w:r>
              <w:rPr>
                <w:rFonts w:ascii="Times New Roman"/>
                <w:spacing w:val="-1"/>
                <w:sz w:val="18"/>
              </w:rPr>
              <w:t>30,851.18</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家级政策</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规定依法</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因从事国</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家鼓励和</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扶持特定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1"/>
              <w:jc w:val="left"/>
              <w:rPr>
                <w:rFonts w:ascii="宋体" w:hAnsi="宋体" w:cs="宋体" w:eastAsia="宋体" w:hint="default"/>
                <w:sz w:val="18"/>
                <w:szCs w:val="18"/>
              </w:rPr>
            </w:pPr>
            <w:r>
              <w:rPr>
                <w:rFonts w:ascii="宋体" w:hAnsi="宋体" w:cs="宋体" w:eastAsia="宋体" w:hint="default"/>
                <w:sz w:val="18"/>
                <w:szCs w:val="18"/>
              </w:rPr>
              <w:t>增值税返 </w:t>
            </w:r>
            <w:r>
              <w:rPr>
                <w:rFonts w:ascii="宋体" w:hAnsi="宋体" w:cs="宋体" w:eastAsia="宋体" w:hint="default"/>
                <w:spacing w:val="-11"/>
                <w:sz w:val="18"/>
                <w:szCs w:val="18"/>
              </w:rPr>
              <w:t>还款（矿业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泰安市高 新区国税 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1"/>
              <w:jc w:val="left"/>
              <w:rPr>
                <w:rFonts w:ascii="宋体" w:hAnsi="宋体" w:cs="宋体" w:eastAsia="宋体" w:hint="default"/>
                <w:sz w:val="18"/>
                <w:szCs w:val="18"/>
              </w:rPr>
            </w:pPr>
            <w:r>
              <w:rPr>
                <w:rFonts w:ascii="宋体" w:hAnsi="宋体" w:cs="宋体" w:eastAsia="宋体" w:hint="default"/>
                <w:spacing w:val="-11"/>
                <w:sz w:val="18"/>
                <w:szCs w:val="18"/>
              </w:rPr>
              <w:t>行业、产业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而获得的 </w:t>
            </w:r>
            <w:r>
              <w:rPr>
                <w:rFonts w:ascii="宋体" w:hAnsi="宋体" w:cs="宋体" w:eastAsia="宋体" w:hint="default"/>
                <w:spacing w:val="-11"/>
                <w:sz w:val="18"/>
                <w:szCs w:val="18"/>
              </w:rPr>
              <w:t>补助（按国</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1,151,777.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45" w:right="0"/>
              <w:jc w:val="center"/>
              <w:rPr>
                <w:rFonts w:ascii="Times New Roman" w:hAnsi="Times New Roman" w:cs="Times New Roman" w:eastAsia="Times New Roman" w:hint="default"/>
                <w:sz w:val="18"/>
                <w:szCs w:val="18"/>
              </w:rPr>
            </w:pPr>
            <w:r>
              <w:rPr>
                <w:rFonts w:ascii="Times New Roman"/>
                <w:sz w:val="18"/>
              </w:rPr>
              <w:t>113,046.58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家级政策</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规定依法</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1336"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z w:val="18"/>
                <w:szCs w:val="18"/>
              </w:rPr>
              <w:t>增值税返 </w:t>
            </w:r>
            <w:r>
              <w:rPr>
                <w:rFonts w:ascii="宋体" w:hAnsi="宋体" w:cs="宋体" w:eastAsia="宋体" w:hint="default"/>
                <w:spacing w:val="-11"/>
                <w:sz w:val="18"/>
                <w:szCs w:val="18"/>
              </w:rPr>
              <w:t>还款（尤洛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卡北京）</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28"/>
              <w:jc w:val="both"/>
              <w:rPr>
                <w:rFonts w:ascii="宋体" w:hAnsi="宋体" w:cs="宋体" w:eastAsia="宋体" w:hint="default"/>
                <w:sz w:val="18"/>
                <w:szCs w:val="18"/>
              </w:rPr>
            </w:pPr>
            <w:r>
              <w:rPr>
                <w:rFonts w:ascii="宋体" w:hAnsi="宋体" w:cs="宋体" w:eastAsia="宋体" w:hint="default"/>
                <w:sz w:val="18"/>
                <w:szCs w:val="18"/>
              </w:rPr>
              <w:t>北京海淀 区国家税 务局第七 税务所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2"/>
              <w:ind w:left="102" w:right="101"/>
              <w:jc w:val="left"/>
              <w:rPr>
                <w:rFonts w:ascii="宋体" w:hAnsi="宋体" w:cs="宋体" w:eastAsia="宋体" w:hint="default"/>
                <w:sz w:val="18"/>
                <w:szCs w:val="18"/>
              </w:rPr>
            </w:pPr>
            <w:r>
              <w:rPr>
                <w:rFonts w:ascii="宋体" w:hAnsi="宋体" w:cs="宋体" w:eastAsia="宋体" w:hint="default"/>
                <w:sz w:val="18"/>
                <w:szCs w:val="18"/>
              </w:rPr>
              <w:t>因从事国 家鼓励和 扶持特定 </w:t>
            </w:r>
            <w:r>
              <w:rPr>
                <w:rFonts w:ascii="宋体" w:hAnsi="宋体" w:cs="宋体" w:eastAsia="宋体" w:hint="default"/>
                <w:spacing w:val="-11"/>
                <w:sz w:val="18"/>
                <w:szCs w:val="18"/>
              </w:rPr>
              <w:t>行业、产业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961,697.13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2,036,088.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318" w:hRule="exact"/>
        </w:trPr>
        <w:tc>
          <w:tcPr>
            <w:tcW w:w="1065"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而获得的</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2" w:hRule="exact"/>
        </w:trPr>
        <w:tc>
          <w:tcPr>
            <w:tcW w:w="106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11"/>
                <w:sz w:val="18"/>
                <w:szCs w:val="18"/>
              </w:rPr>
              <w:t>补助（按国</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06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家级政策</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06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规定依法</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6" w:hRule="exact"/>
        </w:trPr>
        <w:tc>
          <w:tcPr>
            <w:tcW w:w="106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取得）</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代扣代缴</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泰安市地</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方政府招</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1"/>
              <w:jc w:val="left"/>
              <w:rPr>
                <w:rFonts w:ascii="宋体" w:hAnsi="宋体" w:cs="宋体" w:eastAsia="宋体" w:hint="default"/>
                <w:sz w:val="18"/>
                <w:szCs w:val="18"/>
              </w:rPr>
            </w:pPr>
            <w:r>
              <w:rPr>
                <w:rFonts w:ascii="宋体" w:hAnsi="宋体" w:cs="宋体" w:eastAsia="宋体" w:hint="default"/>
                <w:sz w:val="18"/>
                <w:szCs w:val="18"/>
              </w:rPr>
              <w:t>个税手续 </w:t>
            </w:r>
            <w:r>
              <w:rPr>
                <w:rFonts w:ascii="宋体" w:hAnsi="宋体" w:cs="宋体" w:eastAsia="宋体" w:hint="default"/>
                <w:spacing w:val="-11"/>
                <w:sz w:val="18"/>
                <w:szCs w:val="18"/>
              </w:rPr>
              <w:t>返还（尤洛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卡、矿业科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方税务局 高新技术 产业开发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商引资等 地方性扶 持政策而</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pacing w:val="-1"/>
                <w:sz w:val="18"/>
              </w:rPr>
              <w:t>243,792.72</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区分局</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获得的补</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1" w:right="101"/>
              <w:jc w:val="left"/>
              <w:rPr>
                <w:rFonts w:ascii="宋体" w:hAnsi="宋体" w:cs="宋体" w:eastAsia="宋体" w:hint="default"/>
                <w:sz w:val="18"/>
                <w:szCs w:val="18"/>
              </w:rPr>
            </w:pPr>
            <w:r>
              <w:rPr>
                <w:rFonts w:ascii="宋体" w:hAnsi="宋体" w:cs="宋体" w:eastAsia="宋体" w:hint="default"/>
                <w:sz w:val="18"/>
                <w:szCs w:val="18"/>
              </w:rPr>
              <w:t>小巨人企 </w:t>
            </w:r>
            <w:r>
              <w:rPr>
                <w:rFonts w:ascii="宋体" w:hAnsi="宋体" w:cs="宋体" w:eastAsia="宋体" w:hint="default"/>
                <w:spacing w:val="-11"/>
                <w:sz w:val="18"/>
                <w:szCs w:val="18"/>
              </w:rPr>
              <w:t>业补贴（师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凯科技）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228"/>
              <w:jc w:val="both"/>
              <w:rPr>
                <w:rFonts w:ascii="宋体" w:hAnsi="宋体" w:cs="宋体" w:eastAsia="宋体" w:hint="default"/>
                <w:sz w:val="18"/>
                <w:szCs w:val="18"/>
              </w:rPr>
            </w:pPr>
            <w:r>
              <w:rPr>
                <w:rFonts w:ascii="宋体" w:hAnsi="宋体" w:cs="宋体" w:eastAsia="宋体" w:hint="default"/>
                <w:sz w:val="18"/>
                <w:szCs w:val="18"/>
              </w:rPr>
              <w:t>长春高新 技术产业 开发区管 理委员会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方政府招 商引资等 地方性扶 持政策而 获得的补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1" w:right="101"/>
              <w:jc w:val="left"/>
              <w:rPr>
                <w:rFonts w:ascii="宋体" w:hAnsi="宋体" w:cs="宋体" w:eastAsia="宋体" w:hint="default"/>
                <w:sz w:val="18"/>
                <w:szCs w:val="18"/>
              </w:rPr>
            </w:pPr>
            <w:r>
              <w:rPr>
                <w:rFonts w:ascii="宋体" w:hAnsi="宋体" w:cs="宋体" w:eastAsia="宋体" w:hint="default"/>
                <w:sz w:val="18"/>
                <w:szCs w:val="18"/>
              </w:rPr>
              <w:t>企业发展 </w:t>
            </w:r>
            <w:r>
              <w:rPr>
                <w:rFonts w:ascii="宋体" w:hAnsi="宋体" w:cs="宋体" w:eastAsia="宋体" w:hint="default"/>
                <w:spacing w:val="-11"/>
                <w:sz w:val="18"/>
                <w:szCs w:val="18"/>
              </w:rPr>
              <w:t>资金（师凯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228"/>
              <w:jc w:val="both"/>
              <w:rPr>
                <w:rFonts w:ascii="宋体" w:hAnsi="宋体" w:cs="宋体" w:eastAsia="宋体" w:hint="default"/>
                <w:sz w:val="18"/>
                <w:szCs w:val="18"/>
              </w:rPr>
            </w:pPr>
            <w:r>
              <w:rPr>
                <w:rFonts w:ascii="宋体" w:hAnsi="宋体" w:cs="宋体" w:eastAsia="宋体" w:hint="default"/>
                <w:sz w:val="18"/>
                <w:szCs w:val="18"/>
              </w:rPr>
              <w:t>长春高新 技术产业 开发区管 理委员会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方政府招 商引资等 地方性扶 持政策而 获得的补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1" w:right="0"/>
              <w:jc w:val="left"/>
              <w:rPr>
                <w:rFonts w:ascii="宋体" w:hAnsi="宋体" w:cs="宋体" w:eastAsia="宋体" w:hint="default"/>
                <w:sz w:val="18"/>
                <w:szCs w:val="18"/>
              </w:rPr>
            </w:pPr>
            <w:r>
              <w:rPr>
                <w:rFonts w:ascii="宋体" w:hAnsi="宋体" w:cs="宋体" w:eastAsia="宋体" w:hint="default"/>
                <w:sz w:val="18"/>
                <w:szCs w:val="18"/>
              </w:rPr>
              <w:t>专利补贴</w:t>
            </w:r>
          </w:p>
          <w:p>
            <w:pPr>
              <w:pStyle w:val="TableParagraph"/>
              <w:spacing w:line="316" w:lineRule="auto" w:before="76"/>
              <w:ind w:left="101" w:right="231"/>
              <w:jc w:val="left"/>
              <w:rPr>
                <w:rFonts w:ascii="宋体" w:hAnsi="宋体" w:cs="宋体" w:eastAsia="宋体" w:hint="default"/>
                <w:sz w:val="18"/>
                <w:szCs w:val="18"/>
              </w:rPr>
            </w:pPr>
            <w:r>
              <w:rPr>
                <w:rFonts w:ascii="宋体" w:hAnsi="宋体" w:cs="宋体" w:eastAsia="宋体" w:hint="default"/>
                <w:sz w:val="18"/>
                <w:szCs w:val="18"/>
              </w:rPr>
              <w:t>（师凯科 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228"/>
              <w:jc w:val="both"/>
              <w:rPr>
                <w:rFonts w:ascii="宋体" w:hAnsi="宋体" w:cs="宋体" w:eastAsia="宋体" w:hint="default"/>
                <w:sz w:val="18"/>
                <w:szCs w:val="18"/>
              </w:rPr>
            </w:pPr>
            <w:r>
              <w:rPr>
                <w:rFonts w:ascii="宋体" w:hAnsi="宋体" w:cs="宋体" w:eastAsia="宋体" w:hint="default"/>
                <w:sz w:val="18"/>
                <w:szCs w:val="18"/>
              </w:rPr>
              <w:t>长春高新 技术产业 开发区管 理委员会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方政府招 商引资等 地方性扶 持政策而 获得的补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227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4"/>
              <w:ind w:left="101" w:right="101"/>
              <w:jc w:val="left"/>
              <w:rPr>
                <w:rFonts w:ascii="宋体" w:hAnsi="宋体" w:cs="宋体" w:eastAsia="宋体" w:hint="default"/>
                <w:sz w:val="18"/>
                <w:szCs w:val="18"/>
              </w:rPr>
            </w:pPr>
            <w:r>
              <w:rPr>
                <w:rFonts w:ascii="宋体" w:hAnsi="宋体" w:cs="宋体" w:eastAsia="宋体" w:hint="default"/>
                <w:sz w:val="18"/>
                <w:szCs w:val="18"/>
              </w:rPr>
              <w:t>软件及集 成电路补 </w:t>
            </w:r>
            <w:r>
              <w:rPr>
                <w:rFonts w:ascii="宋体" w:hAnsi="宋体" w:cs="宋体" w:eastAsia="宋体" w:hint="default"/>
                <w:spacing w:val="-11"/>
                <w:sz w:val="18"/>
                <w:szCs w:val="18"/>
              </w:rPr>
              <w:t>贴（上海富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华）</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102" w:right="168"/>
              <w:jc w:val="left"/>
              <w:rPr>
                <w:rFonts w:ascii="宋体" w:hAnsi="宋体" w:cs="宋体" w:eastAsia="宋体" w:hint="default"/>
                <w:sz w:val="18"/>
                <w:szCs w:val="18"/>
              </w:rPr>
            </w:pPr>
            <w:r>
              <w:rPr>
                <w:rFonts w:ascii="宋体" w:hAnsi="宋体" w:cs="宋体" w:eastAsia="宋体" w:hint="default"/>
                <w:sz w:val="18"/>
                <w:szCs w:val="18"/>
              </w:rPr>
              <w:t>待报解预 算收入</w:t>
            </w:r>
            <w:r>
              <w:rPr>
                <w:rFonts w:ascii="Times New Roman" w:hAnsi="Times New Roman" w:cs="Times New Roman" w:eastAsia="Times New Roman" w:hint="default"/>
                <w:sz w:val="18"/>
                <w:szCs w:val="18"/>
              </w:rPr>
              <w:t>-</w:t>
            </w:r>
            <w:r>
              <w:rPr>
                <w:rFonts w:ascii="宋体" w:hAnsi="宋体" w:cs="宋体" w:eastAsia="宋体" w:hint="default"/>
                <w:sz w:val="18"/>
                <w:szCs w:val="18"/>
              </w:rPr>
              <w:t>市 级财政直 接支付资 金清算账 户</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71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1" w:right="101"/>
              <w:jc w:val="left"/>
              <w:rPr>
                <w:rFonts w:ascii="宋体" w:hAnsi="宋体" w:cs="宋体" w:eastAsia="宋体" w:hint="default"/>
                <w:sz w:val="18"/>
                <w:szCs w:val="18"/>
              </w:rPr>
            </w:pPr>
            <w:r>
              <w:rPr>
                <w:rFonts w:ascii="宋体" w:hAnsi="宋体" w:cs="宋体" w:eastAsia="宋体" w:hint="default"/>
                <w:sz w:val="18"/>
                <w:szCs w:val="18"/>
              </w:rPr>
              <w:t>创新创业 </w:t>
            </w:r>
            <w:r>
              <w:rPr>
                <w:rFonts w:ascii="宋体" w:hAnsi="宋体" w:cs="宋体" w:eastAsia="宋体" w:hint="default"/>
                <w:spacing w:val="-11"/>
                <w:sz w:val="18"/>
                <w:szCs w:val="18"/>
              </w:rPr>
              <w:t>补贴（成都</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2" w:right="228"/>
              <w:jc w:val="left"/>
              <w:rPr>
                <w:rFonts w:ascii="宋体" w:hAnsi="宋体" w:cs="宋体" w:eastAsia="宋体" w:hint="default"/>
                <w:sz w:val="18"/>
                <w:szCs w:val="18"/>
              </w:rPr>
            </w:pPr>
            <w:r>
              <w:rPr>
                <w:rFonts w:ascii="宋体" w:hAnsi="宋体" w:cs="宋体" w:eastAsia="宋体" w:hint="default"/>
                <w:sz w:val="18"/>
                <w:szCs w:val="18"/>
              </w:rPr>
              <w:t>成都高新 技术产业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2" w:right="228"/>
              <w:jc w:val="left"/>
              <w:rPr>
                <w:rFonts w:ascii="宋体" w:hAnsi="宋体" w:cs="宋体" w:eastAsia="宋体" w:hint="default"/>
                <w:sz w:val="18"/>
                <w:szCs w:val="18"/>
              </w:rPr>
            </w:pPr>
            <w:r>
              <w:rPr>
                <w:rFonts w:ascii="宋体" w:hAnsi="宋体" w:cs="宋体" w:eastAsia="宋体" w:hint="default"/>
                <w:sz w:val="18"/>
                <w:szCs w:val="18"/>
              </w:rPr>
              <w:t>因符合地 方政府招</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318"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宇祺）</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开发区创</w:t>
            </w: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商引资等</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新创业服</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地方性扶</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务中心</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持政策而</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获得的补</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1" w:right="231"/>
              <w:jc w:val="left"/>
              <w:rPr>
                <w:rFonts w:ascii="宋体" w:hAnsi="宋体" w:cs="宋体" w:eastAsia="宋体" w:hint="default"/>
                <w:sz w:val="18"/>
                <w:szCs w:val="18"/>
              </w:rPr>
            </w:pPr>
            <w:r>
              <w:rPr>
                <w:rFonts w:ascii="宋体" w:hAnsi="宋体" w:cs="宋体" w:eastAsia="宋体" w:hint="default"/>
                <w:sz w:val="18"/>
                <w:szCs w:val="18"/>
              </w:rPr>
              <w:t>科技创新 发展资金</w:t>
            </w:r>
          </w:p>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sz w:val="18"/>
                <w:szCs w:val="18"/>
              </w:rPr>
              <w:t>（尤洛卡）</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228"/>
              <w:jc w:val="both"/>
              <w:rPr>
                <w:rFonts w:ascii="宋体" w:hAnsi="宋体" w:cs="宋体" w:eastAsia="宋体" w:hint="default"/>
                <w:sz w:val="18"/>
                <w:szCs w:val="18"/>
              </w:rPr>
            </w:pPr>
            <w:r>
              <w:rPr>
                <w:rFonts w:ascii="宋体" w:hAnsi="宋体" w:cs="宋体" w:eastAsia="宋体" w:hint="default"/>
                <w:sz w:val="18"/>
                <w:szCs w:val="18"/>
              </w:rPr>
              <w:t>泰安市高 新技术产 业开发区 财政局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方政府招 商引资等 地方性扶 持政策而 获得的补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190,000.00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泰安市市</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方政府招</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专利补贴</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（尤洛卡）</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直机关财 务结算管 理服务中</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商引资等 地方性扶 持政策而</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1,310.00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心</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获得的补</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31"/>
              <w:jc w:val="both"/>
              <w:rPr>
                <w:rFonts w:ascii="宋体" w:hAnsi="宋体" w:cs="宋体" w:eastAsia="宋体" w:hint="default"/>
                <w:sz w:val="18"/>
                <w:szCs w:val="18"/>
              </w:rPr>
            </w:pPr>
            <w:r>
              <w:rPr>
                <w:rFonts w:ascii="宋体" w:hAnsi="宋体" w:cs="宋体" w:eastAsia="宋体" w:hint="default"/>
                <w:sz w:val="18"/>
                <w:szCs w:val="18"/>
              </w:rPr>
              <w:t>高新技术 企业奖励 及专利奖 励（尤洛 卡）</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228"/>
              <w:jc w:val="both"/>
              <w:rPr>
                <w:rFonts w:ascii="宋体" w:hAnsi="宋体" w:cs="宋体" w:eastAsia="宋体" w:hint="default"/>
                <w:sz w:val="18"/>
                <w:szCs w:val="18"/>
              </w:rPr>
            </w:pPr>
            <w:r>
              <w:rPr>
                <w:rFonts w:ascii="宋体" w:hAnsi="宋体" w:cs="宋体" w:eastAsia="宋体" w:hint="default"/>
                <w:sz w:val="18"/>
                <w:szCs w:val="18"/>
              </w:rPr>
              <w:t>泰安市高 新技术产 业开发区 财政局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方政府招 商引资等 地方性扶 持政策而 获得的补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31"/>
              <w:jc w:val="both"/>
              <w:rPr>
                <w:rFonts w:ascii="宋体" w:hAnsi="宋体" w:cs="宋体" w:eastAsia="宋体" w:hint="default"/>
                <w:sz w:val="18"/>
                <w:szCs w:val="18"/>
              </w:rPr>
            </w:pPr>
            <w:r>
              <w:rPr>
                <w:rFonts w:ascii="宋体" w:hAnsi="宋体" w:cs="宋体" w:eastAsia="宋体" w:hint="default"/>
                <w:sz w:val="18"/>
                <w:szCs w:val="18"/>
              </w:rPr>
              <w:t>三强企业 认定高新 技术企业 财政补助</w:t>
            </w:r>
          </w:p>
          <w:p>
            <w:pPr>
              <w:pStyle w:val="TableParagraph"/>
              <w:spacing w:line="240" w:lineRule="auto" w:before="19"/>
              <w:ind w:left="101" w:right="0"/>
              <w:jc w:val="both"/>
              <w:rPr>
                <w:rFonts w:ascii="宋体" w:hAnsi="宋体" w:cs="宋体" w:eastAsia="宋体" w:hint="default"/>
                <w:sz w:val="18"/>
                <w:szCs w:val="18"/>
              </w:rPr>
            </w:pPr>
            <w:r>
              <w:rPr>
                <w:rFonts w:ascii="宋体" w:hAnsi="宋体" w:cs="宋体" w:eastAsia="宋体" w:hint="default"/>
                <w:sz w:val="18"/>
                <w:szCs w:val="18"/>
              </w:rPr>
              <w:t>（尤洛卡）</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228"/>
              <w:jc w:val="both"/>
              <w:rPr>
                <w:rFonts w:ascii="宋体" w:hAnsi="宋体" w:cs="宋体" w:eastAsia="宋体" w:hint="default"/>
                <w:sz w:val="18"/>
                <w:szCs w:val="18"/>
              </w:rPr>
            </w:pPr>
            <w:r>
              <w:rPr>
                <w:rFonts w:ascii="宋体" w:hAnsi="宋体" w:cs="宋体" w:eastAsia="宋体" w:hint="default"/>
                <w:sz w:val="18"/>
                <w:szCs w:val="18"/>
              </w:rPr>
              <w:t>泰安市高 新技术产 业开发区 财政局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方政府招 商引资等 地方性扶 持政策而 获得的补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1" w:right="101"/>
              <w:jc w:val="left"/>
              <w:rPr>
                <w:rFonts w:ascii="宋体" w:hAnsi="宋体" w:cs="宋体" w:eastAsia="宋体" w:hint="default"/>
                <w:sz w:val="18"/>
                <w:szCs w:val="18"/>
              </w:rPr>
            </w:pPr>
            <w:r>
              <w:rPr>
                <w:rFonts w:ascii="宋体" w:hAnsi="宋体" w:cs="宋体" w:eastAsia="宋体" w:hint="default"/>
                <w:sz w:val="18"/>
                <w:szCs w:val="18"/>
              </w:rPr>
              <w:t>稳岗补贴 </w:t>
            </w:r>
            <w:r>
              <w:rPr>
                <w:rFonts w:ascii="宋体" w:hAnsi="宋体" w:cs="宋体" w:eastAsia="宋体" w:hint="default"/>
                <w:spacing w:val="-11"/>
                <w:sz w:val="18"/>
                <w:szCs w:val="18"/>
              </w:rPr>
              <w:t>奖励（尤洛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卡）</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228"/>
              <w:jc w:val="both"/>
              <w:rPr>
                <w:rFonts w:ascii="宋体" w:hAnsi="宋体" w:cs="宋体" w:eastAsia="宋体" w:hint="default"/>
                <w:sz w:val="18"/>
                <w:szCs w:val="18"/>
              </w:rPr>
            </w:pPr>
            <w:r>
              <w:rPr>
                <w:rFonts w:ascii="宋体" w:hAnsi="宋体" w:cs="宋体" w:eastAsia="宋体" w:hint="default"/>
                <w:sz w:val="18"/>
                <w:szCs w:val="18"/>
              </w:rPr>
              <w:t>泰安市劳 动就业办 公室失业 保险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方政府招 商引资等 地方性扶 持政策而 获得的补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22,500.00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71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1" w:right="101"/>
              <w:jc w:val="left"/>
              <w:rPr>
                <w:rFonts w:ascii="宋体" w:hAnsi="宋体" w:cs="宋体" w:eastAsia="宋体" w:hint="default"/>
                <w:sz w:val="18"/>
                <w:szCs w:val="18"/>
              </w:rPr>
            </w:pPr>
            <w:r>
              <w:rPr>
                <w:rFonts w:ascii="宋体" w:hAnsi="宋体" w:cs="宋体" w:eastAsia="宋体" w:hint="default"/>
                <w:sz w:val="18"/>
                <w:szCs w:val="18"/>
              </w:rPr>
              <w:t>专利资助 </w:t>
            </w:r>
            <w:r>
              <w:rPr>
                <w:rFonts w:ascii="宋体" w:hAnsi="宋体" w:cs="宋体" w:eastAsia="宋体" w:hint="default"/>
                <w:spacing w:val="-11"/>
                <w:sz w:val="18"/>
                <w:szCs w:val="18"/>
              </w:rPr>
              <w:t>资金（尤洛</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2" w:right="228"/>
              <w:jc w:val="left"/>
              <w:rPr>
                <w:rFonts w:ascii="宋体" w:hAnsi="宋体" w:cs="宋体" w:eastAsia="宋体" w:hint="default"/>
                <w:sz w:val="18"/>
                <w:szCs w:val="18"/>
              </w:rPr>
            </w:pPr>
            <w:r>
              <w:rPr>
                <w:rFonts w:ascii="宋体" w:hAnsi="宋体" w:cs="宋体" w:eastAsia="宋体" w:hint="default"/>
                <w:sz w:val="18"/>
                <w:szCs w:val="18"/>
              </w:rPr>
              <w:t>泰安市市 直机关财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2" w:right="228"/>
              <w:jc w:val="left"/>
              <w:rPr>
                <w:rFonts w:ascii="宋体" w:hAnsi="宋体" w:cs="宋体" w:eastAsia="宋体" w:hint="default"/>
                <w:sz w:val="18"/>
                <w:szCs w:val="18"/>
              </w:rPr>
            </w:pPr>
            <w:r>
              <w:rPr>
                <w:rFonts w:ascii="宋体" w:hAnsi="宋体" w:cs="宋体" w:eastAsia="宋体" w:hint="default"/>
                <w:sz w:val="18"/>
                <w:szCs w:val="18"/>
              </w:rPr>
              <w:t>因符合地 方政府招</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7" w:footer="1028" w:top="1100" w:bottom="1220" w:left="1020" w:right="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318" w:hRule="exact"/>
        </w:trPr>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卡）</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务结算管</w:t>
            </w: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商引资等</w:t>
            </w: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理服务中</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地方性扶</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心</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持政策而</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获得的补</w:t>
            </w: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1" w:right="231"/>
              <w:jc w:val="left"/>
              <w:rPr>
                <w:rFonts w:ascii="宋体" w:hAnsi="宋体" w:cs="宋体" w:eastAsia="宋体" w:hint="default"/>
                <w:sz w:val="18"/>
                <w:szCs w:val="18"/>
              </w:rPr>
            </w:pPr>
            <w:r>
              <w:rPr>
                <w:rFonts w:ascii="宋体" w:hAnsi="宋体" w:cs="宋体" w:eastAsia="宋体" w:hint="default"/>
                <w:sz w:val="18"/>
                <w:szCs w:val="18"/>
              </w:rPr>
              <w:t>科技创新 发展资金</w:t>
            </w:r>
          </w:p>
          <w:p>
            <w:pPr>
              <w:pStyle w:val="TableParagraph"/>
              <w:spacing w:line="316" w:lineRule="auto" w:before="19"/>
              <w:ind w:left="101" w:right="231"/>
              <w:jc w:val="left"/>
              <w:rPr>
                <w:rFonts w:ascii="宋体" w:hAnsi="宋体" w:cs="宋体" w:eastAsia="宋体" w:hint="default"/>
                <w:sz w:val="18"/>
                <w:szCs w:val="18"/>
              </w:rPr>
            </w:pPr>
            <w:r>
              <w:rPr>
                <w:rFonts w:ascii="宋体" w:hAnsi="宋体" w:cs="宋体" w:eastAsia="宋体" w:hint="default"/>
                <w:sz w:val="18"/>
                <w:szCs w:val="18"/>
              </w:rPr>
              <w:t>（矿业科 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228"/>
              <w:jc w:val="both"/>
              <w:rPr>
                <w:rFonts w:ascii="宋体" w:hAnsi="宋体" w:cs="宋体" w:eastAsia="宋体" w:hint="default"/>
                <w:sz w:val="18"/>
                <w:szCs w:val="18"/>
              </w:rPr>
            </w:pPr>
            <w:r>
              <w:rPr>
                <w:rFonts w:ascii="宋体" w:hAnsi="宋体" w:cs="宋体" w:eastAsia="宋体" w:hint="default"/>
                <w:sz w:val="18"/>
                <w:szCs w:val="18"/>
              </w:rPr>
              <w:t>泰安高新 技术产业 开发区财 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方政府招 商引资等 地方性扶 持政策而 获得的补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方政府招</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1"/>
              <w:jc w:val="left"/>
              <w:rPr>
                <w:rFonts w:ascii="宋体" w:hAnsi="宋体" w:cs="宋体" w:eastAsia="宋体" w:hint="default"/>
                <w:sz w:val="18"/>
                <w:szCs w:val="18"/>
              </w:rPr>
            </w:pPr>
            <w:r>
              <w:rPr>
                <w:rFonts w:ascii="宋体" w:hAnsi="宋体" w:cs="宋体" w:eastAsia="宋体" w:hint="default"/>
                <w:sz w:val="18"/>
                <w:szCs w:val="18"/>
              </w:rPr>
              <w:t>专利资助 </w:t>
            </w:r>
            <w:r>
              <w:rPr>
                <w:rFonts w:ascii="宋体" w:hAnsi="宋体" w:cs="宋体" w:eastAsia="宋体" w:hint="default"/>
                <w:spacing w:val="-11"/>
                <w:sz w:val="18"/>
                <w:szCs w:val="18"/>
              </w:rPr>
              <w:t>资金（矿业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2" w:right="228"/>
              <w:jc w:val="left"/>
              <w:rPr>
                <w:rFonts w:ascii="宋体" w:hAnsi="宋体" w:cs="宋体" w:eastAsia="宋体" w:hint="default"/>
                <w:sz w:val="18"/>
                <w:szCs w:val="18"/>
              </w:rPr>
            </w:pPr>
            <w:r>
              <w:rPr>
                <w:rFonts w:ascii="宋体" w:hAnsi="宋体" w:cs="宋体" w:eastAsia="宋体" w:hint="default"/>
                <w:sz w:val="18"/>
                <w:szCs w:val="18"/>
              </w:rPr>
              <w:t>山东省知 识产权局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商引资等 地方性扶 持政策而</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1"/>
              <w:jc w:val="right"/>
              <w:rPr>
                <w:rFonts w:ascii="Times New Roman" w:hAnsi="Times New Roman" w:cs="Times New Roman" w:eastAsia="Times New Roman" w:hint="default"/>
                <w:sz w:val="18"/>
                <w:szCs w:val="18"/>
              </w:rPr>
            </w:pPr>
            <w:r>
              <w:rPr>
                <w:rFonts w:ascii="Times New Roman"/>
                <w:spacing w:val="-1"/>
                <w:sz w:val="18"/>
              </w:rPr>
              <w:t>4,000.00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12" w:hRule="exact"/>
        </w:trPr>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获得的补</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pStyle w:val="BodyText"/>
        <w:spacing w:line="360" w:lineRule="auto" w:before="50"/>
        <w:ind w:right="9854"/>
        <w:jc w:val="left"/>
      </w:pPr>
      <w:r>
        <w:rPr/>
        <w:t>其他说明： 不适用</w:t>
      </w:r>
    </w:p>
    <w:p>
      <w:pPr>
        <w:spacing w:line="240" w:lineRule="auto" w:before="2"/>
        <w:rPr>
          <w:rFonts w:ascii="宋体" w:hAnsi="宋体" w:cs="宋体" w:eastAsia="宋体" w:hint="default"/>
          <w:sz w:val="20"/>
          <w:szCs w:val="20"/>
        </w:rPr>
      </w:pPr>
    </w:p>
    <w:p>
      <w:pPr>
        <w:pStyle w:val="Heading4"/>
        <w:spacing w:line="240" w:lineRule="auto"/>
        <w:ind w:right="987"/>
        <w:jc w:val="left"/>
        <w:rPr>
          <w:b w:val="0"/>
          <w:bCs w:val="0"/>
        </w:rPr>
      </w:pPr>
      <w:bookmarkStart w:name="36、营业外支出" w:id="270"/>
      <w:bookmarkEnd w:id="270"/>
      <w:r>
        <w:rPr>
          <w:b w:val="0"/>
          <w:bCs w:val="0"/>
        </w:rPr>
      </w:r>
      <w:r>
        <w:rPr>
          <w:rFonts w:ascii="Times New Roman" w:hAnsi="Times New Roman" w:cs="Times New Roman" w:eastAsia="Times New Roman" w:hint="default"/>
        </w:rPr>
        <w:t>36</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2,312,430.29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1,692,440.54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2,312,430.29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147,395.25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380,355.67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147,395.25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2,659,825.54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2,072,796.21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2,659,825.54</w:t>
            </w:r>
          </w:p>
        </w:tc>
      </w:tr>
    </w:tbl>
    <w:p>
      <w:pPr>
        <w:pStyle w:val="BodyText"/>
        <w:spacing w:line="240" w:lineRule="auto" w:before="50"/>
        <w:ind w:right="98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37、所得税费用" w:id="271"/>
      <w:bookmarkEnd w:id="271"/>
      <w:r>
        <w:rPr>
          <w:b w:val="0"/>
          <w:bCs w:val="0"/>
        </w:rPr>
      </w:r>
      <w:r>
        <w:rPr>
          <w:rFonts w:ascii="Times New Roman" w:hAnsi="Times New Roman" w:cs="Times New Roman" w:eastAsia="Times New Roman" w:hint="default"/>
        </w:rPr>
        <w:t>37</w:t>
      </w:r>
      <w:r>
        <w:rPr/>
        <w:t>、所得税费用</w:t>
      </w:r>
      <w:r>
        <w:rPr>
          <w:b w:val="0"/>
          <w:bCs w:val="0"/>
        </w:rPr>
      </w:r>
    </w:p>
    <w:p>
      <w:pPr>
        <w:spacing w:line="240" w:lineRule="auto" w:before="7"/>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所得税费用表" w:id="272"/>
      <w:bookmarkEnd w:id="2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19,498,031.20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17,248,553.05</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-4,360,023.40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498,254.68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6" w:right="0"/>
              <w:jc w:val="left"/>
              <w:rPr>
                <w:rFonts w:ascii="Times New Roman" w:hAnsi="Times New Roman" w:cs="Times New Roman" w:eastAsia="Times New Roman" w:hint="default"/>
                <w:sz w:val="18"/>
                <w:szCs w:val="18"/>
              </w:rPr>
            </w:pPr>
            <w:r>
              <w:rPr>
                <w:rFonts w:ascii="Times New Roman"/>
                <w:sz w:val="18"/>
              </w:rPr>
              <w:t>15,138,007.80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0" w:right="0"/>
              <w:jc w:val="left"/>
              <w:rPr>
                <w:rFonts w:ascii="Times New Roman" w:hAnsi="Times New Roman" w:cs="Times New Roman" w:eastAsia="Times New Roman" w:hint="default"/>
                <w:sz w:val="18"/>
                <w:szCs w:val="18"/>
              </w:rPr>
            </w:pPr>
            <w:r>
              <w:rPr>
                <w:rFonts w:ascii="Times New Roman"/>
                <w:sz w:val="18"/>
              </w:rPr>
              <w:t>17,746,807.73</w:t>
            </w:r>
          </w:p>
        </w:tc>
      </w:tr>
    </w:tbl>
    <w:p>
      <w:pPr>
        <w:spacing w:line="240" w:lineRule="auto" w:before="4"/>
        <w:rPr>
          <w:rFonts w:ascii="宋体" w:hAnsi="宋体" w:cs="宋体" w:eastAsia="宋体" w:hint="default"/>
          <w:sz w:val="19"/>
          <w:szCs w:val="19"/>
        </w:rPr>
      </w:pPr>
    </w:p>
    <w:p>
      <w:pPr>
        <w:spacing w:before="34"/>
        <w:ind w:left="112" w:right="987" w:firstLine="0"/>
        <w:jc w:val="left"/>
        <w:rPr>
          <w:rFonts w:ascii="宋体" w:hAnsi="宋体" w:cs="宋体" w:eastAsia="宋体" w:hint="default"/>
          <w:sz w:val="21"/>
          <w:szCs w:val="21"/>
        </w:rPr>
      </w:pPr>
      <w:bookmarkStart w:name="（2）会计利润与所得税费用调整过程" w:id="273"/>
      <w:bookmarkEnd w:id="2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101,559,066.39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15,233,859.99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-474,650.66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98,315.67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100,871.33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3,740,278.03</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2,009,168.03</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65"/>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使用前期未确认递延所得税资产的可抵扣暂时性差异的影 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-328,252.51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-3,978.44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-4,683,537.17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-554,066.47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15,138,007.80</w:t>
            </w:r>
          </w:p>
        </w:tc>
      </w:tr>
    </w:tbl>
    <w:p>
      <w:pPr>
        <w:pStyle w:val="BodyText"/>
        <w:spacing w:line="240" w:lineRule="auto" w:before="51"/>
        <w:ind w:right="98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38、现金流量表项目" w:id="274"/>
      <w:bookmarkEnd w:id="274"/>
      <w:r>
        <w:rPr>
          <w:b w:val="0"/>
          <w:bCs w:val="0"/>
        </w:rPr>
      </w:r>
      <w:r>
        <w:rPr>
          <w:rFonts w:ascii="Times New Roman" w:hAnsi="Times New Roman" w:cs="Times New Roman" w:eastAsia="Times New Roman" w:hint="default"/>
        </w:rPr>
        <w:t>38</w:t>
      </w:r>
      <w:r>
        <w:rPr/>
        <w:t>、现金流量表项目</w:t>
      </w:r>
      <w:r>
        <w:rPr>
          <w:b w:val="0"/>
          <w:bCs w:val="0"/>
        </w:rPr>
      </w:r>
    </w:p>
    <w:p>
      <w:pPr>
        <w:spacing w:line="240" w:lineRule="auto" w:before="10"/>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收到的其他与经营活动有关的现金" w:id="275"/>
      <w:bookmarkEnd w:id="2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6,388,706.22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6,932,882.20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1,148,802.72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1,478,266.00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8,016,604.39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2,094,570.80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2,096,975.44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823,463.42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履约保函金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1,154,915.08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6,402,500.00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7,722,622.31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4,518,803.87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26,528,626.16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22,250,486.29</w:t>
            </w:r>
          </w:p>
        </w:tc>
      </w:tr>
    </w:tbl>
    <w:p>
      <w:pPr>
        <w:pStyle w:val="BodyText"/>
        <w:spacing w:line="240" w:lineRule="auto" w:before="50"/>
        <w:ind w:right="987"/>
        <w:jc w:val="left"/>
      </w:pPr>
      <w:r>
        <w:rPr/>
        <w:t>收到的其他与经营活动有关的现金说明：</w:t>
      </w:r>
    </w:p>
    <w:p>
      <w:pPr>
        <w:spacing w:after="0" w:line="240" w:lineRule="auto"/>
        <w:jc w:val="left"/>
        <w:sectPr>
          <w:footerReference w:type="default" r:id="rId37"/>
          <w:pgSz w:w="11910" w:h="16840"/>
          <w:pgMar w:footer="1028" w:header="907" w:top="1100" w:bottom="1220" w:left="1020" w:right="0"/>
          <w:pgNumType w:start="150"/>
        </w:sectPr>
      </w:pPr>
    </w:p>
    <w:p>
      <w:pPr>
        <w:spacing w:line="240" w:lineRule="auto" w:before="10"/>
        <w:rPr>
          <w:rFonts w:ascii="宋体" w:hAnsi="宋体" w:cs="宋体" w:eastAsia="宋体" w:hint="default"/>
          <w:sz w:val="21"/>
          <w:szCs w:val="21"/>
        </w:rPr>
      </w:pPr>
    </w:p>
    <w:p>
      <w:pPr>
        <w:pStyle w:val="Heading4"/>
        <w:spacing w:line="240" w:lineRule="auto" w:before="34"/>
        <w:ind w:right="987"/>
        <w:jc w:val="left"/>
        <w:rPr>
          <w:b w:val="0"/>
          <w:bCs w:val="0"/>
        </w:rPr>
      </w:pPr>
      <w:bookmarkStart w:name="（2）支付的其他与经营活动有关的现金" w:id="276"/>
      <w:bookmarkEnd w:id="27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17,808,520.16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13,074,618.74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7,249,388.56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9,508,013.45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1,838,443.62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1,098,727.54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6,455,800.64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4,297,205.89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1,481,274.23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1,234,779.11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3,207,339.14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3,010,130.01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3,740,189.22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2,572,106.57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6,709,196.33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14,584,668.08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4,288,471.27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4,004,454.53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履约保函金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1,700,775.17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2,710,500.00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12,780,227.72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10,270,399.41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67,259,626.06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66,365,603.33</w:t>
            </w:r>
          </w:p>
        </w:tc>
      </w:tr>
    </w:tbl>
    <w:p>
      <w:pPr>
        <w:pStyle w:val="BodyText"/>
        <w:spacing w:line="240" w:lineRule="auto" w:before="51"/>
        <w:ind w:right="987"/>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3）收到的其他与投资活动有关的现金" w:id="277"/>
      <w:bookmarkEnd w:id="27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10,165,757.52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往来借款利息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914,709.30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11,080,466.82</w:t>
            </w:r>
          </w:p>
        </w:tc>
      </w:tr>
    </w:tbl>
    <w:p>
      <w:pPr>
        <w:pStyle w:val="BodyText"/>
        <w:spacing w:line="240" w:lineRule="auto" w:before="50"/>
        <w:ind w:right="987"/>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4）收到的其他与筹资活动有关的现金" w:id="278"/>
      <w:bookmarkEnd w:id="278"/>
      <w:r>
        <w:rPr>
          <w:b w:val="0"/>
          <w:bCs w:val="0"/>
        </w:rPr>
      </w: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21,751,059.00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21,751,059.00</w:t>
            </w:r>
          </w:p>
        </w:tc>
      </w:tr>
    </w:tbl>
    <w:p>
      <w:pPr>
        <w:pStyle w:val="BodyText"/>
        <w:spacing w:line="240" w:lineRule="auto" w:before="49"/>
        <w:ind w:right="987"/>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5）支付的其他与筹资活动有关的现金" w:id="279"/>
      <w:bookmarkEnd w:id="279"/>
      <w:r>
        <w:rPr>
          <w:b w:val="0"/>
          <w:bCs w:val="0"/>
        </w:rPr>
      </w: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after="0" w:line="240" w:lineRule="auto"/>
        <w:jc w:val="right"/>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支付现金股利手续费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29,496.59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382,914.53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412,411.12</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987"/>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39、现金流量表补充资料" w:id="280"/>
      <w:bookmarkEnd w:id="280"/>
      <w:r>
        <w:rPr>
          <w:b w:val="0"/>
          <w:bCs w:val="0"/>
        </w:rPr>
      </w:r>
      <w:r>
        <w:rPr>
          <w:rFonts w:ascii="Times New Roman" w:hAnsi="Times New Roman" w:cs="Times New Roman" w:eastAsia="Times New Roman" w:hint="default"/>
        </w:rPr>
        <w:t>39</w:t>
      </w:r>
      <w:r>
        <w:rPr/>
        <w:t>、现金流量表补充资料</w:t>
      </w:r>
      <w:r>
        <w:rPr>
          <w:b w:val="0"/>
          <w:bCs w:val="0"/>
        </w:rPr>
      </w:r>
    </w:p>
    <w:p>
      <w:pPr>
        <w:spacing w:line="240" w:lineRule="auto" w:before="7"/>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现金流量表补充资料" w:id="281"/>
      <w:bookmarkEnd w:id="2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86,421,058.59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108,296,905.45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26,384,508.66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8,196,413.99</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17,098,849.73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17,049,731.37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11,187,921.98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10,490,843.95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38,192.68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58,359.35</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-240,337.41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235,771.42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483,664.37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452,131.86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-6,035,565.85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-3,553,250.06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-3,449,097.18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1,436,386.54</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53"/>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-910,926.22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-938,131.86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pacing w:val="-1"/>
                <w:sz w:val="18"/>
              </w:rPr>
              <w:t>-16,122,943.29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-15,274,158.26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53"/>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-49,990,934.88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-124,974,605.21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-26,486,205.38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67,802,706.50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6,438,600.00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572,100.00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44,816,785.80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69,851,205.04</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144,005,044.44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291,622,171.36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291,622,171.36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336,001,925.02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-147,617,126.92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-44,379,753.66</w:t>
            </w:r>
          </w:p>
        </w:tc>
      </w:tr>
    </w:tbl>
    <w:p>
      <w:pPr>
        <w:spacing w:line="240" w:lineRule="auto" w:before="4"/>
        <w:rPr>
          <w:rFonts w:ascii="宋体" w:hAnsi="宋体" w:cs="宋体" w:eastAsia="宋体" w:hint="default"/>
          <w:sz w:val="19"/>
          <w:szCs w:val="19"/>
        </w:rPr>
      </w:pPr>
    </w:p>
    <w:p>
      <w:pPr>
        <w:pStyle w:val="Heading4"/>
        <w:spacing w:line="240" w:lineRule="auto" w:before="34"/>
        <w:ind w:right="987"/>
        <w:jc w:val="left"/>
        <w:rPr>
          <w:b w:val="0"/>
          <w:bCs w:val="0"/>
        </w:rPr>
      </w:pPr>
      <w:bookmarkStart w:name="（2）现金和现金等价物的构成" w:id="282"/>
      <w:bookmarkEnd w:id="282"/>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144,005,044.44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291,622,171.36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25,152.49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56,292.92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143,979,891.95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291,565,878.44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144,005,044.44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291,622,171.36</w:t>
            </w:r>
          </w:p>
        </w:tc>
      </w:tr>
    </w:tbl>
    <w:p>
      <w:pPr>
        <w:pStyle w:val="BodyText"/>
        <w:spacing w:line="240" w:lineRule="auto" w:before="51"/>
        <w:ind w:right="98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40、所有权或使用权受到限制的资产" w:id="283"/>
      <w:bookmarkEnd w:id="283"/>
      <w:r>
        <w:rPr>
          <w:b w:val="0"/>
          <w:bCs w:val="0"/>
        </w:rPr>
      </w:r>
      <w:r>
        <w:rPr>
          <w:rFonts w:ascii="Times New Roman" w:hAnsi="Times New Roman" w:cs="Times New Roman" w:eastAsia="Times New Roman" w:hint="default"/>
        </w:rPr>
        <w:t>40</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3,569,749.70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履约保证金、银行承兑汇票保证金</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3,569,749.70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41、政府补助" w:id="284"/>
      <w:bookmarkEnd w:id="284"/>
      <w:r>
        <w:rPr>
          <w:b w:val="0"/>
          <w:bCs w:val="0"/>
        </w:rPr>
      </w:r>
      <w:r>
        <w:rPr>
          <w:rFonts w:ascii="Times New Roman" w:hAnsi="Times New Roman" w:cs="Times New Roman" w:eastAsia="Times New Roman" w:hint="default"/>
        </w:rPr>
        <w:t>41</w:t>
      </w:r>
      <w:r>
        <w:rPr/>
        <w:t>、政府补助</w:t>
      </w:r>
      <w:r>
        <w:rPr>
          <w:b w:val="0"/>
          <w:bCs w:val="0"/>
        </w:rPr>
      </w:r>
    </w:p>
    <w:p>
      <w:pPr>
        <w:spacing w:line="240" w:lineRule="auto" w:before="7"/>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政府补助基本情况" w:id="285"/>
      <w:bookmarkEnd w:id="2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49" w:right="0"/>
              <w:jc w:val="left"/>
              <w:rPr>
                <w:rFonts w:ascii="Times New Roman" w:hAnsi="Times New Roman" w:cs="Times New Roman" w:eastAsia="Times New Roman" w:hint="default"/>
                <w:sz w:val="18"/>
                <w:szCs w:val="18"/>
              </w:rPr>
            </w:pPr>
            <w:r>
              <w:rPr>
                <w:rFonts w:ascii="Times New Roman"/>
                <w:sz w:val="18"/>
              </w:rPr>
              <w:t>52,011,274.73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51" w:right="0"/>
              <w:jc w:val="left"/>
              <w:rPr>
                <w:rFonts w:ascii="Times New Roman" w:hAnsi="Times New Roman" w:cs="Times New Roman" w:eastAsia="Times New Roman" w:hint="default"/>
                <w:sz w:val="18"/>
                <w:szCs w:val="18"/>
              </w:rPr>
            </w:pPr>
            <w:r>
              <w:rPr>
                <w:rFonts w:ascii="Times New Roman"/>
                <w:sz w:val="18"/>
              </w:rPr>
              <w:t>52,011,274.73</w:t>
            </w:r>
          </w:p>
        </w:tc>
      </w:tr>
    </w:tbl>
    <w:p>
      <w:pPr>
        <w:spacing w:line="240" w:lineRule="auto" w:before="5"/>
        <w:rPr>
          <w:rFonts w:ascii="宋体" w:hAnsi="宋体" w:cs="宋体" w:eastAsia="宋体" w:hint="default"/>
          <w:sz w:val="19"/>
          <w:szCs w:val="19"/>
        </w:rPr>
      </w:pPr>
    </w:p>
    <w:p>
      <w:pPr>
        <w:pStyle w:val="Heading4"/>
        <w:spacing w:line="240" w:lineRule="auto" w:before="34"/>
        <w:ind w:right="987"/>
        <w:jc w:val="left"/>
        <w:rPr>
          <w:b w:val="0"/>
          <w:bCs w:val="0"/>
        </w:rPr>
      </w:pPr>
      <w:bookmarkStart w:name="（2）政府补助退回情况" w:id="286"/>
      <w:bookmarkEnd w:id="286"/>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9224"/>
        <w:jc w:val="left"/>
      </w:pPr>
      <w:r>
        <w:rPr/>
        <w:t>□ 适用 √ 不适用 其他说明：</w:t>
      </w:r>
    </w:p>
    <w:p>
      <w:pPr>
        <w:spacing w:line="240" w:lineRule="auto" w:before="4"/>
        <w:rPr>
          <w:rFonts w:ascii="宋体" w:hAnsi="宋体" w:cs="宋体" w:eastAsia="宋体" w:hint="default"/>
          <w:sz w:val="18"/>
          <w:szCs w:val="18"/>
        </w:rPr>
      </w:pPr>
    </w:p>
    <w:p>
      <w:pPr>
        <w:pStyle w:val="Heading2"/>
        <w:spacing w:line="240" w:lineRule="auto"/>
        <w:ind w:right="987"/>
        <w:jc w:val="left"/>
        <w:rPr>
          <w:b w:val="0"/>
          <w:bCs w:val="0"/>
        </w:rPr>
      </w:pPr>
      <w:bookmarkStart w:name="八、合并范围的变更" w:id="287"/>
      <w:bookmarkEnd w:id="287"/>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7"/>
        <w:jc w:val="left"/>
        <w:rPr>
          <w:b w:val="0"/>
          <w:bCs w:val="0"/>
        </w:rPr>
      </w:pPr>
      <w:bookmarkStart w:name="1、其他原因的合并范围变动" w:id="288"/>
      <w:bookmarkEnd w:id="288"/>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87"/>
        <w:jc w:val="left"/>
      </w:pPr>
      <w:r>
        <w:rPr/>
        <w:t>说明其他原因导致的合并范围变动（如，新设子公司、清算子公司等）及其相关情况：</w:t>
      </w:r>
    </w:p>
    <w:p>
      <w:pPr>
        <w:spacing w:after="0" w:line="240" w:lineRule="auto"/>
        <w:jc w:val="left"/>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240" w:lineRule="auto"/>
        <w:ind w:right="987"/>
        <w:jc w:val="left"/>
      </w:pPr>
      <w:r>
        <w:rPr/>
        <w:t>本公司本年度合并范围与上年度相比出资设立1户一级子公司：尤洛卡（广东）精准信息工程技术研究院有限公司。</w:t>
      </w:r>
    </w:p>
    <w:p>
      <w:pPr>
        <w:spacing w:line="240" w:lineRule="auto" w:before="1"/>
        <w:rPr>
          <w:rFonts w:ascii="宋体" w:hAnsi="宋体" w:cs="宋体" w:eastAsia="宋体" w:hint="default"/>
          <w:sz w:val="25"/>
          <w:szCs w:val="25"/>
        </w:rPr>
      </w:pPr>
    </w:p>
    <w:p>
      <w:pPr>
        <w:pStyle w:val="Heading2"/>
        <w:spacing w:line="240" w:lineRule="auto"/>
        <w:ind w:right="987"/>
        <w:jc w:val="left"/>
        <w:rPr>
          <w:b w:val="0"/>
          <w:bCs w:val="0"/>
        </w:rPr>
      </w:pPr>
      <w:bookmarkStart w:name="九、在其他主体中的权益" w:id="289"/>
      <w:bookmarkEnd w:id="289"/>
      <w:r>
        <w:rPr>
          <w:b w:val="0"/>
          <w:bCs w:val="0"/>
        </w:rPr>
      </w: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7"/>
        <w:jc w:val="left"/>
        <w:rPr>
          <w:b w:val="0"/>
          <w:bCs w:val="0"/>
        </w:rPr>
      </w:pPr>
      <w:bookmarkStart w:name="1、在子公司中的权益" w:id="290"/>
      <w:bookmarkEnd w:id="290"/>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企业集团的构成" w:id="291"/>
      <w:bookmarkEnd w:id="2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矿山深部地压</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
                <w:sz w:val="18"/>
                <w:szCs w:val="18"/>
              </w:rPr>
              <w:t>尤洛卡（山东）</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监测仪器、防</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矿业科技有限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治设备及材料</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308"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pacing w:val="-3"/>
                <w:sz w:val="18"/>
                <w:szCs w:val="18"/>
              </w:rPr>
              <w:t>的研发、生产、</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销售等</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从事货物及技</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101" w:right="11"/>
              <w:jc w:val="left"/>
              <w:rPr>
                <w:rFonts w:ascii="宋体" w:hAnsi="宋体" w:cs="宋体" w:eastAsia="宋体" w:hint="default"/>
                <w:sz w:val="18"/>
                <w:szCs w:val="18"/>
              </w:rPr>
            </w:pPr>
            <w:r>
              <w:rPr>
                <w:rFonts w:ascii="宋体" w:hAnsi="宋体" w:cs="宋体" w:eastAsia="宋体" w:hint="default"/>
                <w:spacing w:val="-3"/>
                <w:sz w:val="18"/>
                <w:szCs w:val="18"/>
              </w:rPr>
              <w:t>尤洛卡（上海）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国际贸易有限 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z w:val="18"/>
                <w:szCs w:val="18"/>
              </w:rPr>
              <w:t>术的进出口业 </w:t>
            </w:r>
            <w:r>
              <w:rPr>
                <w:rFonts w:ascii="宋体" w:hAnsi="宋体" w:cs="宋体" w:eastAsia="宋体" w:hint="default"/>
                <w:spacing w:val="-3"/>
                <w:sz w:val="18"/>
                <w:szCs w:val="18"/>
              </w:rPr>
              <w:t>务，转口贸易，</w:t>
            </w:r>
            <w:r>
              <w:rPr>
                <w:rFonts w:ascii="宋体" w:hAnsi="宋体" w:cs="宋体" w:eastAsia="宋体" w:hint="default"/>
                <w:sz w:val="18"/>
                <w:szCs w:val="18"/>
              </w:rPr>
              <w:t> 保税区内企业 间的贸易及贸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358"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易代理等</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工程和技术研</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
                <w:sz w:val="18"/>
                <w:szCs w:val="18"/>
              </w:rPr>
              <w:t>尤洛卡（北京）</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究与实验发</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77"/>
              <w:jc w:val="left"/>
              <w:rPr>
                <w:rFonts w:ascii="宋体" w:hAnsi="宋体" w:cs="宋体" w:eastAsia="宋体" w:hint="default"/>
                <w:sz w:val="18"/>
                <w:szCs w:val="18"/>
              </w:rPr>
            </w:pPr>
            <w:r>
              <w:rPr>
                <w:rFonts w:ascii="宋体" w:hAnsi="宋体" w:cs="宋体" w:eastAsia="宋体" w:hint="default"/>
                <w:sz w:val="18"/>
                <w:szCs w:val="18"/>
              </w:rPr>
              <w:t>产业信息技术 研究院有限公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pacing w:val="-3"/>
                <w:sz w:val="18"/>
                <w:szCs w:val="18"/>
              </w:rPr>
              <w:t>展；技术开发、</w:t>
            </w:r>
            <w:r>
              <w:rPr>
                <w:rFonts w:ascii="宋体" w:hAnsi="宋体" w:cs="宋体" w:eastAsia="宋体" w:hint="default"/>
                <w:sz w:val="18"/>
                <w:szCs w:val="18"/>
              </w:rPr>
              <w:t> 技术服务、技</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术咨询、技术</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推广；等</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智能制造、激</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101" w:right="11"/>
              <w:jc w:val="left"/>
              <w:rPr>
                <w:rFonts w:ascii="宋体" w:hAnsi="宋体" w:cs="宋体" w:eastAsia="宋体" w:hint="default"/>
                <w:sz w:val="18"/>
                <w:szCs w:val="18"/>
              </w:rPr>
            </w:pPr>
            <w:r>
              <w:rPr>
                <w:rFonts w:ascii="宋体" w:hAnsi="宋体" w:cs="宋体" w:eastAsia="宋体" w:hint="default"/>
                <w:spacing w:val="-3"/>
                <w:sz w:val="18"/>
                <w:szCs w:val="18"/>
              </w:rPr>
              <w:t>尤洛卡（广东）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精准信息工程 技术研究院有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72"/>
              <w:jc w:val="left"/>
              <w:rPr>
                <w:rFonts w:ascii="宋体" w:hAnsi="宋体" w:cs="宋体" w:eastAsia="宋体" w:hint="default"/>
                <w:sz w:val="18"/>
                <w:szCs w:val="18"/>
              </w:rPr>
            </w:pPr>
            <w:r>
              <w:rPr>
                <w:rFonts w:ascii="宋体" w:hAnsi="宋体" w:cs="宋体" w:eastAsia="宋体" w:hint="default"/>
                <w:sz w:val="18"/>
                <w:szCs w:val="18"/>
              </w:rPr>
              <w:t>光雷达、光电 信息、人工智 能技术、智能 化光机电技 术、军民融合</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358"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技术研发</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从事加工矿用</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77"/>
              <w:jc w:val="both"/>
              <w:rPr>
                <w:rFonts w:ascii="宋体" w:hAnsi="宋体" w:cs="宋体" w:eastAsia="宋体" w:hint="default"/>
                <w:sz w:val="18"/>
                <w:szCs w:val="18"/>
              </w:rPr>
            </w:pPr>
            <w:r>
              <w:rPr>
                <w:rFonts w:ascii="宋体" w:hAnsi="宋体" w:cs="宋体" w:eastAsia="宋体" w:hint="default"/>
                <w:sz w:val="18"/>
                <w:szCs w:val="18"/>
              </w:rPr>
              <w:t>北京富华宇祺 信息技术有限 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72"/>
              <w:jc w:val="both"/>
              <w:rPr>
                <w:rFonts w:ascii="宋体" w:hAnsi="宋体" w:cs="宋体" w:eastAsia="宋体" w:hint="default"/>
                <w:sz w:val="18"/>
                <w:szCs w:val="18"/>
              </w:rPr>
            </w:pPr>
            <w:r>
              <w:rPr>
                <w:rFonts w:ascii="宋体" w:hAnsi="宋体" w:cs="宋体" w:eastAsia="宋体" w:hint="default"/>
                <w:sz w:val="18"/>
                <w:szCs w:val="18"/>
              </w:rPr>
              <w:t>无源光网络设 备；生产经营 矿用通讯产品</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pacing w:val="-1"/>
                <w:sz w:val="18"/>
              </w:rPr>
              <w:t>63.99%</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等</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7"/>
              <w:jc w:val="both"/>
              <w:rPr>
                <w:rFonts w:ascii="宋体" w:hAnsi="宋体" w:cs="宋体" w:eastAsia="宋体" w:hint="default"/>
                <w:sz w:val="18"/>
                <w:szCs w:val="18"/>
              </w:rPr>
            </w:pPr>
            <w:r>
              <w:rPr>
                <w:rFonts w:ascii="宋体" w:hAnsi="宋体" w:cs="宋体" w:eastAsia="宋体" w:hint="default"/>
                <w:sz w:val="18"/>
                <w:szCs w:val="18"/>
              </w:rPr>
              <w:t>长春师凯科技 产业有限责任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军工产品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6" w:lineRule="auto"/>
        <w:jc w:val="left"/>
        <w:rPr>
          <w:rFonts w:ascii="宋体" w:hAnsi="宋体" w:cs="宋体" w:eastAsia="宋体" w:hint="default"/>
          <w:sz w:val="18"/>
          <w:szCs w:val="18"/>
        </w:rPr>
        <w:sectPr>
          <w:pgSz w:w="11910" w:h="16840"/>
          <w:pgMar w:header="907" w:footer="1028" w:top="1100" w:bottom="1220" w:left="1020" w:right="0"/>
        </w:sectPr>
      </w:pPr>
    </w:p>
    <w:p>
      <w:pPr>
        <w:spacing w:line="240" w:lineRule="auto" w:before="13"/>
        <w:rPr>
          <w:rFonts w:ascii="宋体" w:hAnsi="宋体" w:cs="宋体" w:eastAsia="宋体" w:hint="default"/>
          <w:b/>
          <w:bCs/>
          <w:sz w:val="22"/>
          <w:szCs w:val="22"/>
        </w:rPr>
      </w:pPr>
    </w:p>
    <w:p>
      <w:pPr>
        <w:pStyle w:val="BodyText"/>
        <w:spacing w:line="357" w:lineRule="auto"/>
        <w:ind w:right="6974"/>
        <w:jc w:val="left"/>
      </w:pPr>
      <w:r>
        <w:rPr/>
        <w:t>在子公司的持股比例不同于表决权比例的说明： 不适用</w:t>
      </w:r>
    </w:p>
    <w:p>
      <w:pPr>
        <w:pStyle w:val="BodyText"/>
        <w:spacing w:line="360" w:lineRule="auto" w:before="29"/>
        <w:ind w:right="2834"/>
        <w:jc w:val="left"/>
      </w:pPr>
      <w:r>
        <w:rPr/>
        <w:t>持有半数或以下表决权但仍控制被投资单位、以及持有半数以上表决权但不控制被投资单位的依据： 不适用</w:t>
      </w:r>
    </w:p>
    <w:p>
      <w:pPr>
        <w:pStyle w:val="BodyText"/>
        <w:spacing w:line="360" w:lineRule="auto" w:before="25"/>
        <w:ind w:right="6434"/>
        <w:jc w:val="left"/>
      </w:pPr>
      <w:r>
        <w:rPr/>
        <w:t>对于纳入合并范围的重要的结构化主体，控制的依据： 不适用</w:t>
      </w:r>
    </w:p>
    <w:p>
      <w:pPr>
        <w:pStyle w:val="BodyText"/>
        <w:spacing w:line="357" w:lineRule="auto" w:before="27"/>
        <w:ind w:right="7694"/>
        <w:jc w:val="left"/>
      </w:pPr>
      <w:r>
        <w:rPr/>
        <w:t>确定公司是代理人还是委托人的依据： 不适用</w:t>
      </w:r>
    </w:p>
    <w:p>
      <w:pPr>
        <w:pStyle w:val="BodyText"/>
        <w:spacing w:line="360" w:lineRule="auto" w:before="29"/>
        <w:ind w:right="9854"/>
        <w:jc w:val="left"/>
      </w:pPr>
      <w:r>
        <w:rPr/>
        <w:t>其他说明： 不适用</w:t>
      </w:r>
    </w:p>
    <w:p>
      <w:pPr>
        <w:spacing w:line="240" w:lineRule="auto" w:before="12"/>
        <w:rPr>
          <w:rFonts w:ascii="宋体" w:hAnsi="宋体" w:cs="宋体" w:eastAsia="宋体" w:hint="default"/>
          <w:sz w:val="19"/>
          <w:szCs w:val="19"/>
        </w:rPr>
      </w:pPr>
    </w:p>
    <w:p>
      <w:pPr>
        <w:pStyle w:val="Heading4"/>
        <w:spacing w:line="240" w:lineRule="auto"/>
        <w:ind w:right="987"/>
        <w:jc w:val="left"/>
        <w:rPr>
          <w:b w:val="0"/>
          <w:bCs w:val="0"/>
        </w:rPr>
      </w:pPr>
      <w:bookmarkStart w:name="（2）重要的非全资子公司" w:id="292"/>
      <w:bookmarkEnd w:id="29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139"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139"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2"/>
              <w:jc w:val="left"/>
              <w:rPr>
                <w:rFonts w:ascii="宋体" w:hAnsi="宋体" w:cs="宋体" w:eastAsia="宋体" w:hint="default"/>
                <w:sz w:val="18"/>
                <w:szCs w:val="18"/>
              </w:rPr>
            </w:pPr>
            <w:r>
              <w:rPr>
                <w:rFonts w:ascii="宋体" w:hAnsi="宋体" w:cs="宋体" w:eastAsia="宋体" w:hint="default"/>
                <w:sz w:val="18"/>
                <w:szCs w:val="18"/>
              </w:rPr>
              <w:t>北京富华宇祺信息技 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45" w:right="0"/>
              <w:jc w:val="left"/>
              <w:rPr>
                <w:rFonts w:ascii="Times New Roman" w:hAnsi="Times New Roman" w:cs="Times New Roman" w:eastAsia="Times New Roman" w:hint="default"/>
                <w:sz w:val="18"/>
                <w:szCs w:val="18"/>
              </w:rPr>
            </w:pPr>
            <w:r>
              <w:rPr>
                <w:rFonts w:ascii="Times New Roman"/>
                <w:sz w:val="18"/>
              </w:rPr>
              <w:t>36.01%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4" w:right="0"/>
              <w:jc w:val="left"/>
              <w:rPr>
                <w:rFonts w:ascii="Times New Roman" w:hAnsi="Times New Roman" w:cs="Times New Roman" w:eastAsia="Times New Roman" w:hint="default"/>
                <w:sz w:val="18"/>
                <w:szCs w:val="18"/>
              </w:rPr>
            </w:pPr>
            <w:r>
              <w:rPr>
                <w:rFonts w:ascii="Times New Roman"/>
                <w:sz w:val="18"/>
              </w:rPr>
              <w:t>-11,032,149.69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31,164,370.62</w:t>
            </w:r>
          </w:p>
        </w:tc>
      </w:tr>
    </w:tbl>
    <w:p>
      <w:pPr>
        <w:pStyle w:val="BodyText"/>
        <w:spacing w:line="357" w:lineRule="auto" w:before="52"/>
        <w:ind w:right="6434"/>
        <w:jc w:val="left"/>
      </w:pPr>
      <w:r>
        <w:rPr/>
        <w:t>子公司少数股东的持股比例不同于表决权比例的说明： 不适用</w:t>
      </w:r>
    </w:p>
    <w:p>
      <w:pPr>
        <w:pStyle w:val="BodyText"/>
        <w:spacing w:line="360" w:lineRule="auto" w:before="29"/>
        <w:ind w:right="9854"/>
        <w:jc w:val="left"/>
      </w:pPr>
      <w:r>
        <w:rPr/>
        <w:t>其他说明： 不适用</w:t>
      </w:r>
    </w:p>
    <w:p>
      <w:pPr>
        <w:spacing w:line="240" w:lineRule="auto" w:before="12"/>
        <w:rPr>
          <w:rFonts w:ascii="宋体" w:hAnsi="宋体" w:cs="宋体" w:eastAsia="宋体" w:hint="default"/>
          <w:sz w:val="19"/>
          <w:szCs w:val="19"/>
        </w:rPr>
      </w:pPr>
    </w:p>
    <w:p>
      <w:pPr>
        <w:pStyle w:val="Heading4"/>
        <w:spacing w:line="240" w:lineRule="auto"/>
        <w:ind w:right="987"/>
        <w:jc w:val="left"/>
        <w:rPr>
          <w:b w:val="0"/>
          <w:bCs w:val="0"/>
        </w:rPr>
      </w:pPr>
      <w:bookmarkStart w:name="（3）重要非全资子公司的主要财务信息" w:id="293"/>
      <w:bookmarkEnd w:id="29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3" w:right="180"/>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3"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1"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1" w:right="181"/>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1" w:right="182"/>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2" w:right="183"/>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1"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355"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富华</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宇祺 信息 技术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9" w:right="0"/>
              <w:jc w:val="left"/>
              <w:rPr>
                <w:rFonts w:ascii="Times New Roman" w:hAnsi="Times New Roman" w:cs="Times New Roman" w:eastAsia="Times New Roman" w:hint="default"/>
                <w:sz w:val="18"/>
                <w:szCs w:val="18"/>
              </w:rPr>
            </w:pPr>
            <w:r>
              <w:rPr>
                <w:rFonts w:ascii="Times New Roman"/>
                <w:sz w:val="18"/>
              </w:rPr>
              <w:t>176,16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5,456.</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53</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21,588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,798.6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8" w:right="0"/>
              <w:jc w:val="left"/>
              <w:rPr>
                <w:rFonts w:ascii="Times New Roman" w:hAnsi="Times New Roman" w:cs="Times New Roman" w:eastAsia="Times New Roman" w:hint="default"/>
                <w:sz w:val="18"/>
                <w:szCs w:val="18"/>
              </w:rPr>
            </w:pPr>
            <w:r>
              <w:rPr>
                <w:rFonts w:ascii="Times New Roman"/>
                <w:sz w:val="18"/>
              </w:rPr>
              <w:t>197,75</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4,255.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65,358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pacing w:val="-1"/>
                <w:sz w:val="18"/>
              </w:rPr>
              <w:t>,678.3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65,358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,678.3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6" w:right="0"/>
              <w:jc w:val="left"/>
              <w:rPr>
                <w:rFonts w:ascii="Times New Roman" w:hAnsi="Times New Roman" w:cs="Times New Roman" w:eastAsia="Times New Roman" w:hint="default"/>
                <w:sz w:val="18"/>
                <w:szCs w:val="18"/>
              </w:rPr>
            </w:pPr>
            <w:r>
              <w:rPr>
                <w:rFonts w:ascii="Times New Roman"/>
                <w:sz w:val="18"/>
              </w:rPr>
              <w:t>239,76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4,691.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49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6,117,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686.25</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7" w:right="0"/>
              <w:jc w:val="left"/>
              <w:rPr>
                <w:rFonts w:ascii="Times New Roman" w:hAnsi="Times New Roman" w:cs="Times New Roman" w:eastAsia="Times New Roman" w:hint="default"/>
                <w:sz w:val="18"/>
                <w:szCs w:val="18"/>
              </w:rPr>
            </w:pPr>
            <w:r>
              <w:rPr>
                <w:rFonts w:ascii="Times New Roman"/>
                <w:sz w:val="18"/>
              </w:rPr>
              <w:t>245,88</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2,377.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9" w:right="0"/>
              <w:jc w:val="left"/>
              <w:rPr>
                <w:rFonts w:ascii="Times New Roman" w:hAnsi="Times New Roman" w:cs="Times New Roman" w:eastAsia="Times New Roman" w:hint="default"/>
                <w:sz w:val="18"/>
                <w:szCs w:val="18"/>
              </w:rPr>
            </w:pPr>
            <w:r>
              <w:rPr>
                <w:rFonts w:ascii="Times New Roman"/>
                <w:sz w:val="18"/>
              </w:rPr>
              <w:t>156,60</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2,600.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92</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7" w:right="0"/>
              <w:jc w:val="left"/>
              <w:rPr>
                <w:rFonts w:ascii="Times New Roman" w:hAnsi="Times New Roman" w:cs="Times New Roman" w:eastAsia="Times New Roman" w:hint="default"/>
                <w:sz w:val="18"/>
                <w:szCs w:val="18"/>
              </w:rPr>
            </w:pPr>
            <w:r>
              <w:rPr>
                <w:rFonts w:ascii="Times New Roman"/>
                <w:sz w:val="18"/>
              </w:rPr>
              <w:t>156,60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2,600.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92</w:t>
            </w:r>
          </w:p>
        </w:tc>
      </w:tr>
      <w:tr>
        <w:trPr>
          <w:trHeight w:val="30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9"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0"/>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35" w:right="165" w:hanging="272"/>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0"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67"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68"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66"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66" w:right="0"/>
              <w:jc w:val="left"/>
              <w:rPr>
                <w:rFonts w:ascii="宋体" w:hAnsi="宋体" w:cs="宋体" w:eastAsia="宋体" w:hint="default"/>
                <w:sz w:val="18"/>
                <w:szCs w:val="18"/>
              </w:rPr>
            </w:pPr>
            <w:r>
              <w:rPr>
                <w:rFonts w:ascii="宋体" w:hAnsi="宋体" w:cs="宋体" w:eastAsia="宋体" w:hint="default"/>
                <w:sz w:val="18"/>
                <w:szCs w:val="18"/>
              </w:rPr>
              <w:t>经营活动</w:t>
            </w:r>
          </w:p>
        </w:tc>
      </w:tr>
    </w:tbl>
    <w:p>
      <w:pPr>
        <w:spacing w:after="0" w:line="240" w:lineRule="auto"/>
        <w:jc w:val="left"/>
        <w:rPr>
          <w:rFonts w:ascii="宋体" w:hAnsi="宋体" w:cs="宋体" w:eastAsia="宋体"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7"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6"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现金流量</w:t>
            </w:r>
          </w:p>
        </w:tc>
      </w:tr>
      <w:tr>
        <w:trPr>
          <w:trHeight w:val="357"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北京富华</w:t>
            </w:r>
          </w:p>
        </w:tc>
        <w:tc>
          <w:tcPr>
            <w:tcW w:w="1061"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7"/>
              <w:jc w:val="left"/>
              <w:rPr>
                <w:rFonts w:ascii="宋体" w:hAnsi="宋体" w:cs="宋体" w:eastAsia="宋体" w:hint="default"/>
                <w:sz w:val="18"/>
                <w:szCs w:val="18"/>
              </w:rPr>
            </w:pPr>
            <w:r>
              <w:rPr>
                <w:rFonts w:ascii="宋体" w:hAnsi="宋体" w:cs="宋体" w:eastAsia="宋体" w:hint="default"/>
                <w:sz w:val="18"/>
                <w:szCs w:val="18"/>
              </w:rPr>
              <w:t>宇祺信息 技术有限</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65,705,693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.69</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71" w:right="0"/>
              <w:jc w:val="left"/>
              <w:rPr>
                <w:rFonts w:ascii="Times New Roman" w:hAnsi="Times New Roman" w:cs="Times New Roman" w:eastAsia="Times New Roman" w:hint="default"/>
                <w:sz w:val="18"/>
                <w:szCs w:val="18"/>
              </w:rPr>
            </w:pPr>
            <w:r>
              <w:rPr>
                <w:rFonts w:ascii="Times New Roman"/>
                <w:sz w:val="18"/>
              </w:rPr>
              <w:t>-26,884,19</w:t>
            </w:r>
          </w:p>
          <w:p>
            <w:pPr>
              <w:pStyle w:val="TableParagraph"/>
              <w:spacing w:line="240" w:lineRule="auto" w:before="105"/>
              <w:ind w:left="634" w:right="0"/>
              <w:jc w:val="left"/>
              <w:rPr>
                <w:rFonts w:ascii="Times New Roman" w:hAnsi="Times New Roman" w:cs="Times New Roman" w:eastAsia="Times New Roman" w:hint="default"/>
                <w:sz w:val="18"/>
                <w:szCs w:val="18"/>
              </w:rPr>
            </w:pPr>
            <w:r>
              <w:rPr>
                <w:rFonts w:ascii="Times New Roman"/>
                <w:sz w:val="18"/>
              </w:rPr>
              <w:t>9.98</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72" w:right="0"/>
              <w:jc w:val="left"/>
              <w:rPr>
                <w:rFonts w:ascii="Times New Roman" w:hAnsi="Times New Roman" w:cs="Times New Roman" w:eastAsia="Times New Roman" w:hint="default"/>
                <w:sz w:val="18"/>
                <w:szCs w:val="18"/>
              </w:rPr>
            </w:pPr>
            <w:r>
              <w:rPr>
                <w:rFonts w:ascii="Times New Roman"/>
                <w:sz w:val="18"/>
              </w:rPr>
              <w:t>-26,884,19</w:t>
            </w:r>
          </w:p>
          <w:p>
            <w:pPr>
              <w:pStyle w:val="TableParagraph"/>
              <w:spacing w:line="240" w:lineRule="auto" w:before="105"/>
              <w:ind w:left="637" w:right="0"/>
              <w:jc w:val="left"/>
              <w:rPr>
                <w:rFonts w:ascii="Times New Roman" w:hAnsi="Times New Roman" w:cs="Times New Roman" w:eastAsia="Times New Roman" w:hint="default"/>
                <w:sz w:val="18"/>
                <w:szCs w:val="18"/>
              </w:rPr>
            </w:pPr>
            <w:r>
              <w:rPr>
                <w:rFonts w:ascii="Times New Roman"/>
                <w:sz w:val="18"/>
              </w:rPr>
              <w:t>9.98</w:t>
            </w:r>
          </w:p>
        </w:tc>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691,168.64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40" w:right="0"/>
              <w:jc w:val="left"/>
              <w:rPr>
                <w:rFonts w:ascii="Times New Roman" w:hAnsi="Times New Roman" w:cs="Times New Roman" w:eastAsia="Times New Roman" w:hint="default"/>
                <w:sz w:val="18"/>
                <w:szCs w:val="18"/>
              </w:rPr>
            </w:pPr>
            <w:r>
              <w:rPr>
                <w:rFonts w:ascii="Times New Roman"/>
                <w:sz w:val="18"/>
              </w:rPr>
              <w:t>153,326,34</w:t>
            </w:r>
          </w:p>
          <w:p>
            <w:pPr>
              <w:pStyle w:val="TableParagraph"/>
              <w:spacing w:line="240" w:lineRule="auto" w:before="105"/>
              <w:ind w:left="634" w:right="0"/>
              <w:jc w:val="left"/>
              <w:rPr>
                <w:rFonts w:ascii="Times New Roman" w:hAnsi="Times New Roman" w:cs="Times New Roman" w:eastAsia="Times New Roman" w:hint="default"/>
                <w:sz w:val="18"/>
                <w:szCs w:val="18"/>
              </w:rPr>
            </w:pPr>
            <w:r>
              <w:rPr>
                <w:rFonts w:ascii="Times New Roman"/>
                <w:sz w:val="18"/>
              </w:rPr>
              <w:t>0.78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15,121,487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.04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15,121,487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.04</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74" w:right="0"/>
              <w:jc w:val="left"/>
              <w:rPr>
                <w:rFonts w:ascii="Times New Roman" w:hAnsi="Times New Roman" w:cs="Times New Roman" w:eastAsia="Times New Roman" w:hint="default"/>
                <w:sz w:val="18"/>
                <w:szCs w:val="18"/>
              </w:rPr>
            </w:pPr>
            <w:r>
              <w:rPr>
                <w:rFonts w:ascii="Times New Roman"/>
                <w:sz w:val="18"/>
              </w:rPr>
              <w:t>-20,540,65</w:t>
            </w:r>
          </w:p>
          <w:p>
            <w:pPr>
              <w:pStyle w:val="TableParagraph"/>
              <w:spacing w:line="240" w:lineRule="auto" w:before="105"/>
              <w:ind w:left="637" w:right="0"/>
              <w:jc w:val="left"/>
              <w:rPr>
                <w:rFonts w:ascii="Times New Roman" w:hAnsi="Times New Roman" w:cs="Times New Roman" w:eastAsia="Times New Roman" w:hint="default"/>
                <w:sz w:val="18"/>
                <w:szCs w:val="18"/>
              </w:rPr>
            </w:pPr>
            <w:r>
              <w:rPr>
                <w:rFonts w:ascii="Times New Roman"/>
                <w:sz w:val="18"/>
              </w:rPr>
              <w:t>8.58</w:t>
            </w: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98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4）向纳入合并财务报表范围的结构化主体提供的财务支持或其他支持" w:id="294"/>
      <w:bookmarkEnd w:id="294"/>
      <w:r>
        <w:rPr>
          <w:b w:val="0"/>
          <w:bCs w:val="0"/>
        </w:rPr>
      </w:r>
      <w:r>
        <w:rPr/>
        <w:t>（</w:t>
      </w:r>
      <w:r>
        <w:rPr>
          <w:rFonts w:ascii="Times New Roman" w:hAnsi="Times New Roman" w:cs="Times New Roman" w:eastAsia="Times New Roman" w:hint="default"/>
        </w:rPr>
        <w:t>4</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9854"/>
        <w:jc w:val="left"/>
      </w:pPr>
      <w:r>
        <w:rPr/>
        <w:t>不适用 其他说明：</w:t>
      </w:r>
    </w:p>
    <w:p>
      <w:pPr>
        <w:spacing w:line="240" w:lineRule="auto" w:before="12"/>
        <w:rPr>
          <w:rFonts w:ascii="宋体" w:hAnsi="宋体" w:cs="宋体" w:eastAsia="宋体" w:hint="default"/>
          <w:sz w:val="19"/>
          <w:szCs w:val="19"/>
        </w:rPr>
      </w:pPr>
    </w:p>
    <w:p>
      <w:pPr>
        <w:pStyle w:val="Heading4"/>
        <w:spacing w:line="240" w:lineRule="auto"/>
        <w:ind w:right="987"/>
        <w:jc w:val="left"/>
        <w:rPr>
          <w:b w:val="0"/>
          <w:bCs w:val="0"/>
        </w:rPr>
      </w:pPr>
      <w:bookmarkStart w:name="2、在合营安排或联营企业中的权益" w:id="295"/>
      <w:bookmarkEnd w:id="295"/>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重要的合营企业或联营企业" w:id="296"/>
      <w:bookmarkEnd w:id="2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对合营企业或</w:t>
            </w:r>
          </w:p>
        </w:tc>
      </w:tr>
      <w:tr>
        <w:trPr>
          <w:trHeight w:val="580" w:hRule="exact"/>
        </w:trPr>
        <w:tc>
          <w:tcPr>
            <w:tcW w:w="13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2" w:lineRule="exact"/>
              <w:ind w:left="229" w:right="0" w:hanging="89"/>
              <w:jc w:val="left"/>
              <w:rPr>
                <w:rFonts w:ascii="宋体" w:hAnsi="宋体" w:cs="宋体" w:eastAsia="宋体" w:hint="default"/>
                <w:sz w:val="18"/>
                <w:szCs w:val="18"/>
              </w:rPr>
            </w:pPr>
            <w:r>
              <w:rPr>
                <w:rFonts w:ascii="宋体" w:hAnsi="宋体" w:cs="宋体" w:eastAsia="宋体" w:hint="default"/>
                <w:sz w:val="18"/>
                <w:szCs w:val="18"/>
              </w:rPr>
              <w:t>合营企业或联</w:t>
            </w:r>
          </w:p>
          <w:p>
            <w:pPr>
              <w:pStyle w:val="TableParagraph"/>
              <w:spacing w:line="240" w:lineRule="auto" w:before="76"/>
              <w:ind w:left="229" w:right="0"/>
              <w:jc w:val="left"/>
              <w:rPr>
                <w:rFonts w:ascii="宋体" w:hAnsi="宋体" w:cs="宋体" w:eastAsia="宋体" w:hint="default"/>
                <w:sz w:val="18"/>
                <w:szCs w:val="18"/>
              </w:rPr>
            </w:pPr>
            <w:r>
              <w:rPr>
                <w:rFonts w:ascii="宋体" w:hAnsi="宋体" w:cs="宋体" w:eastAsia="宋体" w:hint="default"/>
                <w:sz w:val="18"/>
                <w:szCs w:val="18"/>
              </w:rPr>
              <w:t>营企业名称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2"/>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2"/>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2"/>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2" w:lineRule="exact"/>
              <w:ind w:left="138" w:right="0"/>
              <w:jc w:val="left"/>
              <w:rPr>
                <w:rFonts w:ascii="宋体" w:hAnsi="宋体" w:cs="宋体" w:eastAsia="宋体" w:hint="default"/>
                <w:sz w:val="18"/>
                <w:szCs w:val="18"/>
              </w:rPr>
            </w:pPr>
            <w:r>
              <w:rPr>
                <w:rFonts w:ascii="宋体" w:hAnsi="宋体" w:cs="宋体" w:eastAsia="宋体" w:hint="default"/>
                <w:sz w:val="18"/>
                <w:szCs w:val="18"/>
              </w:rPr>
              <w:t>联营企业投资</w:t>
            </w:r>
          </w:p>
          <w:p>
            <w:pPr>
              <w:pStyle w:val="TableParagraph"/>
              <w:spacing w:line="240" w:lineRule="auto" w:before="76"/>
              <w:ind w:left="138" w:right="0"/>
              <w:jc w:val="left"/>
              <w:rPr>
                <w:rFonts w:ascii="宋体" w:hAnsi="宋体" w:cs="宋体" w:eastAsia="宋体" w:hint="default"/>
                <w:sz w:val="18"/>
                <w:szCs w:val="18"/>
              </w:rPr>
            </w:pPr>
            <w:r>
              <w:rPr>
                <w:rFonts w:ascii="宋体" w:hAnsi="宋体" w:cs="宋体" w:eastAsia="宋体" w:hint="default"/>
                <w:sz w:val="18"/>
                <w:szCs w:val="18"/>
              </w:rPr>
              <w:t>的会计处理方</w:t>
            </w:r>
          </w:p>
        </w:tc>
      </w:tr>
      <w:tr>
        <w:trPr>
          <w:trHeight w:val="356" w:hRule="exact"/>
        </w:trPr>
        <w:tc>
          <w:tcPr>
            <w:tcW w:w="13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法</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both"/>
              <w:rPr>
                <w:rFonts w:ascii="宋体" w:hAnsi="宋体" w:cs="宋体" w:eastAsia="宋体" w:hint="default"/>
                <w:sz w:val="18"/>
                <w:szCs w:val="18"/>
              </w:rPr>
            </w:pPr>
            <w:r>
              <w:rPr>
                <w:rFonts w:ascii="宋体" w:hAnsi="宋体" w:cs="宋体" w:eastAsia="宋体" w:hint="default"/>
                <w:sz w:val="18"/>
                <w:szCs w:val="18"/>
              </w:rPr>
              <w:t>西安鲁信股权 投资管理有限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00" w:lineRule="auto"/>
              <w:ind w:left="103" w:right="121"/>
              <w:jc w:val="left"/>
              <w:rPr>
                <w:rFonts w:ascii="宋体" w:hAnsi="宋体" w:cs="宋体" w:eastAsia="宋体" w:hint="default"/>
                <w:sz w:val="18"/>
                <w:szCs w:val="18"/>
              </w:rPr>
            </w:pPr>
            <w:r>
              <w:rPr>
                <w:rFonts w:ascii="宋体" w:hAnsi="宋体" w:cs="宋体" w:eastAsia="宋体" w:hint="default"/>
                <w:sz w:val="18"/>
                <w:szCs w:val="18"/>
              </w:rPr>
              <w:t>股权投资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投资 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39.00%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33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101" w:right="11"/>
              <w:jc w:val="left"/>
              <w:rPr>
                <w:rFonts w:ascii="宋体" w:hAnsi="宋体" w:cs="宋体" w:eastAsia="宋体" w:hint="default"/>
                <w:sz w:val="18"/>
                <w:szCs w:val="18"/>
              </w:rPr>
            </w:pPr>
            <w:r>
              <w:rPr>
                <w:rFonts w:ascii="宋体" w:hAnsi="宋体" w:cs="宋体" w:eastAsia="宋体" w:hint="default"/>
                <w:spacing w:val="-3"/>
                <w:sz w:val="18"/>
                <w:szCs w:val="18"/>
              </w:rPr>
              <w:t>尤洛卡（山东）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特高压电气有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特高压开关精 </w:t>
            </w:r>
            <w:r>
              <w:rPr>
                <w:rFonts w:ascii="宋体" w:hAnsi="宋体" w:cs="宋体" w:eastAsia="宋体" w:hint="default"/>
                <w:spacing w:val="-3"/>
                <w:sz w:val="18"/>
                <w:szCs w:val="18"/>
              </w:rPr>
              <w:t>密铸件、壳体、</w:t>
            </w:r>
            <w:r>
              <w:rPr>
                <w:rFonts w:ascii="宋体" w:hAnsi="宋体" w:cs="宋体" w:eastAsia="宋体" w:hint="default"/>
                <w:sz w:val="18"/>
                <w:szCs w:val="18"/>
              </w:rPr>
              <w:t> 铝螺旋管的生 产及销售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60" w:lineRule="auto" w:before="50"/>
        <w:ind w:right="5894"/>
        <w:jc w:val="left"/>
      </w:pPr>
      <w:r>
        <w:rPr/>
        <w:t>在合营企业或联营企业的持股比例不同于表决权比例的说明： 不适用</w:t>
      </w:r>
    </w:p>
    <w:p>
      <w:pPr>
        <w:pStyle w:val="BodyText"/>
        <w:spacing w:line="340" w:lineRule="auto" w:before="25"/>
        <w:ind w:right="3348"/>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 不适用</w:t>
      </w:r>
    </w:p>
    <w:p>
      <w:pPr>
        <w:spacing w:line="240" w:lineRule="auto" w:before="3"/>
        <w:rPr>
          <w:rFonts w:ascii="宋体" w:hAnsi="宋体" w:cs="宋体" w:eastAsia="宋体" w:hint="default"/>
          <w:sz w:val="21"/>
          <w:szCs w:val="21"/>
        </w:rPr>
      </w:pPr>
    </w:p>
    <w:p>
      <w:pPr>
        <w:pStyle w:val="Heading4"/>
        <w:spacing w:line="240" w:lineRule="auto"/>
        <w:ind w:right="987"/>
        <w:jc w:val="left"/>
        <w:rPr>
          <w:b w:val="0"/>
          <w:bCs w:val="0"/>
        </w:rPr>
      </w:pPr>
      <w:bookmarkStart w:name="（2）不重要的合营企业和联营企业的汇总财务信息" w:id="297"/>
      <w:bookmarkEnd w:id="297"/>
      <w:r>
        <w:rPr>
          <w:b w:val="0"/>
          <w:bCs w:val="0"/>
        </w:rPr>
      </w: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821,922.96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812,150.77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9,772.19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19,897.85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9,772.19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19,897.85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6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1,238,254.60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1,920,502.35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46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28"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-682,247.75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-79,497.65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-682,247.75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-79,497.65</w:t>
            </w:r>
          </w:p>
        </w:tc>
      </w:tr>
    </w:tbl>
    <w:p>
      <w:pPr>
        <w:pStyle w:val="BodyText"/>
        <w:spacing w:line="360" w:lineRule="auto" w:before="50"/>
        <w:ind w:right="10034"/>
        <w:jc w:val="left"/>
      </w:pPr>
      <w:r>
        <w:rPr/>
        <w:t>其他说明 不适用</w:t>
      </w:r>
    </w:p>
    <w:p>
      <w:pPr>
        <w:spacing w:line="240" w:lineRule="auto" w:before="2"/>
        <w:rPr>
          <w:rFonts w:ascii="宋体" w:hAnsi="宋体" w:cs="宋体" w:eastAsia="宋体" w:hint="default"/>
          <w:sz w:val="18"/>
          <w:szCs w:val="18"/>
        </w:rPr>
      </w:pPr>
    </w:p>
    <w:p>
      <w:pPr>
        <w:pStyle w:val="Heading2"/>
        <w:spacing w:line="240" w:lineRule="auto"/>
        <w:ind w:right="987"/>
        <w:jc w:val="left"/>
        <w:rPr>
          <w:b w:val="0"/>
          <w:bCs w:val="0"/>
        </w:rPr>
      </w:pPr>
      <w:bookmarkStart w:name="十、与金融工具相关的风险" w:id="298"/>
      <w:bookmarkEnd w:id="298"/>
      <w:r>
        <w:rPr>
          <w:b w:val="0"/>
          <w:bCs w:val="0"/>
        </w:rPr>
      </w:r>
      <w:r>
        <w:rPr/>
        <w:t>十、与金融工具相关的风险</w:t>
      </w:r>
      <w:r>
        <w:rPr>
          <w:b w:val="0"/>
          <w:bCs w:val="0"/>
        </w:rPr>
      </w:r>
    </w:p>
    <w:p>
      <w:pPr>
        <w:spacing w:line="240" w:lineRule="auto" w:before="9"/>
        <w:rPr>
          <w:rFonts w:ascii="宋体" w:hAnsi="宋体" w:cs="宋体" w:eastAsia="宋体" w:hint="default"/>
          <w:b/>
          <w:bCs/>
          <w:sz w:val="26"/>
          <w:szCs w:val="26"/>
        </w:rPr>
      </w:pPr>
    </w:p>
    <w:p>
      <w:pPr>
        <w:pStyle w:val="BodyText"/>
        <w:spacing w:line="316" w:lineRule="auto" w:before="0"/>
        <w:ind w:right="987"/>
        <w:jc w:val="left"/>
      </w:pPr>
      <w:r>
        <w:rPr>
          <w:spacing w:val="-2"/>
        </w:rPr>
        <w:t>本公司的主要金融工具包括股权投资、借款、应收账款、应付账款等，各项金融工具的详细情况说明见本附注六、15相关项</w:t>
      </w:r>
      <w:r>
        <w:rPr>
          <w:spacing w:val="-64"/>
        </w:rPr>
        <w:t> </w:t>
      </w:r>
      <w:r>
        <w:rPr>
          <w:spacing w:val="-64"/>
        </w:rPr>
      </w:r>
      <w:r>
        <w:rPr>
          <w:spacing w:val="-2"/>
        </w:rPr>
        <w:t>目。与这些金融工具有关的风险，以及本公司为降低这些风险所采取的风险管理政策如下所述。本公司管理层对这些风险敞</w:t>
      </w:r>
      <w:r>
        <w:rPr>
          <w:spacing w:val="-65"/>
        </w:rPr>
        <w:t> </w:t>
      </w:r>
      <w:r>
        <w:rPr>
          <w:spacing w:val="-65"/>
        </w:rPr>
      </w:r>
      <w:r>
        <w:rPr/>
        <w:t>口进行管理和监控以确保将上述风险控制在限定的范围之内。 </w:t>
      </w:r>
      <w:r>
        <w:rPr>
          <w:spacing w:val="-2"/>
        </w:rPr>
        <w:t>本公司采用敏感性分析技术分析风险变量的合理、可能变化对当期损益或股东权益可能产生的影响。由于任何风险变量很少</w:t>
      </w:r>
      <w:r>
        <w:rPr>
          <w:spacing w:val="-64"/>
        </w:rPr>
        <w:t> </w:t>
      </w:r>
      <w:r>
        <w:rPr>
          <w:spacing w:val="-64"/>
        </w:rPr>
      </w:r>
      <w:r>
        <w:rPr>
          <w:spacing w:val="-2"/>
        </w:rPr>
        <w:t>孤立地发生变化，而变量之间存在的相关性对某一风险变量的变化的最终影响金额将产生重大作用，因此下述内容是在假设</w:t>
      </w:r>
      <w:r>
        <w:rPr>
          <w:spacing w:val="-64"/>
        </w:rPr>
        <w:t> </w:t>
      </w:r>
      <w:r>
        <w:rPr>
          <w:spacing w:val="-64"/>
        </w:rPr>
      </w:r>
      <w:r>
        <w:rPr/>
        <w:t>每一变量的变化是在独立的情况下进行的。</w:t>
      </w:r>
    </w:p>
    <w:p>
      <w:pPr>
        <w:pStyle w:val="BodyText"/>
        <w:spacing w:line="316" w:lineRule="auto" w:before="19"/>
        <w:ind w:right="987"/>
        <w:jc w:val="left"/>
      </w:pPr>
      <w:r>
        <w:rPr/>
        <w:t>（一）风险管理目标和政策 </w:t>
      </w:r>
      <w:r>
        <w:rPr>
          <w:spacing w:val="-2"/>
        </w:rPr>
        <w:t>本公司从事风险管理的目标是在风险和收益之间取得适当的平衡，将风险对本公司经营业绩的负面影响降低到最低水平，使</w:t>
      </w:r>
      <w:r>
        <w:rPr>
          <w:spacing w:val="-64"/>
        </w:rPr>
        <w:t> </w:t>
      </w:r>
      <w:r>
        <w:rPr>
          <w:spacing w:val="-64"/>
        </w:rPr>
      </w:r>
      <w:r>
        <w:rPr>
          <w:spacing w:val="-2"/>
        </w:rPr>
        <w:t>股东及其其他权益投资者的利益最大化。基于该风险管理目标，本公司风险管理的基本策略是确定和分析本公司所面临的各</w:t>
      </w:r>
      <w:r>
        <w:rPr>
          <w:spacing w:val="-64"/>
        </w:rPr>
        <w:t> </w:t>
      </w:r>
      <w:r>
        <w:rPr>
          <w:spacing w:val="-64"/>
        </w:rPr>
      </w:r>
      <w:r>
        <w:rPr/>
        <w:t>种风险，建立适当的风险承受底线和进行风险管理，并及时可靠地对各种风险进行监督，将风险控制在限定的范围之内。 1、信用风险</w:t>
      </w:r>
    </w:p>
    <w:p>
      <w:pPr>
        <w:pStyle w:val="BodyText"/>
        <w:spacing w:line="316" w:lineRule="auto" w:before="19"/>
        <w:ind w:right="987"/>
        <w:jc w:val="left"/>
      </w:pPr>
      <w:r>
        <w:rPr>
          <w:spacing w:val="-2"/>
        </w:rPr>
        <w:t>2018年12月31日，可能引起本公司财务损失的最大信用风险敞口主要来自于合同另一方未能履行义务而导致本公司金融资产</w:t>
      </w:r>
      <w:r>
        <w:rPr>
          <w:spacing w:val="-60"/>
        </w:rPr>
        <w:t> </w:t>
      </w:r>
      <w:r>
        <w:rPr>
          <w:spacing w:val="-60"/>
        </w:rPr>
      </w:r>
      <w:r>
        <w:rPr/>
        <w:t>产生的损失以及本公司承担的财务担保。 </w:t>
      </w:r>
      <w:r>
        <w:rPr>
          <w:spacing w:val="-2"/>
        </w:rPr>
        <w:t>为降低信用风险，本公司成立了一个小组负责确定信用额度、进行信用审批，并执行其他监控程序以确保采取必要的措施回</w:t>
      </w:r>
      <w:r>
        <w:rPr>
          <w:spacing w:val="-65"/>
        </w:rPr>
        <w:t> </w:t>
      </w:r>
      <w:r>
        <w:rPr>
          <w:spacing w:val="-65"/>
        </w:rPr>
      </w:r>
      <w:r>
        <w:rPr>
          <w:spacing w:val="-2"/>
        </w:rPr>
        <w:t>收过期债权。此外，本公司于每个资产负债表日审核每一单项应收款的回收情况，以确保就无法回收的款项计提充分的坏账</w:t>
      </w:r>
      <w:r>
        <w:rPr>
          <w:spacing w:val="-65"/>
        </w:rPr>
        <w:t> </w:t>
      </w:r>
      <w:r>
        <w:rPr>
          <w:spacing w:val="-65"/>
        </w:rPr>
      </w:r>
      <w:r>
        <w:rPr/>
        <w:t>准备。因此，本公司管理层认为本公司所承担的信用风险已经大为降低。 本公司的流动资金存放在信用评级较高的银行，故流动资金的信用风险较低。</w:t>
      </w:r>
    </w:p>
    <w:p>
      <w:pPr>
        <w:pStyle w:val="BodyText"/>
        <w:spacing w:line="316" w:lineRule="auto" w:before="19"/>
        <w:ind w:right="987"/>
        <w:jc w:val="left"/>
      </w:pPr>
      <w:r>
        <w:rPr/>
        <w:t>2、流动风险 </w:t>
      </w:r>
      <w:r>
        <w:rPr>
          <w:spacing w:val="-2"/>
        </w:rPr>
        <w:t>管理流动风险时，本公司保持管理层认为充分的现金及现金等价物并对其进行监控，以满足本公司经营需要，并降低现金流</w:t>
      </w:r>
      <w:r>
        <w:rPr>
          <w:spacing w:val="-65"/>
        </w:rPr>
        <w:t> </w:t>
      </w:r>
      <w:r>
        <w:rPr>
          <w:spacing w:val="-65"/>
        </w:rPr>
      </w:r>
      <w:r>
        <w:rPr/>
        <w:t>量波动的影响。本公司管理层对银行借款的使用情况进行监控并确保遵守借款协议。</w:t>
      </w:r>
    </w:p>
    <w:p>
      <w:pPr>
        <w:spacing w:line="240" w:lineRule="auto" w:before="9"/>
        <w:rPr>
          <w:rFonts w:ascii="宋体" w:hAnsi="宋体" w:cs="宋体" w:eastAsia="宋体" w:hint="default"/>
          <w:sz w:val="20"/>
          <w:szCs w:val="20"/>
        </w:rPr>
      </w:pPr>
    </w:p>
    <w:p>
      <w:pPr>
        <w:spacing w:line="506" w:lineRule="auto" w:before="0"/>
        <w:ind w:left="112" w:right="6039" w:firstLine="0"/>
        <w:jc w:val="left"/>
        <w:rPr>
          <w:rFonts w:ascii="宋体" w:hAnsi="宋体" w:cs="宋体" w:eastAsia="宋体" w:hint="default"/>
          <w:sz w:val="18"/>
          <w:szCs w:val="18"/>
        </w:rPr>
      </w:pPr>
      <w:bookmarkStart w:name="十一、关联方及关联交易" w:id="299"/>
      <w:bookmarkEnd w:id="299"/>
      <w:r>
        <w:rPr/>
      </w:r>
      <w:r>
        <w:rPr>
          <w:rFonts w:ascii="宋体" w:hAnsi="宋体" w:cs="宋体" w:eastAsia="宋体" w:hint="default"/>
          <w:b/>
          <w:bCs/>
          <w:sz w:val="24"/>
          <w:szCs w:val="24"/>
        </w:rPr>
        <w:t>十一、关联方及关联交易</w:t>
      </w:r>
      <w:r>
        <w:rPr>
          <w:rFonts w:ascii="宋体" w:hAnsi="宋体" w:cs="宋体" w:eastAsia="宋体" w:hint="default"/>
          <w:b/>
          <w:bCs/>
          <w:w w:val="99"/>
          <w:sz w:val="24"/>
          <w:szCs w:val="24"/>
        </w:rPr>
        <w:t> </w:t>
      </w:r>
      <w:bookmarkStart w:name="1、本企业的子公司情况" w:id="300"/>
      <w:bookmarkEnd w:id="30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4"/>
          <w:sz w:val="18"/>
          <w:szCs w:val="18"/>
        </w:rPr>
        <w:t>本企业子公司的情况详见附注九、</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、在子公司中的权益。。</w:t>
      </w:r>
    </w:p>
    <w:p>
      <w:pPr>
        <w:pStyle w:val="Heading4"/>
        <w:spacing w:line="240" w:lineRule="auto" w:before="118"/>
        <w:ind w:right="987"/>
        <w:jc w:val="left"/>
        <w:rPr>
          <w:b w:val="0"/>
          <w:bCs w:val="0"/>
        </w:rPr>
      </w:pPr>
      <w:bookmarkStart w:name="2、本企业合营和联营企业情况" w:id="301"/>
      <w:bookmarkEnd w:id="301"/>
      <w:r>
        <w:rPr>
          <w:b w:val="0"/>
          <w:bCs w:val="0"/>
        </w:rPr>
      </w:r>
      <w:r>
        <w:rPr>
          <w:rFonts w:ascii="Times New Roman" w:hAnsi="Times New Roman" w:cs="Times New Roman" w:eastAsia="Times New Roman" w:hint="default"/>
        </w:rPr>
        <w:t>2</w:t>
      </w:r>
      <w:r>
        <w:rPr/>
        <w:t>、本企业合营和联营企业情况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before="0"/>
        <w:ind w:right="2294"/>
        <w:jc w:val="left"/>
      </w:pPr>
      <w:r>
        <w:rPr/>
        <w:t>本企业重要的合营或联营企业详见附注九、</w:t>
      </w:r>
      <w:r>
        <w:rPr>
          <w:rFonts w:ascii="Times New Roman" w:hAnsi="Times New Roman" w:cs="Times New Roman" w:eastAsia="Times New Roman" w:hint="default"/>
        </w:rPr>
        <w:t>2</w:t>
      </w:r>
      <w:r>
        <w:rPr/>
        <w:t>、在合营企业或联营企业中的权益。 本期与本公司发生关联方交易，或前期与本公司发生关联方交易形成余额的其他合营或联营企业情况如下：</w:t>
      </w:r>
    </w:p>
    <w:p>
      <w:pPr>
        <w:spacing w:after="0" w:line="340" w:lineRule="auto"/>
        <w:jc w:val="left"/>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尤洛卡（山东）特高压电气有限公司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本公司的全资子公司尤洛卡（山东）矿业科技有限公司持</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股权</w:t>
            </w:r>
          </w:p>
        </w:tc>
      </w:tr>
    </w:tbl>
    <w:p>
      <w:pPr>
        <w:pStyle w:val="BodyText"/>
        <w:spacing w:line="240" w:lineRule="auto" w:before="50"/>
        <w:ind w:right="98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3、其他关联方情况" w:id="302"/>
      <w:bookmarkEnd w:id="302"/>
      <w:r>
        <w:rPr>
          <w:b w:val="0"/>
          <w:bCs w:val="0"/>
        </w:rPr>
      </w:r>
      <w:r>
        <w:rPr>
          <w:rFonts w:ascii="Times New Roman" w:hAnsi="Times New Roman" w:cs="Times New Roman" w:eastAsia="Times New Roman" w:hint="default"/>
        </w:rPr>
        <w:t>3</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公司副总经理，控股子公司股东、总经理，持本公司</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0.78%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的股份</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公司董事、副总经理、全资子公司总经理，持本公司</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7.08%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的股份</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9"/>
              <w:jc w:val="center"/>
              <w:rPr>
                <w:rFonts w:ascii="宋体" w:hAnsi="宋体" w:cs="宋体" w:eastAsia="宋体" w:hint="default"/>
                <w:sz w:val="18"/>
                <w:szCs w:val="18"/>
              </w:rPr>
            </w:pPr>
            <w:r>
              <w:rPr>
                <w:rFonts w:ascii="宋体" w:hAnsi="宋体" w:cs="宋体" w:eastAsia="宋体" w:hint="default"/>
                <w:sz w:val="18"/>
                <w:szCs w:val="18"/>
              </w:rPr>
              <w:t>公司董事、全资子公司副总经理，持本公司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2.51%</w:t>
            </w:r>
            <w:r>
              <w:rPr>
                <w:rFonts w:ascii="宋体" w:hAnsi="宋体" w:cs="宋体" w:eastAsia="宋体" w:hint="default"/>
                <w:sz w:val="18"/>
                <w:szCs w:val="18"/>
              </w:rPr>
              <w:t>的股份</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北京普链信息技术有限公司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1"/>
              <w:jc w:val="left"/>
              <w:rPr>
                <w:rFonts w:ascii="宋体" w:hAnsi="宋体" w:cs="宋体" w:eastAsia="宋体" w:hint="default"/>
                <w:sz w:val="18"/>
                <w:szCs w:val="18"/>
              </w:rPr>
            </w:pPr>
            <w:r>
              <w:rPr>
                <w:rFonts w:ascii="宋体" w:hAnsi="宋体" w:cs="宋体" w:eastAsia="宋体" w:hint="default"/>
                <w:sz w:val="18"/>
                <w:szCs w:val="18"/>
              </w:rPr>
              <w:t>控股子公司北京富华宇祺信息技术有限公司持有北京普链 信息技术有限公司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20.00%</w:t>
            </w:r>
            <w:r>
              <w:rPr>
                <w:rFonts w:ascii="宋体" w:hAnsi="宋体" w:cs="宋体" w:eastAsia="宋体" w:hint="default"/>
                <w:sz w:val="18"/>
                <w:szCs w:val="18"/>
              </w:rPr>
              <w:t>股权</w:t>
            </w:r>
          </w:p>
        </w:tc>
      </w:tr>
    </w:tbl>
    <w:p>
      <w:pPr>
        <w:pStyle w:val="BodyText"/>
        <w:spacing w:line="240" w:lineRule="auto" w:before="50"/>
        <w:ind w:right="98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4、关联交易情况" w:id="303"/>
      <w:bookmarkEnd w:id="303"/>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7"/>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购销商品、提供和接受劳务的关联交易" w:id="304"/>
      <w:bookmarkEnd w:id="3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ind w:right="987"/>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4"/>
        <w:gridCol w:w="1454"/>
        <w:gridCol w:w="1707"/>
        <w:gridCol w:w="1707"/>
        <w:gridCol w:w="1707"/>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987"/>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3"/>
      </w:tblGrid>
      <w:tr>
        <w:trPr>
          <w:trHeight w:val="402"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23"/>
              <w:jc w:val="left"/>
              <w:rPr>
                <w:rFonts w:ascii="宋体" w:hAnsi="宋体" w:cs="宋体" w:eastAsia="宋体" w:hint="default"/>
                <w:sz w:val="18"/>
                <w:szCs w:val="18"/>
              </w:rPr>
            </w:pPr>
            <w:r>
              <w:rPr>
                <w:rFonts w:ascii="宋体" w:hAnsi="宋体" w:cs="宋体" w:eastAsia="宋体" w:hint="default"/>
                <w:sz w:val="18"/>
                <w:szCs w:val="18"/>
              </w:rPr>
              <w:t>尤洛卡（山东）特高压电气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6" w:right="0"/>
              <w:jc w:val="left"/>
              <w:rPr>
                <w:rFonts w:ascii="Times New Roman" w:hAnsi="Times New Roman" w:cs="Times New Roman" w:eastAsia="Times New Roman" w:hint="default"/>
                <w:sz w:val="18"/>
                <w:szCs w:val="18"/>
              </w:rPr>
            </w:pPr>
            <w:r>
              <w:rPr>
                <w:rFonts w:ascii="Times New Roman"/>
                <w:sz w:val="18"/>
              </w:rPr>
              <w:t>37,951.86</w:t>
            </w:r>
          </w:p>
        </w:tc>
        <w:tc>
          <w:tcPr>
            <w:tcW w:w="2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0"/>
        <w:ind w:right="987"/>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2）关联租赁情况" w:id="305"/>
      <w:bookmarkEnd w:id="305"/>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987"/>
        <w:jc w:val="left"/>
      </w:pPr>
      <w:r>
        <w:rPr/>
        <w:t>本公司作为出租方：</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14"/>
              <w:jc w:val="left"/>
              <w:rPr>
                <w:rFonts w:ascii="宋体" w:hAnsi="宋体" w:cs="宋体" w:eastAsia="宋体" w:hint="default"/>
                <w:sz w:val="18"/>
                <w:szCs w:val="18"/>
              </w:rPr>
            </w:pPr>
            <w:r>
              <w:rPr>
                <w:rFonts w:ascii="宋体" w:hAnsi="宋体" w:cs="宋体" w:eastAsia="宋体" w:hint="default"/>
                <w:sz w:val="18"/>
                <w:szCs w:val="18"/>
              </w:rPr>
              <w:t>尤洛卡（山东）特高压电气 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515,610.91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71" w:right="0"/>
              <w:jc w:val="left"/>
              <w:rPr>
                <w:rFonts w:ascii="Times New Roman" w:hAnsi="Times New Roman" w:cs="Times New Roman" w:eastAsia="Times New Roman" w:hint="default"/>
                <w:sz w:val="18"/>
                <w:szCs w:val="18"/>
              </w:rPr>
            </w:pPr>
            <w:r>
              <w:rPr>
                <w:rFonts w:ascii="Times New Roman"/>
                <w:sz w:val="18"/>
              </w:rPr>
              <w:t>261,378.38</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北京普链信息技术有限公司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116,386.37</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13"/>
        <w:rPr>
          <w:rFonts w:ascii="宋体" w:hAnsi="宋体" w:cs="宋体" w:eastAsia="宋体" w:hint="default"/>
          <w:sz w:val="22"/>
          <w:szCs w:val="22"/>
        </w:rPr>
      </w:pPr>
    </w:p>
    <w:p>
      <w:pPr>
        <w:pStyle w:val="BodyText"/>
        <w:spacing w:line="240" w:lineRule="auto"/>
        <w:ind w:right="987"/>
        <w:jc w:val="left"/>
      </w:pPr>
      <w:r>
        <w:rPr/>
        <w:t>本公司作为承租方：</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50"/>
        <w:ind w:right="987"/>
        <w:jc w:val="left"/>
      </w:pPr>
      <w:r>
        <w:rPr/>
        <w:t>关联租赁情况说明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3）关联担保情况" w:id="306"/>
      <w:bookmarkEnd w:id="306"/>
      <w:r>
        <w:rPr>
          <w:b w:val="0"/>
          <w:bCs w:val="0"/>
        </w:rPr>
      </w:r>
      <w:r>
        <w:rPr/>
        <w:t>（</w:t>
      </w:r>
      <w:r>
        <w:rPr>
          <w:rFonts w:ascii="Times New Roman" w:hAnsi="Times New Roman" w:cs="Times New Roman" w:eastAsia="Times New Roman" w:hint="default"/>
        </w:rPr>
        <w:t>3</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987"/>
        <w:jc w:val="left"/>
      </w:pPr>
      <w:r>
        <w:rPr/>
        <w:t>本公司作为担保方</w:t>
      </w:r>
    </w:p>
    <w:p>
      <w:pPr>
        <w:pStyle w:val="BodyText"/>
        <w:spacing w:line="240" w:lineRule="auto" w:before="115"/>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9"/>
              <w:jc w:val="left"/>
              <w:rPr>
                <w:rFonts w:ascii="宋体" w:hAnsi="宋体" w:cs="宋体" w:eastAsia="宋体" w:hint="default"/>
                <w:sz w:val="18"/>
                <w:szCs w:val="18"/>
              </w:rPr>
            </w:pPr>
            <w:r>
              <w:rPr>
                <w:rFonts w:ascii="宋体" w:hAnsi="宋体" w:cs="宋体" w:eastAsia="宋体" w:hint="default"/>
                <w:sz w:val="18"/>
                <w:szCs w:val="18"/>
              </w:rPr>
              <w:t>北京富华宇祺信息技 术有限公司</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21,019,300.00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987"/>
        <w:jc w:val="left"/>
      </w:pPr>
      <w:r>
        <w:rPr/>
        <w:t>本公司作为被担保方</w:t>
      </w:r>
    </w:p>
    <w:p>
      <w:pPr>
        <w:pStyle w:val="BodyText"/>
        <w:spacing w:line="240" w:lineRule="auto" w:before="117"/>
        <w:ind w:left="0" w:right="1132"/>
        <w:jc w:val="right"/>
      </w:pPr>
      <w:r>
        <w:rPr/>
        <w:t>单位：</w:t>
      </w:r>
      <w:r>
        <w:rPr>
          <w:spacing w:val="-2"/>
        </w:rPr>
        <w:t> </w:t>
      </w:r>
      <w:r>
        <w:rPr/>
        <w:t>元</w:t>
      </w: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pStyle w:val="BodyText"/>
        <w:spacing w:line="240" w:lineRule="auto" w:before="52"/>
        <w:ind w:right="987"/>
        <w:jc w:val="left"/>
      </w:pPr>
      <w:r>
        <w:rPr/>
        <w:t>关联担保情况说明</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4）关联方资金拆借" w:id="307"/>
      <w:bookmarkEnd w:id="307"/>
      <w:r>
        <w:rPr>
          <w:b w:val="0"/>
          <w:bCs w:val="0"/>
        </w:rPr>
      </w:r>
      <w:r>
        <w:rPr/>
        <w:t>（</w:t>
      </w:r>
      <w:r>
        <w:rPr>
          <w:rFonts w:ascii="Times New Roman" w:hAnsi="Times New Roman" w:cs="Times New Roman" w:eastAsia="Times New Roman" w:hint="default"/>
        </w:rPr>
        <w:t>4</w:t>
      </w:r>
      <w:r>
        <w:rPr/>
        <w:t>）关联方资金拆借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0"/>
              <w:jc w:val="right"/>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9"/>
              <w:jc w:val="left"/>
              <w:rPr>
                <w:rFonts w:ascii="宋体" w:hAnsi="宋体" w:cs="宋体" w:eastAsia="宋体" w:hint="default"/>
                <w:sz w:val="18"/>
                <w:szCs w:val="18"/>
              </w:rPr>
            </w:pPr>
            <w:r>
              <w:rPr>
                <w:rFonts w:ascii="宋体" w:hAnsi="宋体" w:cs="宋体" w:eastAsia="宋体" w:hint="default"/>
                <w:sz w:val="18"/>
                <w:szCs w:val="18"/>
              </w:rPr>
              <w:t>尤洛卡（山东）特高 压电气有限公司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48"/>
              <w:jc w:val="righ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5.60%</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9"/>
              <w:jc w:val="left"/>
              <w:rPr>
                <w:rFonts w:ascii="宋体" w:hAnsi="宋体" w:cs="宋体" w:eastAsia="宋体" w:hint="default"/>
                <w:sz w:val="18"/>
                <w:szCs w:val="18"/>
              </w:rPr>
            </w:pPr>
            <w:r>
              <w:rPr>
                <w:rFonts w:ascii="宋体" w:hAnsi="宋体" w:cs="宋体" w:eastAsia="宋体" w:hint="default"/>
                <w:sz w:val="18"/>
                <w:szCs w:val="18"/>
              </w:rPr>
              <w:t>尤洛卡（山东）特高 压电气有限公司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8"/>
              <w:jc w:val="righ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6.60%</w:t>
            </w:r>
          </w:p>
        </w:tc>
      </w:tr>
    </w:tbl>
    <w:p>
      <w:pPr>
        <w:spacing w:line="240" w:lineRule="auto" w:before="3"/>
        <w:rPr>
          <w:rFonts w:ascii="宋体" w:hAnsi="宋体" w:cs="宋体" w:eastAsia="宋体" w:hint="default"/>
          <w:sz w:val="19"/>
          <w:szCs w:val="19"/>
        </w:rPr>
      </w:pPr>
    </w:p>
    <w:p>
      <w:pPr>
        <w:pStyle w:val="Heading4"/>
        <w:spacing w:line="240" w:lineRule="auto" w:before="34"/>
        <w:ind w:right="987"/>
        <w:jc w:val="left"/>
        <w:rPr>
          <w:b w:val="0"/>
          <w:bCs w:val="0"/>
        </w:rPr>
      </w:pPr>
      <w:bookmarkStart w:name="（5）关键管理人员报酬" w:id="308"/>
      <w:bookmarkEnd w:id="308"/>
      <w:r>
        <w:rPr>
          <w:b w:val="0"/>
          <w:bCs w:val="0"/>
        </w:rPr>
      </w:r>
      <w:r>
        <w:rPr/>
        <w:t>（</w:t>
      </w:r>
      <w:r>
        <w:rPr>
          <w:rFonts w:ascii="Times New Roman" w:hAnsi="Times New Roman" w:cs="Times New Roman" w:eastAsia="Times New Roman" w:hint="default"/>
        </w:rPr>
        <w:t>5</w:t>
      </w:r>
      <w:r>
        <w:rPr/>
        <w:t>）关键管理人员报酬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306.91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285.02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10"/>
        <w:rPr>
          <w:rFonts w:ascii="宋体" w:hAnsi="宋体" w:cs="宋体" w:eastAsia="宋体" w:hint="default"/>
          <w:sz w:val="21"/>
          <w:szCs w:val="21"/>
        </w:rPr>
      </w:pPr>
    </w:p>
    <w:p>
      <w:pPr>
        <w:spacing w:before="34"/>
        <w:ind w:left="112" w:right="987" w:firstLine="0"/>
        <w:jc w:val="left"/>
        <w:rPr>
          <w:rFonts w:ascii="宋体" w:hAnsi="宋体" w:cs="宋体" w:eastAsia="宋体" w:hint="default"/>
          <w:sz w:val="21"/>
          <w:szCs w:val="21"/>
        </w:rPr>
      </w:pPr>
      <w:bookmarkStart w:name="5、关联方应收应付款项" w:id="309"/>
      <w:bookmarkEnd w:id="30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应收项目" w:id="310"/>
      <w:bookmarkEnd w:id="3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0"/>
              <w:jc w:val="left"/>
              <w:rPr>
                <w:rFonts w:ascii="宋体" w:hAnsi="宋体" w:cs="宋体" w:eastAsia="宋体" w:hint="default"/>
                <w:sz w:val="18"/>
                <w:szCs w:val="18"/>
              </w:rPr>
            </w:pPr>
            <w:r>
              <w:rPr>
                <w:rFonts w:ascii="宋体" w:hAnsi="宋体" w:cs="宋体" w:eastAsia="宋体" w:hint="default"/>
                <w:spacing w:val="-8"/>
                <w:sz w:val="18"/>
                <w:szCs w:val="18"/>
              </w:rPr>
              <w:t>尤洛卡（山东）特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高压电气有限公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185,630.51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9,281.53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60" w:right="0"/>
              <w:jc w:val="left"/>
              <w:rPr>
                <w:rFonts w:ascii="Times New Roman" w:hAnsi="Times New Roman" w:cs="Times New Roman" w:eastAsia="Times New Roman" w:hint="default"/>
                <w:sz w:val="18"/>
                <w:szCs w:val="18"/>
              </w:rPr>
            </w:pPr>
            <w:r>
              <w:rPr>
                <w:rFonts w:ascii="Times New Roman"/>
                <w:sz w:val="18"/>
              </w:rPr>
              <w:t>24,049.03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1" w:right="0"/>
              <w:jc w:val="left"/>
              <w:rPr>
                <w:rFonts w:ascii="Times New Roman" w:hAnsi="Times New Roman" w:cs="Times New Roman" w:eastAsia="Times New Roman" w:hint="default"/>
                <w:sz w:val="18"/>
                <w:szCs w:val="18"/>
              </w:rPr>
            </w:pPr>
            <w:r>
              <w:rPr>
                <w:rFonts w:ascii="Times New Roman"/>
                <w:sz w:val="18"/>
              </w:rPr>
              <w:t>1,202.45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0"/>
              <w:jc w:val="left"/>
              <w:rPr>
                <w:rFonts w:ascii="宋体" w:hAnsi="宋体" w:cs="宋体" w:eastAsia="宋体" w:hint="default"/>
                <w:sz w:val="18"/>
                <w:szCs w:val="18"/>
              </w:rPr>
            </w:pPr>
            <w:r>
              <w:rPr>
                <w:rFonts w:ascii="宋体" w:hAnsi="宋体" w:cs="宋体" w:eastAsia="宋体" w:hint="default"/>
                <w:sz w:val="18"/>
                <w:szCs w:val="18"/>
              </w:rPr>
              <w:t>北京普链信息技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130,643.18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6,532.16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0"/>
              <w:jc w:val="left"/>
              <w:rPr>
                <w:rFonts w:ascii="宋体" w:hAnsi="宋体" w:cs="宋体" w:eastAsia="宋体" w:hint="default"/>
                <w:sz w:val="18"/>
                <w:szCs w:val="18"/>
              </w:rPr>
            </w:pPr>
            <w:r>
              <w:rPr>
                <w:rFonts w:ascii="宋体" w:hAnsi="宋体" w:cs="宋体" w:eastAsia="宋体" w:hint="default"/>
                <w:spacing w:val="-8"/>
                <w:sz w:val="18"/>
                <w:szCs w:val="18"/>
              </w:rPr>
              <w:t>尤洛卡（山东）特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高压电气有限公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987"/>
        <w:jc w:val="left"/>
        <w:rPr>
          <w:b w:val="0"/>
          <w:bCs w:val="0"/>
        </w:rPr>
      </w:pPr>
      <w:bookmarkStart w:name="十二、股份支付" w:id="311"/>
      <w:bookmarkEnd w:id="311"/>
      <w:r>
        <w:rPr>
          <w:b w:val="0"/>
          <w:bCs w:val="0"/>
        </w:rPr>
      </w:r>
      <w:r>
        <w:rPr/>
        <w:t>十二、股份支付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7"/>
        <w:jc w:val="left"/>
        <w:rPr>
          <w:b w:val="0"/>
          <w:bCs w:val="0"/>
        </w:rPr>
      </w:pPr>
      <w:bookmarkStart w:name="1、股份支付总体情况" w:id="312"/>
      <w:bookmarkEnd w:id="312"/>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987"/>
        <w:jc w:val="left"/>
      </w:pPr>
      <w:r>
        <w:rPr/>
        <w:t>√ 适用 □ 不适用</w:t>
      </w:r>
    </w:p>
    <w:p>
      <w:pPr>
        <w:pStyle w:val="BodyText"/>
        <w:spacing w:line="240" w:lineRule="auto" w:before="117"/>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14,129,200.00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463,500.00</w:t>
            </w:r>
          </w:p>
        </w:tc>
      </w:tr>
      <w:tr>
        <w:trPr>
          <w:trHeight w:val="358" w:hRule="exact"/>
        </w:trPr>
        <w:tc>
          <w:tcPr>
            <w:tcW w:w="5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公司限制性股票激励计划本期授予激励对象的授</w:t>
            </w:r>
          </w:p>
        </w:tc>
      </w:tr>
      <w:tr>
        <w:trPr>
          <w:trHeight w:val="316" w:hRule="exact"/>
        </w:trPr>
        <w:tc>
          <w:tcPr>
            <w:tcW w:w="5454"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予日为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29  </w:t>
            </w:r>
            <w:r>
              <w:rPr>
                <w:rFonts w:ascii="宋体" w:hAnsi="宋体" w:cs="宋体" w:eastAsia="宋体" w:hint="default"/>
                <w:sz w:val="18"/>
                <w:szCs w:val="18"/>
              </w:rPr>
              <w:t>日，授予数量</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888.00</w:t>
            </w:r>
          </w:p>
        </w:tc>
      </w:tr>
      <w:tr>
        <w:trPr>
          <w:trHeight w:val="312" w:hRule="exact"/>
        </w:trPr>
        <w:tc>
          <w:tcPr>
            <w:tcW w:w="5454"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pacing w:val="-5"/>
                <w:sz w:val="18"/>
                <w:szCs w:val="18"/>
              </w:rPr>
              <w:t>万股，授予价格为 </w:t>
            </w:r>
            <w:r>
              <w:rPr>
                <w:rFonts w:ascii="Times New Roman" w:hAnsi="Times New Roman" w:cs="Times New Roman" w:eastAsia="Times New Roman" w:hint="default"/>
                <w:sz w:val="18"/>
                <w:szCs w:val="18"/>
              </w:rPr>
              <w:t>4.03 </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股，本次限制性股票计</w:t>
            </w:r>
          </w:p>
        </w:tc>
      </w:tr>
      <w:tr>
        <w:trPr>
          <w:trHeight w:val="620" w:hRule="exact"/>
        </w:trPr>
        <w:tc>
          <w:tcPr>
            <w:tcW w:w="54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103" w:right="130"/>
              <w:jc w:val="left"/>
              <w:rPr>
                <w:rFonts w:ascii="宋体" w:hAnsi="宋体" w:cs="宋体" w:eastAsia="宋体" w:hint="default"/>
                <w:sz w:val="18"/>
                <w:szCs w:val="18"/>
              </w:rPr>
            </w:pPr>
            <w:r>
              <w:rPr>
                <w:rFonts w:ascii="宋体" w:hAnsi="宋体" w:cs="宋体" w:eastAsia="宋体" w:hint="default"/>
                <w:sz w:val="18"/>
                <w:szCs w:val="18"/>
              </w:rPr>
              <w:t>划的有效期为自限制性股票授予日起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年，若达 到计划规定的解锁条件，激励对象分三次申请解</w:t>
            </w:r>
          </w:p>
        </w:tc>
      </w:tr>
      <w:tr>
        <w:trPr>
          <w:trHeight w:val="316" w:hRule="exact"/>
        </w:trPr>
        <w:tc>
          <w:tcPr>
            <w:tcW w:w="5454"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锁，分别自首次授予日起 </w:t>
            </w:r>
            <w:r>
              <w:rPr>
                <w:rFonts w:ascii="Times New Roman" w:hAnsi="Times New Roman" w:cs="Times New Roman" w:eastAsia="Times New Roman" w:hint="default"/>
                <w:sz w:val="18"/>
                <w:szCs w:val="18"/>
              </w:rPr>
              <w:t>12  </w:t>
            </w:r>
            <w:r>
              <w:rPr>
                <w:rFonts w:ascii="宋体" w:hAnsi="宋体" w:cs="宋体" w:eastAsia="宋体" w:hint="default"/>
                <w:spacing w:val="-6"/>
                <w:sz w:val="18"/>
                <w:szCs w:val="18"/>
              </w:rPr>
              <w:t>个月后、</w:t>
            </w:r>
            <w:r>
              <w:rPr>
                <w:rFonts w:ascii="Times New Roman" w:hAnsi="Times New Roman" w:cs="Times New Roman" w:eastAsia="Times New Roman" w:hint="default"/>
                <w:spacing w:val="-6"/>
                <w:sz w:val="18"/>
                <w:szCs w:val="18"/>
              </w:rPr>
              <w:t>24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个月后、</w:t>
            </w:r>
          </w:p>
        </w:tc>
      </w:tr>
      <w:tr>
        <w:trPr>
          <w:trHeight w:val="312" w:hRule="exact"/>
        </w:trPr>
        <w:tc>
          <w:tcPr>
            <w:tcW w:w="5454"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个月后各申请解锁授予限制性股票总量的</w:t>
            </w:r>
          </w:p>
        </w:tc>
      </w:tr>
      <w:tr>
        <w:trPr>
          <w:trHeight w:val="352" w:hRule="exact"/>
        </w:trPr>
        <w:tc>
          <w:tcPr>
            <w:tcW w:w="5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41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98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2、以权益结算的股份支付情况" w:id="313"/>
      <w:bookmarkEnd w:id="31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987"/>
        <w:jc w:val="left"/>
      </w:pPr>
      <w:r>
        <w:rPr/>
        <w:t>√ 适用 □ 不适用</w:t>
      </w:r>
    </w:p>
    <w:p>
      <w:pPr>
        <w:pStyle w:val="BodyText"/>
        <w:spacing w:line="240" w:lineRule="auto" w:before="117"/>
        <w:ind w:left="0" w:right="1132"/>
        <w:jc w:val="right"/>
      </w:pPr>
      <w:r>
        <w:rPr/>
        <w:t>单位：</w:t>
      </w:r>
      <w:r>
        <w:rPr>
          <w:spacing w:val="-2"/>
        </w:rPr>
        <w:t> </w:t>
      </w:r>
      <w:r>
        <w:rPr/>
        <w:t>元</w:t>
      </w:r>
    </w:p>
    <w:p>
      <w:pPr>
        <w:spacing w:after="0" w:line="240" w:lineRule="auto"/>
        <w:jc w:val="right"/>
        <w:sectPr>
          <w:footerReference w:type="default" r:id="rId38"/>
          <w:pgSz w:w="11910" w:h="16840"/>
          <w:pgMar w:footer="1028" w:header="907" w:top="1100" w:bottom="1220" w:left="1020" w:right="0"/>
          <w:pgNumType w:start="16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根据布莱克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斯科尔模型来计算期权的理论价值</w:t>
            </w:r>
          </w:p>
        </w:tc>
      </w:tr>
      <w:tr>
        <w:trPr>
          <w:trHeight w:val="1026"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根据最新取得的可行权职工人数变动情况进行统计，业 绩考核目标预计能达到可行权条件，故预计可行权权益 工具数量的最佳估计为 </w:t>
            </w:r>
            <w:r>
              <w:rPr>
                <w:rFonts w:ascii="Times New Roman" w:hAnsi="Times New Roman" w:cs="Times New Roman" w:eastAsia="Times New Roman" w:hint="default"/>
                <w:sz w:val="18"/>
                <w:szCs w:val="18"/>
              </w:rPr>
              <w:t>876.50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万股。</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9,054,100.00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6,438,600.00</w:t>
            </w:r>
          </w:p>
        </w:tc>
      </w:tr>
    </w:tbl>
    <w:p>
      <w:pPr>
        <w:pStyle w:val="BodyText"/>
        <w:spacing w:line="240" w:lineRule="auto" w:before="51"/>
        <w:ind w:right="987"/>
        <w:jc w:val="left"/>
      </w:pPr>
      <w:r>
        <w:rPr/>
        <w:t>其他说明</w:t>
      </w:r>
    </w:p>
    <w:p>
      <w:pPr>
        <w:spacing w:line="602" w:lineRule="exact" w:before="126"/>
        <w:ind w:left="112" w:right="8344" w:firstLine="0"/>
        <w:jc w:val="left"/>
        <w:rPr>
          <w:rFonts w:ascii="宋体" w:hAnsi="宋体" w:cs="宋体" w:eastAsia="宋体" w:hint="default"/>
          <w:sz w:val="18"/>
          <w:szCs w:val="18"/>
        </w:rPr>
      </w:pPr>
      <w:bookmarkStart w:name="十三、承诺及或有事项" w:id="314"/>
      <w:bookmarkEnd w:id="314"/>
      <w:r>
        <w:rPr/>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bookmarkStart w:name="1、重要承诺事项" w:id="315"/>
      <w:bookmarkEnd w:id="31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BodyText"/>
        <w:spacing w:line="240" w:lineRule="auto" w:before="19"/>
        <w:ind w:right="987"/>
        <w:jc w:val="left"/>
      </w:pPr>
      <w:r>
        <w:rPr/>
        <w:t>截至2018年12月31日，本公司无需要披露的重大承诺事项。</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2、或有事项" w:id="316"/>
      <w:bookmarkEnd w:id="31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资产负债表日存在的重要或有事项" w:id="317"/>
      <w:bookmarkEnd w:id="3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240" w:lineRule="auto" w:before="0"/>
        <w:ind w:right="987"/>
        <w:jc w:val="left"/>
      </w:pPr>
      <w:r>
        <w:rPr/>
        <w:t>截至2018年12月31日，本公司无需要披露的重大承诺事项。</w:t>
      </w:r>
    </w:p>
    <w:p>
      <w:pPr>
        <w:spacing w:line="240" w:lineRule="auto" w:before="11"/>
        <w:rPr>
          <w:rFonts w:ascii="宋体" w:hAnsi="宋体" w:cs="宋体" w:eastAsia="宋体" w:hint="default"/>
          <w:sz w:val="26"/>
          <w:szCs w:val="26"/>
        </w:rPr>
      </w:pPr>
    </w:p>
    <w:p>
      <w:pPr>
        <w:pStyle w:val="Heading4"/>
        <w:spacing w:line="240" w:lineRule="auto"/>
        <w:ind w:right="987"/>
        <w:jc w:val="left"/>
        <w:rPr>
          <w:b w:val="0"/>
          <w:bCs w:val="0"/>
        </w:rPr>
      </w:pPr>
      <w:bookmarkStart w:name="（2）公司没有需要披露的重要或有事项，也应予以说明" w:id="318"/>
      <w:bookmarkEnd w:id="318"/>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7"/>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987"/>
        <w:jc w:val="left"/>
        <w:rPr>
          <w:b w:val="0"/>
          <w:bCs w:val="0"/>
        </w:rPr>
      </w:pPr>
      <w:bookmarkStart w:name="十四、资产负债表日后事项" w:id="319"/>
      <w:bookmarkEnd w:id="319"/>
      <w:r>
        <w:rPr>
          <w:b w:val="0"/>
          <w:bCs w:val="0"/>
        </w:rPr>
      </w: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7"/>
        <w:jc w:val="left"/>
        <w:rPr>
          <w:b w:val="0"/>
          <w:bCs w:val="0"/>
        </w:rPr>
      </w:pPr>
      <w:bookmarkStart w:name="1、利润分配情况" w:id="320"/>
      <w:bookmarkEnd w:id="320"/>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66,916,425.50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5"/>
        <w:rPr>
          <w:rFonts w:ascii="宋体" w:hAnsi="宋体" w:cs="宋体" w:eastAsia="宋体" w:hint="default"/>
          <w:sz w:val="19"/>
          <w:szCs w:val="19"/>
        </w:rPr>
      </w:pPr>
    </w:p>
    <w:p>
      <w:pPr>
        <w:pStyle w:val="Heading4"/>
        <w:spacing w:line="240" w:lineRule="auto" w:before="34"/>
        <w:ind w:right="987"/>
        <w:jc w:val="left"/>
        <w:rPr>
          <w:b w:val="0"/>
          <w:bCs w:val="0"/>
        </w:rPr>
      </w:pPr>
      <w:bookmarkStart w:name="2、其他资产负债表日后事项说明" w:id="321"/>
      <w:bookmarkEnd w:id="321"/>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spacing w:line="388" w:lineRule="auto" w:before="0"/>
        <w:ind w:left="112" w:right="987" w:firstLine="0"/>
        <w:jc w:val="left"/>
        <w:rPr>
          <w:rFonts w:ascii="宋体" w:hAnsi="宋体" w:cs="宋体" w:eastAsia="宋体" w:hint="default"/>
          <w:sz w:val="21"/>
          <w:szCs w:val="21"/>
        </w:rPr>
      </w:pPr>
      <w:r>
        <w:rPr>
          <w:rFonts w:ascii="宋体" w:hAnsi="宋体" w:cs="宋体" w:eastAsia="宋体" w:hint="default"/>
          <w:sz w:val="18"/>
          <w:szCs w:val="18"/>
        </w:rPr>
        <w:t>2019年1月1日起执行新会计准则的影响 </w:t>
      </w:r>
      <w:r>
        <w:rPr>
          <w:rFonts w:ascii="宋体" w:hAnsi="宋体" w:cs="宋体" w:eastAsia="宋体" w:hint="default"/>
          <w:spacing w:val="-4"/>
          <w:w w:val="99"/>
          <w:sz w:val="21"/>
          <w:szCs w:val="21"/>
        </w:rPr>
        <w:t>财政部于2017年3月31日分别发布了《企业会计准则第22号——金融工具确认和计量（2017年修订）》（财</w:t>
      </w:r>
      <w:r>
        <w:rPr>
          <w:rFonts w:ascii="宋体" w:hAnsi="宋体" w:cs="宋体" w:eastAsia="宋体" w:hint="default"/>
          <w:spacing w:val="-80"/>
          <w:w w:val="99"/>
          <w:sz w:val="21"/>
          <w:szCs w:val="21"/>
        </w:rPr>
        <w:t> </w:t>
      </w:r>
      <w:r>
        <w:rPr>
          <w:rFonts w:ascii="宋体" w:hAnsi="宋体" w:cs="宋体" w:eastAsia="宋体" w:hint="default"/>
          <w:spacing w:val="-80"/>
          <w:w w:val="99"/>
          <w:sz w:val="21"/>
          <w:szCs w:val="21"/>
        </w:rPr>
      </w:r>
      <w:r>
        <w:rPr>
          <w:rFonts w:ascii="宋体" w:hAnsi="宋体" w:cs="宋体" w:eastAsia="宋体" w:hint="default"/>
          <w:spacing w:val="-12"/>
          <w:w w:val="99"/>
          <w:sz w:val="21"/>
          <w:szCs w:val="21"/>
        </w:rPr>
        <w:t>会〔2017〕7号）、《企业会计准则第23号——金融资产转移（2017年修订）》（财会〔2017〕8号）、《企业会</w:t>
      </w:r>
      <w:r>
        <w:rPr>
          <w:rFonts w:ascii="宋体" w:hAnsi="宋体" w:cs="宋体" w:eastAsia="宋体" w:hint="default"/>
          <w:spacing w:val="-12"/>
          <w:sz w:val="21"/>
          <w:szCs w:val="21"/>
        </w:rPr>
      </w:r>
    </w:p>
    <w:p>
      <w:pPr>
        <w:spacing w:line="408" w:lineRule="auto" w:before="63"/>
        <w:ind w:left="112" w:right="987" w:firstLine="0"/>
        <w:jc w:val="left"/>
        <w:rPr>
          <w:rFonts w:ascii="宋体" w:hAnsi="宋体" w:cs="宋体" w:eastAsia="宋体" w:hint="default"/>
          <w:sz w:val="21"/>
          <w:szCs w:val="21"/>
        </w:rPr>
      </w:pPr>
      <w:r>
        <w:rPr>
          <w:rFonts w:ascii="宋体" w:hAnsi="宋体" w:cs="宋体" w:eastAsia="宋体" w:hint="default"/>
          <w:spacing w:val="-1"/>
          <w:w w:val="99"/>
          <w:sz w:val="21"/>
          <w:szCs w:val="21"/>
        </w:rPr>
        <w:t>计</w:t>
      </w:r>
      <w:r>
        <w:rPr>
          <w:rFonts w:ascii="宋体" w:hAnsi="宋体" w:cs="宋体" w:eastAsia="宋体" w:hint="default"/>
          <w:spacing w:val="2"/>
          <w:w w:val="99"/>
          <w:sz w:val="21"/>
          <w:szCs w:val="21"/>
        </w:rPr>
        <w:t>准</w:t>
      </w:r>
      <w:r>
        <w:rPr>
          <w:rFonts w:ascii="宋体" w:hAnsi="宋体" w:cs="宋体" w:eastAsia="宋体" w:hint="default"/>
          <w:spacing w:val="-1"/>
          <w:w w:val="99"/>
          <w:sz w:val="21"/>
          <w:szCs w:val="21"/>
        </w:rPr>
        <w:t>则</w:t>
      </w:r>
      <w:r>
        <w:rPr>
          <w:rFonts w:ascii="宋体" w:hAnsi="宋体" w:cs="宋体" w:eastAsia="宋体" w:hint="default"/>
          <w:spacing w:val="2"/>
          <w:w w:val="99"/>
          <w:sz w:val="21"/>
          <w:szCs w:val="21"/>
        </w:rPr>
        <w:t>第</w:t>
      </w:r>
      <w:r>
        <w:rPr>
          <w:rFonts w:ascii="宋体" w:hAnsi="宋体" w:cs="宋体" w:eastAsia="宋体" w:hint="default"/>
          <w:spacing w:val="1"/>
          <w:w w:val="99"/>
          <w:sz w:val="21"/>
          <w:szCs w:val="21"/>
        </w:rPr>
        <w:t>24</w:t>
      </w:r>
      <w:r>
        <w:rPr>
          <w:rFonts w:ascii="宋体" w:hAnsi="宋体" w:cs="宋体" w:eastAsia="宋体" w:hint="default"/>
          <w:spacing w:val="-1"/>
          <w:w w:val="99"/>
          <w:sz w:val="21"/>
          <w:szCs w:val="21"/>
        </w:rPr>
        <w:t>号—</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套</w:t>
      </w:r>
      <w:r>
        <w:rPr>
          <w:rFonts w:ascii="宋体" w:hAnsi="宋体" w:cs="宋体" w:eastAsia="宋体" w:hint="default"/>
          <w:spacing w:val="2"/>
          <w:w w:val="99"/>
          <w:sz w:val="21"/>
          <w:szCs w:val="21"/>
        </w:rPr>
        <w:t>期</w:t>
      </w:r>
      <w:r>
        <w:rPr>
          <w:rFonts w:ascii="宋体" w:hAnsi="宋体" w:cs="宋体" w:eastAsia="宋体" w:hint="default"/>
          <w:spacing w:val="-1"/>
          <w:w w:val="99"/>
          <w:sz w:val="21"/>
          <w:szCs w:val="21"/>
        </w:rPr>
        <w:t>会计（</w:t>
      </w:r>
      <w:r>
        <w:rPr>
          <w:rFonts w:ascii="宋体" w:hAnsi="宋体" w:cs="宋体" w:eastAsia="宋体" w:hint="default"/>
          <w:spacing w:val="1"/>
          <w:w w:val="99"/>
          <w:sz w:val="21"/>
          <w:szCs w:val="21"/>
        </w:rPr>
        <w:t>201</w:t>
      </w:r>
      <w:r>
        <w:rPr>
          <w:rFonts w:ascii="宋体" w:hAnsi="宋体" w:cs="宋体" w:eastAsia="宋体" w:hint="default"/>
          <w:spacing w:val="-2"/>
          <w:w w:val="99"/>
          <w:sz w:val="21"/>
          <w:szCs w:val="21"/>
        </w:rPr>
        <w:t>7</w:t>
      </w:r>
      <w:r>
        <w:rPr>
          <w:rFonts w:ascii="宋体" w:hAnsi="宋体" w:cs="宋体" w:eastAsia="宋体" w:hint="default"/>
          <w:spacing w:val="-1"/>
          <w:w w:val="99"/>
          <w:sz w:val="21"/>
          <w:szCs w:val="21"/>
        </w:rPr>
        <w:t>年</w:t>
      </w:r>
      <w:r>
        <w:rPr>
          <w:rFonts w:ascii="宋体" w:hAnsi="宋体" w:cs="宋体" w:eastAsia="宋体" w:hint="default"/>
          <w:spacing w:val="2"/>
          <w:w w:val="99"/>
          <w:sz w:val="21"/>
          <w:szCs w:val="21"/>
        </w:rPr>
        <w:t>修订</w:t>
      </w:r>
      <w:r>
        <w:rPr>
          <w:rFonts w:ascii="宋体" w:hAnsi="宋体" w:cs="宋体" w:eastAsia="宋体" w:hint="default"/>
          <w:spacing w:val="-104"/>
          <w:w w:val="99"/>
          <w:sz w:val="21"/>
          <w:szCs w:val="21"/>
        </w:rPr>
        <w:t>）</w:t>
      </w:r>
      <w:r>
        <w:rPr>
          <w:rFonts w:ascii="宋体" w:hAnsi="宋体" w:cs="宋体" w:eastAsia="宋体" w:hint="default"/>
          <w:spacing w:val="-109"/>
          <w:w w:val="99"/>
          <w:sz w:val="21"/>
          <w:szCs w:val="21"/>
        </w:rPr>
        <w:t>》</w:t>
      </w:r>
      <w:r>
        <w:rPr>
          <w:rFonts w:ascii="宋体" w:hAnsi="宋体" w:cs="宋体" w:eastAsia="宋体" w:hint="default"/>
          <w:spacing w:val="-1"/>
          <w:w w:val="99"/>
          <w:sz w:val="21"/>
          <w:szCs w:val="21"/>
        </w:rPr>
        <w:t>（财会〔</w:t>
      </w:r>
      <w:r>
        <w:rPr>
          <w:rFonts w:ascii="宋体" w:hAnsi="宋体" w:cs="宋体" w:eastAsia="宋体" w:hint="default"/>
          <w:spacing w:val="1"/>
          <w:w w:val="99"/>
          <w:sz w:val="21"/>
          <w:szCs w:val="21"/>
        </w:rPr>
        <w:t>201</w:t>
      </w:r>
      <w:r>
        <w:rPr>
          <w:rFonts w:ascii="宋体" w:hAnsi="宋体" w:cs="宋体" w:eastAsia="宋体" w:hint="default"/>
          <w:spacing w:val="-2"/>
          <w:w w:val="99"/>
          <w:sz w:val="21"/>
          <w:szCs w:val="21"/>
        </w:rPr>
        <w:t>7</w:t>
      </w:r>
      <w:r>
        <w:rPr>
          <w:rFonts w:ascii="宋体" w:hAnsi="宋体" w:cs="宋体" w:eastAsia="宋体" w:hint="default"/>
          <w:spacing w:val="-3"/>
          <w:w w:val="99"/>
          <w:sz w:val="21"/>
          <w:szCs w:val="21"/>
        </w:rPr>
        <w:t>〕</w:t>
      </w:r>
      <w:r>
        <w:rPr>
          <w:rFonts w:ascii="宋体" w:hAnsi="宋体" w:cs="宋体" w:eastAsia="宋体" w:hint="default"/>
          <w:spacing w:val="1"/>
          <w:w w:val="99"/>
          <w:sz w:val="21"/>
          <w:szCs w:val="21"/>
        </w:rPr>
        <w:t>9</w:t>
      </w:r>
      <w:r>
        <w:rPr>
          <w:rFonts w:ascii="宋体" w:hAnsi="宋体" w:cs="宋体" w:eastAsia="宋体" w:hint="default"/>
          <w:spacing w:val="-1"/>
          <w:w w:val="99"/>
          <w:sz w:val="21"/>
          <w:szCs w:val="21"/>
        </w:rPr>
        <w:t>号</w:t>
      </w:r>
      <w:r>
        <w:rPr>
          <w:rFonts w:ascii="宋体" w:hAnsi="宋体" w:cs="宋体" w:eastAsia="宋体" w:hint="default"/>
          <w:spacing w:val="-104"/>
          <w:w w:val="99"/>
          <w:sz w:val="21"/>
          <w:szCs w:val="21"/>
        </w:rPr>
        <w:t>）</w:t>
      </w:r>
      <w:r>
        <w:rPr>
          <w:rFonts w:ascii="宋体" w:hAnsi="宋体" w:cs="宋体" w:eastAsia="宋体" w:hint="default"/>
          <w:spacing w:val="-3"/>
          <w:w w:val="99"/>
          <w:sz w:val="21"/>
          <w:szCs w:val="21"/>
        </w:rPr>
        <w:t>，</w:t>
      </w:r>
      <w:r>
        <w:rPr>
          <w:rFonts w:ascii="宋体" w:hAnsi="宋体" w:cs="宋体" w:eastAsia="宋体" w:hint="default"/>
          <w:spacing w:val="2"/>
          <w:w w:val="99"/>
          <w:sz w:val="21"/>
          <w:szCs w:val="21"/>
        </w:rPr>
        <w:t>于</w:t>
      </w:r>
      <w:r>
        <w:rPr>
          <w:rFonts w:ascii="宋体" w:hAnsi="宋体" w:cs="宋体" w:eastAsia="宋体" w:hint="default"/>
          <w:spacing w:val="1"/>
          <w:w w:val="99"/>
          <w:sz w:val="21"/>
          <w:szCs w:val="21"/>
        </w:rPr>
        <w:t>20</w:t>
      </w:r>
      <w:r>
        <w:rPr>
          <w:rFonts w:ascii="宋体" w:hAnsi="宋体" w:cs="宋体" w:eastAsia="宋体" w:hint="default"/>
          <w:spacing w:val="-2"/>
          <w:w w:val="99"/>
          <w:sz w:val="21"/>
          <w:szCs w:val="21"/>
        </w:rPr>
        <w:t>1</w:t>
      </w:r>
      <w:r>
        <w:rPr>
          <w:rFonts w:ascii="宋体" w:hAnsi="宋体" w:cs="宋体" w:eastAsia="宋体" w:hint="default"/>
          <w:spacing w:val="1"/>
          <w:w w:val="99"/>
          <w:sz w:val="21"/>
          <w:szCs w:val="21"/>
        </w:rPr>
        <w:t>7</w:t>
      </w:r>
      <w:r>
        <w:rPr>
          <w:rFonts w:ascii="宋体" w:hAnsi="宋体" w:cs="宋体" w:eastAsia="宋体" w:hint="default"/>
          <w:spacing w:val="-1"/>
          <w:w w:val="99"/>
          <w:sz w:val="21"/>
          <w:szCs w:val="21"/>
        </w:rPr>
        <w:t>年</w:t>
      </w:r>
      <w:r>
        <w:rPr>
          <w:rFonts w:ascii="宋体" w:hAnsi="宋体" w:cs="宋体" w:eastAsia="宋体" w:hint="default"/>
          <w:spacing w:val="1"/>
          <w:w w:val="99"/>
          <w:sz w:val="21"/>
          <w:szCs w:val="21"/>
        </w:rPr>
        <w:t>5</w:t>
      </w:r>
      <w:r>
        <w:rPr>
          <w:rFonts w:ascii="宋体" w:hAnsi="宋体" w:cs="宋体" w:eastAsia="宋体" w:hint="default"/>
          <w:spacing w:val="-1"/>
          <w:w w:val="99"/>
          <w:sz w:val="21"/>
          <w:szCs w:val="21"/>
        </w:rPr>
        <w:t>月</w:t>
      </w:r>
      <w:r>
        <w:rPr>
          <w:rFonts w:ascii="宋体" w:hAnsi="宋体" w:cs="宋体" w:eastAsia="宋体" w:hint="default"/>
          <w:spacing w:val="1"/>
          <w:w w:val="99"/>
          <w:sz w:val="21"/>
          <w:szCs w:val="21"/>
        </w:rPr>
        <w:t>2</w:t>
      </w:r>
      <w:r>
        <w:rPr>
          <w:rFonts w:ascii="宋体" w:hAnsi="宋体" w:cs="宋体" w:eastAsia="宋体" w:hint="default"/>
          <w:spacing w:val="-1"/>
          <w:w w:val="99"/>
          <w:sz w:val="21"/>
          <w:szCs w:val="21"/>
        </w:rPr>
        <w:t>日</w:t>
      </w:r>
      <w:r>
        <w:rPr>
          <w:rFonts w:ascii="宋体" w:hAnsi="宋体" w:cs="宋体" w:eastAsia="宋体" w:hint="default"/>
          <w:spacing w:val="2"/>
          <w:w w:val="99"/>
          <w:sz w:val="21"/>
          <w:szCs w:val="21"/>
        </w:rPr>
        <w:t>发</w:t>
      </w:r>
      <w:r>
        <w:rPr>
          <w:rFonts w:ascii="宋体" w:hAnsi="宋体" w:cs="宋体" w:eastAsia="宋体" w:hint="default"/>
          <w:spacing w:val="-1"/>
          <w:w w:val="99"/>
          <w:sz w:val="21"/>
          <w:szCs w:val="21"/>
        </w:rPr>
        <w:t>布了《企</w:t>
      </w:r>
      <w:r>
        <w:rPr>
          <w:rFonts w:ascii="宋体" w:hAnsi="宋体" w:cs="宋体" w:eastAsia="宋体" w:hint="default"/>
          <w:spacing w:val="2"/>
          <w:w w:val="99"/>
          <w:sz w:val="21"/>
          <w:szCs w:val="21"/>
        </w:rPr>
        <w:t>业</w:t>
      </w:r>
      <w:r>
        <w:rPr>
          <w:rFonts w:ascii="宋体" w:hAnsi="宋体" w:cs="宋体" w:eastAsia="宋体" w:hint="default"/>
          <w:spacing w:val="-1"/>
          <w:w w:val="99"/>
          <w:sz w:val="21"/>
          <w:szCs w:val="21"/>
        </w:rPr>
        <w:t>会</w:t>
      </w:r>
      <w:r>
        <w:rPr>
          <w:rFonts w:ascii="宋体" w:hAnsi="宋体" w:cs="宋体" w:eastAsia="宋体" w:hint="default"/>
          <w:spacing w:val="2"/>
          <w:w w:val="99"/>
          <w:sz w:val="21"/>
          <w:szCs w:val="21"/>
        </w:rPr>
        <w:t>计</w:t>
      </w:r>
      <w:r>
        <w:rPr>
          <w:rFonts w:ascii="宋体" w:hAnsi="宋体" w:cs="宋体" w:eastAsia="宋体" w:hint="default"/>
          <w:spacing w:val="-1"/>
          <w:w w:val="99"/>
          <w:sz w:val="21"/>
          <w:szCs w:val="21"/>
        </w:rPr>
        <w:t>准</w:t>
      </w:r>
      <w:r>
        <w:rPr>
          <w:rFonts w:ascii="宋体" w:hAnsi="宋体" w:cs="宋体" w:eastAsia="宋体" w:hint="default"/>
          <w:w w:val="99"/>
          <w:sz w:val="21"/>
          <w:szCs w:val="21"/>
        </w:rPr>
        <w:t>则</w:t>
      </w:r>
      <w:r>
        <w:rPr>
          <w:rFonts w:ascii="宋体" w:hAnsi="宋体" w:cs="宋体" w:eastAsia="宋体" w:hint="default"/>
          <w:w w:val="99"/>
          <w:sz w:val="21"/>
          <w:szCs w:val="21"/>
        </w:rPr>
        <w:t> </w:t>
      </w:r>
      <w:r>
        <w:rPr>
          <w:rFonts w:ascii="宋体" w:hAnsi="宋体" w:cs="宋体" w:eastAsia="宋体" w:hint="default"/>
          <w:spacing w:val="2"/>
          <w:w w:val="99"/>
          <w:sz w:val="21"/>
          <w:szCs w:val="21"/>
        </w:rPr>
        <w:t>第</w:t>
      </w:r>
      <w:r>
        <w:rPr>
          <w:rFonts w:ascii="宋体" w:hAnsi="宋体" w:cs="宋体" w:eastAsia="宋体" w:hint="default"/>
          <w:spacing w:val="1"/>
          <w:w w:val="99"/>
          <w:sz w:val="21"/>
          <w:szCs w:val="21"/>
        </w:rPr>
        <w:t>3</w:t>
      </w:r>
      <w:r>
        <w:rPr>
          <w:rFonts w:ascii="宋体" w:hAnsi="宋体" w:cs="宋体" w:eastAsia="宋体" w:hint="default"/>
          <w:spacing w:val="-2"/>
          <w:w w:val="99"/>
          <w:sz w:val="21"/>
          <w:szCs w:val="21"/>
        </w:rPr>
        <w:t>7</w:t>
      </w:r>
      <w:r>
        <w:rPr>
          <w:rFonts w:ascii="宋体" w:hAnsi="宋体" w:cs="宋体" w:eastAsia="宋体" w:hint="default"/>
          <w:spacing w:val="2"/>
          <w:w w:val="99"/>
          <w:sz w:val="21"/>
          <w:szCs w:val="21"/>
        </w:rPr>
        <w:t>号</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金</w:t>
      </w:r>
      <w:r>
        <w:rPr>
          <w:rFonts w:ascii="宋体" w:hAnsi="宋体" w:cs="宋体" w:eastAsia="宋体" w:hint="default"/>
          <w:spacing w:val="2"/>
          <w:w w:val="99"/>
          <w:sz w:val="21"/>
          <w:szCs w:val="21"/>
        </w:rPr>
        <w:t>融</w:t>
      </w:r>
      <w:r>
        <w:rPr>
          <w:rFonts w:ascii="宋体" w:hAnsi="宋体" w:cs="宋体" w:eastAsia="宋体" w:hint="default"/>
          <w:spacing w:val="-1"/>
          <w:w w:val="99"/>
          <w:sz w:val="21"/>
          <w:szCs w:val="21"/>
        </w:rPr>
        <w:t>工</w:t>
      </w:r>
      <w:r>
        <w:rPr>
          <w:rFonts w:ascii="宋体" w:hAnsi="宋体" w:cs="宋体" w:eastAsia="宋体" w:hint="default"/>
          <w:spacing w:val="2"/>
          <w:w w:val="99"/>
          <w:sz w:val="21"/>
          <w:szCs w:val="21"/>
        </w:rPr>
        <w:t>具</w:t>
      </w:r>
      <w:r>
        <w:rPr>
          <w:rFonts w:ascii="宋体" w:hAnsi="宋体" w:cs="宋体" w:eastAsia="宋体" w:hint="default"/>
          <w:spacing w:val="-1"/>
          <w:w w:val="99"/>
          <w:sz w:val="21"/>
          <w:szCs w:val="21"/>
        </w:rPr>
        <w:t>列报（</w:t>
      </w:r>
      <w:r>
        <w:rPr>
          <w:rFonts w:ascii="宋体" w:hAnsi="宋体" w:cs="宋体" w:eastAsia="宋体" w:hint="default"/>
          <w:spacing w:val="1"/>
          <w:w w:val="99"/>
          <w:sz w:val="21"/>
          <w:szCs w:val="21"/>
        </w:rPr>
        <w:t>201</w:t>
      </w:r>
      <w:r>
        <w:rPr>
          <w:rFonts w:ascii="宋体" w:hAnsi="宋体" w:cs="宋体" w:eastAsia="宋体" w:hint="default"/>
          <w:spacing w:val="-2"/>
          <w:w w:val="99"/>
          <w:sz w:val="21"/>
          <w:szCs w:val="21"/>
        </w:rPr>
        <w:t>7</w:t>
      </w:r>
      <w:r>
        <w:rPr>
          <w:rFonts w:ascii="宋体" w:hAnsi="宋体" w:cs="宋体" w:eastAsia="宋体" w:hint="default"/>
          <w:spacing w:val="-1"/>
          <w:w w:val="99"/>
          <w:sz w:val="21"/>
          <w:szCs w:val="21"/>
        </w:rPr>
        <w:t>年</w:t>
      </w:r>
      <w:r>
        <w:rPr>
          <w:rFonts w:ascii="宋体" w:hAnsi="宋体" w:cs="宋体" w:eastAsia="宋体" w:hint="default"/>
          <w:spacing w:val="2"/>
          <w:w w:val="99"/>
          <w:sz w:val="21"/>
          <w:szCs w:val="21"/>
        </w:rPr>
        <w:t>修</w:t>
      </w:r>
      <w:r>
        <w:rPr>
          <w:rFonts w:ascii="宋体" w:hAnsi="宋体" w:cs="宋体" w:eastAsia="宋体" w:hint="default"/>
          <w:spacing w:val="-1"/>
          <w:w w:val="99"/>
          <w:sz w:val="21"/>
          <w:szCs w:val="21"/>
        </w:rPr>
        <w:t>订</w:t>
      </w:r>
      <w:r>
        <w:rPr>
          <w:rFonts w:ascii="宋体" w:hAnsi="宋体" w:cs="宋体" w:eastAsia="宋体" w:hint="default"/>
          <w:spacing w:val="-104"/>
          <w:w w:val="99"/>
          <w:sz w:val="21"/>
          <w:szCs w:val="21"/>
        </w:rPr>
        <w:t>）</w:t>
      </w:r>
      <w:r>
        <w:rPr>
          <w:rFonts w:ascii="宋体" w:hAnsi="宋体" w:cs="宋体" w:eastAsia="宋体" w:hint="default"/>
          <w:spacing w:val="-106"/>
          <w:w w:val="99"/>
          <w:sz w:val="21"/>
          <w:szCs w:val="21"/>
        </w:rPr>
        <w:t>》</w:t>
      </w:r>
      <w:r>
        <w:rPr>
          <w:rFonts w:ascii="宋体" w:hAnsi="宋体" w:cs="宋体" w:eastAsia="宋体" w:hint="default"/>
          <w:spacing w:val="-1"/>
          <w:w w:val="99"/>
          <w:sz w:val="21"/>
          <w:szCs w:val="21"/>
        </w:rPr>
        <w:t>（财</w:t>
      </w:r>
      <w:r>
        <w:rPr>
          <w:rFonts w:ascii="宋体" w:hAnsi="宋体" w:cs="宋体" w:eastAsia="宋体" w:hint="default"/>
          <w:spacing w:val="-3"/>
          <w:w w:val="99"/>
          <w:sz w:val="21"/>
          <w:szCs w:val="21"/>
        </w:rPr>
        <w:t>会</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201</w:t>
      </w:r>
      <w:r>
        <w:rPr>
          <w:rFonts w:ascii="宋体" w:hAnsi="宋体" w:cs="宋体" w:eastAsia="宋体" w:hint="default"/>
          <w:spacing w:val="-2"/>
          <w:w w:val="99"/>
          <w:sz w:val="21"/>
          <w:szCs w:val="21"/>
        </w:rPr>
        <w:t>7</w:t>
      </w:r>
      <w:r>
        <w:rPr>
          <w:rFonts w:ascii="宋体" w:hAnsi="宋体" w:cs="宋体" w:eastAsia="宋体" w:hint="default"/>
          <w:spacing w:val="-3"/>
          <w:w w:val="99"/>
          <w:sz w:val="21"/>
          <w:szCs w:val="21"/>
        </w:rPr>
        <w:t>〕</w:t>
      </w:r>
      <w:r>
        <w:rPr>
          <w:rFonts w:ascii="宋体" w:hAnsi="宋体" w:cs="宋体" w:eastAsia="宋体" w:hint="default"/>
          <w:spacing w:val="1"/>
          <w:w w:val="99"/>
          <w:sz w:val="21"/>
          <w:szCs w:val="21"/>
        </w:rPr>
        <w:t>1</w:t>
      </w:r>
      <w:r>
        <w:rPr>
          <w:rFonts w:ascii="宋体" w:hAnsi="宋体" w:cs="宋体" w:eastAsia="宋体" w:hint="default"/>
          <w:spacing w:val="-2"/>
          <w:w w:val="99"/>
          <w:sz w:val="21"/>
          <w:szCs w:val="21"/>
        </w:rPr>
        <w:t>4</w:t>
      </w:r>
      <w:r>
        <w:rPr>
          <w:rFonts w:ascii="宋体" w:hAnsi="宋体" w:cs="宋体" w:eastAsia="宋体" w:hint="default"/>
          <w:spacing w:val="2"/>
          <w:w w:val="99"/>
          <w:sz w:val="21"/>
          <w:szCs w:val="21"/>
        </w:rPr>
        <w:t>号</w:t>
      </w:r>
      <w:r>
        <w:rPr>
          <w:rFonts w:ascii="宋体" w:hAnsi="宋体" w:cs="宋体" w:eastAsia="宋体" w:hint="default"/>
          <w:spacing w:val="-109"/>
          <w:w w:val="99"/>
          <w:sz w:val="21"/>
          <w:szCs w:val="21"/>
        </w:rPr>
        <w:t>）</w:t>
      </w:r>
      <w:r>
        <w:rPr>
          <w:rFonts w:ascii="宋体" w:hAnsi="宋体" w:cs="宋体" w:eastAsia="宋体" w:hint="default"/>
          <w:spacing w:val="-1"/>
          <w:w w:val="99"/>
          <w:sz w:val="21"/>
          <w:szCs w:val="21"/>
        </w:rPr>
        <w:t>（上</w:t>
      </w:r>
      <w:r>
        <w:rPr>
          <w:rFonts w:ascii="宋体" w:hAnsi="宋体" w:cs="宋体" w:eastAsia="宋体" w:hint="default"/>
          <w:spacing w:val="2"/>
          <w:w w:val="99"/>
          <w:sz w:val="21"/>
          <w:szCs w:val="21"/>
        </w:rPr>
        <w:t>述</w:t>
      </w:r>
      <w:r>
        <w:rPr>
          <w:rFonts w:ascii="宋体" w:hAnsi="宋体" w:cs="宋体" w:eastAsia="宋体" w:hint="default"/>
          <w:spacing w:val="-1"/>
          <w:w w:val="99"/>
          <w:sz w:val="21"/>
          <w:szCs w:val="21"/>
        </w:rPr>
        <w:t>准</w:t>
      </w:r>
      <w:r>
        <w:rPr>
          <w:rFonts w:ascii="宋体" w:hAnsi="宋体" w:cs="宋体" w:eastAsia="宋体" w:hint="default"/>
          <w:spacing w:val="2"/>
          <w:w w:val="99"/>
          <w:sz w:val="21"/>
          <w:szCs w:val="21"/>
        </w:rPr>
        <w:t>则</w:t>
      </w:r>
      <w:r>
        <w:rPr>
          <w:rFonts w:ascii="宋体" w:hAnsi="宋体" w:cs="宋体" w:eastAsia="宋体" w:hint="default"/>
          <w:spacing w:val="-1"/>
          <w:w w:val="99"/>
          <w:sz w:val="21"/>
          <w:szCs w:val="21"/>
        </w:rPr>
        <w:t>以</w:t>
      </w:r>
      <w:r>
        <w:rPr>
          <w:rFonts w:ascii="宋体" w:hAnsi="宋体" w:cs="宋体" w:eastAsia="宋体" w:hint="default"/>
          <w:spacing w:val="2"/>
          <w:w w:val="99"/>
          <w:sz w:val="21"/>
          <w:szCs w:val="21"/>
        </w:rPr>
        <w:t>下</w:t>
      </w:r>
      <w:r>
        <w:rPr>
          <w:rFonts w:ascii="宋体" w:hAnsi="宋体" w:cs="宋体" w:eastAsia="宋体" w:hint="default"/>
          <w:spacing w:val="-1"/>
          <w:w w:val="99"/>
          <w:sz w:val="21"/>
          <w:szCs w:val="21"/>
        </w:rPr>
        <w:t>统称</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新</w:t>
      </w:r>
      <w:r>
        <w:rPr>
          <w:rFonts w:ascii="宋体" w:hAnsi="宋体" w:cs="宋体" w:eastAsia="宋体" w:hint="default"/>
          <w:spacing w:val="2"/>
          <w:w w:val="99"/>
          <w:sz w:val="21"/>
          <w:szCs w:val="21"/>
        </w:rPr>
        <w:t>金</w:t>
      </w:r>
      <w:r>
        <w:rPr>
          <w:rFonts w:ascii="宋体" w:hAnsi="宋体" w:cs="宋体" w:eastAsia="宋体" w:hint="default"/>
          <w:spacing w:val="-1"/>
          <w:w w:val="99"/>
          <w:sz w:val="21"/>
          <w:szCs w:val="21"/>
        </w:rPr>
        <w:t>融</w:t>
      </w:r>
      <w:r>
        <w:rPr>
          <w:rFonts w:ascii="宋体" w:hAnsi="宋体" w:cs="宋体" w:eastAsia="宋体" w:hint="default"/>
          <w:spacing w:val="2"/>
          <w:w w:val="99"/>
          <w:sz w:val="21"/>
          <w:szCs w:val="21"/>
        </w:rPr>
        <w:t>工</w:t>
      </w:r>
      <w:r>
        <w:rPr>
          <w:rFonts w:ascii="宋体" w:hAnsi="宋体" w:cs="宋体" w:eastAsia="宋体" w:hint="default"/>
          <w:spacing w:val="-1"/>
          <w:w w:val="99"/>
          <w:sz w:val="21"/>
          <w:szCs w:val="21"/>
        </w:rPr>
        <w:t>具</w:t>
      </w:r>
      <w:r>
        <w:rPr>
          <w:rFonts w:ascii="宋体" w:hAnsi="宋体" w:cs="宋体" w:eastAsia="宋体" w:hint="default"/>
          <w:spacing w:val="2"/>
          <w:w w:val="99"/>
          <w:sz w:val="21"/>
          <w:szCs w:val="21"/>
        </w:rPr>
        <w:t>准</w:t>
      </w:r>
      <w:r>
        <w:rPr>
          <w:rFonts w:ascii="宋体" w:hAnsi="宋体" w:cs="宋体" w:eastAsia="宋体" w:hint="default"/>
          <w:spacing w:val="-1"/>
          <w:w w:val="99"/>
          <w:sz w:val="21"/>
          <w:szCs w:val="21"/>
        </w:rPr>
        <w:t>则</w:t>
      </w:r>
      <w:r>
        <w:rPr>
          <w:rFonts w:ascii="宋体" w:hAnsi="宋体" w:cs="宋体" w:eastAsia="宋体" w:hint="default"/>
          <w:spacing w:val="-104"/>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pgSz w:w="11910" w:h="16840"/>
          <w:pgMar w:header="907" w:footer="1028" w:top="1100" w:bottom="1220" w:left="1020" w:right="0"/>
        </w:sectPr>
      </w:pPr>
    </w:p>
    <w:p>
      <w:pPr>
        <w:spacing w:line="240" w:lineRule="auto" w:before="9"/>
        <w:rPr>
          <w:rFonts w:ascii="宋体" w:hAnsi="宋体" w:cs="宋体" w:eastAsia="宋体" w:hint="default"/>
          <w:sz w:val="27"/>
          <w:szCs w:val="27"/>
        </w:rPr>
      </w:pPr>
    </w:p>
    <w:p>
      <w:pPr>
        <w:spacing w:line="408" w:lineRule="auto" w:before="34"/>
        <w:ind w:left="112" w:right="1177" w:firstLine="0"/>
        <w:jc w:val="left"/>
        <w:rPr>
          <w:rFonts w:ascii="宋体" w:hAnsi="宋体" w:cs="宋体" w:eastAsia="宋体" w:hint="default"/>
          <w:sz w:val="21"/>
          <w:szCs w:val="21"/>
        </w:rPr>
      </w:pPr>
      <w:r>
        <w:rPr>
          <w:rFonts w:ascii="宋体" w:hAnsi="宋体" w:cs="宋体" w:eastAsia="宋体" w:hint="default"/>
          <w:sz w:val="21"/>
          <w:szCs w:val="21"/>
        </w:rPr>
        <w:t>并要求境内上市公司自2019年1月1日起施行。经本公司第四届董事会2019年第一次会议、第四届监事会</w:t>
      </w:r>
      <w:r>
        <w:rPr>
          <w:rFonts w:ascii="宋体" w:hAnsi="宋体" w:cs="宋体" w:eastAsia="宋体" w:hint="default"/>
          <w:w w:val="99"/>
          <w:sz w:val="21"/>
          <w:szCs w:val="21"/>
        </w:rPr>
        <w:t> </w:t>
      </w:r>
      <w:r>
        <w:rPr>
          <w:rFonts w:ascii="宋体" w:hAnsi="宋体" w:cs="宋体" w:eastAsia="宋体" w:hint="default"/>
          <w:sz w:val="21"/>
          <w:szCs w:val="21"/>
        </w:rPr>
        <w:t>2019年第一次会议于2019年4月23日决议通过，本公司将于2019年1月1日起执行上述新金融工具准则，并</w:t>
      </w:r>
      <w:r>
        <w:rPr>
          <w:rFonts w:ascii="宋体" w:hAnsi="宋体" w:cs="宋体" w:eastAsia="宋体" w:hint="default"/>
          <w:w w:val="99"/>
          <w:sz w:val="21"/>
          <w:szCs w:val="21"/>
        </w:rPr>
        <w:t> </w:t>
      </w:r>
      <w:r>
        <w:rPr>
          <w:rFonts w:ascii="宋体" w:hAnsi="宋体" w:cs="宋体" w:eastAsia="宋体" w:hint="default"/>
          <w:sz w:val="21"/>
          <w:szCs w:val="21"/>
        </w:rPr>
        <w:t>将依据上述新金融工具准则的规定对相关会计政策进行变更。</w:t>
      </w:r>
      <w:r>
        <w:rPr>
          <w:rFonts w:ascii="宋体" w:hAnsi="宋体" w:cs="宋体" w:eastAsia="宋体" w:hint="default"/>
          <w:w w:val="99"/>
          <w:sz w:val="21"/>
          <w:szCs w:val="21"/>
        </w:rPr>
        <w:t> </w:t>
      </w:r>
      <w:r>
        <w:rPr>
          <w:rFonts w:ascii="宋体" w:hAnsi="宋体" w:cs="宋体" w:eastAsia="宋体" w:hint="default"/>
          <w:sz w:val="21"/>
          <w:szCs w:val="21"/>
        </w:rPr>
        <w:t>以下为所涉及的会计政策变更的主要内容：</w:t>
      </w:r>
      <w:r>
        <w:rPr>
          <w:rFonts w:ascii="宋体" w:hAnsi="宋体" w:cs="宋体" w:eastAsia="宋体" w:hint="default"/>
          <w:w w:val="99"/>
          <w:sz w:val="21"/>
          <w:szCs w:val="21"/>
        </w:rPr>
        <w:t> </w:t>
      </w:r>
      <w:r>
        <w:rPr>
          <w:rFonts w:ascii="宋体" w:hAnsi="宋体" w:cs="宋体" w:eastAsia="宋体" w:hint="default"/>
          <w:sz w:val="21"/>
          <w:szCs w:val="21"/>
        </w:rPr>
        <w:t>在新金融工具准则下所有已确认金融资产其后续均按摊余成本或公允价值计量。</w:t>
      </w:r>
      <w:r>
        <w:rPr>
          <w:rFonts w:ascii="宋体" w:hAnsi="宋体" w:cs="宋体" w:eastAsia="宋体" w:hint="default"/>
          <w:w w:val="99"/>
          <w:sz w:val="21"/>
          <w:szCs w:val="21"/>
        </w:rPr>
        <w:t> </w:t>
      </w:r>
      <w:r>
        <w:rPr>
          <w:rFonts w:ascii="宋体" w:hAnsi="宋体" w:cs="宋体" w:eastAsia="宋体" w:hint="default"/>
          <w:w w:val="95"/>
          <w:sz w:val="21"/>
          <w:szCs w:val="21"/>
        </w:rPr>
        <w:t>在新金融工具准则施行日，以本公司该日既有事实和情况为基础评估管理金融资产的业务模式、以金融资</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产初始确认时的事实和情况为基础评估该金融资产上的合同现金流量特征，将金融资产分为三类：按摊余</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成本计量、按公允价值计量且其变动计入其他综合收益及按公允价值计量且其变动计入损益。其中，对于</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按公允价值计量且其变动计入其他综合收益的权益工具投资，当该金融资产终止确认时，之前计入其他综</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合收益的累计利得或损失将从其他综合收益转入留存收益，不计入当期损益。</w:t>
      </w:r>
      <w:r>
        <w:rPr>
          <w:rFonts w:ascii="宋体" w:hAnsi="宋体" w:cs="宋体" w:eastAsia="宋体" w:hint="default"/>
          <w:w w:val="99"/>
          <w:sz w:val="21"/>
          <w:szCs w:val="21"/>
        </w:rPr>
        <w:t> </w:t>
      </w:r>
      <w:r>
        <w:rPr>
          <w:rFonts w:ascii="宋体" w:hAnsi="宋体" w:cs="宋体" w:eastAsia="宋体" w:hint="default"/>
          <w:w w:val="95"/>
          <w:sz w:val="21"/>
          <w:szCs w:val="21"/>
        </w:rPr>
        <w:t>在新金融工具准则下，本公司以预期信用损失为基础，对以摊余成本计量的金融资产、以公允价值计量且</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其变动计入其他综合收益的债务工具投资、租赁应收款、合同资产及财务担保合同计提减值准备并确认信</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用减值损失。</w:t>
      </w:r>
    </w:p>
    <w:p>
      <w:pPr>
        <w:spacing w:line="240" w:lineRule="auto" w:before="11"/>
        <w:rPr>
          <w:rFonts w:ascii="宋体" w:hAnsi="宋体" w:cs="宋体" w:eastAsia="宋体" w:hint="default"/>
          <w:sz w:val="18"/>
          <w:szCs w:val="18"/>
        </w:rPr>
      </w:pPr>
    </w:p>
    <w:p>
      <w:pPr>
        <w:spacing w:before="0"/>
        <w:ind w:left="112" w:right="987" w:firstLine="0"/>
        <w:jc w:val="left"/>
        <w:rPr>
          <w:rFonts w:ascii="宋体" w:hAnsi="宋体" w:cs="宋体" w:eastAsia="宋体" w:hint="default"/>
          <w:sz w:val="24"/>
          <w:szCs w:val="24"/>
        </w:rPr>
      </w:pPr>
      <w:bookmarkStart w:name="十五、母公司财务报表主要项目注释" w:id="322"/>
      <w:bookmarkEnd w:id="322"/>
      <w:r>
        <w:rPr/>
      </w:r>
      <w:r>
        <w:rPr>
          <w:rFonts w:ascii="宋体" w:hAnsi="宋体" w:cs="宋体" w:eastAsia="宋体" w:hint="default"/>
          <w:b/>
          <w:bCs/>
          <w:sz w:val="24"/>
          <w:szCs w:val="24"/>
        </w:rPr>
        <w:t>十五、母公司财务报表主要项目注释</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12" w:right="987" w:firstLine="0"/>
        <w:jc w:val="left"/>
        <w:rPr>
          <w:rFonts w:ascii="宋体" w:hAnsi="宋体" w:cs="宋体" w:eastAsia="宋体" w:hint="default"/>
          <w:sz w:val="21"/>
          <w:szCs w:val="21"/>
        </w:rPr>
      </w:pPr>
      <w:bookmarkStart w:name="1、应收票据及应收账款" w:id="323"/>
      <w:bookmarkEnd w:id="32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before="0"/>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15,694,801.10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24,150,588.44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133,325,304.00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94,625,697.64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149,020,105.10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118,776,286.08</w:t>
            </w:r>
          </w:p>
        </w:tc>
      </w:tr>
    </w:tbl>
    <w:p>
      <w:pPr>
        <w:spacing w:line="240" w:lineRule="auto" w:before="3"/>
        <w:rPr>
          <w:rFonts w:ascii="宋体" w:hAnsi="宋体" w:cs="宋体" w:eastAsia="宋体" w:hint="default"/>
          <w:sz w:val="19"/>
          <w:szCs w:val="19"/>
        </w:rPr>
      </w:pPr>
    </w:p>
    <w:p>
      <w:pPr>
        <w:pStyle w:val="Heading4"/>
        <w:spacing w:line="240" w:lineRule="auto" w:before="34"/>
        <w:ind w:right="987"/>
        <w:jc w:val="left"/>
        <w:rPr>
          <w:b w:val="0"/>
          <w:bCs w:val="0"/>
        </w:rPr>
      </w:pPr>
      <w:bookmarkStart w:name="（1）应收票据" w:id="324"/>
      <w:bookmarkEnd w:id="324"/>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987"/>
        <w:jc w:val="left"/>
      </w:pPr>
      <w:r>
        <w:rPr>
          <w:rFonts w:ascii="Times New Roman" w:hAnsi="Times New Roman" w:cs="Times New Roman" w:eastAsia="Times New Roman" w:hint="default"/>
        </w:rPr>
        <w:t>1)</w:t>
      </w:r>
      <w:r>
        <w:rPr/>
        <w:t>应收票据分类列示</w:t>
      </w:r>
    </w:p>
    <w:p>
      <w:pPr>
        <w:pStyle w:val="BodyText"/>
        <w:spacing w:line="240" w:lineRule="auto" w:before="101"/>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15,244,801.10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21,440,509.69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2,710,078.75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15,694,801.10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24,150,588.44</w:t>
            </w:r>
          </w:p>
        </w:tc>
      </w:tr>
    </w:tbl>
    <w:p>
      <w:pPr>
        <w:pStyle w:val="BodyText"/>
        <w:spacing w:line="240" w:lineRule="auto" w:before="50"/>
        <w:ind w:right="987"/>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3"/>
        <w:ind w:left="0" w:right="1132"/>
        <w:jc w:val="right"/>
      </w:pPr>
      <w:r>
        <w:rPr/>
        <w:t>单位：</w:t>
      </w:r>
      <w:r>
        <w:rPr>
          <w:spacing w:val="-2"/>
        </w:rPr>
        <w:t> </w:t>
      </w:r>
      <w:r>
        <w:rPr/>
        <w:t>元</w:t>
      </w:r>
    </w:p>
    <w:p>
      <w:pPr>
        <w:spacing w:after="0" w:line="240" w:lineRule="auto"/>
        <w:jc w:val="right"/>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51,024,533.00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81,300.00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51,105,833.00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4"/>
        <w:ind w:right="987"/>
        <w:jc w:val="left"/>
        <w:rPr>
          <w:b w:val="0"/>
          <w:bCs w:val="0"/>
        </w:rPr>
      </w:pPr>
      <w:bookmarkStart w:name="（2）应收账款" w:id="325"/>
      <w:bookmarkEnd w:id="325"/>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987"/>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167,10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3,949.5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33,778,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645.56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20.21</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133,32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5,304.0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130,2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59,44</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5.93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35,633,</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748.29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94,625,6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97.64</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167,10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3,949.5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33,778,</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645.56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20.21</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133,32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5,304.0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6" w:right="0"/>
              <w:jc w:val="left"/>
              <w:rPr>
                <w:rFonts w:ascii="Times New Roman" w:hAnsi="Times New Roman" w:cs="Times New Roman" w:eastAsia="Times New Roman" w:hint="default"/>
                <w:sz w:val="18"/>
                <w:szCs w:val="18"/>
              </w:rPr>
            </w:pPr>
            <w:r>
              <w:rPr>
                <w:rFonts w:ascii="Times New Roman"/>
                <w:sz w:val="18"/>
              </w:rPr>
              <w:t>130,2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59,44</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5.93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35,633,</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748.29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94,625,6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97.64</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28" w:top="1100" w:bottom="1220" w:left="1020" w:right="0"/>
        </w:sectPr>
      </w:pPr>
    </w:p>
    <w:p>
      <w:pPr>
        <w:pStyle w:val="BodyText"/>
        <w:spacing w:line="240" w:lineRule="auto" w:before="51"/>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right="0"/>
        <w:jc w:val="left"/>
      </w:pPr>
      <w:r>
        <w:rPr/>
        <w:t>单位：</w:t>
      </w:r>
      <w:r>
        <w:rPr>
          <w:spacing w:val="-2"/>
        </w:rPr>
        <w:t> </w:t>
      </w:r>
      <w:r>
        <w:rPr/>
        <w:t>元</w:t>
      </w:r>
    </w:p>
    <w:p>
      <w:pPr>
        <w:spacing w:after="0" w:line="240" w:lineRule="auto"/>
        <w:jc w:val="left"/>
        <w:sectPr>
          <w:type w:val="continuous"/>
          <w:pgSz w:w="11910" w:h="16840"/>
          <w:pgMar w:top="1100" w:bottom="700" w:left="1020" w:right="0"/>
          <w:cols w:num="2" w:equalWidth="0">
            <w:col w:w="4253" w:space="4576"/>
            <w:col w:w="2061"/>
          </w:cols>
        </w:sectPr>
      </w:pPr>
    </w:p>
    <w:p>
      <w:pPr>
        <w:spacing w:line="240" w:lineRule="auto" w:before="13"/>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109,764,353.76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5,488,217.69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22,476,278.99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2,247,627.90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9,133,218.09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2,739,965.43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23,302,834.54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23,302,834.54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6,847,931.90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6,847,931.90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6,203,723.66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6,203,723.66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10,251,178.98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10,251,178.98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164,676,685.38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33,778,645.56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2"/>
        <w:ind w:right="6434"/>
        <w:jc w:val="left"/>
      </w:pPr>
      <w:r>
        <w:rPr/>
        <w:t>确定该组合依据的说明： 组合中，采用余额百分比法计提坏账准备的应收账款：</w:t>
      </w:r>
    </w:p>
    <w:p>
      <w:pPr>
        <w:spacing w:after="0" w:line="357" w:lineRule="auto"/>
        <w:jc w:val="left"/>
        <w:sectPr>
          <w:type w:val="continuous"/>
          <w:pgSz w:w="11910" w:h="16840"/>
          <w:pgMar w:top="1100" w:bottom="700" w:left="1020" w:right="0"/>
        </w:sect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907" w:footer="1028" w:top="1100" w:bottom="1220" w:left="1020" w:right="0"/>
        </w:sectPr>
      </w:pPr>
    </w:p>
    <w:p>
      <w:pPr>
        <w:pStyle w:val="BodyText"/>
        <w:spacing w:line="357" w:lineRule="auto"/>
        <w:ind w:right="2112"/>
        <w:jc w:val="left"/>
      </w:pPr>
      <w:r>
        <w:rPr/>
        <w:t>□ 适用 √ 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38" w:lineRule="auto" w:before="6"/>
        <w:ind w:right="-10"/>
        <w:jc w:val="left"/>
      </w:pPr>
      <w:r>
        <w:rPr/>
        <w:t>本期计提坏账准备金额</w:t>
      </w:r>
      <w:r>
        <w:rPr>
          <w:rFonts w:ascii="Times New Roman" w:hAnsi="Times New Roman" w:cs="Times New Roman" w:eastAsia="Times New Roman" w:hint="default"/>
        </w:rPr>
        <w:t>-1,855,102.73</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5"/>
        <w:ind w:right="0"/>
        <w:jc w:val="left"/>
      </w:pPr>
      <w:r>
        <w:rPr/>
        <w:t>单位：</w:t>
      </w:r>
      <w:r>
        <w:rPr>
          <w:spacing w:val="-2"/>
        </w:rPr>
        <w:t> </w:t>
      </w:r>
      <w:r>
        <w:rPr/>
        <w:t>元</w:t>
      </w:r>
    </w:p>
    <w:p>
      <w:pPr>
        <w:spacing w:after="0" w:line="240" w:lineRule="auto"/>
        <w:jc w:val="left"/>
        <w:sectPr>
          <w:type w:val="continuous"/>
          <w:pgSz w:w="11910" w:h="16840"/>
          <w:pgMar w:top="1100" w:bottom="700" w:left="1020" w:right="0"/>
          <w:cols w:num="2" w:equalWidth="0">
            <w:col w:w="6205" w:space="2625"/>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328" w:lineRule="auto" w:before="51"/>
        <w:ind w:right="987"/>
        <w:jc w:val="left"/>
      </w:pPr>
      <w:r>
        <w:rPr>
          <w:rFonts w:ascii="Times New Roman" w:hAnsi="Times New Roman" w:cs="Times New Roman" w:eastAsia="Times New Roman" w:hint="default"/>
        </w:rPr>
        <w:t>3)</w:t>
      </w:r>
      <w:r>
        <w:rPr/>
        <w:t>按欠款方归集的期末余额前五名的应收账款情况 </w:t>
      </w:r>
      <w:r>
        <w:rPr>
          <w:spacing w:val="-2"/>
        </w:rPr>
        <w:t>本公司本年按欠款方归集的年末余额前五名应收账款汇总金额68,356,924.66元，占应收账款年末余额合计数的比例40.91%，</w:t>
      </w:r>
      <w:r>
        <w:rPr>
          <w:spacing w:val="-52"/>
        </w:rPr>
        <w:t> </w:t>
      </w:r>
      <w:r>
        <w:rPr>
          <w:spacing w:val="-52"/>
        </w:rPr>
      </w:r>
      <w:r>
        <w:rPr/>
        <w:t>相应计提的坏账准备年末余额汇总金额4,398,696.63元。</w:t>
      </w:r>
    </w:p>
    <w:p>
      <w:pPr>
        <w:spacing w:line="240" w:lineRule="auto" w:before="10"/>
        <w:rPr>
          <w:rFonts w:ascii="宋体" w:hAnsi="宋体" w:cs="宋体" w:eastAsia="宋体" w:hint="default"/>
          <w:sz w:val="21"/>
          <w:szCs w:val="21"/>
        </w:rPr>
      </w:pPr>
    </w:p>
    <w:p>
      <w:pPr>
        <w:pStyle w:val="Heading4"/>
        <w:spacing w:line="240" w:lineRule="auto"/>
        <w:ind w:right="987"/>
        <w:jc w:val="left"/>
        <w:rPr>
          <w:b w:val="0"/>
          <w:bCs w:val="0"/>
        </w:rPr>
      </w:pPr>
      <w:bookmarkStart w:name="2、其他应收款" w:id="326"/>
      <w:bookmarkEnd w:id="32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0" w:right="113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1,968,560.45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1,427,988.91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27,329,793.72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39,551,521.37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29,298,354.17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40,979,510.28</w:t>
            </w:r>
          </w:p>
        </w:tc>
      </w:tr>
    </w:tbl>
    <w:p>
      <w:pPr>
        <w:spacing w:line="240" w:lineRule="auto" w:before="3"/>
        <w:rPr>
          <w:rFonts w:ascii="宋体" w:hAnsi="宋体" w:cs="宋体" w:eastAsia="宋体" w:hint="default"/>
          <w:sz w:val="19"/>
          <w:szCs w:val="19"/>
        </w:rPr>
      </w:pPr>
    </w:p>
    <w:p>
      <w:pPr>
        <w:pStyle w:val="Heading4"/>
        <w:spacing w:line="240" w:lineRule="auto" w:before="34"/>
        <w:ind w:right="987"/>
        <w:jc w:val="left"/>
        <w:rPr>
          <w:b w:val="0"/>
          <w:bCs w:val="0"/>
        </w:rPr>
      </w:pPr>
      <w:bookmarkStart w:name="（1）应收利息" w:id="327"/>
      <w:bookmarkEnd w:id="327"/>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987"/>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1,968,560.45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467,863.15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富华宇祺借款利息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960,125.76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1,968,560.45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1,427,988.91</w:t>
            </w:r>
          </w:p>
        </w:tc>
      </w:tr>
    </w:tbl>
    <w:p>
      <w:pPr>
        <w:spacing w:line="240" w:lineRule="auto" w:before="2"/>
        <w:rPr>
          <w:rFonts w:ascii="宋体" w:hAnsi="宋体" w:cs="宋体" w:eastAsia="宋体" w:hint="default"/>
          <w:sz w:val="19"/>
          <w:szCs w:val="19"/>
        </w:rPr>
      </w:pPr>
    </w:p>
    <w:p>
      <w:pPr>
        <w:pStyle w:val="Heading4"/>
        <w:spacing w:line="240" w:lineRule="auto" w:before="34"/>
        <w:ind w:right="987"/>
        <w:jc w:val="left"/>
        <w:rPr>
          <w:b w:val="0"/>
          <w:bCs w:val="0"/>
        </w:rPr>
      </w:pPr>
      <w:bookmarkStart w:name="（2）其他应收款" w:id="328"/>
      <w:bookmarkEnd w:id="328"/>
      <w:r>
        <w:rPr>
          <w:b w:val="0"/>
          <w:bCs w:val="0"/>
        </w:rPr>
      </w:r>
      <w:r>
        <w:rPr/>
        <w:t>（</w:t>
      </w: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987"/>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27,989,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677.29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659,88</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3.57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2.36%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27,329,</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793.72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3" w:right="0"/>
              <w:jc w:val="center"/>
              <w:rPr>
                <w:rFonts w:ascii="Times New Roman" w:hAnsi="Times New Roman" w:cs="Times New Roman" w:eastAsia="Times New Roman" w:hint="default"/>
                <w:sz w:val="18"/>
                <w:szCs w:val="18"/>
              </w:rPr>
            </w:pPr>
            <w:r>
              <w:rPr>
                <w:rFonts w:ascii="Times New Roman"/>
                <w:sz w:val="18"/>
              </w:rPr>
              <w:t>40,26</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2,660</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711,139</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sz w:val="18"/>
              </w:rPr>
              <w:t>.12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39,551,5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21.37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7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27,989,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677.29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659,88</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3.57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2.36%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27,329,</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793.72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40,26</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2,660</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711,139</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sz w:val="18"/>
              </w:rPr>
              <w:t>.12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39,551,5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21.37</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28" w:top="1100" w:bottom="1220" w:left="1020" w:right="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right="160"/>
        <w:jc w:val="left"/>
      </w:pPr>
      <w:r>
        <w:rPr/>
        <w:t>□ 适用 √ 不适用 组合中，按账龄分析法计提坏账准备的其他应收款：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w:t>
      </w:r>
      <w:r>
        <w:rPr>
          <w:spacing w:val="-2"/>
        </w:rPr>
        <w:t> </w:t>
      </w:r>
      <w:r>
        <w:rPr/>
        <w:t>元</w:t>
      </w:r>
    </w:p>
    <w:p>
      <w:pPr>
        <w:spacing w:after="0" w:line="240" w:lineRule="auto"/>
        <w:jc w:val="left"/>
        <w:sectPr>
          <w:type w:val="continuous"/>
          <w:pgSz w:w="11910" w:h="16840"/>
          <w:pgMar w:top="1100" w:bottom="700" w:left="1020" w:right="0"/>
          <w:cols w:num="2" w:equalWidth="0">
            <w:col w:w="4433" w:space="4396"/>
            <w:col w:w="206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1,052,330.71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52,616.54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1,219,072.26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121,907.23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506,449.32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151,934.80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333,425.00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333,425.00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33,200.00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33,200.00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280,700.00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280,700.00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19,525.00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19,525.00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2"/>
                <w:sz w:val="18"/>
              </w:rPr>
              <w:t>3,111,277.29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659,883.57</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700" w:left="1020" w:right="0"/>
        </w:sectPr>
      </w:pPr>
    </w:p>
    <w:p>
      <w:pPr>
        <w:pStyle w:val="BodyText"/>
        <w:spacing w:line="357" w:lineRule="auto" w:before="52"/>
        <w:ind w:right="1346"/>
        <w:jc w:val="left"/>
      </w:pPr>
      <w:r>
        <w:rPr/>
        <w:t>确定该组合依据的说明： 组合中，采用余额百分比法计提坏账准备的其他应收款：</w:t>
      </w:r>
    </w:p>
    <w:p>
      <w:pPr>
        <w:pStyle w:val="BodyText"/>
        <w:spacing w:line="360" w:lineRule="auto" w:before="29"/>
        <w:ind w:right="1706"/>
        <w:jc w:val="left"/>
      </w:pPr>
      <w:r>
        <w:rPr/>
        <w:t>□ 适用 √ 不适用 组合中，采用其他方法计提坏账准备的其他应收款：</w:t>
      </w:r>
    </w:p>
    <w:p>
      <w:pPr>
        <w:pStyle w:val="BodyText"/>
        <w:spacing w:line="240" w:lineRule="auto" w:before="25"/>
        <w:ind w:right="1346"/>
        <w:jc w:val="left"/>
      </w:pPr>
      <w:r>
        <w:rPr/>
        <w:t>□ 适用 √ 不适用</w:t>
      </w:r>
    </w:p>
    <w:p>
      <w:pPr>
        <w:pStyle w:val="BodyText"/>
        <w:spacing w:line="240" w:lineRule="auto" w:before="117"/>
        <w:ind w:right="1346"/>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4"/>
        <w:jc w:val="left"/>
      </w:pPr>
      <w:r>
        <w:rPr/>
        <w:t>本期计提坏账准备金额</w:t>
      </w:r>
      <w:r>
        <w:rPr>
          <w:rFonts w:ascii="Times New Roman" w:hAnsi="Times New Roman" w:cs="Times New Roman" w:eastAsia="Times New Roman" w:hint="default"/>
        </w:rPr>
        <w:t>-51,255.55</w:t>
      </w:r>
      <w:r>
        <w:rPr>
          <w:rFonts w:ascii="Times New Roman" w:hAnsi="Times New Roman" w:cs="Times New Roman" w:eastAsia="Times New Roman" w:hint="default"/>
          <w:spacing w:val="-2"/>
        </w:rPr>
        <w:t> </w:t>
      </w:r>
      <w:r>
        <w:rPr/>
        <w:t>元；本期收回或转回坏账准备金额</w:t>
      </w:r>
      <w:r>
        <w:rPr>
          <w:spacing w:val="-46"/>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before="0"/>
        <w:ind w:right="0"/>
        <w:jc w:val="left"/>
      </w:pPr>
      <w:r>
        <w:rPr/>
        <w:t>单位：</w:t>
      </w:r>
      <w:r>
        <w:rPr>
          <w:spacing w:val="-2"/>
        </w:rPr>
        <w:t> </w:t>
      </w:r>
      <w:r>
        <w:rPr/>
        <w:t>元</w:t>
      </w:r>
    </w:p>
    <w:p>
      <w:pPr>
        <w:spacing w:after="0" w:line="240" w:lineRule="auto"/>
        <w:jc w:val="left"/>
        <w:sectPr>
          <w:type w:val="continuous"/>
          <w:pgSz w:w="11910" w:h="16840"/>
          <w:pgMar w:top="1100" w:bottom="700" w:left="1020" w:right="0"/>
          <w:cols w:num="2" w:equalWidth="0">
            <w:col w:w="5979" w:space="2851"/>
            <w:col w:w="2060"/>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987"/>
        <w:jc w:val="left"/>
      </w:pPr>
      <w:r>
        <w:rPr>
          <w:rFonts w:ascii="Times New Roman" w:hAnsi="Times New Roman" w:cs="Times New Roman" w:eastAsia="Times New Roman" w:hint="default"/>
        </w:rPr>
        <w:t>3)</w:t>
      </w:r>
      <w:r>
        <w:rPr/>
        <w:t>其他应收款按款项性质分类情况</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631,650.04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642,427.33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2,289,358.35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3,016,089.26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24,878,400.00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36,540,680.00</w:t>
            </w:r>
          </w:p>
        </w:tc>
      </w:tr>
      <w:tr>
        <w:trPr>
          <w:trHeight w:val="400"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190,268.90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63,463.90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70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51" w:right="0"/>
              <w:jc w:val="left"/>
              <w:rPr>
                <w:rFonts w:ascii="Times New Roman" w:hAnsi="Times New Roman" w:cs="Times New Roman" w:eastAsia="Times New Roman" w:hint="default"/>
                <w:sz w:val="18"/>
                <w:szCs w:val="18"/>
              </w:rPr>
            </w:pPr>
            <w:r>
              <w:rPr>
                <w:rFonts w:ascii="Times New Roman"/>
                <w:sz w:val="18"/>
              </w:rPr>
              <w:t>27,989,677.29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52" w:right="0"/>
              <w:jc w:val="left"/>
              <w:rPr>
                <w:rFonts w:ascii="Times New Roman" w:hAnsi="Times New Roman" w:cs="Times New Roman" w:eastAsia="Times New Roman" w:hint="default"/>
                <w:sz w:val="18"/>
                <w:szCs w:val="18"/>
              </w:rPr>
            </w:pPr>
            <w:r>
              <w:rPr>
                <w:rFonts w:ascii="Times New Roman"/>
                <w:sz w:val="18"/>
              </w:rPr>
              <w:t>40,262,660.49</w:t>
            </w:r>
          </w:p>
        </w:tc>
      </w:tr>
    </w:tbl>
    <w:p>
      <w:pPr>
        <w:pStyle w:val="BodyText"/>
        <w:spacing w:line="240" w:lineRule="auto" w:before="51"/>
        <w:ind w:right="987"/>
        <w:jc w:val="left"/>
      </w:pPr>
      <w:r>
        <w:rPr>
          <w:rFonts w:ascii="Times New Roman" w:hAnsi="Times New Roman" w:cs="Times New Roman" w:eastAsia="Times New Roman" w:hint="default"/>
        </w:rPr>
        <w:t>4)</w:t>
      </w:r>
      <w:r>
        <w:rPr/>
        <w:t>按欠款方归集的期末余额前五名的其他应收款情况</w:t>
      </w:r>
    </w:p>
    <w:p>
      <w:pPr>
        <w:pStyle w:val="BodyText"/>
        <w:spacing w:line="240" w:lineRule="auto" w:before="103"/>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1" w:right="17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1" w:right="17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30"/>
              <w:jc w:val="left"/>
              <w:rPr>
                <w:rFonts w:ascii="宋体" w:hAnsi="宋体" w:cs="宋体" w:eastAsia="宋体" w:hint="default"/>
                <w:sz w:val="18"/>
                <w:szCs w:val="18"/>
              </w:rPr>
            </w:pPr>
            <w:r>
              <w:rPr>
                <w:rFonts w:ascii="宋体" w:hAnsi="宋体" w:cs="宋体" w:eastAsia="宋体" w:hint="default"/>
                <w:sz w:val="18"/>
                <w:szCs w:val="18"/>
              </w:rPr>
              <w:t>北京富华宇祺信息 技术有限公司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借款及代垫款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24,878,400.00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88.88%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30"/>
              <w:jc w:val="left"/>
              <w:rPr>
                <w:rFonts w:ascii="宋体" w:hAnsi="宋体" w:cs="宋体" w:eastAsia="宋体" w:hint="default"/>
                <w:sz w:val="18"/>
                <w:szCs w:val="18"/>
              </w:rPr>
            </w:pPr>
            <w:r>
              <w:rPr>
                <w:rFonts w:ascii="宋体" w:hAnsi="宋体" w:cs="宋体" w:eastAsia="宋体" w:hint="default"/>
                <w:sz w:val="18"/>
                <w:szCs w:val="18"/>
              </w:rPr>
              <w:t>义马煤业集团股份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934,180.00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3.34%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93,418.00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30"/>
              <w:jc w:val="left"/>
              <w:rPr>
                <w:rFonts w:ascii="宋体" w:hAnsi="宋体" w:cs="宋体" w:eastAsia="宋体" w:hint="default"/>
                <w:sz w:val="18"/>
                <w:szCs w:val="18"/>
              </w:rPr>
            </w:pPr>
            <w:r>
              <w:rPr>
                <w:rFonts w:ascii="宋体" w:hAnsi="宋体" w:cs="宋体" w:eastAsia="宋体" w:hint="default"/>
                <w:sz w:val="18"/>
                <w:szCs w:val="18"/>
              </w:rPr>
              <w:t>三门峡中意招标有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201,000.00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0.72%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10,050.00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30"/>
              <w:jc w:val="both"/>
              <w:rPr>
                <w:rFonts w:ascii="宋体" w:hAnsi="宋体" w:cs="宋体" w:eastAsia="宋体" w:hint="default"/>
                <w:sz w:val="18"/>
                <w:szCs w:val="18"/>
              </w:rPr>
            </w:pPr>
            <w:r>
              <w:rPr>
                <w:rFonts w:ascii="宋体" w:hAnsi="宋体" w:cs="宋体" w:eastAsia="宋体" w:hint="default"/>
                <w:sz w:val="18"/>
                <w:szCs w:val="18"/>
              </w:rPr>
              <w:t>泰安市岱岳区下港 乡茅茨舍村村民委 员会</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182,700.00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0.65%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182,700.00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魏峰培</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176,162.77</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0.63%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52,848.83</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26,372,442.77</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94.22%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339,016.83</w:t>
            </w:r>
          </w:p>
        </w:tc>
      </w:tr>
    </w:tbl>
    <w:p>
      <w:pPr>
        <w:spacing w:line="240" w:lineRule="auto" w:before="5"/>
        <w:rPr>
          <w:rFonts w:ascii="宋体" w:hAnsi="宋体" w:cs="宋体" w:eastAsia="宋体" w:hint="default"/>
          <w:sz w:val="19"/>
          <w:szCs w:val="19"/>
        </w:rPr>
      </w:pPr>
    </w:p>
    <w:p>
      <w:pPr>
        <w:pStyle w:val="Heading4"/>
        <w:spacing w:line="240" w:lineRule="auto" w:before="34"/>
        <w:ind w:right="987"/>
        <w:jc w:val="left"/>
        <w:rPr>
          <w:b w:val="0"/>
          <w:bCs w:val="0"/>
        </w:rPr>
      </w:pPr>
      <w:bookmarkStart w:name="3、长期股权投资" w:id="329"/>
      <w:bookmarkEnd w:id="32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994,083,384.27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35,683,684.27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958,399,700.00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920,583,384.27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15,874,804.27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904,708,580.00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4"/>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821,922.96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821,922.96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812,150.77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812,150.77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994,905,307.23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35,683,684.27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959,221,622.96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921,395,535.04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15,874,804.27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905,520,730.77</w:t>
            </w:r>
          </w:p>
        </w:tc>
      </w:tr>
    </w:tbl>
    <w:p>
      <w:pPr>
        <w:spacing w:line="240" w:lineRule="auto" w:before="3"/>
        <w:rPr>
          <w:rFonts w:ascii="宋体" w:hAnsi="宋体" w:cs="宋体" w:eastAsia="宋体" w:hint="default"/>
          <w:sz w:val="19"/>
          <w:szCs w:val="19"/>
        </w:rPr>
      </w:pPr>
    </w:p>
    <w:p>
      <w:pPr>
        <w:pStyle w:val="Heading4"/>
        <w:spacing w:line="240" w:lineRule="auto" w:before="34"/>
        <w:ind w:right="987"/>
        <w:jc w:val="left"/>
        <w:rPr>
          <w:b w:val="0"/>
          <w:bCs w:val="0"/>
        </w:rPr>
      </w:pPr>
      <w:bookmarkStart w:name="（1）对子公司投资" w:id="330"/>
      <w:bookmarkEnd w:id="33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9" w:right="148"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9" w:right="147"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356"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尤洛卡（山东）</w:t>
            </w:r>
          </w:p>
        </w:tc>
        <w:tc>
          <w:tcPr>
            <w:tcW w:w="1336" w:type="dxa"/>
            <w:tcBorders>
              <w:top w:val="single" w:sz="4" w:space="0" w:color="000000"/>
              <w:left w:val="single" w:sz="4" w:space="0" w:color="000000"/>
              <w:bottom w:val="nil" w:sz="6" w:space="0" w:color="auto"/>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r>
      <w:tr>
        <w:trPr>
          <w:trHeight w:val="317" w:hRule="exact"/>
        </w:trPr>
        <w:tc>
          <w:tcPr>
            <w:tcW w:w="14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矿业科技有限</w:t>
            </w: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1335" w:type="dxa"/>
            <w:vMerge/>
            <w:tcBorders>
              <w:left w:val="single" w:sz="4" w:space="0" w:color="000000"/>
              <w:right w:val="single" w:sz="4" w:space="0" w:color="000000"/>
            </w:tcBorders>
          </w:tcPr>
          <w:p>
            <w:pPr/>
          </w:p>
        </w:tc>
        <w:tc>
          <w:tcPr>
            <w:tcW w:w="1335" w:type="dxa"/>
            <w:vMerge/>
            <w:tcBorders>
              <w:left w:val="single" w:sz="4" w:space="0" w:color="000000"/>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r>
      <w:tr>
        <w:trPr>
          <w:trHeight w:val="353"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36" w:type="dxa"/>
            <w:tcBorders>
              <w:top w:val="nil" w:sz="6" w:space="0" w:color="auto"/>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r>
      <w:tr>
        <w:trPr>
          <w:trHeight w:val="357"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尤洛卡（上海）</w:t>
            </w:r>
          </w:p>
        </w:tc>
        <w:tc>
          <w:tcPr>
            <w:tcW w:w="1336" w:type="dxa"/>
            <w:tcBorders>
              <w:top w:val="single" w:sz="4" w:space="0" w:color="000000"/>
              <w:left w:val="single" w:sz="4" w:space="0" w:color="000000"/>
              <w:bottom w:val="nil" w:sz="6" w:space="0" w:color="auto"/>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r>
      <w:tr>
        <w:trPr>
          <w:trHeight w:val="316" w:hRule="exact"/>
        </w:trPr>
        <w:tc>
          <w:tcPr>
            <w:tcW w:w="14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国际贸易有限</w:t>
            </w: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335" w:type="dxa"/>
            <w:vMerge/>
            <w:tcBorders>
              <w:left w:val="single" w:sz="4" w:space="0" w:color="000000"/>
              <w:right w:val="single" w:sz="4" w:space="0" w:color="000000"/>
            </w:tcBorders>
          </w:tcPr>
          <w:p>
            <w:pPr/>
          </w:p>
        </w:tc>
        <w:tc>
          <w:tcPr>
            <w:tcW w:w="1335" w:type="dxa"/>
            <w:vMerge/>
            <w:tcBorders>
              <w:left w:val="single" w:sz="4" w:space="0" w:color="000000"/>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r>
      <w:tr>
        <w:trPr>
          <w:trHeight w:val="351"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36" w:type="dxa"/>
            <w:tcBorders>
              <w:top w:val="nil" w:sz="6" w:space="0" w:color="auto"/>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r>
    </w:tbl>
    <w:p>
      <w:pPr>
        <w:spacing w:after="0"/>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356"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尤洛卡（北京）</w:t>
            </w:r>
          </w:p>
        </w:tc>
        <w:tc>
          <w:tcPr>
            <w:tcW w:w="1336" w:type="dxa"/>
            <w:tcBorders>
              <w:top w:val="single" w:sz="4" w:space="0" w:color="000000"/>
              <w:left w:val="single" w:sz="4" w:space="0" w:color="000000"/>
              <w:bottom w:val="nil" w:sz="6" w:space="0" w:color="auto"/>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r>
      <w:tr>
        <w:trPr>
          <w:trHeight w:val="624" w:hRule="exact"/>
        </w:trPr>
        <w:tc>
          <w:tcPr>
            <w:tcW w:w="144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53"/>
              <w:jc w:val="left"/>
              <w:rPr>
                <w:rFonts w:ascii="宋体" w:hAnsi="宋体" w:cs="宋体" w:eastAsia="宋体" w:hint="default"/>
                <w:sz w:val="18"/>
                <w:szCs w:val="18"/>
              </w:rPr>
            </w:pPr>
            <w:r>
              <w:rPr>
                <w:rFonts w:ascii="宋体" w:hAnsi="宋体" w:cs="宋体" w:eastAsia="宋体" w:hint="default"/>
                <w:sz w:val="18"/>
                <w:szCs w:val="18"/>
              </w:rPr>
              <w:t>产业信息技术 研究院有限公</w:t>
            </w: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1335" w:type="dxa"/>
            <w:vMerge/>
            <w:tcBorders>
              <w:left w:val="single" w:sz="4" w:space="0" w:color="000000"/>
              <w:right w:val="single" w:sz="4" w:space="0" w:color="000000"/>
            </w:tcBorders>
          </w:tcPr>
          <w:p>
            <w:pPr/>
          </w:p>
        </w:tc>
        <w:tc>
          <w:tcPr>
            <w:tcW w:w="1335" w:type="dxa"/>
            <w:vMerge/>
            <w:tcBorders>
              <w:left w:val="single" w:sz="4" w:space="0" w:color="000000"/>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r>
      <w:tr>
        <w:trPr>
          <w:trHeight w:val="358"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nil" w:sz="6" w:space="0" w:color="auto"/>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r>
      <w:tr>
        <w:trPr>
          <w:trHeight w:val="358"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尤洛卡（广东）</w:t>
            </w:r>
          </w:p>
        </w:tc>
        <w:tc>
          <w:tcPr>
            <w:tcW w:w="1336"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r>
      <w:tr>
        <w:trPr>
          <w:trHeight w:val="624" w:hRule="exact"/>
        </w:trPr>
        <w:tc>
          <w:tcPr>
            <w:tcW w:w="144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53"/>
              <w:jc w:val="left"/>
              <w:rPr>
                <w:rFonts w:ascii="宋体" w:hAnsi="宋体" w:cs="宋体" w:eastAsia="宋体" w:hint="default"/>
                <w:sz w:val="18"/>
                <w:szCs w:val="18"/>
              </w:rPr>
            </w:pPr>
            <w:r>
              <w:rPr>
                <w:rFonts w:ascii="宋体" w:hAnsi="宋体" w:cs="宋体" w:eastAsia="宋体" w:hint="default"/>
                <w:sz w:val="18"/>
                <w:szCs w:val="18"/>
              </w:rPr>
              <w:t>精准信息工程 技术研究院有</w:t>
            </w:r>
          </w:p>
        </w:tc>
        <w:tc>
          <w:tcPr>
            <w:tcW w:w="1336" w:type="dxa"/>
            <w:vMerge/>
            <w:tcBorders>
              <w:left w:val="single" w:sz="4" w:space="0" w:color="000000"/>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5" w:right="0"/>
              <w:jc w:val="center"/>
              <w:rPr>
                <w:rFonts w:ascii="Times New Roman" w:hAnsi="Times New Roman" w:cs="Times New Roman" w:eastAsia="Times New Roman" w:hint="default"/>
                <w:sz w:val="18"/>
                <w:szCs w:val="18"/>
              </w:rPr>
            </w:pPr>
            <w:r>
              <w:rPr>
                <w:rFonts w:ascii="Times New Roman"/>
                <w:sz w:val="18"/>
              </w:rPr>
              <w:t>3,500,000.00</w:t>
            </w:r>
          </w:p>
        </w:tc>
        <w:tc>
          <w:tcPr>
            <w:tcW w:w="1335" w:type="dxa"/>
            <w:vMerge/>
            <w:tcBorders>
              <w:left w:val="single" w:sz="4" w:space="0" w:color="000000"/>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3,500,000.00</w:t>
            </w:r>
          </w:p>
        </w:tc>
        <w:tc>
          <w:tcPr>
            <w:tcW w:w="1389"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r>
      <w:tr>
        <w:trPr>
          <w:trHeight w:val="356"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36"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both"/>
              <w:rPr>
                <w:rFonts w:ascii="宋体" w:hAnsi="宋体" w:cs="宋体" w:eastAsia="宋体" w:hint="default"/>
                <w:sz w:val="18"/>
                <w:szCs w:val="18"/>
              </w:rPr>
            </w:pPr>
            <w:r>
              <w:rPr>
                <w:rFonts w:ascii="宋体" w:hAnsi="宋体" w:cs="宋体" w:eastAsia="宋体" w:hint="default"/>
                <w:sz w:val="18"/>
                <w:szCs w:val="18"/>
              </w:rPr>
              <w:t>北京富华宇祺 信息技术有限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95,583,384.27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70,000,000.00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165,583,384.2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19,808,880.00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35,683,684.27</w:t>
            </w: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53"/>
              <w:jc w:val="both"/>
              <w:rPr>
                <w:rFonts w:ascii="宋体" w:hAnsi="宋体" w:cs="宋体" w:eastAsia="宋体" w:hint="default"/>
                <w:sz w:val="18"/>
                <w:szCs w:val="18"/>
              </w:rPr>
            </w:pPr>
            <w:r>
              <w:rPr>
                <w:rFonts w:ascii="宋体" w:hAnsi="宋体" w:cs="宋体" w:eastAsia="宋体" w:hint="default"/>
                <w:sz w:val="18"/>
                <w:szCs w:val="18"/>
              </w:rPr>
              <w:t>长春师凯科技 产业有限责任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750,000,000.0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920,583,384.2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73,500,000.00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994,083,384.2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19,808,880.00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35,683,684.27</w:t>
            </w:r>
          </w:p>
        </w:tc>
      </w:tr>
    </w:tbl>
    <w:p>
      <w:pPr>
        <w:spacing w:line="240" w:lineRule="auto" w:before="4"/>
        <w:rPr>
          <w:rFonts w:ascii="宋体" w:hAnsi="宋体" w:cs="宋体" w:eastAsia="宋体" w:hint="default"/>
          <w:sz w:val="19"/>
          <w:szCs w:val="19"/>
        </w:rPr>
      </w:pPr>
    </w:p>
    <w:p>
      <w:pPr>
        <w:pStyle w:val="Heading4"/>
        <w:spacing w:line="240" w:lineRule="auto" w:before="34"/>
        <w:ind w:right="987"/>
        <w:jc w:val="left"/>
        <w:rPr>
          <w:b w:val="0"/>
          <w:bCs w:val="0"/>
        </w:rPr>
      </w:pPr>
      <w:bookmarkStart w:name="（2）对联营、合营企业投资" w:id="331"/>
      <w:bookmarkEnd w:id="33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left="0" w:right="113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38"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03" w:right="120"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05"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11"/>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西安鲁</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信股权 投资管 理有限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812,15</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0.77</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9,772.1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821,92</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2.96</w:t>
            </w: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812,15</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0.77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9,772.1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821,92</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2.96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812,15</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0.77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9,772.1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821,92</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2.96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4"/>
        <w:ind w:right="987"/>
        <w:jc w:val="left"/>
        <w:rPr>
          <w:b w:val="0"/>
          <w:bCs w:val="0"/>
        </w:rPr>
      </w:pPr>
      <w:bookmarkStart w:name="4、营业收入和营业成本" w:id="332"/>
      <w:bookmarkEnd w:id="33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after="0" w:line="240" w:lineRule="auto"/>
        <w:jc w:val="right"/>
        <w:sectPr>
          <w:pgSz w:w="11910" w:h="16840"/>
          <w:pgMar w:header="907" w:footer="1028" w:top="1100" w:bottom="1220" w:left="1020" w:right="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0"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169,387,570.87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78,984,030.34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116,793,220.69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5" w:right="0"/>
              <w:jc w:val="left"/>
              <w:rPr>
                <w:rFonts w:ascii="Times New Roman" w:hAnsi="Times New Roman" w:cs="Times New Roman" w:eastAsia="Times New Roman" w:hint="default"/>
                <w:sz w:val="18"/>
                <w:szCs w:val="18"/>
              </w:rPr>
            </w:pPr>
            <w:r>
              <w:rPr>
                <w:rFonts w:ascii="Times New Roman"/>
                <w:sz w:val="18"/>
              </w:rPr>
              <w:t>58,623,206.21</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5,997,334.98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864,797.27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2,656,698.41</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175,384,905.85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79,848,827.61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119,449,919.10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5" w:right="0"/>
              <w:jc w:val="left"/>
              <w:rPr>
                <w:rFonts w:ascii="Times New Roman" w:hAnsi="Times New Roman" w:cs="Times New Roman" w:eastAsia="Times New Roman" w:hint="default"/>
                <w:sz w:val="18"/>
                <w:szCs w:val="18"/>
              </w:rPr>
            </w:pPr>
            <w:r>
              <w:rPr>
                <w:rFonts w:ascii="Times New Roman"/>
                <w:sz w:val="18"/>
              </w:rPr>
              <w:t>58,623,206.21</w:t>
            </w:r>
          </w:p>
        </w:tc>
      </w:tr>
    </w:tbl>
    <w:p>
      <w:pPr>
        <w:pStyle w:val="BodyText"/>
        <w:spacing w:line="240" w:lineRule="auto" w:before="51"/>
        <w:ind w:right="98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7"/>
        <w:jc w:val="left"/>
        <w:rPr>
          <w:b w:val="0"/>
          <w:bCs w:val="0"/>
        </w:rPr>
      </w:pPr>
      <w:bookmarkStart w:name="5、投资收益" w:id="333"/>
      <w:bookmarkEnd w:id="33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45,963,000.00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9,772.19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19,897.85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5,344,440.03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3,591,785.75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61,354,212.22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49,574,683.60</w:t>
            </w:r>
          </w:p>
        </w:tc>
      </w:tr>
    </w:tbl>
    <w:p>
      <w:pPr>
        <w:spacing w:line="240" w:lineRule="auto" w:before="2"/>
        <w:rPr>
          <w:rFonts w:ascii="宋体" w:hAnsi="宋体" w:cs="宋体" w:eastAsia="宋体" w:hint="default"/>
          <w:sz w:val="18"/>
          <w:szCs w:val="18"/>
        </w:rPr>
      </w:pPr>
    </w:p>
    <w:p>
      <w:pPr>
        <w:pStyle w:val="Heading2"/>
        <w:spacing w:line="240" w:lineRule="auto" w:before="26"/>
        <w:ind w:right="987"/>
        <w:jc w:val="left"/>
        <w:rPr>
          <w:b w:val="0"/>
          <w:bCs w:val="0"/>
        </w:rPr>
      </w:pPr>
      <w:bookmarkStart w:name="十六、补充资料" w:id="334"/>
      <w:bookmarkEnd w:id="334"/>
      <w:r>
        <w:rPr>
          <w:b w:val="0"/>
          <w:bCs w:val="0"/>
        </w:rPr>
      </w:r>
      <w:r>
        <w:rPr/>
        <w:t>十六、补充资料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7"/>
        <w:jc w:val="left"/>
        <w:rPr>
          <w:b w:val="0"/>
          <w:bCs w:val="0"/>
        </w:rPr>
      </w:pPr>
      <w:bookmarkStart w:name="1、当期非经常性损益明细表" w:id="335"/>
      <w:bookmarkEnd w:id="33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ind w:right="987"/>
        <w:jc w:val="left"/>
      </w:pPr>
      <w:r>
        <w:rPr/>
        <w:t>√ 适用 □ 不适用</w:t>
      </w:r>
    </w:p>
    <w:p>
      <w:pPr>
        <w:pStyle w:val="BodyText"/>
        <w:spacing w:line="240" w:lineRule="auto" w:before="115"/>
        <w:ind w:left="0" w:right="113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240,337.41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1,148,802.72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6,708,041.41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7"/>
              <w:jc w:val="right"/>
              <w:rPr>
                <w:rFonts w:ascii="Times New Roman" w:hAnsi="Times New Roman" w:cs="Times New Roman" w:eastAsia="Times New Roman" w:hint="default"/>
                <w:sz w:val="18"/>
                <w:szCs w:val="18"/>
              </w:rPr>
            </w:pPr>
            <w:r>
              <w:rPr>
                <w:rFonts w:ascii="Times New Roman"/>
                <w:spacing w:val="-1"/>
                <w:sz w:val="18"/>
              </w:rPr>
              <w:t>-2,116,836.36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5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1,333,344.56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1,207,242.59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-385,771.81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6,492,218.96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7"/>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0" w:lineRule="auto" w:before="63"/>
        <w:ind w:right="112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72"/>
        <w:ind w:right="987"/>
        <w:jc w:val="left"/>
      </w:pPr>
      <w:r>
        <w:rPr/>
        <w:t>□ 适用 √ 不适用</w:t>
      </w:r>
    </w:p>
    <w:p>
      <w:pPr>
        <w:spacing w:after="0" w:line="240" w:lineRule="auto"/>
        <w:jc w:val="left"/>
        <w:sectPr>
          <w:pgSz w:w="11910" w:h="16840"/>
          <w:pgMar w:header="907" w:footer="1028" w:top="1100" w:bottom="1220" w:left="1020" w:right="0"/>
        </w:sectPr>
      </w:pPr>
    </w:p>
    <w:p>
      <w:pPr>
        <w:spacing w:line="240" w:lineRule="auto" w:before="10"/>
        <w:rPr>
          <w:rFonts w:ascii="宋体" w:hAnsi="宋体" w:cs="宋体" w:eastAsia="宋体" w:hint="default"/>
          <w:sz w:val="21"/>
          <w:szCs w:val="21"/>
        </w:rPr>
      </w:pPr>
    </w:p>
    <w:p>
      <w:pPr>
        <w:pStyle w:val="Heading4"/>
        <w:spacing w:line="240" w:lineRule="auto" w:before="34"/>
        <w:ind w:right="987"/>
        <w:jc w:val="left"/>
        <w:rPr>
          <w:b w:val="0"/>
          <w:bCs w:val="0"/>
        </w:rPr>
      </w:pPr>
      <w:bookmarkStart w:name="2、净资产收益率及每股收益" w:id="336"/>
      <w:bookmarkEnd w:id="33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0"/>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08"/>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0.1456</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8"/>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0.1359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28"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before="0"/>
        <w:ind w:left="3247" w:right="987" w:firstLine="0"/>
        <w:jc w:val="left"/>
        <w:rPr>
          <w:rFonts w:ascii="宋体" w:hAnsi="宋体" w:cs="宋体" w:eastAsia="宋体" w:hint="default"/>
          <w:sz w:val="32"/>
          <w:szCs w:val="32"/>
        </w:rPr>
      </w:pPr>
      <w:bookmarkStart w:name="第十二节 备查文件目录" w:id="337"/>
      <w:bookmarkEnd w:id="337"/>
      <w:r>
        <w:rPr/>
      </w:r>
      <w:r>
        <w:rPr>
          <w:rFonts w:ascii="宋体" w:hAnsi="宋体" w:cs="宋体" w:eastAsia="宋体" w:hint="default"/>
          <w:b/>
          <w:bCs/>
          <w:sz w:val="32"/>
          <w:szCs w:val="32"/>
        </w:rPr>
        <w:t>第十二节</w:t>
      </w:r>
      <w:r>
        <w:rPr>
          <w:rFonts w:ascii="宋体" w:hAnsi="宋体" w:cs="宋体" w:eastAsia="宋体" w:hint="default"/>
          <w:b/>
          <w:bCs/>
          <w:spacing w:val="-10"/>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8"/>
        <w:rPr>
          <w:rFonts w:ascii="宋体" w:hAnsi="宋体" w:cs="宋体" w:eastAsia="宋体" w:hint="default"/>
          <w:b/>
          <w:bCs/>
          <w:sz w:val="46"/>
          <w:szCs w:val="46"/>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1、载有公司印章、法定代表人签名的2018年度报告全文的原件；</w:t>
      </w:r>
    </w:p>
    <w:p>
      <w:pPr>
        <w:spacing w:line="240" w:lineRule="auto" w:before="10"/>
        <w:rPr>
          <w:rFonts w:ascii="宋体" w:hAnsi="宋体" w:cs="宋体" w:eastAsia="宋体" w:hint="default"/>
          <w:sz w:val="14"/>
          <w:szCs w:val="14"/>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2、载有公司负责人、主管会计工作负责人、会计机构负责人签名并盖章的财务报表；</w:t>
      </w:r>
    </w:p>
    <w:p>
      <w:pPr>
        <w:spacing w:line="240" w:lineRule="auto" w:before="10"/>
        <w:rPr>
          <w:rFonts w:ascii="宋体" w:hAnsi="宋体" w:cs="宋体" w:eastAsia="宋体" w:hint="default"/>
          <w:sz w:val="14"/>
          <w:szCs w:val="14"/>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3、报告期内在中国证监会指定网站上公开披露过的所有文件的正本及公告原稿；</w:t>
      </w:r>
    </w:p>
    <w:p>
      <w:pPr>
        <w:spacing w:line="240" w:lineRule="auto" w:before="10"/>
        <w:rPr>
          <w:rFonts w:ascii="宋体" w:hAnsi="宋体" w:cs="宋体" w:eastAsia="宋体" w:hint="default"/>
          <w:sz w:val="14"/>
          <w:szCs w:val="14"/>
        </w:rPr>
      </w:pPr>
    </w:p>
    <w:p>
      <w:pPr>
        <w:spacing w:before="0"/>
        <w:ind w:left="532" w:right="987" w:firstLine="0"/>
        <w:jc w:val="left"/>
        <w:rPr>
          <w:rFonts w:ascii="宋体" w:hAnsi="宋体" w:cs="宋体" w:eastAsia="宋体" w:hint="default"/>
          <w:sz w:val="21"/>
          <w:szCs w:val="21"/>
        </w:rPr>
      </w:pPr>
      <w:r>
        <w:rPr>
          <w:rFonts w:ascii="宋体" w:hAnsi="宋体" w:cs="宋体" w:eastAsia="宋体" w:hint="default"/>
          <w:sz w:val="21"/>
          <w:szCs w:val="21"/>
        </w:rPr>
        <w:t>4、载有会计师事务所盖章，注册会计师签名并盖章的审计报告原件；</w:t>
      </w:r>
    </w:p>
    <w:p>
      <w:pPr>
        <w:spacing w:line="240" w:lineRule="auto" w:before="10"/>
        <w:rPr>
          <w:rFonts w:ascii="宋体" w:hAnsi="宋体" w:cs="宋体" w:eastAsia="宋体" w:hint="default"/>
          <w:sz w:val="14"/>
          <w:szCs w:val="14"/>
        </w:rPr>
      </w:pPr>
    </w:p>
    <w:p>
      <w:pPr>
        <w:spacing w:line="408" w:lineRule="auto" w:before="0"/>
        <w:ind w:left="532" w:right="5924" w:firstLine="0"/>
        <w:jc w:val="left"/>
        <w:rPr>
          <w:rFonts w:ascii="宋体" w:hAnsi="宋体" w:cs="宋体" w:eastAsia="宋体" w:hint="default"/>
          <w:sz w:val="21"/>
          <w:szCs w:val="21"/>
        </w:rPr>
      </w:pPr>
      <w:r>
        <w:rPr>
          <w:rFonts w:ascii="宋体" w:hAnsi="宋体" w:cs="宋体" w:eastAsia="宋体" w:hint="default"/>
          <w:sz w:val="21"/>
          <w:szCs w:val="21"/>
        </w:rPr>
        <w:t>5、其它相关文件。</w:t>
      </w:r>
      <w:r>
        <w:rPr>
          <w:rFonts w:ascii="宋体" w:hAnsi="宋体" w:cs="宋体" w:eastAsia="宋体" w:hint="default"/>
          <w:w w:val="99"/>
          <w:sz w:val="21"/>
          <w:szCs w:val="21"/>
        </w:rPr>
        <w:t> </w:t>
      </w:r>
      <w:r>
        <w:rPr>
          <w:rFonts w:ascii="宋体" w:hAnsi="宋体" w:cs="宋体" w:eastAsia="宋体" w:hint="default"/>
          <w:sz w:val="21"/>
          <w:szCs w:val="21"/>
        </w:rPr>
        <w:t>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tabs>
          <w:tab w:pos="8501" w:val="left" w:leader="none"/>
        </w:tabs>
        <w:spacing w:line="477" w:lineRule="auto" w:before="0"/>
        <w:ind w:left="5632" w:right="2365" w:hanging="713"/>
        <w:jc w:val="left"/>
        <w:rPr>
          <w:rFonts w:ascii="宋体" w:hAnsi="宋体" w:cs="宋体" w:eastAsia="宋体" w:hint="default"/>
          <w:sz w:val="24"/>
          <w:szCs w:val="24"/>
        </w:rPr>
      </w:pPr>
      <w:r>
        <w:rPr>
          <w:rFonts w:ascii="宋体" w:hAnsi="宋体" w:cs="宋体" w:eastAsia="宋体" w:hint="default"/>
          <w:sz w:val="24"/>
          <w:szCs w:val="24"/>
        </w:rPr>
        <w:t>尤洛卡精准信息工程股份有限公司 法定代表人：</w:t>
      </w:r>
      <w:r>
        <w:rPr>
          <w:rFonts w:ascii="宋体" w:hAnsi="宋体" w:cs="宋体" w:eastAsia="宋体" w:hint="default"/>
          <w:sz w:val="24"/>
          <w:szCs w:val="24"/>
          <w:u w:val="single" w:color="000000"/>
        </w:rPr>
        <w:t>黄自伟</w:t>
        <w:tab/>
      </w:r>
      <w:r>
        <w:rPr>
          <w:rFonts w:ascii="宋体" w:hAnsi="宋体" w:cs="宋体" w:eastAsia="宋体" w:hint="default"/>
          <w:w w:val="8"/>
          <w:sz w:val="24"/>
          <w:szCs w:val="24"/>
          <w:u w:val="single" w:color="000000"/>
        </w:rPr>
        <w:t> </w:t>
      </w:r>
      <w:r>
        <w:rPr>
          <w:rFonts w:ascii="宋体" w:hAnsi="宋体" w:cs="宋体" w:eastAsia="宋体" w:hint="default"/>
          <w:sz w:val="24"/>
          <w:szCs w:val="24"/>
          <w:u w:val="single" w:color="000000"/>
        </w:rPr>
      </w:r>
      <w:r>
        <w:rPr>
          <w:rFonts w:ascii="宋体" w:hAnsi="宋体" w:cs="宋体" w:eastAsia="宋体" w:hint="default"/>
          <w:sz w:val="24"/>
          <w:szCs w:val="24"/>
        </w:rPr>
      </w:r>
    </w:p>
    <w:p>
      <w:pPr>
        <w:spacing w:before="72"/>
        <w:ind w:left="6232" w:right="987" w:firstLine="0"/>
        <w:jc w:val="left"/>
        <w:rPr>
          <w:rFonts w:ascii="宋体" w:hAnsi="宋体" w:cs="宋体" w:eastAsia="宋体" w:hint="default"/>
          <w:sz w:val="24"/>
          <w:szCs w:val="24"/>
        </w:rPr>
      </w:pPr>
      <w:r>
        <w:rPr>
          <w:rFonts w:ascii="宋体" w:hAnsi="宋体" w:cs="宋体" w:eastAsia="宋体" w:hint="default"/>
          <w:sz w:val="24"/>
          <w:szCs w:val="24"/>
        </w:rPr>
        <w:t>2019年4月23日</w:t>
      </w:r>
    </w:p>
    <w:sectPr>
      <w:footerReference w:type="default" r:id="rId39"/>
      <w:pgSz w:w="11910" w:h="16840"/>
      <w:pgMar w:footer="1028" w:header="907" w:top="1100" w:bottom="1220" w:left="1020" w:right="0"/>
      <w:pgNumType w:start="17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1544"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0944" type="#_x0000_t75" stroked="false">
          <v:imagedata r:id="rId1" o:title=""/>
        </v:shape>
      </w:pict>
    </w:r>
    <w:r>
      <w:rPr/>
      <w:pict>
        <v:shape style="position:absolute;margin-left:274.600006pt;margin-top:779.521179pt;width:14.55pt;height:12.45pt;mso-position-horizontal-relative:page;mso-position-vertical-relative:page;z-index:-890920"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sz w:val="21"/>
                  </w:rPr>
                  <w:instrText> PAGE </w:instrText>
                </w:r>
                <w:r>
                  <w:rPr/>
                  <w:fldChar w:fldCharType="separate"/>
                </w:r>
                <w:r>
                  <w:rPr/>
                  <w:t>80</w:t>
                </w:r>
                <w:r>
                  <w:rPr/>
                  <w:fldChar w:fldCharType="end"/>
                </w:r>
                <w:r>
                  <w:rPr>
                    <w:rFonts w:ascii="Times New Roman"/>
                    <w:sz w:val="21"/>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0896" type="#_x0000_t75" stroked="false">
          <v:imagedata r:id="rId1" o:title=""/>
        </v:shape>
      </w:pict>
    </w:r>
    <w:r>
      <w:rPr/>
      <w:pict>
        <v:shape style="position:absolute;margin-left:274.600006pt;margin-top:779.521179pt;width:14.55pt;height:12.45pt;mso-position-horizontal-relative:page;mso-position-vertical-relative:page;z-index:-890872"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sz w:val="21"/>
                  </w:rPr>
                  <w:instrText> PAGE </w:instrText>
                </w:r>
                <w:r>
                  <w:rPr/>
                  <w:fldChar w:fldCharType="separate"/>
                </w:r>
                <w:r>
                  <w:rPr/>
                  <w:t>90</w:t>
                </w:r>
                <w:r>
                  <w:rPr/>
                  <w:fldChar w:fldCharType="end"/>
                </w:r>
                <w:r>
                  <w:rPr>
                    <w:rFonts w:ascii="Times New Roman"/>
                    <w:sz w:val="21"/>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0848" type="#_x0000_t75" stroked="false">
          <v:imagedata r:id="rId1" o:title=""/>
        </v:shape>
      </w:pict>
    </w:r>
    <w:r>
      <w:rPr/>
      <w:pict>
        <v:shape style="position:absolute;margin-left:274.600006pt;margin-top:779.521179pt;width:19.8pt;height:12.45pt;mso-position-horizontal-relative:page;mso-position-vertical-relative:page;z-index:-890824"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sz w:val="21"/>
                  </w:rPr>
                  <w:instrText> PAGE </w:instrText>
                </w:r>
                <w:r>
                  <w:rPr/>
                  <w:fldChar w:fldCharType="separate"/>
                </w:r>
                <w:r>
                  <w:rPr/>
                  <w:t>100</w:t>
                </w:r>
                <w:r>
                  <w:rPr/>
                  <w:fldChar w:fldCharType="end"/>
                </w:r>
                <w:r>
                  <w:rPr>
                    <w:rFonts w:ascii="Times New Roman"/>
                    <w:sz w:val="21"/>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0800" type="#_x0000_t75" stroked="false">
          <v:imagedata r:id="rId1" o:title=""/>
        </v:shape>
      </w:pict>
    </w:r>
    <w:r>
      <w:rPr/>
      <w:pict>
        <v:shape style="position:absolute;margin-left:274.600006pt;margin-top:779.521179pt;width:19.2pt;height:12.45pt;mso-position-horizontal-relative:page;mso-position-vertical-relative:page;z-index:-890776"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sz w:val="21"/>
                  </w:rPr>
                  <w:instrText> PAGE </w:instrText>
                </w:r>
                <w:r>
                  <w:rPr/>
                  <w:fldChar w:fldCharType="separate"/>
                </w:r>
                <w:r>
                  <w:rPr/>
                  <w:t>110</w:t>
                </w:r>
                <w:r>
                  <w:rPr/>
                  <w:fldChar w:fldCharType="end"/>
                </w:r>
                <w:r>
                  <w:rPr>
                    <w:rFonts w:ascii="Times New Roman"/>
                    <w:sz w:val="21"/>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0752" type="#_x0000_t75" stroked="false">
          <v:imagedata r:id="rId1" o:title=""/>
        </v:shape>
      </w:pict>
    </w:r>
    <w:r>
      <w:rPr/>
      <w:pict>
        <v:shape style="position:absolute;margin-left:274.600006pt;margin-top:779.521179pt;width:19.8pt;height:12.45pt;mso-position-horizontal-relative:page;mso-position-vertical-relative:page;z-index:-890728"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sz w:val="21"/>
                  </w:rPr>
                  <w:instrText> PAGE </w:instrText>
                </w:r>
                <w:r>
                  <w:rPr/>
                  <w:fldChar w:fldCharType="separate"/>
                </w:r>
                <w:r>
                  <w:rPr/>
                  <w:t>120</w:t>
                </w:r>
                <w:r>
                  <w:rPr/>
                  <w:fldChar w:fldCharType="end"/>
                </w:r>
                <w:r>
                  <w:rPr>
                    <w:rFonts w:ascii="Times New Roman"/>
                    <w:sz w:val="21"/>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0704" type="#_x0000_t75" stroked="false">
          <v:imagedata r:id="rId1" o:title=""/>
        </v:shape>
      </w:pict>
    </w:r>
    <w:r>
      <w:rPr/>
      <w:pict>
        <v:shape style="position:absolute;margin-left:274.600006pt;margin-top:779.521179pt;width:19.8pt;height:12.45pt;mso-position-horizontal-relative:page;mso-position-vertical-relative:page;z-index:-890680"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sz w:val="21"/>
                  </w:rPr>
                  <w:instrText> PAGE </w:instrText>
                </w:r>
                <w:r>
                  <w:rPr/>
                  <w:fldChar w:fldCharType="separate"/>
                </w:r>
                <w:r>
                  <w:rPr/>
                  <w:t>130</w:t>
                </w:r>
                <w:r>
                  <w:rPr/>
                  <w:fldChar w:fldCharType="end"/>
                </w:r>
                <w:r>
                  <w:rPr>
                    <w:rFonts w:ascii="Times New Roman"/>
                    <w:sz w:val="21"/>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0656" type="#_x0000_t75" stroked="false">
          <v:imagedata r:id="rId1" o:title=""/>
        </v:shape>
      </w:pict>
    </w:r>
    <w:r>
      <w:rPr/>
      <w:pict>
        <v:shape style="position:absolute;margin-left:274.600006pt;margin-top:779.521179pt;width:19.8pt;height:12.45pt;mso-position-horizontal-relative:page;mso-position-vertical-relative:page;z-index:-890632"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sz w:val="21"/>
                  </w:rPr>
                  <w:instrText> PAGE </w:instrText>
                </w:r>
                <w:r>
                  <w:rPr/>
                  <w:fldChar w:fldCharType="separate"/>
                </w:r>
                <w:r>
                  <w:rPr/>
                  <w:t>140</w:t>
                </w:r>
                <w:r>
                  <w:rPr/>
                  <w:fldChar w:fldCharType="end"/>
                </w:r>
                <w:r>
                  <w:rPr>
                    <w:rFonts w:ascii="Times New Roman"/>
                    <w:sz w:val="21"/>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0608" type="#_x0000_t75" stroked="false">
          <v:imagedata r:id="rId1" o:title=""/>
        </v:shape>
      </w:pict>
    </w:r>
    <w:r>
      <w:rPr/>
      <w:pict>
        <v:shape style="position:absolute;margin-left:274.600006pt;margin-top:779.521179pt;width:19.8pt;height:12.45pt;mso-position-horizontal-relative:page;mso-position-vertical-relative:page;z-index:-890584"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sz w:val="21"/>
                  </w:rPr>
                  <w:instrText> PAGE </w:instrText>
                </w:r>
                <w:r>
                  <w:rPr/>
                  <w:fldChar w:fldCharType="separate"/>
                </w:r>
                <w:r>
                  <w:rPr/>
                  <w:t>150</w:t>
                </w:r>
                <w:r>
                  <w:rPr/>
                  <w:fldChar w:fldCharType="end"/>
                </w:r>
                <w:r>
                  <w:rPr>
                    <w:rFonts w:ascii="Times New Roman"/>
                    <w:sz w:val="21"/>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0560" type="#_x0000_t75" stroked="false">
          <v:imagedata r:id="rId1" o:title=""/>
        </v:shape>
      </w:pict>
    </w:r>
    <w:r>
      <w:rPr/>
      <w:pict>
        <v:shape style="position:absolute;margin-left:274.600006pt;margin-top:779.521179pt;width:19.8pt;height:12.45pt;mso-position-horizontal-relative:page;mso-position-vertical-relative:page;z-index:-890536"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sz w:val="21"/>
                  </w:rPr>
                  <w:instrText> PAGE </w:instrText>
                </w:r>
                <w:r>
                  <w:rPr/>
                  <w:fldChar w:fldCharType="separate"/>
                </w:r>
                <w:r>
                  <w:rPr/>
                  <w:t>160</w:t>
                </w:r>
                <w:r>
                  <w:rPr/>
                  <w:fldChar w:fldCharType="end"/>
                </w:r>
                <w:r>
                  <w:rPr>
                    <w:rFonts w:ascii="Times New Roman"/>
                    <w:sz w:val="21"/>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0512" type="#_x0000_t75" stroked="false">
          <v:imagedata r:id="rId1" o:title=""/>
        </v:shape>
      </w:pict>
    </w:r>
    <w:r>
      <w:rPr/>
      <w:pict>
        <v:shape style="position:absolute;margin-left:274.600006pt;margin-top:779.521179pt;width:19.8pt;height:12.45pt;mso-position-horizontal-relative:page;mso-position-vertical-relative:page;z-index:-890488"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sz w:val="21"/>
                  </w:rPr>
                  <w:instrText> PAGE </w:instrText>
                </w:r>
                <w:r>
                  <w:rPr/>
                  <w:fldChar w:fldCharType="separate"/>
                </w:r>
                <w:r>
                  <w:rPr/>
                  <w:t>170</w:t>
                </w:r>
                <w:r>
                  <w:rPr/>
                  <w:fldChar w:fldCharType="end"/>
                </w:r>
                <w:r>
                  <w:rPr>
                    <w:rFonts w:ascii="Times New Roman"/>
                    <w:sz w:val="21"/>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1520" type="#_x0000_t75" stroked="false">
          <v:imagedata r:id="rId1" o:title=""/>
        </v:shape>
      </w:pict>
    </w:r>
    <w:r>
      <w:rPr/>
      <w:pict>
        <v:shape style="position:absolute;margin-left:274.600006pt;margin-top:779.521179pt;width:9.25pt;height:12.45pt;mso-position-horizontal-relative:page;mso-position-vertical-relative:page;z-index:-891496"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w w:val="99"/>
                    <w:sz w:val="21"/>
                  </w:rPr>
                  <w:instrText> PAGE </w:instrText>
                </w:r>
                <w:r>
                  <w:rPr/>
                  <w:fldChar w:fldCharType="separate"/>
                </w:r>
                <w:r>
                  <w:rPr/>
                  <w:t>1</w:t>
                </w:r>
                <w:r>
                  <w:rPr/>
                  <w:fldChar w:fldCharType="end"/>
                </w:r>
                <w:r>
                  <w:rPr>
                    <w:rFonts w:ascii="Times New Roman"/>
                    <w:sz w:val="21"/>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1448" type="#_x0000_t75" stroked="false">
          <v:imagedata r:id="rId1" o:title=""/>
        </v:shape>
      </w:pict>
    </w:r>
    <w:r>
      <w:rPr/>
      <w:pict>
        <v:shape style="position:absolute;margin-left:274.600006pt;margin-top:779.521179pt;width:14.55pt;height:12.45pt;mso-position-horizontal-relative:page;mso-position-vertical-relative:page;z-index:-891424"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sz w:val="21"/>
                  </w:rPr>
                  <w:instrText> PAGE </w:instrText>
                </w:r>
                <w:r>
                  <w:rPr/>
                  <w:fldChar w:fldCharType="separate"/>
                </w:r>
                <w:r>
                  <w:rPr/>
                  <w:t>10</w:t>
                </w:r>
                <w:r>
                  <w:rPr/>
                  <w:fldChar w:fldCharType="end"/>
                </w:r>
                <w:r>
                  <w:rPr>
                    <w:rFonts w:ascii="Times New Roman"/>
                    <w:sz w:val="21"/>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1400" type="#_x0000_t75" stroked="false">
          <v:imagedata r:id="rId1" o:title=""/>
        </v:shape>
      </w:pict>
    </w:r>
    <w:r>
      <w:rPr/>
      <w:pict>
        <v:shape style="position:absolute;margin-left:274.600006pt;margin-top:779.521179pt;width:14.55pt;height:12.45pt;mso-position-horizontal-relative:page;mso-position-vertical-relative:page;z-index:-891376"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sz w:val="21"/>
                  </w:rPr>
                  <w:instrText> PAGE </w:instrText>
                </w:r>
                <w:r>
                  <w:rPr/>
                  <w:fldChar w:fldCharType="separate"/>
                </w:r>
                <w:r>
                  <w:rPr/>
                  <w:t>20</w:t>
                </w:r>
                <w:r>
                  <w:rPr/>
                  <w:fldChar w:fldCharType="end"/>
                </w:r>
                <w:r>
                  <w:rPr>
                    <w:rFonts w:ascii="Times New Roman"/>
                    <w:sz w:val="21"/>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1280" type="#_x0000_t75" stroked="false">
          <v:imagedata r:id="rId1" o:title=""/>
        </v:shape>
      </w:pict>
    </w:r>
    <w:r>
      <w:rPr/>
      <w:pict>
        <v:shape style="position:absolute;margin-left:274.600006pt;margin-top:779.521179pt;width:14.55pt;height:12.45pt;mso-position-horizontal-relative:page;mso-position-vertical-relative:page;z-index:-891256"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sz w:val="21"/>
                  </w:rPr>
                  <w:instrText> PAGE </w:instrText>
                </w:r>
                <w:r>
                  <w:rPr/>
                  <w:fldChar w:fldCharType="separate"/>
                </w:r>
                <w:r>
                  <w:rPr/>
                  <w:t>30</w:t>
                </w:r>
                <w:r>
                  <w:rPr/>
                  <w:fldChar w:fldCharType="end"/>
                </w:r>
                <w:r>
                  <w:rPr>
                    <w:rFonts w:ascii="Times New Roman"/>
                    <w:sz w:val="21"/>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1232" type="#_x0000_t75" stroked="false">
          <v:imagedata r:id="rId1" o:title=""/>
        </v:shape>
      </w:pict>
    </w:r>
    <w:r>
      <w:rPr/>
      <w:pict>
        <v:shape style="position:absolute;margin-left:274.600006pt;margin-top:779.521179pt;width:14.55pt;height:12.45pt;mso-position-horizontal-relative:page;mso-position-vertical-relative:page;z-index:-891208"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sz w:val="21"/>
                  </w:rPr>
                  <w:instrText> PAGE </w:instrText>
                </w:r>
                <w:r>
                  <w:rPr/>
                  <w:fldChar w:fldCharType="separate"/>
                </w:r>
                <w:r>
                  <w:rPr/>
                  <w:t>40</w:t>
                </w:r>
                <w:r>
                  <w:rPr/>
                  <w:fldChar w:fldCharType="end"/>
                </w:r>
                <w:r>
                  <w:rPr>
                    <w:rFonts w:ascii="Times New Roman"/>
                    <w:sz w:val="21"/>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1088" type="#_x0000_t75" stroked="false">
          <v:imagedata r:id="rId1" o:title=""/>
        </v:shape>
      </w:pict>
    </w:r>
    <w:r>
      <w:rPr/>
      <w:pict>
        <v:shape style="position:absolute;margin-left:274.600006pt;margin-top:779.521179pt;width:14.55pt;height:12.45pt;mso-position-horizontal-relative:page;mso-position-vertical-relative:page;z-index:-891064"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sz w:val="21"/>
                  </w:rPr>
                  <w:instrText> PAGE </w:instrText>
                </w:r>
                <w:r>
                  <w:rPr/>
                  <w:fldChar w:fldCharType="separate"/>
                </w:r>
                <w:r>
                  <w:rPr/>
                  <w:t>50</w:t>
                </w:r>
                <w:r>
                  <w:rPr/>
                  <w:fldChar w:fldCharType="end"/>
                </w:r>
                <w:r>
                  <w:rPr>
                    <w:rFonts w:ascii="Times New Roman"/>
                    <w:sz w:val="21"/>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1040" type="#_x0000_t75" stroked="false">
          <v:imagedata r:id="rId1" o:title=""/>
        </v:shape>
      </w:pict>
    </w:r>
    <w:r>
      <w:rPr/>
      <w:pict>
        <v:shape style="position:absolute;margin-left:274.600006pt;margin-top:779.521179pt;width:14.55pt;height:12.45pt;mso-position-horizontal-relative:page;mso-position-vertical-relative:page;z-index:-891016"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sz w:val="21"/>
                  </w:rPr>
                  <w:instrText> PAGE </w:instrText>
                </w:r>
                <w:r>
                  <w:rPr/>
                  <w:fldChar w:fldCharType="separate"/>
                </w:r>
                <w:r>
                  <w:rPr/>
                  <w:t>60</w:t>
                </w:r>
                <w:r>
                  <w:rPr/>
                  <w:fldChar w:fldCharType="end"/>
                </w:r>
                <w:r>
                  <w:rPr>
                    <w:rFonts w:ascii="Times New Roman"/>
                    <w:sz w:val="21"/>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21033pt;margin-top:806.701233pt;width:59.492154pt;height:26.794177pt;mso-position-horizontal-relative:page;mso-position-vertical-relative:page;z-index:-890992" type="#_x0000_t75" stroked="false">
          <v:imagedata r:id="rId1" o:title=""/>
        </v:shape>
      </w:pict>
    </w:r>
    <w:r>
      <w:rPr/>
      <w:pict>
        <v:shape style="position:absolute;margin-left:274.600006pt;margin-top:779.521179pt;width:14.55pt;height:12.45pt;mso-position-horizontal-relative:page;mso-position-vertical-relative:page;z-index:-890968" type="#_x0000_t202" filled="false" stroked="false">
          <v:textbox inset="0,0,0,0">
            <w:txbxContent>
              <w:p>
                <w:pPr>
                  <w:spacing w:line="234" w:lineRule="exact" w:before="0"/>
                  <w:ind w:left="40" w:right="0" w:firstLine="0"/>
                  <w:jc w:val="left"/>
                  <w:rPr>
                    <w:rFonts w:ascii="Times New Roman" w:hAnsi="Times New Roman" w:cs="Times New Roman" w:eastAsia="Times New Roman" w:hint="default"/>
                    <w:sz w:val="21"/>
                    <w:szCs w:val="21"/>
                  </w:rPr>
                </w:pPr>
                <w:r>
                  <w:rPr>
                    <w:rFonts w:ascii="Times New Roman"/>
                    <w:b/>
                    <w:w w:val="99"/>
                    <w:sz w:val="21"/>
                  </w:rPr>
                </w:r>
                <w:r>
                  <w:rPr/>
                  <w:fldChar w:fldCharType="begin"/>
                </w:r>
                <w:r>
                  <w:rPr>
                    <w:rFonts w:ascii="Times New Roman"/>
                    <w:b/>
                    <w:sz w:val="21"/>
                  </w:rPr>
                  <w:instrText> PAGE </w:instrText>
                </w:r>
                <w:r>
                  <w:rPr/>
                  <w:fldChar w:fldCharType="separate"/>
                </w:r>
                <w:r>
                  <w:rPr/>
                  <w:t>70</w:t>
                </w:r>
                <w:r>
                  <w:rPr/>
                  <w:fldChar w:fldCharType="end"/>
                </w:r>
                <w:r>
                  <w:rPr>
                    <w:rFonts w:ascii="Times New Roman"/>
                    <w:sz w:val="21"/>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39999pt;margin-top:38.355648pt;width:222.6pt;height:11.5pt;mso-position-horizontal-relative:page;mso-position-vertical-relative:page;z-index:-891568" type="#_x0000_t202" filled="false" stroked="false">
          <v:textbox inset="0,0,0,0">
            <w:txbxContent>
              <w:p>
                <w:pPr>
                  <w:pStyle w:val="BodyText"/>
                  <w:spacing w:line="214" w:lineRule="exact" w:before="0"/>
                  <w:ind w:left="20" w:right="0"/>
                  <w:jc w:val="left"/>
                </w:pPr>
                <w:r>
                  <w:rPr/>
                  <w:t>尤洛卡精准信息工程股份有限公司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22.6pt;height:11.4pt;mso-position-horizontal-relative:page;mso-position-vertical-relative:page;z-index:-891472" type="#_x0000_t202" filled="false" stroked="false">
          <v:textbox inset="0,0,0,0">
            <w:txbxContent>
              <w:p>
                <w:pPr>
                  <w:pStyle w:val="BodyText"/>
                  <w:spacing w:line="214" w:lineRule="exact" w:before="0"/>
                  <w:ind w:left="20" w:right="0"/>
                  <w:jc w:val="left"/>
                </w:pPr>
                <w:r>
                  <w:rPr/>
                  <w:t>尤洛卡精准信息工程股份有限公司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22.6pt;height:11.4pt;mso-position-horizontal-relative:page;mso-position-vertical-relative:page;z-index:-891352" type="#_x0000_t202" filled="false" stroked="false">
          <v:textbox inset="0,0,0,0">
            <w:txbxContent>
              <w:p>
                <w:pPr>
                  <w:pStyle w:val="BodyText"/>
                  <w:spacing w:line="214" w:lineRule="exact" w:before="0"/>
                  <w:ind w:left="20" w:right="0"/>
                  <w:jc w:val="left"/>
                </w:pPr>
                <w:r>
                  <w:rPr/>
                  <w:t>尤洛卡精准信息工程股份有限公司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r>
      <w:rPr/>
      <w:pict>
        <v:shape style="position:absolute;margin-left:55.639999pt;margin-top:72.857521pt;width:134.5pt;height:14pt;mso-position-horizontal-relative:page;mso-position-vertical-relative:page;z-index:-89132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九、公司未来发展的展望</w:t>
                </w:r>
                <w:r>
                  <w:rPr>
                    <w:rFonts w:ascii="宋体" w:hAnsi="宋体" w:cs="宋体" w:eastAsia="宋体" w:hint="default"/>
                    <w:sz w:val="24"/>
                    <w:szCs w:val="24"/>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22.6pt;height:11.4pt;mso-position-horizontal-relative:page;mso-position-vertical-relative:page;z-index:-891304" type="#_x0000_t202" filled="false" stroked="false">
          <v:textbox inset="0,0,0,0">
            <w:txbxContent>
              <w:p>
                <w:pPr>
                  <w:pStyle w:val="BodyText"/>
                  <w:spacing w:line="214" w:lineRule="exact" w:before="0"/>
                  <w:ind w:left="20" w:right="0"/>
                  <w:jc w:val="left"/>
                </w:pPr>
                <w:r>
                  <w:rPr/>
                  <w:t>尤洛卡精准信息工程股份有限公司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22.6pt;height:11.4pt;mso-position-horizontal-relative:page;mso-position-vertical-relative:page;z-index:-891184" type="#_x0000_t202" filled="false" stroked="false">
          <v:textbox inset="0,0,0,0">
            <w:txbxContent>
              <w:p>
                <w:pPr>
                  <w:pStyle w:val="BodyText"/>
                  <w:spacing w:line="214" w:lineRule="exact" w:before="0"/>
                  <w:ind w:left="20" w:right="0"/>
                  <w:jc w:val="left"/>
                </w:pPr>
                <w:r>
                  <w:rPr/>
                  <w:t>尤洛卡精准信息工程股份有限公司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22.6pt;height:11.4pt;mso-position-horizontal-relative:page;mso-position-vertical-relative:page;z-index:-891160" type="#_x0000_t202" filled="false" stroked="false">
          <v:textbox inset="0,0,0,0">
            <w:txbxContent>
              <w:p>
                <w:pPr>
                  <w:pStyle w:val="BodyText"/>
                  <w:spacing w:line="214" w:lineRule="exact" w:before="0"/>
                  <w:ind w:left="20" w:right="0"/>
                  <w:jc w:val="left"/>
                </w:pPr>
                <w:r>
                  <w:rPr/>
                  <w:t>尤洛卡精准信息工程股份有限公司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22.6pt;height:11.4pt;mso-position-horizontal-relative:page;mso-position-vertical-relative:page;z-index:-891136" type="#_x0000_t202" filled="false" stroked="false">
          <v:textbox inset="0,0,0,0">
            <w:txbxContent>
              <w:p>
                <w:pPr>
                  <w:pStyle w:val="BodyText"/>
                  <w:spacing w:line="214" w:lineRule="exact" w:before="0"/>
                  <w:ind w:left="20" w:right="0"/>
                  <w:jc w:val="left"/>
                </w:pPr>
                <w:r>
                  <w:rPr/>
                  <w:t>尤洛卡精准信息工程股份有限公司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22.6pt;height:11.4pt;mso-position-horizontal-relative:page;mso-position-vertical-relative:page;z-index:-891112" type="#_x0000_t202" filled="false" stroked="false">
          <v:textbox inset="0,0,0,0">
            <w:txbxContent>
              <w:p>
                <w:pPr>
                  <w:pStyle w:val="BodyText"/>
                  <w:spacing w:line="214" w:lineRule="exact" w:before="0"/>
                  <w:ind w:left="20" w:right="0"/>
                  <w:jc w:val="left"/>
                </w:pPr>
                <w:r>
                  <w:rPr/>
                  <w:t>尤洛卡精准信息工程股份有限公司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44"/>
      <w:ind w:left="112"/>
    </w:pPr>
    <w:rPr>
      <w:rFonts w:ascii="宋体" w:hAnsi="宋体" w:eastAsia="宋体"/>
      <w:sz w:val="18"/>
      <w:szCs w:val="18"/>
    </w:rPr>
  </w:style>
  <w:style w:styleId="Heading1" w:type="paragraph">
    <w:name w:val="Heading 1"/>
    <w:basedOn w:val="Normal"/>
    <w:uiPriority w:val="1"/>
    <w:qFormat/>
    <w:pPr>
      <w:ind w:left="93"/>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sz w:val="24"/>
      <w:szCs w:val="24"/>
    </w:rPr>
  </w:style>
  <w:style w:styleId="Heading4" w:type="paragraph">
    <w:name w:val="Heading 4"/>
    <w:basedOn w:val="Normal"/>
    <w:uiPriority w:val="1"/>
    <w:qFormat/>
    <w:pPr>
      <w:ind w:left="11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image" Target="media/image3.jpeg"/><Relationship Id="rId11" Type="http://schemas.openxmlformats.org/officeDocument/2006/relationships/hyperlink" Target="http://www.uroica.com.cn/" TargetMode="External"/><Relationship Id="rId12" Type="http://schemas.openxmlformats.org/officeDocument/2006/relationships/hyperlink" Target="mailto:mail@uroica.com.cn" TargetMode="External"/><Relationship Id="rId13" Type="http://schemas.openxmlformats.org/officeDocument/2006/relationships/hyperlink" Target="mailto:chw600157@163.com" TargetMode="External"/><Relationship Id="rId14" Type="http://schemas.openxmlformats.org/officeDocument/2006/relationships/hyperlink" Target="mailto:chen19341912@163.com" TargetMode="External"/><Relationship Id="rId15" Type="http://schemas.openxmlformats.org/officeDocument/2006/relationships/hyperlink" Target="http://www.cninfo.com.cn/"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header" Target="header5.xml"/><Relationship Id="rId23" Type="http://schemas.openxmlformats.org/officeDocument/2006/relationships/header" Target="head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image" Target="media/image4.jpeg"/><Relationship Id="rId28" Type="http://schemas.openxmlformats.org/officeDocument/2006/relationships/footer" Target="footer8.xml"/><Relationship Id="rId29" Type="http://schemas.openxmlformats.org/officeDocument/2006/relationships/footer" Target="footer9.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footer" Target="footer18.xml"/><Relationship Id="rId39" Type="http://schemas.openxmlformats.org/officeDocument/2006/relationships/footer" Target="footer1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2020-05-05T02:07:08Z</dcterms:created>
  <dcterms:modified xsi:type="dcterms:W3CDTF">2020-05-05T02:07:08Z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WPS 文字</vt:lpwstr>
  </property>
  <property fmtid="{D5CDD505-2E9C-101B-9397-08002B2CF9AE}" pid="4" name="LastSaved">
    <vt:filetime>2020-05-04T00:00:00Z</vt:filetime>
  </property>
</Properties>
</file>