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spacing w:line="460" w:lineRule="exact" w:before="0"/>
        <w:ind w:left="2981" w:right="3224" w:firstLine="0"/>
        <w:jc w:val="center"/>
        <w:rPr>
          <w:rFonts w:ascii="宋体" w:hAnsi="宋体" w:cs="宋体" w:eastAsia="宋体" w:hint="default"/>
          <w:sz w:val="36"/>
          <w:szCs w:val="36"/>
        </w:rPr>
      </w:pPr>
      <w:r>
        <w:rPr>
          <w:rFonts w:ascii="宋体" w:hAnsi="宋体" w:cs="宋体" w:eastAsia="宋体" w:hint="default"/>
          <w:b/>
          <w:bCs/>
          <w:sz w:val="36"/>
          <w:szCs w:val="36"/>
        </w:rPr>
        <w:t>尤洛卡精准信息工程股份有限公司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981" w:right="32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29"/>
          <w:szCs w:val="29"/>
        </w:rPr>
      </w:pPr>
    </w:p>
    <w:p>
      <w:pPr>
        <w:pStyle w:val="Heading2"/>
        <w:spacing w:line="240" w:lineRule="auto"/>
        <w:ind w:left="2981" w:right="3219"/>
        <w:jc w:val="center"/>
        <w:rPr>
          <w:rFonts w:ascii="Times New Roman" w:hAnsi="Times New Roman" w:cs="Times New Roman" w:eastAsia="Times New Roman" w:hint="default"/>
          <w:b w:val="0"/>
          <w:bCs w:val="0"/>
        </w:rPr>
      </w:pPr>
      <w:r>
        <w:rPr/>
        <w:t>公告编号：</w:t>
      </w:r>
      <w:r>
        <w:rPr>
          <w:rFonts w:ascii="Times New Roman" w:hAnsi="Times New Roman" w:cs="Times New Roman" w:eastAsia="Times New Roman" w:hint="default"/>
        </w:rPr>
        <w:t>2020-017</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16"/>
          <w:szCs w:val="16"/>
        </w:rPr>
      </w:pPr>
    </w:p>
    <w:p>
      <w:pPr>
        <w:spacing w:line="5416" w:lineRule="exact"/>
        <w:ind w:left="10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7"/>
          <w:sz w:val="20"/>
          <w:szCs w:val="20"/>
        </w:rPr>
        <w:drawing>
          <wp:inline distT="0" distB="0" distL="0" distR="0">
            <wp:extent cx="7122559" cy="343966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7122559" cy="3439667"/>
                    </a:xfrm>
                    <a:prstGeom prst="rect">
                      <a:avLst/>
                    </a:prstGeom>
                  </pic:spPr>
                </pic:pic>
              </a:graphicData>
            </a:graphic>
          </wp:inline>
        </w:drawing>
      </w:r>
      <w:r>
        <w:rPr>
          <w:rFonts w:ascii="Times New Roman" w:hAnsi="Times New Roman" w:cs="Times New Roman" w:eastAsia="Times New Roman" w:hint="default"/>
          <w:position w:val="-107"/>
          <w:sz w:val="20"/>
          <w:szCs w:val="2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82"/>
        <w:ind w:left="298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24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right="1117"/>
        <w:jc w:val="center"/>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11"/>
        <w:rPr>
          <w:rFonts w:ascii="宋体" w:hAnsi="宋体" w:cs="宋体" w:eastAsia="宋体" w:hint="default"/>
          <w:b/>
          <w:bCs/>
          <w:sz w:val="44"/>
          <w:szCs w:val="44"/>
        </w:rPr>
      </w:pPr>
    </w:p>
    <w:p>
      <w:pPr>
        <w:pStyle w:val="Heading2"/>
        <w:spacing w:line="357" w:lineRule="auto"/>
        <w:ind w:right="1134" w:firstLine="482"/>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7" w:lineRule="auto" w:before="137"/>
        <w:ind w:right="1126" w:firstLine="482"/>
        <w:jc w:val="both"/>
        <w:rPr>
          <w:b w:val="0"/>
          <w:bCs w:val="0"/>
        </w:rPr>
      </w:pPr>
      <w:r>
        <w:rPr/>
        <w:t>公司负责人黄自伟、主管会计工作负责人崔保航及会计机构负责人</w:t>
      </w:r>
      <w:r>
        <w:rPr>
          <w:rFonts w:ascii="宋体" w:hAnsi="宋体" w:cs="宋体" w:eastAsia="宋体" w:hint="default"/>
        </w:rPr>
        <w:t>(</w:t>
      </w:r>
      <w:r>
        <w:rPr/>
        <w:t>会计主管人员</w:t>
      </w:r>
      <w:r>
        <w:rPr>
          <w:rFonts w:ascii="宋体" w:hAnsi="宋体" w:cs="宋体" w:eastAsia="宋体" w:hint="default"/>
        </w:rPr>
        <w:t>)</w:t>
      </w:r>
      <w:r>
        <w:rPr/>
        <w:t>曹丽</w:t>
      </w:r>
      <w:r>
        <w:rPr>
          <w:spacing w:val="2"/>
          <w:w w:val="99"/>
        </w:rPr>
        <w:t> </w:t>
      </w:r>
      <w:r>
        <w:rPr/>
        <w:t>妮声明：保证年度报告中财务报告的真实、准确、完整。</w:t>
      </w:r>
      <w:r>
        <w:rPr>
          <w:b w:val="0"/>
          <w:bCs w:val="0"/>
        </w:rPr>
      </w:r>
    </w:p>
    <w:p>
      <w:pPr>
        <w:pStyle w:val="Heading2"/>
        <w:spacing w:line="434" w:lineRule="auto" w:before="137"/>
        <w:ind w:left="635" w:right="992"/>
        <w:jc w:val="left"/>
        <w:rPr>
          <w:b w:val="0"/>
          <w:bCs w:val="0"/>
        </w:rPr>
      </w:pPr>
      <w:r>
        <w:rPr/>
        <w:t>所有董事均已出席了审议本报告的董事会会议。</w:t>
      </w:r>
      <w:r>
        <w:rPr>
          <w:w w:val="99"/>
        </w:rPr>
        <w:t> </w:t>
      </w:r>
      <w:r>
        <w:rPr>
          <w:spacing w:val="-3"/>
          <w:w w:val="99"/>
        </w:rPr>
        <w:t>本年度报告中涉及未来计划或规划等前瞻性陈述的，均不构成公司对投资者的实质承诺，</w:t>
      </w:r>
      <w:r>
        <w:rPr>
          <w:b w:val="0"/>
          <w:bCs w:val="0"/>
          <w:spacing w:val="-3"/>
        </w:rPr>
      </w:r>
    </w:p>
    <w:p>
      <w:pPr>
        <w:pStyle w:val="Heading2"/>
        <w:spacing w:line="274" w:lineRule="exact"/>
        <w:ind w:right="992"/>
        <w:jc w:val="left"/>
        <w:rPr>
          <w:b w:val="0"/>
          <w:bCs w:val="0"/>
        </w:rPr>
      </w:pPr>
      <w:r>
        <w:rPr/>
        <w:t>投资者及相关人士均应对此保持足够的风险认识，并且应当理解计划、预测与承诺之间的差</w:t>
      </w:r>
      <w:r>
        <w:rPr>
          <w:b w:val="0"/>
          <w:bCs w:val="0"/>
        </w:rPr>
      </w:r>
    </w:p>
    <w:p>
      <w:pPr>
        <w:pStyle w:val="Heading2"/>
        <w:spacing w:line="434" w:lineRule="auto" w:before="154"/>
        <w:ind w:left="635" w:right="4608" w:hanging="483"/>
        <w:jc w:val="left"/>
        <w:rPr>
          <w:b w:val="0"/>
          <w:bCs w:val="0"/>
        </w:rPr>
      </w:pPr>
      <w:r>
        <w:rPr/>
        <w:t>异。敬请投资者注意投资风险。</w:t>
      </w:r>
      <w:r>
        <w:rPr>
          <w:w w:val="99"/>
        </w:rPr>
        <w:t> </w:t>
      </w:r>
      <w:r>
        <w:rPr>
          <w:rFonts w:ascii="宋体" w:hAnsi="宋体" w:cs="宋体" w:eastAsia="宋体" w:hint="default"/>
        </w:rPr>
        <w:t>1</w:t>
      </w:r>
      <w:r>
        <w:rPr/>
        <w:t>、可能出现经济大萧条导致企业外部环境恶化的风险</w:t>
      </w:r>
      <w:r>
        <w:rPr>
          <w:b w:val="0"/>
          <w:bCs w:val="0"/>
        </w:rPr>
      </w:r>
    </w:p>
    <w:p>
      <w:pPr>
        <w:pStyle w:val="Heading2"/>
        <w:spacing w:line="357" w:lineRule="auto" w:before="60"/>
        <w:ind w:right="992" w:firstLine="482"/>
        <w:jc w:val="left"/>
        <w:rPr>
          <w:b w:val="0"/>
          <w:bCs w:val="0"/>
        </w:rPr>
      </w:pPr>
      <w:r>
        <w:rPr>
          <w:spacing w:val="-3"/>
        </w:rPr>
        <w:t>截至目前，新型冠状病毒肺炎疫情已经蔓延到全球大多数国家，至今未出现减缓的迹象。</w:t>
      </w:r>
      <w:r>
        <w:rPr>
          <w:w w:val="99"/>
        </w:rPr>
        <w:t> </w:t>
      </w:r>
      <w:r>
        <w:rPr/>
        <w:t>多个国家纷纷封国封城，停工停学，生产、消费活动深受影响，经济因此受到重创，极有可</w:t>
      </w:r>
      <w:r>
        <w:rPr>
          <w:w w:val="99"/>
        </w:rPr>
        <w:t> </w:t>
      </w:r>
      <w:r>
        <w:rPr/>
        <w:t>能出现全球经济大萧条。当今全球经济一体化，俱荣俱损，任何一个国家或企业均无法置身</w:t>
      </w:r>
      <w:r>
        <w:rPr>
          <w:w w:val="99"/>
        </w:rPr>
        <w:t> </w:t>
      </w:r>
      <w:r>
        <w:rPr/>
        <w:t>事外。企业的外部经营环境将会日益恶化，会出现大量企业亏损或倒闭。</w:t>
      </w:r>
      <w:r>
        <w:rPr>
          <w:b w:val="0"/>
          <w:bCs w:val="0"/>
        </w:rPr>
      </w:r>
    </w:p>
    <w:p>
      <w:pPr>
        <w:pStyle w:val="Heading2"/>
        <w:spacing w:line="357" w:lineRule="auto" w:before="135"/>
        <w:ind w:right="1136" w:firstLine="482"/>
        <w:jc w:val="both"/>
        <w:rPr>
          <w:b w:val="0"/>
          <w:bCs w:val="0"/>
        </w:rPr>
      </w:pPr>
      <w:r>
        <w:rPr/>
        <w:t>应对措施：宏观上密切关注疫情全球发展动态，注意经济指标变化；微观上紧盯客户及</w:t>
      </w:r>
      <w:r>
        <w:rPr>
          <w:w w:val="99"/>
        </w:rPr>
        <w:t> </w:t>
      </w:r>
      <w:r>
        <w:rPr/>
        <w:t>供应链，制定应对机制，保持较高的现金流储备，减少大额固定资产投资，确保企业在保生</w:t>
      </w:r>
      <w:r>
        <w:rPr>
          <w:w w:val="99"/>
        </w:rPr>
        <w:t> </w:t>
      </w:r>
      <w:r>
        <w:rPr/>
        <w:t>存的基础上，在危机中寻找发展机会。</w:t>
      </w:r>
      <w:r>
        <w:rPr>
          <w:b w:val="0"/>
          <w:bCs w:val="0"/>
        </w:rPr>
      </w:r>
    </w:p>
    <w:p>
      <w:pPr>
        <w:pStyle w:val="Heading2"/>
        <w:spacing w:line="434" w:lineRule="auto" w:before="137"/>
        <w:ind w:left="635" w:right="1115"/>
        <w:jc w:val="left"/>
        <w:rPr>
          <w:b w:val="0"/>
          <w:bCs w:val="0"/>
        </w:rPr>
      </w:pPr>
      <w:r>
        <w:rPr>
          <w:rFonts w:ascii="宋体" w:hAnsi="宋体" w:cs="宋体" w:eastAsia="宋体" w:hint="default"/>
        </w:rPr>
        <w:t>2</w:t>
      </w:r>
      <w:r>
        <w:rPr/>
        <w:t>、新型冠状病毒肺炎疫情直接影响企业运营的风险</w:t>
      </w:r>
      <w:r>
        <w:rPr>
          <w:w w:val="99"/>
        </w:rPr>
        <w:t> </w:t>
      </w:r>
      <w:r>
        <w:rPr/>
        <w:t>新型冠状病毒肺炎疫情爆发，直接打乱了公司生产制造、物料采购、市场推广、产品研</w:t>
      </w:r>
      <w:r>
        <w:rPr>
          <w:b w:val="0"/>
          <w:bCs w:val="0"/>
        </w:rPr>
      </w:r>
    </w:p>
    <w:p>
      <w:pPr>
        <w:pStyle w:val="Heading2"/>
        <w:spacing w:line="274" w:lineRule="exact"/>
        <w:ind w:right="992"/>
        <w:jc w:val="left"/>
        <w:rPr>
          <w:b w:val="0"/>
          <w:bCs w:val="0"/>
        </w:rPr>
      </w:pPr>
      <w:r>
        <w:rPr/>
        <w:t>发、物流配送等各项工作计划，导致已有订单无法正常推进；原计划参与的投标项目延迟开</w:t>
      </w:r>
      <w:r>
        <w:rPr>
          <w:b w:val="0"/>
          <w:bCs w:val="0"/>
        </w:rPr>
      </w:r>
    </w:p>
    <w:p>
      <w:pPr>
        <w:pStyle w:val="Heading2"/>
        <w:spacing w:line="357" w:lineRule="auto" w:before="154"/>
        <w:ind w:right="1000"/>
        <w:jc w:val="left"/>
        <w:rPr>
          <w:b w:val="0"/>
          <w:bCs w:val="0"/>
        </w:rPr>
      </w:pPr>
      <w:r>
        <w:rPr/>
        <w:t>标或发标，新订单接收延迟，已经造成公司</w:t>
      </w:r>
      <w:r>
        <w:rPr>
          <w:spacing w:val="-62"/>
        </w:rPr>
        <w:t> </w:t>
      </w:r>
      <w:r>
        <w:rPr>
          <w:rFonts w:ascii="宋体" w:hAnsi="宋体" w:cs="宋体" w:eastAsia="宋体" w:hint="default"/>
        </w:rPr>
        <w:t>2020</w:t>
      </w:r>
      <w:r>
        <w:rPr>
          <w:rFonts w:ascii="宋体" w:hAnsi="宋体" w:cs="宋体" w:eastAsia="宋体" w:hint="default"/>
          <w:spacing w:val="-65"/>
        </w:rPr>
        <w:t> </w:t>
      </w:r>
      <w:r>
        <w:rPr/>
        <w:t>年第一季度业绩下滑。如果未来疫情持续，</w:t>
      </w:r>
      <w:r>
        <w:rPr>
          <w:w w:val="99"/>
        </w:rPr>
        <w:t> </w:t>
      </w:r>
      <w:r>
        <w:rPr/>
        <w:t>将对公司后续的生产经营造成重大不利影响。</w:t>
      </w:r>
      <w:r>
        <w:rPr>
          <w:b w:val="0"/>
          <w:bCs w:val="0"/>
        </w:rPr>
      </w:r>
    </w:p>
    <w:p>
      <w:pPr>
        <w:pStyle w:val="Heading2"/>
        <w:spacing w:line="357" w:lineRule="auto" w:before="134"/>
        <w:ind w:right="1134" w:firstLine="482"/>
        <w:jc w:val="both"/>
        <w:rPr>
          <w:b w:val="0"/>
          <w:bCs w:val="0"/>
        </w:rPr>
      </w:pPr>
      <w:r>
        <w:rPr/>
        <w:t>应对措施：公司高度重视疫情防控工作，全力保障员工健康和安全，做好企业自身疫情</w:t>
      </w:r>
      <w:r>
        <w:rPr>
          <w:w w:val="99"/>
        </w:rPr>
        <w:t> </w:t>
      </w:r>
      <w:r>
        <w:rPr/>
        <w:t>防控的前提下，积极、有序恢复公司各项生产经营工作，并与供应商及客户保持及时沟通，</w:t>
      </w:r>
      <w:r>
        <w:rPr>
          <w:w w:val="99"/>
        </w:rPr>
        <w:t> </w:t>
      </w:r>
      <w:r>
        <w:rPr/>
        <w:t>密切关注上下游的供需变化。公司将积极采取多种措施保障生产经营工作安全有序开展，努</w:t>
      </w:r>
      <w:r>
        <w:rPr>
          <w:w w:val="99"/>
        </w:rPr>
        <w:t> </w:t>
      </w:r>
      <w:r>
        <w:rPr/>
        <w:t>力降低疫情对公司生产经营所带来的不利影响。</w:t>
      </w:r>
      <w:r>
        <w:rPr>
          <w:b w:val="0"/>
          <w:bCs w:val="0"/>
        </w:rPr>
      </w:r>
    </w:p>
    <w:p>
      <w:pPr>
        <w:spacing w:after="0" w:line="357" w:lineRule="auto"/>
        <w:jc w:val="both"/>
        <w:sectPr>
          <w:headerReference w:type="default" r:id="rId7"/>
          <w:footerReference w:type="default" r:id="rId8"/>
          <w:pgSz w:w="11910" w:h="16840"/>
          <w:pgMar w:header="877" w:footer="980" w:top="1100" w:bottom="1160" w:left="980" w:right="0"/>
          <w:pgNumType w:start="1"/>
        </w:sectPr>
      </w:pPr>
    </w:p>
    <w:p>
      <w:pPr>
        <w:spacing w:line="240" w:lineRule="auto" w:before="7"/>
        <w:rPr>
          <w:rFonts w:ascii="宋体" w:hAnsi="宋体" w:cs="宋体" w:eastAsia="宋体" w:hint="default"/>
          <w:b/>
          <w:bCs/>
          <w:sz w:val="25"/>
          <w:szCs w:val="25"/>
        </w:rPr>
      </w:pPr>
    </w:p>
    <w:p>
      <w:pPr>
        <w:pStyle w:val="Heading2"/>
        <w:spacing w:line="240" w:lineRule="auto" w:before="26"/>
        <w:ind w:left="635" w:right="992"/>
        <w:jc w:val="left"/>
        <w:rPr>
          <w:b w:val="0"/>
          <w:bCs w:val="0"/>
        </w:rPr>
      </w:pPr>
      <w:r>
        <w:rPr/>
        <w:t>公司经本次董事会审议通过的利润分配预案为：以</w:t>
      </w:r>
      <w:r>
        <w:rPr>
          <w:spacing w:val="-66"/>
        </w:rPr>
        <w:t> </w:t>
      </w:r>
      <w:r>
        <w:rPr>
          <w:rFonts w:ascii="宋体" w:hAnsi="宋体" w:cs="宋体" w:eastAsia="宋体" w:hint="default"/>
        </w:rPr>
        <w:t>667,335,255</w:t>
      </w:r>
      <w:r>
        <w:rPr>
          <w:rFonts w:ascii="宋体" w:hAnsi="宋体" w:cs="宋体" w:eastAsia="宋体" w:hint="default"/>
          <w:spacing w:val="-65"/>
        </w:rPr>
        <w:t> </w:t>
      </w:r>
      <w:r>
        <w:rPr/>
        <w:t>股为基数，向全体股东</w:t>
      </w:r>
      <w:r>
        <w:rPr>
          <w:b w:val="0"/>
          <w:bCs w:val="0"/>
        </w:rPr>
      </w:r>
    </w:p>
    <w:p>
      <w:pPr>
        <w:pStyle w:val="Heading2"/>
        <w:spacing w:line="240" w:lineRule="auto" w:before="154"/>
        <w:ind w:right="992"/>
        <w:jc w:val="left"/>
        <w:rPr>
          <w:rFonts w:ascii="宋体" w:hAnsi="宋体" w:cs="宋体" w:eastAsia="宋体" w:hint="default"/>
          <w:b w:val="0"/>
          <w:bCs w:val="0"/>
        </w:rPr>
      </w:pPr>
      <w:r>
        <w:rPr>
          <w:w w:val="99"/>
        </w:rPr>
        <w:t>每</w:t>
      </w:r>
      <w:r>
        <w:rPr>
          <w:spacing w:val="-59"/>
        </w:rPr>
        <w:t> </w:t>
      </w:r>
      <w:r>
        <w:rPr>
          <w:rFonts w:ascii="宋体" w:hAnsi="宋体" w:cs="宋体" w:eastAsia="宋体" w:hint="default"/>
          <w:w w:val="99"/>
        </w:rPr>
        <w:t>10</w:t>
      </w:r>
      <w:r>
        <w:rPr>
          <w:rFonts w:ascii="宋体" w:hAnsi="宋体" w:cs="宋体" w:eastAsia="宋体" w:hint="default"/>
          <w:spacing w:val="-59"/>
        </w:rPr>
        <w:t> </w:t>
      </w:r>
      <w:r>
        <w:rPr>
          <w:w w:val="99"/>
        </w:rPr>
        <w:t>股</w:t>
      </w:r>
      <w:r>
        <w:rPr>
          <w:spacing w:val="2"/>
          <w:w w:val="99"/>
        </w:rPr>
        <w:t>派</w:t>
      </w:r>
      <w:r>
        <w:rPr>
          <w:w w:val="99"/>
        </w:rPr>
        <w:t>发现</w:t>
      </w:r>
      <w:r>
        <w:rPr>
          <w:spacing w:val="2"/>
          <w:w w:val="99"/>
        </w:rPr>
        <w:t>金</w:t>
      </w:r>
      <w:r>
        <w:rPr>
          <w:w w:val="99"/>
        </w:rPr>
        <w:t>红利</w:t>
      </w:r>
      <w:r>
        <w:rPr>
          <w:spacing w:val="-61"/>
        </w:rPr>
        <w:t> </w:t>
      </w:r>
      <w:r>
        <w:rPr>
          <w:rFonts w:ascii="宋体" w:hAnsi="宋体" w:cs="宋体" w:eastAsia="宋体" w:hint="default"/>
          <w:spacing w:val="2"/>
          <w:w w:val="99"/>
        </w:rPr>
        <w:t>1</w:t>
      </w:r>
      <w:r>
        <w:rPr>
          <w:rFonts w:ascii="宋体" w:hAnsi="宋体" w:cs="宋体" w:eastAsia="宋体" w:hint="default"/>
          <w:w w:val="99"/>
        </w:rPr>
        <w:t>.</w:t>
      </w:r>
      <w:r>
        <w:rPr>
          <w:rFonts w:ascii="宋体" w:hAnsi="宋体" w:cs="宋体" w:eastAsia="宋体" w:hint="default"/>
          <w:spacing w:val="2"/>
          <w:w w:val="99"/>
        </w:rPr>
        <w:t>5</w:t>
      </w:r>
      <w:r>
        <w:rPr>
          <w:rFonts w:ascii="宋体" w:hAnsi="宋体" w:cs="宋体" w:eastAsia="宋体" w:hint="default"/>
          <w:w w:val="99"/>
        </w:rPr>
        <w:t>0</w:t>
      </w:r>
      <w:r>
        <w:rPr>
          <w:rFonts w:ascii="宋体" w:hAnsi="宋体" w:cs="宋体" w:eastAsia="宋体" w:hint="default"/>
          <w:spacing w:val="-61"/>
        </w:rPr>
        <w:t> </w:t>
      </w:r>
      <w:r>
        <w:rPr>
          <w:spacing w:val="-15"/>
          <w:w w:val="99"/>
        </w:rPr>
        <w:t>元</w:t>
      </w:r>
      <w:r>
        <w:rPr>
          <w:w w:val="99"/>
        </w:rPr>
        <w:t>（</w:t>
      </w:r>
      <w:r>
        <w:rPr>
          <w:spacing w:val="2"/>
          <w:w w:val="99"/>
        </w:rPr>
        <w:t>含</w:t>
      </w:r>
      <w:r>
        <w:rPr>
          <w:w w:val="99"/>
        </w:rPr>
        <w:t>税</w:t>
      </w:r>
      <w:r>
        <w:rPr>
          <w:spacing w:val="-118"/>
          <w:w w:val="99"/>
        </w:rPr>
        <w:t>）</w:t>
      </w:r>
      <w:r>
        <w:rPr>
          <w:spacing w:val="-17"/>
          <w:w w:val="99"/>
        </w:rPr>
        <w:t>，</w:t>
      </w:r>
      <w:r>
        <w:rPr>
          <w:w w:val="99"/>
        </w:rPr>
        <w:t>送红股</w:t>
      </w:r>
      <w:r>
        <w:rPr>
          <w:spacing w:val="-59"/>
        </w:rPr>
        <w:t> </w:t>
      </w:r>
      <w:r>
        <w:rPr>
          <w:rFonts w:ascii="宋体" w:hAnsi="宋体" w:cs="宋体" w:eastAsia="宋体" w:hint="default"/>
          <w:w w:val="99"/>
        </w:rPr>
        <w:t>0</w:t>
      </w:r>
      <w:r>
        <w:rPr>
          <w:rFonts w:ascii="宋体" w:hAnsi="宋体" w:cs="宋体" w:eastAsia="宋体" w:hint="default"/>
          <w:spacing w:val="-61"/>
        </w:rPr>
        <w:t> </w:t>
      </w:r>
      <w:r>
        <w:rPr>
          <w:spacing w:val="-15"/>
          <w:w w:val="99"/>
        </w:rPr>
        <w:t>股</w:t>
      </w:r>
      <w:r>
        <w:rPr>
          <w:spacing w:val="2"/>
          <w:w w:val="99"/>
        </w:rPr>
        <w:t>（</w:t>
      </w:r>
      <w:r>
        <w:rPr>
          <w:w w:val="99"/>
        </w:rPr>
        <w:t>含税</w:t>
      </w:r>
      <w:r>
        <w:rPr>
          <w:spacing w:val="-118"/>
          <w:w w:val="99"/>
        </w:rPr>
        <w:t>）</w:t>
      </w:r>
      <w:r>
        <w:rPr>
          <w:spacing w:val="-17"/>
          <w:w w:val="99"/>
        </w:rPr>
        <w:t>，</w:t>
      </w:r>
      <w:r>
        <w:rPr>
          <w:spacing w:val="2"/>
          <w:w w:val="99"/>
        </w:rPr>
        <w:t>以</w:t>
      </w:r>
      <w:r>
        <w:rPr>
          <w:w w:val="99"/>
        </w:rPr>
        <w:t>资</w:t>
      </w:r>
      <w:r>
        <w:rPr>
          <w:spacing w:val="2"/>
          <w:w w:val="99"/>
        </w:rPr>
        <w:t>本</w:t>
      </w:r>
      <w:r>
        <w:rPr>
          <w:w w:val="99"/>
        </w:rPr>
        <w:t>公</w:t>
      </w:r>
      <w:r>
        <w:rPr>
          <w:spacing w:val="2"/>
          <w:w w:val="99"/>
        </w:rPr>
        <w:t>积</w:t>
      </w:r>
      <w:r>
        <w:rPr>
          <w:w w:val="99"/>
        </w:rPr>
        <w:t>金向</w:t>
      </w:r>
      <w:r>
        <w:rPr>
          <w:spacing w:val="2"/>
          <w:w w:val="99"/>
        </w:rPr>
        <w:t>全</w:t>
      </w:r>
      <w:r>
        <w:rPr>
          <w:w w:val="99"/>
        </w:rPr>
        <w:t>体</w:t>
      </w:r>
      <w:r>
        <w:rPr>
          <w:spacing w:val="2"/>
          <w:w w:val="99"/>
        </w:rPr>
        <w:t>股</w:t>
      </w:r>
      <w:r>
        <w:rPr>
          <w:w w:val="99"/>
        </w:rPr>
        <w:t>东每</w:t>
      </w:r>
      <w:r>
        <w:rPr>
          <w:spacing w:val="-57"/>
        </w:rPr>
        <w:t> </w:t>
      </w:r>
      <w:r>
        <w:rPr>
          <w:rFonts w:ascii="宋体" w:hAnsi="宋体" w:cs="宋体" w:eastAsia="宋体" w:hint="default"/>
          <w:w w:val="99"/>
        </w:rPr>
        <w:t>10</w:t>
      </w:r>
      <w:r>
        <w:rPr>
          <w:rFonts w:ascii="宋体" w:hAnsi="宋体" w:cs="宋体" w:eastAsia="宋体" w:hint="default"/>
          <w:b w:val="0"/>
          <w:bCs w:val="0"/>
        </w:rPr>
      </w:r>
    </w:p>
    <w:p>
      <w:pPr>
        <w:pStyle w:val="Heading2"/>
        <w:spacing w:line="240" w:lineRule="auto" w:before="154"/>
        <w:ind w:right="992"/>
        <w:jc w:val="left"/>
        <w:rPr>
          <w:b w:val="0"/>
          <w:bCs w:val="0"/>
        </w:rPr>
      </w:pPr>
      <w:r>
        <w:rPr/>
        <w:t>股转增</w:t>
      </w:r>
      <w:r>
        <w:rPr>
          <w:spacing w:val="-58"/>
        </w:rPr>
        <w:t> </w:t>
      </w:r>
      <w:r>
        <w:rPr>
          <w:rFonts w:ascii="宋体" w:hAnsi="宋体" w:cs="宋体" w:eastAsia="宋体" w:hint="default"/>
        </w:rPr>
        <w:t>0</w:t>
      </w:r>
      <w:r>
        <w:rPr>
          <w:rFonts w:ascii="宋体" w:hAnsi="宋体" w:cs="宋体" w:eastAsia="宋体" w:hint="default"/>
          <w:spacing w:val="-61"/>
        </w:rPr>
        <w:t> </w:t>
      </w:r>
      <w:r>
        <w:rPr/>
        <w:t>股。</w:t>
      </w:r>
      <w:r>
        <w:rPr>
          <w:b w:val="0"/>
          <w:bCs w:val="0"/>
        </w:rPr>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135"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30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可转换公司债券相关情况</w:t>
            </w:r>
            <w:r>
              <w:rPr>
                <w:rFonts w:ascii="宋体" w:hAnsi="宋体" w:cs="宋体" w:eastAsia="宋体" w:hint="default"/>
              </w:rPr>
              <w:tab/>
              <w:t>53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董事、监事、高级管理人员和员工情况</w:t>
            </w:r>
            <w:r>
              <w:rPr>
                <w:rFonts w:ascii="宋体" w:hAnsi="宋体" w:cs="宋体" w:eastAsia="宋体" w:hint="default"/>
              </w:rPr>
              <w:tab/>
              <w:t>54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2"/>
              </w:rPr>
              <w:t> </w:t>
            </w:r>
            <w:r>
              <w:rPr/>
              <w:t>公司治理</w:t>
            </w:r>
            <w:r>
              <w:rPr>
                <w:rFonts w:ascii="宋体" w:hAnsi="宋体" w:cs="宋体" w:eastAsia="宋体" w:hint="default"/>
              </w:rPr>
              <w:tab/>
              <w:t>61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公司债券相关情况</w:t>
            </w:r>
            <w:r>
              <w:rPr>
                <w:rFonts w:ascii="宋体" w:hAnsi="宋体" w:cs="宋体" w:eastAsia="宋体" w:hint="default"/>
              </w:rPr>
              <w:tab/>
              <w:t>68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1"/>
              </w:rPr>
              <w:t> </w:t>
            </w:r>
            <w:r>
              <w:rPr/>
              <w:t>财务报告</w:t>
            </w:r>
            <w:r>
              <w:rPr>
                <w:rFonts w:ascii="宋体" w:hAnsi="宋体" w:cs="宋体" w:eastAsia="宋体" w:hint="default"/>
              </w:rPr>
              <w:tab/>
              <w:t>69</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2">
            <w:r>
              <w:rPr/>
              <w:t>第十三节</w:t>
            </w:r>
            <w:r>
              <w:rPr>
                <w:spacing w:val="-2"/>
              </w:rPr>
              <w:t> </w:t>
            </w:r>
            <w:r>
              <w:rPr/>
              <w:t>备查文件目录</w:t>
            </w:r>
            <w:r>
              <w:rPr>
                <w:rFonts w:ascii="宋体" w:hAnsi="宋体" w:cs="宋体" w:eastAsia="宋体" w:hint="default"/>
              </w:rPr>
              <w:tab/>
              <w:t>182</w:t>
            </w:r>
            <w:r>
              <w:rPr>
                <w:rFonts w:ascii="宋体" w:hAnsi="宋体" w:cs="宋体" w:eastAsia="宋体" w:hint="default"/>
                <w:b w:val="0"/>
                <w:bCs w:val="0"/>
              </w:rPr>
            </w:r>
          </w:hyperlink>
        </w:p>
        <w:p>
          <w:pPr/>
          <w:r>
            <w:fldChar w:fldCharType="end"/>
          </w:r>
        </w:p>
      </w:sdtContent>
    </w:sdt>
    <w:p>
      <w:pPr>
        <w:spacing w:after="0"/>
        <w:sectPr>
          <w:pgSz w:w="11910" w:h="16840"/>
          <w:pgMar w:header="877" w:footer="980" w:top="1100" w:bottom="1160" w:left="980" w:right="0"/>
        </w:sectPr>
      </w:pPr>
    </w:p>
    <w:p>
      <w:pPr>
        <w:spacing w:before="894"/>
        <w:ind w:left="135"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11"/>
        <w:gridCol w:w="5436"/>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公司、本公司、精准信息、尤洛卡</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山东子公司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尤洛卡（山东）矿业科技有限公司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广东子公司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尤洛卡（广东）精准信息工程技术研究院有限公司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富华宇祺</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师凯科技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恒天领锐</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南京恒天领锐汽车有限公司</w:t>
            </w: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导弹制导系统</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移动目标（坦克、舰艇、直升机等）进行精准打击的导弹制导系统， 包括移动式制导系统、手持式制导系统及相关备件等。</w:t>
            </w:r>
          </w:p>
        </w:tc>
      </w:tr>
      <w:tr>
        <w:trPr>
          <w:trHeight w:val="391"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西安军民融合产业基金</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公司与鲁信创业投资集团股份有限公司、西安市创投引导基金共同成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亿元的军民融合产业基金。</w:t>
            </w:r>
          </w:p>
        </w:tc>
      </w:tr>
      <w:tr>
        <w:trPr>
          <w:trHeight w:val="394"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矿山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5G</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系第五代蜂窝移动移动通信技术的简称，主要特点是数据传输速 率高，网络延迟时间小，响应时间短。矿山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是指将该技术应用于 </w:t>
            </w:r>
            <w:r>
              <w:rPr>
                <w:rFonts w:ascii="宋体" w:hAnsi="宋体" w:cs="宋体" w:eastAsia="宋体" w:hint="default"/>
                <w:spacing w:val="-2"/>
                <w:sz w:val="18"/>
                <w:szCs w:val="18"/>
              </w:rPr>
              <w:t>矿山行业，提升煤矿安全管控能力，建设智能化矿山，提高煤矿生产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经营能力，最终实现数字化智慧矿山。</w:t>
            </w:r>
          </w:p>
        </w:tc>
      </w:tr>
      <w:tr>
        <w:trPr>
          <w:trHeight w:val="391"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新能源动力及控制系统</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新能源动力及控制系统主要是指利用金属电池及氢气等新能源作为 动力的运输工具或设备所涉及的动力总成和电控系统。</w:t>
            </w:r>
          </w:p>
        </w:tc>
      </w:tr>
      <w:tr>
        <w:trPr>
          <w:trHeight w:val="394"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2" w:right="992"/>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92"/>
        <w:jc w:val="left"/>
        <w:rPr>
          <w:b w:val="0"/>
          <w:bCs w:val="0"/>
        </w:rPr>
      </w:pPr>
      <w:r>
        <w:rPr/>
        <w:pict>
          <v:group style="position:absolute;margin-left:172.339996pt;margin-top:114.675598pt;width:361.55pt;height:19.7pt;mso-position-horizontal-relative:page;mso-position-vertical-relative:paragraph;z-index:-882136" coordorigin="3447,2294" coordsize="7231,394">
            <v:shape style="position:absolute;left:3447;top:2294;width:7231;height:394" coordorigin="3447,2294" coordsize="7231,394" path="m3447,2687l10677,2687,10677,2294,3447,2294,3447,2687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精准信息</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300099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尤洛卡</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Uroica Precision Information Engineering</w:t>
            </w:r>
            <w:r>
              <w:rPr>
                <w:rFonts w:ascii="Times New Roman"/>
                <w:spacing w:val="-14"/>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UPIE</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黄自伟</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271000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271000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http://www.uroica.com.cn/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mail@uroica.com.cn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92"/>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李文静</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 路以北</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 路以北</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0538-8926155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0538-8926155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0538-8926202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0538-8926202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chw600157@163.com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lwj300099@163.com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92"/>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992"/>
        <w:jc w:val="left"/>
        <w:rPr>
          <w:b w:val="0"/>
          <w:bCs w:val="0"/>
        </w:rPr>
      </w:pPr>
      <w:r>
        <w:rPr/>
        <w:t>四、其他有关资料</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公司聘请的会计师事务所</w:t>
      </w:r>
    </w:p>
    <w:p>
      <w:pPr>
        <w:spacing w:after="0" w:line="240"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号赛特广场五层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王宗佩、沈晓玮</w:t>
            </w:r>
          </w:p>
        </w:tc>
      </w:tr>
    </w:tbl>
    <w:p>
      <w:pPr>
        <w:spacing w:line="240" w:lineRule="auto" w:before="3"/>
        <w:rPr>
          <w:rFonts w:ascii="宋体" w:hAnsi="宋体" w:cs="宋体" w:eastAsia="宋体" w:hint="default"/>
          <w:sz w:val="5"/>
          <w:szCs w:val="5"/>
        </w:rPr>
      </w:pPr>
    </w:p>
    <w:p>
      <w:pPr>
        <w:pStyle w:val="BodyText"/>
        <w:spacing w:line="417" w:lineRule="auto" w:before="36"/>
        <w:ind w:left="573" w:right="3899"/>
        <w:jc w:val="left"/>
      </w:pPr>
      <w:r>
        <w:rPr/>
        <w:t>公司聘请的报告期内履行持续督导职责的保荐机构：</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公司聘请的报告期内履行持续督导职责的财务顾问：</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15"/>
          <w:szCs w:val="15"/>
        </w:rPr>
      </w:pPr>
    </w:p>
    <w:p>
      <w:pPr>
        <w:pStyle w:val="Heading2"/>
        <w:spacing w:line="240" w:lineRule="auto"/>
        <w:ind w:right="992"/>
        <w:jc w:val="left"/>
        <w:rPr>
          <w:b w:val="0"/>
          <w:bCs w:val="0"/>
        </w:rPr>
      </w:pPr>
      <w:r>
        <w:rPr/>
        <w:t>五、主要会计数据和财务指标</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公司是否需追溯调整或重述以前年度会计数据：</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7"/>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097"/>
        <w:gridCol w:w="1711"/>
        <w:gridCol w:w="1560"/>
        <w:gridCol w:w="1702"/>
        <w:gridCol w:w="1489"/>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471,866,245.30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446,156,028.97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422,911,717.94</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64,087,356.05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97,453,208.28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101,644,074.39</w:t>
            </w:r>
          </w:p>
        </w:tc>
      </w:tr>
      <w:tr>
        <w:trPr>
          <w:trHeight w:val="71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57,268,762.10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90,960,989.32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99,198,541.29</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176,842,372.59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44,816,785.80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69,851,205.04</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0.1519</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0.1519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2,023,651,079.44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1,928,271,313.23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1,922,687,119.24</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1,762,318,365.15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1,764,404,404.60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1,727,440,521.82</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50,747,854.84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43,834,480.23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90,993,831.50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286,290,078.73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-3,674,534.72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-4,302,539.42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16,690,904.99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55,373,525.20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-5,393,489.88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-6,656,060.93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14,614,733.82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54,703,579.09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17,596,256.35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54,431,952.38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73,603,195.45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31,210,968.41</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spacing w:val="-3"/>
        </w:rPr>
        <w:t>上述财务指标或其加总数是否与公司已披露季度报告、半年度报告相关财务指标存在重大差异：</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8"/>
        </w:rPr>
        <w:t> </w:t>
      </w:r>
      <w:r>
        <w:rPr/>
        <w:t>是</w:t>
      </w:r>
    </w:p>
    <w:p>
      <w:pPr>
        <w:pStyle w:val="BodyText"/>
        <w:spacing w:line="240" w:lineRule="auto" w:before="175"/>
        <w:ind w:right="992"/>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92"/>
        <w:jc w:val="left"/>
        <w:rPr>
          <w:b w:val="0"/>
          <w:bCs w:val="0"/>
        </w:rPr>
      </w:pPr>
      <w:r>
        <w:rPr/>
        <w:t>七、境内外会计准则下会计数据差异</w:t>
      </w:r>
      <w:r>
        <w:rPr>
          <w:b w:val="0"/>
          <w:bCs w:val="0"/>
        </w:rPr>
      </w:r>
    </w:p>
    <w:p>
      <w:pPr>
        <w:spacing w:line="688" w:lineRule="exact" w:before="21"/>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公司报告期不存在按照国际会计准则与按照中国会计准则披露的财务报告中净利润和净资产差异情</w:t>
      </w:r>
    </w:p>
    <w:p>
      <w:pPr>
        <w:pStyle w:val="BodyText"/>
        <w:spacing w:line="240" w:lineRule="auto" w:before="85"/>
        <w:ind w:right="992"/>
        <w:jc w:val="left"/>
      </w:pPr>
      <w:r>
        <w:rPr/>
        <w:t>况。</w:t>
      </w:r>
    </w:p>
    <w:p>
      <w:pPr>
        <w:spacing w:line="670" w:lineRule="atLeast" w:before="37"/>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公司报告期不存在按照境外会计准则与按照中国会计准则披露的财务报告中净利润和净资产差异情</w:t>
      </w:r>
    </w:p>
    <w:p>
      <w:pPr>
        <w:spacing w:line="240" w:lineRule="auto" w:before="10"/>
        <w:rPr>
          <w:rFonts w:ascii="宋体" w:hAnsi="宋体" w:cs="宋体" w:eastAsia="宋体" w:hint="default"/>
          <w:sz w:val="14"/>
          <w:szCs w:val="14"/>
        </w:rPr>
      </w:pPr>
    </w:p>
    <w:p>
      <w:pPr>
        <w:pStyle w:val="BodyText"/>
        <w:spacing w:line="240" w:lineRule="auto" w:before="0"/>
        <w:ind w:right="992"/>
        <w:jc w:val="left"/>
      </w:pPr>
      <w:r>
        <w:rPr/>
        <w:t>况。</w:t>
      </w:r>
    </w:p>
    <w:p>
      <w:pPr>
        <w:spacing w:line="240" w:lineRule="auto" w:before="10"/>
        <w:rPr>
          <w:rFonts w:ascii="宋体" w:hAnsi="宋体" w:cs="宋体" w:eastAsia="宋体" w:hint="default"/>
          <w:sz w:val="29"/>
          <w:szCs w:val="29"/>
        </w:rPr>
      </w:pPr>
    </w:p>
    <w:p>
      <w:pPr>
        <w:pStyle w:val="Heading2"/>
        <w:spacing w:line="240" w:lineRule="auto"/>
        <w:ind w:right="992"/>
        <w:jc w:val="left"/>
        <w:rPr>
          <w:b w:val="0"/>
          <w:bCs w:val="0"/>
        </w:rPr>
      </w:pPr>
      <w:r>
        <w:rPr/>
        <w:t>八、非经常性损益项目及金额</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421"/>
        <w:gridCol w:w="1418"/>
        <w:gridCol w:w="1913"/>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105,192.75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240,337.41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-235,771.42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3,489,719.60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1,148,802.72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1,478,266.00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5,845,204.70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6,708,041.41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3,612,849.86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购买金融机构理财产品</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-2,706,783.38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-2,116,836.36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-1,692,440.54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320,375.92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1,333,344.56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-103,454.76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598,326.15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1,207,242.59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514,951.25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-363,210.51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-385,771.81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98,964.79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6,818,593.95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6,492,218.96</w:t>
            </w:r>
          </w:p>
        </w:tc>
        <w:tc>
          <w:tcPr>
            <w:tcW w:w="141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2,445,533.10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386" w:lineRule="auto" w:before="177"/>
        <w:ind w:right="1119"/>
        <w:jc w:val="left"/>
      </w:pPr>
      <w:r>
        <w:rPr/>
        <w:t>性损益项目，以及把《公开发行证券的公司信息披露解释性公告第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w:t>
      </w:r>
      <w:r>
        <w:rPr>
          <w:w w:val="100"/>
        </w:rPr>
        <w:t> </w:t>
      </w:r>
      <w:r>
        <w:rPr/>
        <w:t>常性损益项目界定为经常性损益的项目，应说明原因：</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spacing w:line="386" w:lineRule="auto" w:before="76"/>
        <w:ind w:right="992" w:firstLine="42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7"/>
        </w:rPr>
        <w:t>号</w:t>
      </w:r>
      <w:r>
        <w:rPr>
          <w:rFonts w:ascii="Times New Roman" w:hAnsi="Times New Roman" w:cs="Times New Roman" w:eastAsia="Times New Roman" w:hint="default"/>
          <w:spacing w:val="-7"/>
        </w:rPr>
        <w:t>——</w:t>
      </w:r>
      <w:r>
        <w:rPr>
          <w:spacing w:val="-7"/>
        </w:rPr>
        <w:t>非经常性损益》定义、</w:t>
      </w:r>
      <w:r>
        <w:rPr>
          <w:w w:val="100"/>
        </w:rPr>
        <w:t> </w:t>
      </w:r>
      <w:r>
        <w:rPr/>
        <w:t>列举的非经常性损益项目界定为经常性损益的项目的情形。</w:t>
      </w:r>
    </w:p>
    <w:p>
      <w:pPr>
        <w:spacing w:after="0" w:line="38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46" w:right="992"/>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（一）军工业务</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1</w:t>
      </w:r>
      <w:r>
        <w:rPr/>
        <w:t>、主要业务、主要产品及用途</w:t>
      </w:r>
      <w:r>
        <w:rPr>
          <w:w w:val="100"/>
        </w:rPr>
        <w:t> </w:t>
      </w:r>
      <w:r>
        <w:rPr>
          <w:spacing w:val="-2"/>
        </w:rPr>
        <w:t>公司军工方面的业务主要是从事导弹制导系统、精密光学系统等军用产品的生产和销售。截至报告期</w:t>
      </w:r>
    </w:p>
    <w:p>
      <w:pPr>
        <w:pStyle w:val="BodyText"/>
        <w:spacing w:line="408" w:lineRule="auto" w:before="65"/>
        <w:ind w:right="1126"/>
        <w:jc w:val="both"/>
      </w:pPr>
      <w:r>
        <w:rPr>
          <w:spacing w:val="-2"/>
        </w:rPr>
        <w:t>末，导弹制导系统方面的主要产品包括手持式导弹制导系统（用于单兵或兵组作战）和移动式导弹制导系</w:t>
      </w:r>
      <w:r>
        <w:rPr>
          <w:spacing w:val="-42"/>
        </w:rPr>
        <w:t> </w:t>
      </w:r>
      <w:r>
        <w:rPr>
          <w:spacing w:val="-42"/>
        </w:rPr>
      </w:r>
      <w:r>
        <w:rPr>
          <w:spacing w:val="-2"/>
        </w:rPr>
        <w:t>统（用于装甲车导弹作战）。精密光学系统产品主要是公司利用全球顶尖设备和技术加工的光学镜头等配</w:t>
      </w:r>
      <w:r>
        <w:rPr>
          <w:spacing w:val="-44"/>
        </w:rPr>
        <w:t> </w:t>
      </w:r>
      <w:r>
        <w:rPr>
          <w:spacing w:val="-44"/>
        </w:rPr>
      </w:r>
      <w:r>
        <w:rPr/>
        <w:t>件，用于外贸瞄准具、船体测量等方面。以上业务，主要是由公司全资子公司师凯科技承担。</w:t>
      </w:r>
    </w:p>
    <w:p>
      <w:pPr>
        <w:pStyle w:val="BodyText"/>
        <w:spacing w:line="240" w:lineRule="auto"/>
        <w:ind w:left="573" w:right="992"/>
        <w:jc w:val="left"/>
      </w:pPr>
      <w:r>
        <w:rPr>
          <w:rFonts w:ascii="Times New Roman" w:hAnsi="Times New Roman" w:cs="Times New Roman" w:eastAsia="Times New Roman" w:hint="default"/>
        </w:rPr>
        <w:t>2</w:t>
      </w:r>
      <w:r>
        <w:rPr/>
        <w:t>、主要经营模式</w:t>
      </w:r>
    </w:p>
    <w:p>
      <w:pPr>
        <w:pStyle w:val="BodyText"/>
        <w:spacing w:line="386" w:lineRule="auto" w:before="177"/>
        <w:ind w:right="992" w:firstLine="420"/>
        <w:jc w:val="left"/>
      </w:pPr>
      <w:r>
        <w:rPr>
          <w:spacing w:val="-2"/>
        </w:rPr>
        <w:t>（</w:t>
      </w:r>
      <w:r>
        <w:rPr>
          <w:rFonts w:ascii="Times New Roman" w:hAnsi="Times New Roman" w:cs="Times New Roman" w:eastAsia="Times New Roman" w:hint="default"/>
          <w:spacing w:val="-2"/>
        </w:rPr>
        <w:t>1</w:t>
      </w:r>
      <w:r>
        <w:rPr>
          <w:spacing w:val="-2"/>
        </w:rPr>
        <w:t>）采购模式：师凯科技的产品主要为军用，我国从事军工产品的生产需要经过军方的资质认证，</w:t>
      </w:r>
      <w:r>
        <w:rPr>
          <w:w w:val="100"/>
        </w:rPr>
        <w:t> </w:t>
      </w:r>
      <w:r>
        <w:rPr/>
        <w:t>并进入军方合格供应商名录，师凯科技原材料根据生产需求在合格供应商范围内采购。</w:t>
      </w:r>
    </w:p>
    <w:p>
      <w:pPr>
        <w:pStyle w:val="BodyText"/>
        <w:spacing w:line="386" w:lineRule="auto" w:before="65"/>
        <w:ind w:right="992" w:firstLine="420"/>
        <w:jc w:val="left"/>
      </w:pPr>
      <w:r>
        <w:rPr>
          <w:spacing w:val="-4"/>
        </w:rPr>
        <w:t>（</w:t>
      </w:r>
      <w:r>
        <w:rPr>
          <w:rFonts w:ascii="Times New Roman" w:hAnsi="Times New Roman" w:cs="Times New Roman" w:eastAsia="Times New Roman" w:hint="default"/>
          <w:spacing w:val="-4"/>
        </w:rPr>
        <w:t>2</w:t>
      </w:r>
      <w:r>
        <w:rPr>
          <w:spacing w:val="-4"/>
        </w:rPr>
        <w:t>）生产模式：军品需求具有计划性和定制化特征，师凯科技采取</w:t>
      </w:r>
      <w:r>
        <w:rPr>
          <w:rFonts w:ascii="Times New Roman" w:hAnsi="Times New Roman" w:cs="Times New Roman" w:eastAsia="Times New Roman" w:hint="default"/>
          <w:spacing w:val="-4"/>
        </w:rPr>
        <w:t>“</w:t>
      </w:r>
      <w:r>
        <w:rPr>
          <w:spacing w:val="-4"/>
        </w:rPr>
        <w:t>以销定产</w:t>
      </w:r>
      <w:r>
        <w:rPr>
          <w:rFonts w:ascii="Times New Roman" w:hAnsi="Times New Roman" w:cs="Times New Roman" w:eastAsia="Times New Roman" w:hint="default"/>
          <w:spacing w:val="-4"/>
        </w:rPr>
        <w:t>”</w:t>
      </w:r>
      <w:r>
        <w:rPr>
          <w:spacing w:val="-4"/>
        </w:rPr>
        <w:t>的模式，根据客户订单</w:t>
      </w:r>
      <w:r>
        <w:rPr>
          <w:w w:val="100"/>
        </w:rPr>
        <w:t> </w:t>
      </w:r>
      <w:r>
        <w:rPr/>
        <w:t>合理安排生产。</w:t>
      </w:r>
    </w:p>
    <w:p>
      <w:pPr>
        <w:pStyle w:val="BodyText"/>
        <w:spacing w:line="240" w:lineRule="auto" w:before="65"/>
        <w:ind w:left="573" w:right="992"/>
        <w:jc w:val="left"/>
      </w:pPr>
      <w:r>
        <w:rPr/>
        <w:t>（</w:t>
      </w:r>
      <w:r>
        <w:rPr>
          <w:rFonts w:ascii="Times New Roman" w:hAnsi="Times New Roman" w:cs="Times New Roman" w:eastAsia="Times New Roman" w:hint="default"/>
        </w:rPr>
        <w:t>3</w:t>
      </w:r>
      <w:r>
        <w:rPr/>
        <w:t>）销售模式：师凯科技的销售采取直接向客户销售的模式。</w:t>
      </w:r>
    </w:p>
    <w:p>
      <w:pPr>
        <w:pStyle w:val="BodyText"/>
        <w:spacing w:line="386" w:lineRule="auto" w:before="177"/>
        <w:ind w:right="992" w:firstLine="420"/>
        <w:jc w:val="left"/>
      </w:pPr>
      <w:r>
        <w:rPr>
          <w:spacing w:val="-2"/>
        </w:rPr>
        <w:t>（</w:t>
      </w:r>
      <w:r>
        <w:rPr>
          <w:rFonts w:ascii="Times New Roman" w:hAnsi="Times New Roman" w:cs="Times New Roman" w:eastAsia="Times New Roman" w:hint="default"/>
          <w:spacing w:val="-2"/>
        </w:rPr>
        <w:t>4</w:t>
      </w:r>
      <w:r>
        <w:rPr>
          <w:spacing w:val="-2"/>
        </w:rPr>
        <w:t>）盈利模式：师凯科技的主营业务收入来源于其导弹制导系统以及相关备件产品销售收入。该销</w:t>
      </w:r>
      <w:r>
        <w:rPr>
          <w:w w:val="100"/>
        </w:rPr>
        <w:t> </w:t>
      </w:r>
      <w:r>
        <w:rPr/>
        <w:t>售收入与生产成本、各项税费之间的差额即为师凯科技的盈利来源。</w:t>
      </w:r>
    </w:p>
    <w:p>
      <w:pPr>
        <w:pStyle w:val="BodyText"/>
        <w:spacing w:line="408" w:lineRule="auto" w:before="65"/>
        <w:ind w:right="1126" w:firstLine="420"/>
        <w:jc w:val="both"/>
      </w:pPr>
      <w:r>
        <w:rPr>
          <w:spacing w:val="-2"/>
        </w:rPr>
        <w:t>报告期内，师凯科技在完成原有军工产品的技术改造产品更新换代的基础上，继续利用已经掌握的先</w:t>
      </w:r>
      <w:r>
        <w:rPr>
          <w:w w:val="100"/>
        </w:rPr>
        <w:t> </w:t>
      </w:r>
      <w:r>
        <w:rPr>
          <w:spacing w:val="-2"/>
        </w:rPr>
        <w:t>进光电技术及高精度光学元器件加工技术，进行新产品的研制开发，业务领域进一步拓展至红外微光、自</w:t>
      </w:r>
      <w:r>
        <w:rPr>
          <w:spacing w:val="-44"/>
        </w:rPr>
        <w:t> </w:t>
      </w:r>
      <w:r>
        <w:rPr>
          <w:spacing w:val="-44"/>
        </w:rPr>
      </w:r>
      <w:r>
        <w:rPr/>
        <w:t>动控制、图像识别与处理、生物体特征识别、高空侦察瞄准等。</w:t>
      </w:r>
    </w:p>
    <w:p>
      <w:pPr>
        <w:pStyle w:val="BodyText"/>
        <w:spacing w:line="408" w:lineRule="auto"/>
        <w:ind w:right="992" w:firstLine="420"/>
        <w:jc w:val="left"/>
      </w:pPr>
      <w:r>
        <w:rPr>
          <w:spacing w:val="-2"/>
        </w:rPr>
        <w:t>另外，公司控股子公司富华宇祺在军工信息系统集成业务方面于报告期末中标两个无线通讯项目，虽</w:t>
      </w:r>
      <w:r>
        <w:rPr>
          <w:w w:val="100"/>
        </w:rPr>
        <w:t> </w:t>
      </w:r>
      <w:r>
        <w:rPr/>
        <w:t>然收入未完全在本报告期体现，但业务取得了阶段性成果。</w:t>
      </w:r>
    </w:p>
    <w:p>
      <w:pPr>
        <w:pStyle w:val="BodyText"/>
        <w:spacing w:line="240" w:lineRule="auto"/>
        <w:ind w:left="573" w:right="992"/>
        <w:jc w:val="left"/>
      </w:pPr>
      <w:r>
        <w:rPr/>
        <w:t>（二）煤矿安全业务</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1</w:t>
      </w:r>
      <w:r>
        <w:rPr/>
        <w:t>、主要业务、主要产品及用途</w:t>
      </w:r>
      <w:r>
        <w:rPr>
          <w:w w:val="100"/>
        </w:rPr>
        <w:t> </w:t>
      </w:r>
      <w:r>
        <w:rPr>
          <w:spacing w:val="-2"/>
        </w:rPr>
        <w:t>煤矿安全业务方面，公司是煤矿顶板安全业务的龙头企业。主要是为煤矿安全提供监控监测、井下运</w:t>
      </w:r>
    </w:p>
    <w:p>
      <w:pPr>
        <w:pStyle w:val="BodyText"/>
        <w:spacing w:line="408" w:lineRule="auto" w:before="65"/>
        <w:ind w:right="1126"/>
        <w:jc w:val="both"/>
      </w:pPr>
      <w:r>
        <w:rPr>
          <w:spacing w:val="-2"/>
        </w:rPr>
        <w:t>输及工程施工相关产品和技术服务等，主要产品包括煤矿顶板监测系统、蓝牙数字压力计等仪器仪表、智</w:t>
      </w:r>
      <w:r>
        <w:rPr>
          <w:spacing w:val="-43"/>
        </w:rPr>
        <w:t> </w:t>
      </w:r>
      <w:r>
        <w:rPr>
          <w:spacing w:val="-43"/>
        </w:rPr>
      </w:r>
      <w:r>
        <w:rPr>
          <w:spacing w:val="-2"/>
        </w:rPr>
        <w:t>能集成供液系统、井下智能运输系统等。主要用途保障煤矿顶板、采煤机械及相关场所安全，提供安全运</w:t>
      </w:r>
      <w:r>
        <w:rPr>
          <w:spacing w:val="-50"/>
        </w:rPr>
        <w:t> </w:t>
      </w:r>
      <w:r>
        <w:rPr>
          <w:spacing w:val="-50"/>
        </w:rPr>
      </w:r>
      <w:r>
        <w:rPr/>
        <w:t>输服务等。</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rFonts w:ascii="Times New Roman" w:hAnsi="Times New Roman" w:cs="Times New Roman" w:eastAsia="Times New Roman" w:hint="default"/>
        </w:rPr>
        <w:t>2</w:t>
      </w:r>
      <w:r>
        <w:rPr/>
        <w:t>、主要经营模式</w:t>
      </w:r>
    </w:p>
    <w:p>
      <w:pPr>
        <w:pStyle w:val="BodyText"/>
        <w:spacing w:line="240" w:lineRule="auto" w:before="177"/>
        <w:ind w:left="573" w:right="992"/>
        <w:jc w:val="left"/>
      </w:pPr>
      <w:r>
        <w:rPr/>
        <w:t>（</w:t>
      </w:r>
      <w:r>
        <w:rPr>
          <w:rFonts w:ascii="Times New Roman" w:hAnsi="Times New Roman" w:cs="Times New Roman" w:eastAsia="Times New Roman" w:hint="default"/>
        </w:rPr>
        <w:t>1</w:t>
      </w:r>
      <w:r>
        <w:rPr/>
        <w:t>）采购模式：有专门的采购供应部，根据生产需求在合格供应商范围内采购。</w:t>
      </w:r>
    </w:p>
    <w:p>
      <w:pPr>
        <w:pStyle w:val="BodyText"/>
        <w:spacing w:line="386" w:lineRule="auto" w:before="177"/>
        <w:ind w:right="992" w:firstLine="420"/>
        <w:jc w:val="left"/>
      </w:pPr>
      <w:r>
        <w:rPr>
          <w:spacing w:val="-2"/>
        </w:rPr>
        <w:t>（</w:t>
      </w:r>
      <w:r>
        <w:rPr>
          <w:rFonts w:ascii="Times New Roman" w:hAnsi="Times New Roman" w:cs="Times New Roman" w:eastAsia="Times New Roman" w:hint="default"/>
          <w:spacing w:val="-2"/>
        </w:rPr>
        <w:t>2</w:t>
      </w:r>
      <w:r>
        <w:rPr>
          <w:spacing w:val="-2"/>
        </w:rPr>
        <w:t>）生产模式：煤矿安全类及运输产品需求具有计划性和定制化特征，采取</w:t>
      </w:r>
      <w:r>
        <w:rPr>
          <w:rFonts w:ascii="Times New Roman" w:hAnsi="Times New Roman" w:cs="Times New Roman" w:eastAsia="Times New Roman" w:hint="default"/>
          <w:spacing w:val="-2"/>
        </w:rPr>
        <w:t>“</w:t>
      </w:r>
      <w:r>
        <w:rPr>
          <w:spacing w:val="-2"/>
        </w:rPr>
        <w:t>以销定产、以标定产</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的模式，根据客户订单和中标书合理安排生产。</w:t>
      </w:r>
    </w:p>
    <w:p>
      <w:pPr>
        <w:pStyle w:val="BodyText"/>
        <w:spacing w:line="386" w:lineRule="auto" w:before="65"/>
        <w:ind w:right="992" w:firstLine="420"/>
        <w:jc w:val="left"/>
      </w:pPr>
      <w:r>
        <w:rPr>
          <w:spacing w:val="-2"/>
        </w:rPr>
        <w:t>（</w:t>
      </w:r>
      <w:r>
        <w:rPr>
          <w:rFonts w:ascii="Times New Roman" w:hAnsi="Times New Roman" w:cs="Times New Roman" w:eastAsia="Times New Roman" w:hint="default"/>
          <w:spacing w:val="-2"/>
        </w:rPr>
        <w:t>3</w:t>
      </w:r>
      <w:r>
        <w:rPr>
          <w:spacing w:val="-2"/>
        </w:rPr>
        <w:t>）销售模式：煤矿类产品销售主要采取向客户投标，然后进行设备销售、提供安装、技术指导服</w:t>
      </w:r>
      <w:r>
        <w:rPr>
          <w:w w:val="100"/>
        </w:rPr>
        <w:t> </w:t>
      </w:r>
      <w:r>
        <w:rPr/>
        <w:t>务，完成系统建设，最后实现完全销售的模式。</w:t>
      </w:r>
    </w:p>
    <w:p>
      <w:pPr>
        <w:pStyle w:val="BodyText"/>
        <w:spacing w:line="386" w:lineRule="auto" w:before="65"/>
        <w:ind w:right="992" w:firstLine="420"/>
        <w:jc w:val="left"/>
      </w:pPr>
      <w:r>
        <w:rPr>
          <w:spacing w:val="-2"/>
        </w:rPr>
        <w:t>（</w:t>
      </w:r>
      <w:r>
        <w:rPr>
          <w:rFonts w:ascii="Times New Roman" w:hAnsi="Times New Roman" w:cs="Times New Roman" w:eastAsia="Times New Roman" w:hint="default"/>
          <w:spacing w:val="-2"/>
        </w:rPr>
        <w:t>4</w:t>
      </w:r>
      <w:r>
        <w:rPr>
          <w:spacing w:val="-2"/>
        </w:rPr>
        <w:t>）盈利模式：主营业务收入来源于煤矿安全、运输类产品的销售及技术服务收入。该等收入与生</w:t>
      </w:r>
      <w:r>
        <w:rPr>
          <w:w w:val="100"/>
        </w:rPr>
        <w:t> </w:t>
      </w:r>
      <w:r>
        <w:rPr/>
        <w:t>产成本、安装费等费用之间的差额即为其盈利来源。</w:t>
      </w:r>
    </w:p>
    <w:p>
      <w:pPr>
        <w:pStyle w:val="BodyText"/>
        <w:spacing w:line="410" w:lineRule="auto" w:before="65"/>
        <w:ind w:right="992" w:firstLine="420"/>
        <w:jc w:val="left"/>
      </w:pPr>
      <w:r>
        <w:rPr>
          <w:spacing w:val="-2"/>
        </w:rPr>
        <w:t>报告期内，公司煤矿安全业务持续发力，业绩实现稳步增长，其中受国家大力推广综采智能化工作面</w:t>
      </w:r>
      <w:r>
        <w:rPr>
          <w:w w:val="100"/>
        </w:rPr>
        <w:t> </w:t>
      </w:r>
      <w:r>
        <w:rPr>
          <w:spacing w:val="-2"/>
        </w:rPr>
        <w:t>影响，公司相关产品的需求量大幅增长；井下智能安全运输系统进一步得到客户认可，不断开拓新客户。</w:t>
      </w:r>
    </w:p>
    <w:p>
      <w:pPr>
        <w:pStyle w:val="BodyText"/>
        <w:spacing w:line="240" w:lineRule="auto" w:before="44"/>
        <w:ind w:left="573" w:right="992"/>
        <w:jc w:val="left"/>
      </w:pPr>
      <w:r>
        <w:rPr/>
        <w:t>（三）信息通信业务</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1</w:t>
      </w:r>
      <w:r>
        <w:rPr/>
        <w:t>、主要业务、主要产品及用途</w:t>
      </w:r>
      <w:r>
        <w:rPr>
          <w:w w:val="100"/>
        </w:rPr>
        <w:t> </w:t>
      </w:r>
      <w:r>
        <w:rPr>
          <w:spacing w:val="-5"/>
        </w:rPr>
        <w:t>报告期内，公司信息通信业务主要以军工信息产品服务、轨交车载通讯服务及能源行业信息服务为主，</w:t>
      </w:r>
    </w:p>
    <w:p>
      <w:pPr>
        <w:pStyle w:val="BodyText"/>
        <w:spacing w:line="408" w:lineRule="auto" w:before="65"/>
        <w:ind w:right="1126"/>
        <w:jc w:val="both"/>
      </w:pPr>
      <w:r>
        <w:rPr>
          <w:spacing w:val="-2"/>
        </w:rPr>
        <w:t>主要产品包括军工信息系统集成产品、车载无线系统产品、车载交换机产品、车载语音调度对讲产品、车</w:t>
      </w:r>
      <w:r>
        <w:rPr>
          <w:spacing w:val="-47"/>
        </w:rPr>
        <w:t> </w:t>
      </w:r>
      <w:r>
        <w:rPr>
          <w:spacing w:val="-47"/>
        </w:rPr>
      </w:r>
      <w:r>
        <w:rPr>
          <w:spacing w:val="-2"/>
        </w:rPr>
        <w:t>载监控检测产品、煤矿井下无线通讯系统等。主要应用于军方训练基地、车载特殊应用环境下的通讯及煤</w:t>
      </w:r>
      <w:r>
        <w:rPr>
          <w:spacing w:val="-44"/>
        </w:rPr>
        <w:t> </w:t>
      </w:r>
      <w:r>
        <w:rPr>
          <w:spacing w:val="-44"/>
        </w:rPr>
      </w:r>
      <w:r>
        <w:rPr/>
        <w:t>化工厂区宽带集群无线通讯系统等。</w:t>
      </w:r>
    </w:p>
    <w:p>
      <w:pPr>
        <w:pStyle w:val="BodyText"/>
        <w:spacing w:line="240" w:lineRule="auto"/>
        <w:ind w:left="573" w:right="992"/>
        <w:jc w:val="left"/>
      </w:pPr>
      <w:r>
        <w:rPr>
          <w:rFonts w:ascii="Times New Roman" w:hAnsi="Times New Roman" w:cs="Times New Roman" w:eastAsia="Times New Roman" w:hint="default"/>
        </w:rPr>
        <w:t>2</w:t>
      </w:r>
      <w:r>
        <w:rPr/>
        <w:t>、主要经营模式</w:t>
      </w:r>
    </w:p>
    <w:p>
      <w:pPr>
        <w:pStyle w:val="BodyText"/>
        <w:spacing w:line="386" w:lineRule="auto" w:before="177"/>
        <w:ind w:right="992" w:firstLine="420"/>
        <w:jc w:val="left"/>
      </w:pPr>
      <w:r>
        <w:rPr>
          <w:spacing w:val="-2"/>
        </w:rPr>
        <w:t>（</w:t>
      </w:r>
      <w:r>
        <w:rPr>
          <w:rFonts w:ascii="Times New Roman" w:hAnsi="Times New Roman" w:cs="Times New Roman" w:eastAsia="Times New Roman" w:hint="default"/>
          <w:spacing w:val="-2"/>
        </w:rPr>
        <w:t>1</w:t>
      </w:r>
      <w:r>
        <w:rPr>
          <w:spacing w:val="-2"/>
        </w:rPr>
        <w:t>）采购模式：富华宇祺的产品主要是各种通信系统，系统所需的组成部分一部分需要向大型基础</w:t>
      </w:r>
      <w:r>
        <w:rPr>
          <w:w w:val="100"/>
        </w:rPr>
        <w:t> </w:t>
      </w:r>
      <w:r>
        <w:rPr/>
        <w:t>通信企业采购，一部分自制。</w:t>
      </w:r>
    </w:p>
    <w:p>
      <w:pPr>
        <w:pStyle w:val="BodyText"/>
        <w:spacing w:line="386" w:lineRule="auto" w:before="65"/>
        <w:ind w:right="992" w:firstLine="420"/>
        <w:jc w:val="left"/>
      </w:pPr>
      <w:r>
        <w:rPr>
          <w:spacing w:val="-4"/>
        </w:rPr>
        <w:t>（</w:t>
      </w:r>
      <w:r>
        <w:rPr>
          <w:rFonts w:ascii="Times New Roman" w:hAnsi="Times New Roman" w:cs="Times New Roman" w:eastAsia="Times New Roman" w:hint="default"/>
          <w:spacing w:val="-4"/>
        </w:rPr>
        <w:t>2</w:t>
      </w:r>
      <w:r>
        <w:rPr>
          <w:spacing w:val="-4"/>
        </w:rPr>
        <w:t>）生产模式：产品需求具有计划性和定制化特征，富华宇祺采取</w:t>
      </w:r>
      <w:r>
        <w:rPr>
          <w:rFonts w:ascii="Times New Roman" w:hAnsi="Times New Roman" w:cs="Times New Roman" w:eastAsia="Times New Roman" w:hint="default"/>
          <w:spacing w:val="-4"/>
        </w:rPr>
        <w:t>“</w:t>
      </w:r>
      <w:r>
        <w:rPr>
          <w:spacing w:val="-4"/>
        </w:rPr>
        <w:t>以销定产、以标定产</w:t>
      </w:r>
      <w:r>
        <w:rPr>
          <w:rFonts w:ascii="Times New Roman" w:hAnsi="Times New Roman" w:cs="Times New Roman" w:eastAsia="Times New Roman" w:hint="default"/>
          <w:spacing w:val="-4"/>
        </w:rPr>
        <w:t>”</w:t>
      </w:r>
      <w:r>
        <w:rPr>
          <w:spacing w:val="-4"/>
        </w:rPr>
        <w:t>的模式，根</w:t>
      </w:r>
      <w:r>
        <w:rPr>
          <w:w w:val="100"/>
        </w:rPr>
        <w:t> </w:t>
      </w:r>
      <w:r>
        <w:rPr/>
        <w:t>据客户订单或标书合理安排生产。</w:t>
      </w:r>
    </w:p>
    <w:p>
      <w:pPr>
        <w:pStyle w:val="BodyText"/>
        <w:spacing w:line="386" w:lineRule="auto" w:before="65"/>
        <w:ind w:right="992" w:firstLine="420"/>
        <w:jc w:val="left"/>
      </w:pPr>
      <w:r>
        <w:rPr>
          <w:spacing w:val="-2"/>
        </w:rPr>
        <w:t>（</w:t>
      </w:r>
      <w:r>
        <w:rPr>
          <w:rFonts w:ascii="Times New Roman" w:hAnsi="Times New Roman" w:cs="Times New Roman" w:eastAsia="Times New Roman" w:hint="default"/>
          <w:spacing w:val="-2"/>
        </w:rPr>
        <w:t>3</w:t>
      </w:r>
      <w:r>
        <w:rPr>
          <w:spacing w:val="-2"/>
        </w:rPr>
        <w:t>）销售模式：富华宇祺的销售主要采取向客户投标，然后进行设备销售、提供安装、技术服务，</w:t>
      </w:r>
      <w:r>
        <w:rPr>
          <w:w w:val="100"/>
        </w:rPr>
        <w:t> </w:t>
      </w:r>
      <w:r>
        <w:rPr/>
        <w:t>完成系统建设，最后实现完全销售的模式。</w:t>
      </w:r>
    </w:p>
    <w:p>
      <w:pPr>
        <w:pStyle w:val="BodyText"/>
        <w:spacing w:line="386" w:lineRule="auto" w:before="65"/>
        <w:ind w:right="992" w:firstLine="420"/>
        <w:jc w:val="left"/>
      </w:pPr>
      <w:r>
        <w:rPr>
          <w:spacing w:val="-2"/>
        </w:rPr>
        <w:t>（</w:t>
      </w:r>
      <w:r>
        <w:rPr>
          <w:rFonts w:ascii="Times New Roman" w:hAnsi="Times New Roman" w:cs="Times New Roman" w:eastAsia="Times New Roman" w:hint="default"/>
          <w:spacing w:val="-2"/>
        </w:rPr>
        <w:t>4</w:t>
      </w:r>
      <w:r>
        <w:rPr>
          <w:spacing w:val="-2"/>
        </w:rPr>
        <w:t>）盈利模式：富华宇祺的主营业务收入来源于其通信系统设备销售、安装技术服务实现收入。该</w:t>
      </w:r>
      <w:r>
        <w:rPr>
          <w:w w:val="100"/>
        </w:rPr>
        <w:t> </w:t>
      </w:r>
      <w:r>
        <w:rPr/>
        <w:t>等收入与设备成本、安装费用等之间的差额即为富华宇祺的盈利来源。</w:t>
      </w:r>
    </w:p>
    <w:p>
      <w:pPr>
        <w:pStyle w:val="BodyText"/>
        <w:spacing w:line="386" w:lineRule="auto" w:before="65"/>
        <w:ind w:right="992" w:firstLine="420"/>
        <w:jc w:val="left"/>
      </w:pPr>
      <w:r>
        <w:rPr>
          <w:spacing w:val="-3"/>
        </w:rPr>
        <w:t>报告期内，富华宇祺聚焦矿用</w:t>
      </w:r>
      <w:r>
        <w:rPr>
          <w:rFonts w:ascii="Times New Roman" w:hAnsi="Times New Roman" w:cs="Times New Roman" w:eastAsia="Times New Roman" w:hint="default"/>
          <w:spacing w:val="-3"/>
        </w:rPr>
        <w:t>5G</w:t>
      </w:r>
      <w:r>
        <w:rPr>
          <w:spacing w:val="-3"/>
        </w:rPr>
        <w:t>通讯系统相关设备、车载控制系统软硬件、自主可控和燃料电池等新</w:t>
      </w:r>
      <w:r>
        <w:rPr>
          <w:w w:val="100"/>
        </w:rPr>
        <w:t> </w:t>
      </w:r>
      <w:r>
        <w:rPr>
          <w:spacing w:val="-2"/>
        </w:rPr>
        <w:t>产品进行投入研发，共取得</w:t>
      </w:r>
      <w:r>
        <w:rPr>
          <w:rFonts w:ascii="Times New Roman" w:hAnsi="Times New Roman" w:cs="Times New Roman" w:eastAsia="Times New Roman" w:hint="default"/>
          <w:spacing w:val="-2"/>
        </w:rPr>
        <w:t>6</w:t>
      </w:r>
      <w:r>
        <w:rPr>
          <w:spacing w:val="-2"/>
        </w:rPr>
        <w:t>项实用新型专利授权、</w:t>
      </w:r>
      <w:r>
        <w:rPr>
          <w:rFonts w:ascii="Times New Roman" w:hAnsi="Times New Roman" w:cs="Times New Roman" w:eastAsia="Times New Roman" w:hint="default"/>
          <w:spacing w:val="-2"/>
        </w:rPr>
        <w:t>1</w:t>
      </w:r>
      <w:r>
        <w:rPr>
          <w:spacing w:val="-2"/>
        </w:rPr>
        <w:t>项软件著作权授权、</w:t>
      </w:r>
      <w:r>
        <w:rPr>
          <w:rFonts w:ascii="Times New Roman" w:hAnsi="Times New Roman" w:cs="Times New Roman" w:eastAsia="Times New Roman" w:hint="default"/>
          <w:spacing w:val="-2"/>
        </w:rPr>
        <w:t>2</w:t>
      </w:r>
      <w:r>
        <w:rPr>
          <w:spacing w:val="-2"/>
        </w:rPr>
        <w:t>项发明专利进入实质审查阶段、</w:t>
      </w:r>
      <w:r>
        <w:rPr>
          <w:spacing w:val="-38"/>
        </w:rPr>
        <w:t> </w:t>
      </w:r>
      <w:r>
        <w:rPr>
          <w:spacing w:val="-38"/>
        </w:rPr>
      </w:r>
      <w:r>
        <w:rPr>
          <w:rFonts w:ascii="Times New Roman" w:hAnsi="Times New Roman" w:cs="Times New Roman" w:eastAsia="Times New Roman" w:hint="default"/>
        </w:rPr>
        <w:t>1</w:t>
      </w:r>
      <w:r>
        <w:rPr/>
        <w:t>项实用新型专利在申请中。</w:t>
      </w:r>
    </w:p>
    <w:p>
      <w:pPr>
        <w:pStyle w:val="BodyText"/>
        <w:spacing w:line="408" w:lineRule="auto" w:before="35"/>
        <w:ind w:left="573" w:right="992"/>
        <w:jc w:val="left"/>
      </w:pPr>
      <w:r>
        <w:rPr/>
        <w:t>（四）业绩变动因素</w:t>
      </w:r>
      <w:r>
        <w:rPr>
          <w:w w:val="100"/>
        </w:rPr>
        <w:t> </w:t>
      </w:r>
      <w:r>
        <w:rPr>
          <w:spacing w:val="-3"/>
        </w:rPr>
        <w:t>报告期内，公司煤矿安全业务业绩实现稳步增长，营业收入、净利润较上年同期均增长明显；公司军</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3" w:lineRule="auto" w:before="36"/>
        <w:ind w:right="1126"/>
        <w:jc w:val="both"/>
      </w:pPr>
      <w:r>
        <w:rPr>
          <w:spacing w:val="-2"/>
        </w:rPr>
        <w:t>工业务收入稳定，营业收入与去年同期基本持平，但因研发投入增加及超额完成业绩增加奖励等原因造成</w:t>
      </w:r>
      <w:r>
        <w:rPr>
          <w:spacing w:val="-43"/>
        </w:rPr>
        <w:t> </w:t>
      </w:r>
      <w:r>
        <w:rPr>
          <w:spacing w:val="-43"/>
        </w:rPr>
      </w:r>
      <w:r>
        <w:rPr>
          <w:spacing w:val="-2"/>
        </w:rPr>
        <w:t>费用大幅增加，另外，因产品结构变化及税率调整增值税返还减少，造成报告期净利润有所下降；控股子</w:t>
      </w:r>
      <w:r>
        <w:rPr>
          <w:spacing w:val="-47"/>
        </w:rPr>
        <w:t> </w:t>
      </w:r>
      <w:r>
        <w:rPr>
          <w:spacing w:val="-47"/>
        </w:rPr>
      </w:r>
      <w:r>
        <w:rPr>
          <w:spacing w:val="-2"/>
        </w:rPr>
        <w:t>公司富华宇祺业务转型尚未完全实现，虽然新业务已取得了部分订单，但收入未完全在本报告期体现，导</w:t>
      </w:r>
      <w:r>
        <w:rPr>
          <w:spacing w:val="-42"/>
        </w:rPr>
        <w:t> </w:t>
      </w:r>
      <w:r>
        <w:rPr>
          <w:spacing w:val="-42"/>
        </w:rPr>
      </w:r>
      <w:r>
        <w:rPr>
          <w:spacing w:val="-2"/>
        </w:rPr>
        <w:t>致营业收入较去年同期下滑，且在研发费用、市场开拓费用大量投入的情况下，报告期经营业绩仍处于亏</w:t>
      </w:r>
      <w:r>
        <w:rPr>
          <w:spacing w:val="-43"/>
        </w:rPr>
        <w:t> </w:t>
      </w:r>
      <w:r>
        <w:rPr>
          <w:spacing w:val="-43"/>
        </w:rPr>
      </w:r>
      <w:r>
        <w:rPr>
          <w:spacing w:val="-3"/>
        </w:rPr>
        <w:t>损状态。公司结合富华宇祺实际经营情况，全额对富华宇祺商誉计提减值约</w:t>
      </w:r>
      <w:r>
        <w:rPr>
          <w:rFonts w:ascii="Times New Roman" w:hAnsi="Times New Roman" w:cs="Times New Roman" w:eastAsia="Times New Roman" w:hint="default"/>
          <w:spacing w:val="-3"/>
        </w:rPr>
        <w:t>3,757</w:t>
      </w:r>
      <w:r>
        <w:rPr>
          <w:spacing w:val="-3"/>
        </w:rPr>
        <w:t>万元，最终导致归属于上</w:t>
      </w:r>
      <w:r>
        <w:rPr>
          <w:spacing w:val="-49"/>
        </w:rPr>
        <w:t> </w:t>
      </w:r>
      <w:r>
        <w:rPr>
          <w:spacing w:val="-49"/>
        </w:rPr>
      </w:r>
      <w:r>
        <w:rPr/>
        <w:t>市公司股东的净利润较去年同期明显下降。</w:t>
      </w:r>
    </w:p>
    <w:p>
      <w:pPr>
        <w:pStyle w:val="BodyText"/>
        <w:spacing w:line="240" w:lineRule="auto" w:before="50"/>
        <w:ind w:left="573" w:right="992"/>
        <w:jc w:val="left"/>
      </w:pPr>
      <w:r>
        <w:rPr/>
        <w:t>行业发展等情况在经营情况讨论与分析中进行阐述，详见本报告第四节。</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02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应收票据年末数较年初数增加</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59.30%</w:t>
            </w:r>
            <w:r>
              <w:rPr>
                <w:rFonts w:ascii="宋体" w:hAnsi="宋体" w:cs="宋体" w:eastAsia="宋体" w:hint="default"/>
                <w:spacing w:val="-4"/>
                <w:sz w:val="18"/>
                <w:szCs w:val="18"/>
              </w:rPr>
              <w:t>，主要原因是公司报告期内执行新金融工具准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则，期末已背书或已贴现未终止确认的应收票据分类到本项目列报，同时收到客户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的承兑汇票增加所致。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应收账款年末数较年初数减少</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36.24%</w:t>
            </w:r>
            <w:r>
              <w:rPr>
                <w:rFonts w:ascii="宋体" w:hAnsi="宋体" w:cs="宋体" w:eastAsia="宋体" w:hint="default"/>
                <w:spacing w:val="-4"/>
                <w:sz w:val="18"/>
                <w:szCs w:val="18"/>
              </w:rPr>
              <w:t>，主要原因是公司报告期内产品及客户结构优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化，货款回收能力提高所致。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存货年末数较年初数增加</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75.24%</w:t>
            </w:r>
            <w:r>
              <w:rPr>
                <w:rFonts w:ascii="宋体" w:hAnsi="宋体" w:cs="宋体" w:eastAsia="宋体" w:hint="default"/>
                <w:spacing w:val="-3"/>
                <w:sz w:val="18"/>
                <w:szCs w:val="18"/>
              </w:rPr>
              <w:t>，主要原因是公司全资子公司师凯科技为下一年度</w:t>
            </w:r>
            <w:r>
              <w:rPr>
                <w:rFonts w:ascii="宋体" w:hAnsi="宋体" w:cs="宋体" w:eastAsia="宋体" w:hint="default"/>
                <w:sz w:val="18"/>
                <w:szCs w:val="18"/>
              </w:rPr>
              <w:t> 的订单提前备货所致。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长期股权投资年末数较年初数增加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2,419.21%</w:t>
            </w:r>
            <w:r>
              <w:rPr>
                <w:rFonts w:ascii="宋体" w:hAnsi="宋体" w:cs="宋体" w:eastAsia="宋体" w:hint="default"/>
                <w:sz w:val="18"/>
                <w:szCs w:val="18"/>
              </w:rPr>
              <w:t>，主要原因是报告期内支付恒天领锐 投资款所致。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right="992"/>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left="573" w:right="992"/>
        <w:jc w:val="left"/>
      </w:pPr>
      <w:r>
        <w:rPr>
          <w:rFonts w:ascii="Times New Roman" w:hAnsi="Times New Roman" w:cs="Times New Roman" w:eastAsia="Times New Roman" w:hint="default"/>
        </w:rPr>
        <w:t>1</w:t>
      </w:r>
      <w:r>
        <w:rPr/>
        <w:t>、自主研发创新优势</w:t>
      </w:r>
      <w:r>
        <w:rPr>
          <w:w w:val="100"/>
        </w:rPr>
        <w:t> </w:t>
      </w:r>
      <w:r>
        <w:rPr>
          <w:spacing w:val="-5"/>
        </w:rPr>
        <w:t>自成立以来，公司始终坚持自主研发的科技战略，注重新产品的自主研发、创新以及研发团队的建设。</w:t>
      </w:r>
    </w:p>
    <w:p>
      <w:pPr>
        <w:pStyle w:val="BodyText"/>
        <w:spacing w:line="240" w:lineRule="auto" w:before="65"/>
        <w:ind w:right="992"/>
        <w:jc w:val="left"/>
      </w:pPr>
      <w:r>
        <w:rPr/>
        <w:t>目前，公司已拥有国家地方联合工程技术中心、省级企业技术中心、省级示范工程技术研究中心、省级院</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2"/>
        <w:jc w:val="left"/>
      </w:pPr>
      <w:r>
        <w:rPr>
          <w:spacing w:val="-2"/>
        </w:rPr>
        <w:t>士专家工作站、省级博士后科研工作站等研发平台。公司一直高度重视研发投入，紧跟市场需求与国内外</w:t>
      </w:r>
      <w:r>
        <w:rPr>
          <w:spacing w:val="-45"/>
        </w:rPr>
        <w:t> </w:t>
      </w:r>
      <w:r>
        <w:rPr>
          <w:spacing w:val="-45"/>
        </w:rPr>
      </w:r>
      <w:r>
        <w:rPr>
          <w:spacing w:val="-4"/>
        </w:rPr>
        <w:t>技术发展趋势，建立了专业的研发机构，打造了一支集应用研究与生产实践紧密结合，横跨机械精密加工、</w:t>
      </w:r>
      <w:r>
        <w:rPr>
          <w:spacing w:val="-49"/>
        </w:rPr>
        <w:t> </w:t>
      </w:r>
      <w:r>
        <w:rPr>
          <w:spacing w:val="-49"/>
        </w:rPr>
      </w:r>
      <w:r>
        <w:rPr>
          <w:spacing w:val="-2"/>
        </w:rPr>
        <w:t>工业自动化、软件工程、大数据等多专业的，具备持续创新能力的研发队伍。公司制定了完善的研发人员</w:t>
      </w:r>
      <w:r>
        <w:rPr>
          <w:spacing w:val="-47"/>
        </w:rPr>
        <w:t> </w:t>
      </w:r>
      <w:r>
        <w:rPr>
          <w:spacing w:val="-47"/>
        </w:rPr>
      </w:r>
      <w:r>
        <w:rPr>
          <w:spacing w:val="-2"/>
        </w:rPr>
        <w:t>管理制度和考核体系，加大了高精尖人才的引进力度，加强了与高等院校的产学研项目合作，已形成了畅</w:t>
      </w:r>
      <w:r>
        <w:rPr>
          <w:spacing w:val="-44"/>
        </w:rPr>
        <w:t> </w:t>
      </w:r>
      <w:r>
        <w:rPr>
          <w:spacing w:val="-44"/>
        </w:rPr>
      </w:r>
      <w:r>
        <w:rPr/>
        <w:t>通的研发人才培养通道，为公司持续开展产品研发创新提供了有力保障。</w:t>
      </w:r>
    </w:p>
    <w:p>
      <w:pPr>
        <w:pStyle w:val="BodyText"/>
        <w:spacing w:line="386" w:lineRule="auto"/>
        <w:ind w:left="573" w:right="992"/>
        <w:jc w:val="left"/>
      </w:pPr>
      <w:r>
        <w:rPr>
          <w:rFonts w:ascii="Times New Roman" w:hAnsi="Times New Roman" w:cs="Times New Roman" w:eastAsia="Times New Roman" w:hint="default"/>
        </w:rPr>
        <w:t>2</w:t>
      </w:r>
      <w:r>
        <w:rPr/>
        <w:t>、实施集团化管理优势</w:t>
      </w:r>
      <w:r>
        <w:rPr>
          <w:w w:val="100"/>
        </w:rPr>
        <w:t> </w:t>
      </w:r>
      <w:r>
        <w:rPr>
          <w:spacing w:val="-2"/>
        </w:rPr>
        <w:t>为了进一步提升管理效率，公司实施集团化管理模式，把不同地域、不同行业的管理模式、经营理念</w:t>
      </w:r>
    </w:p>
    <w:p>
      <w:pPr>
        <w:pStyle w:val="BodyText"/>
        <w:spacing w:line="400" w:lineRule="auto" w:before="65"/>
        <w:ind w:right="992"/>
        <w:jc w:val="left"/>
      </w:pPr>
      <w:r>
        <w:rPr>
          <w:spacing w:val="-2"/>
        </w:rPr>
        <w:t>及企业文化有差异的经营实体有机结合起来，实现公司运作的深度协同、高效管控、顺畅运行，企业资源</w:t>
      </w:r>
      <w:r>
        <w:rPr>
          <w:spacing w:val="-47"/>
        </w:rPr>
        <w:t> </w:t>
      </w:r>
      <w:r>
        <w:rPr>
          <w:spacing w:val="-47"/>
        </w:rPr>
      </w:r>
      <w:r>
        <w:rPr>
          <w:spacing w:val="-2"/>
        </w:rPr>
        <w:t>比如资质、市场、人才等初步达到了共享共用，成本费用有了降低，运营效率得以提高。增强对相关子公</w:t>
      </w:r>
      <w:r>
        <w:rPr>
          <w:spacing w:val="-42"/>
        </w:rPr>
        <w:t> </w:t>
      </w:r>
      <w:r>
        <w:rPr>
          <w:spacing w:val="-42"/>
        </w:rPr>
      </w:r>
      <w:r>
        <w:rPr/>
        <w:t>司的控制和协同管理能力，公司现拥有</w:t>
      </w:r>
      <w:r>
        <w:rPr>
          <w:rFonts w:ascii="Times New Roman" w:hAnsi="Times New Roman" w:cs="Times New Roman" w:eastAsia="Times New Roman" w:hint="default"/>
        </w:rPr>
        <w:t>6</w:t>
      </w:r>
      <w:r>
        <w:rPr/>
        <w:t>家全资或控股子公司，一个军民融合产业基金，垂直管理效率进</w:t>
      </w:r>
      <w:r>
        <w:rPr>
          <w:w w:val="100"/>
        </w:rPr>
        <w:t> </w:t>
      </w:r>
      <w:r>
        <w:rPr/>
        <w:t>一步提升，有效降低业务整合、规模扩大带来的管理风险，达到效益最大化。</w:t>
      </w:r>
    </w:p>
    <w:p>
      <w:pPr>
        <w:pStyle w:val="BodyText"/>
        <w:spacing w:line="386" w:lineRule="auto" w:before="52"/>
        <w:ind w:left="573" w:right="992"/>
        <w:jc w:val="left"/>
      </w:pPr>
      <w:r>
        <w:rPr>
          <w:rFonts w:ascii="Times New Roman" w:hAnsi="Times New Roman" w:cs="Times New Roman" w:eastAsia="Times New Roman" w:hint="default"/>
        </w:rPr>
        <w:t>3</w:t>
      </w:r>
      <w:r>
        <w:rPr/>
        <w:t>、行业适度多元化优势</w:t>
      </w:r>
      <w:r>
        <w:rPr>
          <w:w w:val="100"/>
        </w:rPr>
        <w:t> </w:t>
      </w:r>
      <w:r>
        <w:rPr>
          <w:spacing w:val="-2"/>
        </w:rPr>
        <w:t>公司从事的军工业务、煤矿安全业务、信息通讯业务均有较高的资质门槛和技术门槛，公司取得的生</w:t>
      </w:r>
    </w:p>
    <w:p>
      <w:pPr>
        <w:pStyle w:val="BodyText"/>
        <w:spacing w:line="398" w:lineRule="auto" w:before="65"/>
        <w:ind w:right="1126"/>
        <w:jc w:val="both"/>
      </w:pPr>
      <w:r>
        <w:rPr>
          <w:spacing w:val="-2"/>
        </w:rPr>
        <w:t>产经营资质和拥有的技术研发能力为公司业务发展构筑了</w:t>
      </w:r>
      <w:r>
        <w:rPr>
          <w:rFonts w:ascii="Times New Roman" w:hAnsi="Times New Roman" w:cs="Times New Roman" w:eastAsia="Times New Roman" w:hint="default"/>
          <w:spacing w:val="-2"/>
        </w:rPr>
        <w:t>“</w:t>
      </w:r>
      <w:r>
        <w:rPr>
          <w:spacing w:val="-2"/>
        </w:rPr>
        <w:t>护城河</w:t>
      </w:r>
      <w:r>
        <w:rPr>
          <w:rFonts w:ascii="Times New Roman" w:hAnsi="Times New Roman" w:cs="Times New Roman" w:eastAsia="Times New Roman" w:hint="default"/>
          <w:spacing w:val="-2"/>
        </w:rPr>
        <w:t>”</w:t>
      </w:r>
      <w:r>
        <w:rPr>
          <w:spacing w:val="-2"/>
        </w:rPr>
        <w:t>。公司所处三个行业涉及国防安全、国</w:t>
      </w:r>
      <w:r>
        <w:rPr>
          <w:spacing w:val="-17"/>
        </w:rPr>
        <w:t> </w:t>
      </w:r>
      <w:r>
        <w:rPr>
          <w:spacing w:val="-17"/>
        </w:rPr>
      </w:r>
      <w:r>
        <w:rPr>
          <w:spacing w:val="-2"/>
        </w:rPr>
        <w:t>计民生、安全生产等领域，均为国家高度鼓励和重点支持的行业并出台多项政策予以支持，能为公司的发</w:t>
      </w:r>
      <w:r>
        <w:rPr>
          <w:spacing w:val="-44"/>
        </w:rPr>
        <w:t> </w:t>
      </w:r>
      <w:r>
        <w:rPr>
          <w:spacing w:val="-44"/>
        </w:rPr>
      </w:r>
      <w:r>
        <w:rPr>
          <w:spacing w:val="-2"/>
        </w:rPr>
        <w:t>展带来更多的机遇，公司将抓住行业发展红利促进稳步提升。同时，</w:t>
      </w:r>
      <w:r>
        <w:rPr>
          <w:rFonts w:ascii="Times New Roman" w:hAnsi="Times New Roman" w:cs="Times New Roman" w:eastAsia="Times New Roman" w:hint="default"/>
          <w:spacing w:val="-2"/>
        </w:rPr>
        <w:t>“</w:t>
      </w:r>
      <w:r>
        <w:rPr>
          <w:spacing w:val="-2"/>
        </w:rPr>
        <w:t>三驾马车，军工为主</w:t>
      </w:r>
      <w:r>
        <w:rPr>
          <w:rFonts w:ascii="Times New Roman" w:hAnsi="Times New Roman" w:cs="Times New Roman" w:eastAsia="Times New Roman" w:hint="default"/>
          <w:spacing w:val="-2"/>
        </w:rPr>
        <w:t>”</w:t>
      </w:r>
      <w:r>
        <w:rPr>
          <w:spacing w:val="-2"/>
        </w:rPr>
        <w:t>的多元化发展</w:t>
      </w:r>
      <w:r>
        <w:rPr>
          <w:spacing w:val="-23"/>
        </w:rPr>
        <w:t> </w:t>
      </w:r>
      <w:r>
        <w:rPr>
          <w:spacing w:val="-23"/>
        </w:rPr>
      </w:r>
      <w:r>
        <w:rPr>
          <w:spacing w:val="-2"/>
        </w:rPr>
        <w:t>战略，能抵御单一行业依赖风险，同时，这三个行业在技术、市场、管理等方面相近或相通，能够进行融</w:t>
      </w:r>
      <w:r>
        <w:rPr>
          <w:spacing w:val="-42"/>
        </w:rPr>
        <w:t> </w:t>
      </w:r>
      <w:r>
        <w:rPr>
          <w:spacing w:val="-42"/>
        </w:rPr>
      </w:r>
      <w:r>
        <w:rPr/>
        <w:t>合，且与公司运营管理能力匹配，适度有序，可以保证公司长远健康发展。</w:t>
      </w:r>
    </w:p>
    <w:p>
      <w:pPr>
        <w:pStyle w:val="BodyText"/>
        <w:spacing w:line="386" w:lineRule="auto" w:before="54"/>
        <w:ind w:left="573" w:right="992"/>
        <w:jc w:val="left"/>
      </w:pPr>
      <w:r>
        <w:rPr>
          <w:rFonts w:ascii="Times New Roman" w:hAnsi="Times New Roman" w:cs="Times New Roman" w:eastAsia="Times New Roman" w:hint="default"/>
        </w:rPr>
        <w:t>4</w:t>
      </w:r>
      <w:r>
        <w:rPr/>
        <w:t>、市场竞争优势</w:t>
      </w:r>
      <w:r>
        <w:rPr>
          <w:w w:val="100"/>
        </w:rPr>
        <w:t> </w:t>
      </w:r>
      <w:r>
        <w:rPr>
          <w:spacing w:val="-2"/>
        </w:rPr>
        <w:t>师凯科技主要承担公司的军工业务，系吉林省第一家纯民营军工企业，从事军工行业多年，依托与国</w:t>
      </w:r>
    </w:p>
    <w:p>
      <w:pPr>
        <w:pStyle w:val="BodyText"/>
        <w:spacing w:line="408" w:lineRule="auto" w:before="65"/>
        <w:ind w:right="992"/>
        <w:jc w:val="left"/>
      </w:pPr>
      <w:r>
        <w:rPr>
          <w:spacing w:val="-2"/>
        </w:rPr>
        <w:t>家大军工研究所的合作，生产质量先进稳定，生产的军工产品成熟可靠，列装军队；师凯科技军工资质齐</w:t>
      </w:r>
      <w:r>
        <w:rPr>
          <w:spacing w:val="-50"/>
        </w:rPr>
        <w:t> </w:t>
      </w:r>
      <w:r>
        <w:rPr>
          <w:spacing w:val="-50"/>
        </w:rPr>
      </w:r>
      <w:r>
        <w:rPr>
          <w:spacing w:val="-5"/>
        </w:rPr>
        <w:t>全，管理规范，深受军方信任；在研发及资质门槛方面，基于行业特点，有着一定的竞争优势和先发优势。</w:t>
      </w:r>
      <w:r>
        <w:rPr>
          <w:spacing w:val="-6"/>
        </w:rPr>
        <w:t> </w:t>
      </w:r>
      <w:r>
        <w:rPr>
          <w:spacing w:val="-6"/>
        </w:rPr>
      </w:r>
      <w:r>
        <w:rPr>
          <w:spacing w:val="-2"/>
        </w:rPr>
        <w:t>精准信息母公司由高校矿压专家创立，系全国较早研发生产煤矿顶板安全监测防治产品的企业之一，市场</w:t>
      </w:r>
      <w:r>
        <w:rPr>
          <w:spacing w:val="-43"/>
        </w:rPr>
        <w:t> </w:t>
      </w:r>
      <w:r>
        <w:rPr>
          <w:spacing w:val="-43"/>
        </w:rPr>
      </w:r>
      <w:r>
        <w:rPr>
          <w:spacing w:val="-2"/>
        </w:rPr>
        <w:t>占有率领先，具有较强的竞争力。富华宇祺主要人员来自中兴、华为等大的通讯企业，立足于信息技术前</w:t>
      </w:r>
      <w:r>
        <w:rPr>
          <w:spacing w:val="-50"/>
        </w:rPr>
        <w:t> </w:t>
      </w:r>
      <w:r>
        <w:rPr>
          <w:spacing w:val="-50"/>
        </w:rPr>
      </w:r>
      <w:r>
        <w:rPr>
          <w:spacing w:val="-2"/>
        </w:rPr>
        <w:t>沿，对新技术、新趋势消化吸收快，能够更加快速、自主的应对市场环境的变化，根据市场的需要和客户</w:t>
      </w:r>
      <w:r>
        <w:rPr>
          <w:spacing w:val="-43"/>
        </w:rPr>
        <w:t> </w:t>
      </w:r>
      <w:r>
        <w:rPr>
          <w:spacing w:val="-43"/>
        </w:rPr>
      </w:r>
      <w:r>
        <w:rPr/>
        <w:t>的需求，及时加大投入，推出新产品、开发新业务，进一步提高了公司的竞争力。</w:t>
      </w:r>
    </w:p>
    <w:p>
      <w:pPr>
        <w:pStyle w:val="BodyText"/>
        <w:spacing w:line="386" w:lineRule="auto"/>
        <w:ind w:left="573" w:right="992"/>
        <w:jc w:val="left"/>
      </w:pPr>
      <w:r>
        <w:rPr>
          <w:rFonts w:ascii="Times New Roman" w:hAnsi="Times New Roman" w:cs="Times New Roman" w:eastAsia="Times New Roman" w:hint="default"/>
        </w:rPr>
        <w:t>5</w:t>
      </w:r>
      <w:r>
        <w:rPr/>
        <w:t>、坚持稳健经营模式的优势</w:t>
      </w:r>
      <w:r>
        <w:rPr>
          <w:w w:val="100"/>
        </w:rPr>
        <w:t> </w:t>
      </w:r>
      <w:r>
        <w:rPr>
          <w:spacing w:val="-2"/>
        </w:rPr>
        <w:t>新型冠状病毒肺炎疫情发生以来，宏观经济运行受到冲击，企业生产、市场销售、物流配送等工作受</w:t>
      </w:r>
    </w:p>
    <w:p>
      <w:pPr>
        <w:pStyle w:val="BodyText"/>
        <w:spacing w:line="408" w:lineRule="auto" w:before="65"/>
        <w:ind w:right="992"/>
        <w:jc w:val="left"/>
      </w:pPr>
      <w:r>
        <w:rPr>
          <w:spacing w:val="-2"/>
        </w:rPr>
        <w:t>到限制，对企业生产和经营造成不利影响，对部分企业现金流影响明显，面临资金结算压力大的局面。疫</w:t>
      </w:r>
      <w:r>
        <w:rPr>
          <w:spacing w:val="-47"/>
        </w:rPr>
        <w:t> </w:t>
      </w:r>
      <w:r>
        <w:rPr>
          <w:spacing w:val="-47"/>
        </w:rPr>
      </w:r>
      <w:r>
        <w:rPr>
          <w:spacing w:val="-2"/>
        </w:rPr>
        <w:t>情期间，公司响应政府号召延迟复工，生产、经营亦受到不利影响，但得益于公司一直崇尚稳健、不冒进</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0" w:lineRule="auto" w:before="36"/>
        <w:ind w:right="992"/>
        <w:jc w:val="left"/>
      </w:pPr>
      <w:r>
        <w:rPr>
          <w:spacing w:val="-5"/>
        </w:rPr>
        <w:t>的经营风格，重视经营现金流，加强成本、费用的管控，谨慎对外投资，因此，公司自上市以来连续赢利，</w:t>
      </w:r>
      <w:r>
        <w:rPr>
          <w:spacing w:val="-6"/>
        </w:rPr>
        <w:t> </w:t>
      </w:r>
      <w:r>
        <w:rPr>
          <w:spacing w:val="-6"/>
        </w:rPr>
      </w:r>
      <w:r>
        <w:rPr>
          <w:spacing w:val="-2"/>
        </w:rPr>
        <w:t>未有一年亏损，重视资金储备，保证了人员稳定、研发投入增长，并购能力上升，这是企业持续健康发展</w:t>
      </w:r>
      <w:r>
        <w:rPr>
          <w:spacing w:val="-43"/>
        </w:rPr>
        <w:t> </w:t>
      </w:r>
      <w:r>
        <w:rPr>
          <w:spacing w:val="-43"/>
        </w:rPr>
      </w:r>
      <w:r>
        <w:rPr/>
        <w:t>的优势。截至报告期末，公司在完成大额对外投资后，货币资金余额仍有近</w:t>
      </w:r>
      <w:r>
        <w:rPr>
          <w:rFonts w:ascii="Times New Roman" w:hAnsi="Times New Roman" w:cs="Times New Roman" w:eastAsia="Times New Roman" w:hint="default"/>
        </w:rPr>
        <w:t>2</w:t>
      </w:r>
      <w:r>
        <w:rPr/>
        <w:t>亿元，这对公司减少经营风</w:t>
      </w:r>
      <w:r>
        <w:rPr>
          <w:w w:val="100"/>
        </w:rPr>
        <w:t> </w:t>
      </w:r>
      <w:r>
        <w:rPr/>
        <w:t>险、维持长远发展奠定了基础。</w:t>
      </w:r>
    </w:p>
    <w:p>
      <w:pPr>
        <w:spacing w:after="0" w:line="40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3" w:right="992"/>
        <w:jc w:val="left"/>
        <w:rPr>
          <w:b w:val="0"/>
          <w:bCs w:val="0"/>
        </w:rPr>
      </w:pPr>
      <w:bookmarkStart w:name="_bookmark3" w:id="4"/>
      <w:bookmarkEnd w:id="4"/>
      <w:r>
        <w:rPr>
          <w:b w:val="0"/>
          <w:bCs w:val="0"/>
        </w:rPr>
      </w:r>
      <w:r>
        <w:rPr/>
        <w:t>第四节</w:t>
      </w:r>
      <w:r>
        <w:rPr>
          <w:spacing w:val="-5"/>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0" w:lineRule="auto" w:before="0"/>
        <w:ind w:right="1126" w:firstLine="420"/>
        <w:jc w:val="both"/>
      </w:pPr>
      <w:r>
        <w:rPr>
          <w:spacing w:val="-2"/>
        </w:rPr>
        <w:t>报告期内，公司继续保持经营业务</w:t>
      </w:r>
      <w:r>
        <w:rPr>
          <w:rFonts w:ascii="Times New Roman" w:hAnsi="Times New Roman" w:cs="Times New Roman" w:eastAsia="Times New Roman" w:hint="default"/>
          <w:spacing w:val="-2"/>
        </w:rPr>
        <w:t>“</w:t>
      </w:r>
      <w:r>
        <w:rPr>
          <w:spacing w:val="-2"/>
        </w:rPr>
        <w:t>三驾马车</w:t>
      </w:r>
      <w:r>
        <w:rPr>
          <w:rFonts w:ascii="Times New Roman" w:hAnsi="Times New Roman" w:cs="Times New Roman" w:eastAsia="Times New Roman" w:hint="default"/>
          <w:spacing w:val="-2"/>
        </w:rPr>
        <w:t>”</w:t>
      </w:r>
      <w:r>
        <w:rPr>
          <w:spacing w:val="-2"/>
        </w:rPr>
        <w:t>拉动的格局不变，在军工业务、煤矿安全业务、信息通</w:t>
      </w:r>
      <w:r>
        <w:rPr>
          <w:w w:val="100"/>
        </w:rPr>
        <w:t> </w:t>
      </w:r>
      <w:r>
        <w:rPr>
          <w:spacing w:val="-2"/>
        </w:rPr>
        <w:t>讯业务领域深耕，持续增强科研创新能力、优化产品结构、加强市场推广力度、提升管理效率，潜心打造</w:t>
      </w:r>
      <w:r>
        <w:rPr>
          <w:spacing w:val="-43"/>
        </w:rPr>
        <w:t> </w:t>
      </w:r>
      <w:r>
        <w:rPr>
          <w:spacing w:val="-43"/>
        </w:rPr>
      </w:r>
      <w:r>
        <w:rPr>
          <w:spacing w:val="-2"/>
        </w:rPr>
        <w:t>具有竞争优势的技术能力、产品能力、营销能力、管理能力，有效增强公司整体竞争壁垒。公司积极探寻</w:t>
      </w:r>
      <w:r>
        <w:rPr>
          <w:spacing w:val="-43"/>
        </w:rPr>
        <w:t> </w:t>
      </w:r>
      <w:r>
        <w:rPr>
          <w:spacing w:val="-43"/>
        </w:rPr>
      </w:r>
      <w:r>
        <w:rPr/>
        <w:t>新的效益增长点，投资新能源动力及控制系统，以推动公司长效高质量发展。</w:t>
      </w:r>
    </w:p>
    <w:p>
      <w:pPr>
        <w:pStyle w:val="BodyText"/>
        <w:spacing w:line="386" w:lineRule="auto" w:before="52"/>
        <w:ind w:right="1191" w:firstLine="420"/>
        <w:jc w:val="both"/>
      </w:pPr>
      <w:r>
        <w:rPr>
          <w:spacing w:val="-2"/>
        </w:rPr>
        <w:t>报告期内，公司实现营业收入</w:t>
      </w:r>
      <w:r>
        <w:rPr>
          <w:rFonts w:ascii="Times New Roman" w:hAnsi="Times New Roman" w:cs="Times New Roman" w:eastAsia="Times New Roman" w:hint="default"/>
          <w:spacing w:val="-2"/>
        </w:rPr>
        <w:t>47,186.62</w:t>
      </w:r>
      <w:r>
        <w:rPr>
          <w:spacing w:val="-2"/>
        </w:rPr>
        <w:t>万元，比上年同期增长</w:t>
      </w:r>
      <w:r>
        <w:rPr>
          <w:rFonts w:ascii="Times New Roman" w:hAnsi="Times New Roman" w:cs="Times New Roman" w:eastAsia="Times New Roman" w:hint="default"/>
          <w:spacing w:val="-2"/>
        </w:rPr>
        <w:t>5.76%</w:t>
      </w:r>
      <w:r>
        <w:rPr>
          <w:spacing w:val="-2"/>
        </w:rPr>
        <w:t>；实现归属于上市公司股东的净</w:t>
      </w:r>
      <w:r>
        <w:rPr>
          <w:w w:val="100"/>
        </w:rPr>
        <w:t> </w:t>
      </w:r>
      <w:r>
        <w:rPr>
          <w:spacing w:val="-2"/>
        </w:rPr>
        <w:t>利润</w:t>
      </w:r>
      <w:r>
        <w:rPr>
          <w:rFonts w:ascii="Times New Roman" w:hAnsi="Times New Roman" w:cs="Times New Roman" w:eastAsia="Times New Roman" w:hint="default"/>
          <w:spacing w:val="-2"/>
        </w:rPr>
        <w:t>6,408.74</w:t>
      </w:r>
      <w:r>
        <w:rPr>
          <w:spacing w:val="-2"/>
        </w:rPr>
        <w:t>万元，比上年同期下降</w:t>
      </w:r>
      <w:r>
        <w:rPr>
          <w:rFonts w:ascii="Times New Roman" w:hAnsi="Times New Roman" w:cs="Times New Roman" w:eastAsia="Times New Roman" w:hint="default"/>
          <w:spacing w:val="-2"/>
        </w:rPr>
        <w:t>34.24%</w:t>
      </w:r>
      <w:r>
        <w:rPr>
          <w:spacing w:val="-2"/>
        </w:rPr>
        <w:t>。若剔除富华宇祺商誉减值的影响，归属于上市公司股东的净</w:t>
      </w:r>
      <w:r>
        <w:rPr>
          <w:spacing w:val="-10"/>
        </w:rPr>
        <w:t> </w:t>
      </w:r>
      <w:r>
        <w:rPr>
          <w:spacing w:val="-10"/>
        </w:rPr>
      </w:r>
      <w:r>
        <w:rPr/>
        <w:t>利润比上年同期增长</w:t>
      </w:r>
      <w:r>
        <w:rPr>
          <w:rFonts w:ascii="Times New Roman" w:hAnsi="Times New Roman" w:cs="Times New Roman" w:eastAsia="Times New Roman" w:hint="default"/>
        </w:rPr>
        <w:t>4.31%</w:t>
      </w:r>
      <w:r>
        <w:rPr/>
        <w:t>。</w:t>
      </w:r>
    </w:p>
    <w:p>
      <w:pPr>
        <w:pStyle w:val="BodyText"/>
        <w:spacing w:line="240" w:lineRule="auto" w:before="35"/>
        <w:ind w:left="573" w:right="992"/>
        <w:jc w:val="left"/>
      </w:pPr>
      <w:r>
        <w:rPr/>
        <w:t>报告期内，公司重点开展以下工作：</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1</w:t>
      </w:r>
      <w:r>
        <w:rPr/>
        <w:t>、军工业务收入稳定</w:t>
      </w:r>
      <w:r>
        <w:rPr>
          <w:w w:val="100"/>
        </w:rPr>
        <w:t> </w:t>
      </w:r>
      <w:r>
        <w:rPr>
          <w:spacing w:val="-2"/>
        </w:rPr>
        <w:t>公司军工业务主要依托师凯科技，师凯科技从事军工业务多年，军工资质齐全，管理规范，生产的产</w:t>
      </w:r>
    </w:p>
    <w:p>
      <w:pPr>
        <w:pStyle w:val="BodyText"/>
        <w:spacing w:line="408" w:lineRule="auto" w:before="65"/>
        <w:ind w:right="1126"/>
        <w:jc w:val="both"/>
      </w:pPr>
      <w:r>
        <w:rPr>
          <w:spacing w:val="-2"/>
        </w:rPr>
        <w:t>品质量稳定、成熟可靠，军品订单量稳定。报告期内，主要从事导弹制导系统、精密光学系统等军用产品</w:t>
      </w:r>
      <w:r>
        <w:rPr>
          <w:spacing w:val="-43"/>
        </w:rPr>
        <w:t> </w:t>
      </w:r>
      <w:r>
        <w:rPr>
          <w:spacing w:val="-43"/>
        </w:rPr>
      </w:r>
      <w:r>
        <w:rPr>
          <w:spacing w:val="-2"/>
        </w:rPr>
        <w:t>的生产和销售，其中导弹制导系统产品包括手持式导弹制导系统（用于单兵或兵组作战）和移动式导弹制</w:t>
      </w:r>
      <w:r>
        <w:rPr>
          <w:spacing w:val="-43"/>
        </w:rPr>
        <w:t> </w:t>
      </w:r>
      <w:r>
        <w:rPr>
          <w:spacing w:val="-43"/>
        </w:rPr>
      </w:r>
      <w:r>
        <w:rPr/>
        <w:t>导系统（用于装甲车导弹作战），已列装部队多年。</w:t>
      </w:r>
    </w:p>
    <w:p>
      <w:pPr>
        <w:pStyle w:val="BodyText"/>
        <w:spacing w:line="398" w:lineRule="auto"/>
        <w:ind w:right="992" w:firstLine="420"/>
        <w:jc w:val="left"/>
      </w:pPr>
      <w:r>
        <w:rPr>
          <w:spacing w:val="-2"/>
        </w:rPr>
        <w:t>报告期内，师凯科技收入稳定，实现营业收入</w:t>
      </w:r>
      <w:r>
        <w:rPr>
          <w:rFonts w:ascii="Times New Roman" w:hAnsi="Times New Roman" w:cs="Times New Roman" w:eastAsia="Times New Roman" w:hint="default"/>
          <w:spacing w:val="-2"/>
        </w:rPr>
        <w:t>20,513.81</w:t>
      </w:r>
      <w:r>
        <w:rPr>
          <w:spacing w:val="-2"/>
        </w:rPr>
        <w:t>万元，与去年同期基本持平；但因研发投入增</w:t>
      </w:r>
      <w:r>
        <w:rPr>
          <w:w w:val="100"/>
        </w:rPr>
        <w:t> </w:t>
      </w:r>
      <w:r>
        <w:rPr>
          <w:spacing w:val="-5"/>
        </w:rPr>
        <w:t>加及超额完成业绩增加奖励等原因造成费用大幅增加，另外，因产品结构变化及税率调整增值税返还减少，</w:t>
      </w:r>
      <w:r>
        <w:rPr>
          <w:spacing w:val="-4"/>
        </w:rPr>
        <w:t> </w:t>
      </w:r>
      <w:r>
        <w:rPr>
          <w:spacing w:val="-4"/>
        </w:rPr>
      </w:r>
      <w:r>
        <w:rPr/>
        <w:t>造成报告期净利润有所下降，最终实现净利润</w:t>
      </w:r>
      <w:r>
        <w:rPr>
          <w:rFonts w:ascii="Times New Roman" w:hAnsi="Times New Roman" w:cs="Times New Roman" w:eastAsia="Times New Roman" w:hint="default"/>
        </w:rPr>
        <w:t>7,260.45</w:t>
      </w:r>
      <w:r>
        <w:rPr/>
        <w:t>万元。</w:t>
      </w:r>
    </w:p>
    <w:p>
      <w:pPr>
        <w:pStyle w:val="BodyText"/>
        <w:spacing w:line="408" w:lineRule="auto" w:before="24"/>
        <w:ind w:right="1126" w:firstLine="420"/>
        <w:jc w:val="both"/>
      </w:pPr>
      <w:r>
        <w:rPr>
          <w:spacing w:val="-2"/>
        </w:rPr>
        <w:t>报告期内，公司控股子公司富华宇祺在军事基地通信系统建设方面取得了阶段性成果，报告期末中标</w:t>
      </w:r>
      <w:r>
        <w:rPr>
          <w:w w:val="100"/>
        </w:rPr>
        <w:t> </w:t>
      </w:r>
      <w:r>
        <w:rPr/>
        <w:t>两个无线通讯项目，虽然收入未完全在本报告期体现，但已实现业务上的突破。</w:t>
      </w:r>
    </w:p>
    <w:p>
      <w:pPr>
        <w:pStyle w:val="BodyText"/>
        <w:spacing w:line="386" w:lineRule="auto"/>
        <w:ind w:left="573" w:right="992"/>
        <w:jc w:val="left"/>
      </w:pPr>
      <w:r>
        <w:rPr>
          <w:rFonts w:ascii="Times New Roman" w:hAnsi="Times New Roman" w:cs="Times New Roman" w:eastAsia="Times New Roman" w:hint="default"/>
        </w:rPr>
        <w:t>2</w:t>
      </w:r>
      <w:r>
        <w:rPr/>
        <w:t>、煤矿安全业务实现稳步增长</w:t>
      </w:r>
      <w:r>
        <w:rPr>
          <w:w w:val="100"/>
        </w:rPr>
        <w:t> </w:t>
      </w:r>
      <w:r>
        <w:rPr>
          <w:spacing w:val="-2"/>
        </w:rPr>
        <w:t>公司煤矿安全业务前期紧盯行业周期性复苏趋势，借助行业形势转好的机遇持续发力，实现经营业绩</w:t>
      </w:r>
    </w:p>
    <w:p>
      <w:pPr>
        <w:pStyle w:val="BodyText"/>
        <w:spacing w:line="408" w:lineRule="auto" w:before="65"/>
        <w:ind w:right="1126"/>
        <w:jc w:val="both"/>
      </w:pPr>
      <w:r>
        <w:rPr>
          <w:spacing w:val="-2"/>
        </w:rPr>
        <w:t>的较大提升。随着行业发展趋于平稳，公司利用自身成熟的经营管理经验，紧跟产品升级改进和研发创新</w:t>
      </w:r>
      <w:r>
        <w:rPr>
          <w:spacing w:val="-42"/>
        </w:rPr>
        <w:t> </w:t>
      </w:r>
      <w:r>
        <w:rPr>
          <w:spacing w:val="-42"/>
        </w:rPr>
      </w:r>
      <w:r>
        <w:rPr>
          <w:spacing w:val="-2"/>
        </w:rPr>
        <w:t>方向，迎合煤炭板块最新政策要求，加强煤矿智能化设备及国Ⅲ发动机的研发、推广、服务，并做好现有</w:t>
      </w:r>
      <w:r>
        <w:rPr>
          <w:spacing w:val="-43"/>
        </w:rPr>
        <w:t> </w:t>
      </w:r>
      <w:r>
        <w:rPr>
          <w:spacing w:val="-43"/>
        </w:rPr>
      </w:r>
      <w:r>
        <w:rPr>
          <w:spacing w:val="-2"/>
        </w:rPr>
        <w:t>产品的市场推广力度，产品生产和销售规模进一步扩大化，降本增效成果进一步显现，煤矿安全业务报告</w:t>
      </w:r>
      <w:r>
        <w:rPr>
          <w:spacing w:val="-45"/>
        </w:rPr>
        <w:t> </w:t>
      </w:r>
      <w:r>
        <w:rPr>
          <w:spacing w:val="-45"/>
        </w:rPr>
      </w:r>
      <w:r>
        <w:rPr/>
        <w:t>期实现稳步增长。同时，配合富华宇祺完成矿山</w:t>
      </w:r>
      <w:r>
        <w:rPr>
          <w:rFonts w:ascii="Times New Roman" w:hAnsi="Times New Roman" w:cs="Times New Roman" w:eastAsia="Times New Roman" w:hint="default"/>
        </w:rPr>
        <w:t>5G</w:t>
      </w:r>
      <w:r>
        <w:rPr/>
        <w:t>项目、煤矿井下人员定位系统项目。</w:t>
      </w:r>
    </w:p>
    <w:p>
      <w:pPr>
        <w:pStyle w:val="BodyText"/>
        <w:spacing w:line="240" w:lineRule="auto" w:before="14"/>
        <w:ind w:left="573" w:right="0"/>
        <w:jc w:val="left"/>
      </w:pPr>
      <w:r>
        <w:rPr/>
        <w:t>报告期内，煤矿安全业务实现营业收入</w:t>
      </w:r>
      <w:r>
        <w:rPr>
          <w:rFonts w:ascii="宋体" w:hAnsi="宋体" w:cs="宋体" w:eastAsia="宋体" w:hint="default"/>
        </w:rPr>
        <w:t>21,976.88</w:t>
      </w:r>
      <w:r>
        <w:rPr/>
        <w:t>万元，同比增长</w:t>
      </w:r>
      <w:r>
        <w:rPr>
          <w:rFonts w:ascii="宋体" w:hAnsi="宋体" w:cs="宋体" w:eastAsia="宋体" w:hint="default"/>
        </w:rPr>
        <w:t>21.70%</w:t>
      </w:r>
      <w:r>
        <w:rPr/>
        <w:t>；实现净利润</w:t>
      </w:r>
      <w:r>
        <w:rPr>
          <w:rFonts w:ascii="宋体" w:hAnsi="宋体" w:cs="宋体" w:eastAsia="宋体" w:hint="default"/>
        </w:rPr>
        <w:t>4,629.33</w:t>
      </w:r>
      <w:r>
        <w:rPr/>
        <w:t>万元，</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同比增长</w:t>
      </w:r>
      <w:r>
        <w:rPr>
          <w:rFonts w:ascii="宋体" w:hAnsi="宋体" w:cs="宋体" w:eastAsia="宋体" w:hint="default"/>
        </w:rPr>
        <w:t>28.57%</w:t>
      </w:r>
      <w:r>
        <w:rPr/>
        <w:t>。</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3</w:t>
      </w:r>
      <w:r>
        <w:rPr/>
        <w:t>、信息通讯业务实现新突破</w:t>
      </w:r>
      <w:r>
        <w:rPr>
          <w:w w:val="100"/>
        </w:rPr>
        <w:t> </w:t>
      </w:r>
      <w:r>
        <w:rPr>
          <w:spacing w:val="-2"/>
        </w:rPr>
        <w:t>富华宇祺是公司信息通讯业务的主要承担者。报告期内，主要从事军工信息产品服务和轨交车载通讯</w:t>
      </w:r>
    </w:p>
    <w:p>
      <w:pPr>
        <w:pStyle w:val="BodyText"/>
        <w:spacing w:line="393" w:lineRule="auto" w:before="65"/>
        <w:ind w:right="1129"/>
        <w:jc w:val="both"/>
      </w:pPr>
      <w:r>
        <w:rPr>
          <w:spacing w:val="-3"/>
        </w:rPr>
        <w:t>服务，实现营业收入</w:t>
      </w:r>
      <w:r>
        <w:rPr>
          <w:rFonts w:ascii="Times New Roman" w:hAnsi="Times New Roman" w:cs="Times New Roman" w:eastAsia="Times New Roman" w:hint="default"/>
          <w:spacing w:val="-3"/>
        </w:rPr>
        <w:t>5,104.15</w:t>
      </w:r>
      <w:r>
        <w:rPr>
          <w:spacing w:val="-3"/>
        </w:rPr>
        <w:t>万元，实现净利润</w:t>
      </w:r>
      <w:r>
        <w:rPr>
          <w:rFonts w:ascii="Times New Roman" w:hAnsi="Times New Roman" w:cs="Times New Roman" w:eastAsia="Times New Roman" w:hint="default"/>
          <w:spacing w:val="-3"/>
        </w:rPr>
        <w:t>-2,101.18</w:t>
      </w:r>
      <w:r>
        <w:rPr>
          <w:spacing w:val="-3"/>
        </w:rPr>
        <w:t>万元。因其业务转型尚未完全实现，虽然新业务已</w:t>
      </w:r>
      <w:r>
        <w:rPr>
          <w:spacing w:val="-44"/>
        </w:rPr>
        <w:t> </w:t>
      </w:r>
      <w:r>
        <w:rPr>
          <w:spacing w:val="-44"/>
        </w:rPr>
      </w:r>
      <w:r>
        <w:rPr>
          <w:spacing w:val="-2"/>
        </w:rPr>
        <w:t>取得了部分订单，但收入未完全在本报告期体现，导致营业收入较去年同期下滑，且在研发费用、市场开</w:t>
      </w:r>
      <w:r>
        <w:rPr>
          <w:spacing w:val="-47"/>
        </w:rPr>
        <w:t> </w:t>
      </w:r>
      <w:r>
        <w:rPr>
          <w:spacing w:val="-47"/>
        </w:rPr>
      </w:r>
      <w:r>
        <w:rPr>
          <w:spacing w:val="-2"/>
        </w:rPr>
        <w:t>拓费用大量投入的情况下，报告期经营业绩虽然仍处于亏损状态，但较上年同期减亏</w:t>
      </w:r>
      <w:r>
        <w:rPr>
          <w:rFonts w:ascii="Times New Roman" w:hAnsi="Times New Roman" w:cs="Times New Roman" w:eastAsia="Times New Roman" w:hint="default"/>
          <w:spacing w:val="-2"/>
        </w:rPr>
        <w:t>20%</w:t>
      </w:r>
      <w:r>
        <w:rPr>
          <w:spacing w:val="-2"/>
        </w:rPr>
        <w:t>以上，标志着新</w:t>
      </w:r>
      <w:r>
        <w:rPr>
          <w:spacing w:val="-17"/>
        </w:rPr>
        <w:t> </w:t>
      </w:r>
      <w:r>
        <w:rPr>
          <w:spacing w:val="-17"/>
        </w:rPr>
      </w:r>
      <w:r>
        <w:rPr/>
        <w:t>业务逐步向好发展。</w:t>
      </w:r>
    </w:p>
    <w:p>
      <w:pPr>
        <w:pStyle w:val="BodyText"/>
        <w:spacing w:line="393" w:lineRule="auto" w:before="58"/>
        <w:ind w:right="992" w:firstLine="420"/>
        <w:jc w:val="left"/>
      </w:pPr>
      <w:r>
        <w:rPr>
          <w:spacing w:val="-2"/>
        </w:rPr>
        <w:t>信息通讯业务在军工信息化方面取得较好的成果，报告期末，在军工信息系统集成业务方面中标两个</w:t>
      </w:r>
      <w:r>
        <w:rPr>
          <w:w w:val="100"/>
        </w:rPr>
        <w:t> </w:t>
      </w:r>
      <w:r>
        <w:rPr>
          <w:spacing w:val="-3"/>
        </w:rPr>
        <w:t>无线通讯项目，业务取得了阶段性成果；基本完成矿山</w:t>
      </w:r>
      <w:r>
        <w:rPr>
          <w:rFonts w:ascii="Times New Roman" w:hAnsi="Times New Roman" w:cs="Times New Roman" w:eastAsia="Times New Roman" w:hint="default"/>
          <w:spacing w:val="-3"/>
        </w:rPr>
        <w:t>5G</w:t>
      </w:r>
      <w:r>
        <w:rPr>
          <w:spacing w:val="-3"/>
        </w:rPr>
        <w:t>项目、煤矿井下人员定位系统项目的技术研发工</w:t>
      </w:r>
      <w:r>
        <w:rPr>
          <w:spacing w:val="-45"/>
        </w:rPr>
        <w:t> </w:t>
      </w:r>
      <w:r>
        <w:rPr>
          <w:spacing w:val="-45"/>
        </w:rPr>
      </w:r>
      <w:r>
        <w:rPr/>
        <w:t>作，并与潜在客户及合作方进行了业务对接。期间，形成了较为显著的研发成果，报告期内，共取得</w:t>
      </w:r>
      <w:r>
        <w:rPr>
          <w:rFonts w:ascii="Times New Roman" w:hAnsi="Times New Roman" w:cs="Times New Roman" w:eastAsia="Times New Roman" w:hint="default"/>
        </w:rPr>
        <w:t>6</w:t>
      </w:r>
      <w:r>
        <w:rPr/>
        <w:t>项</w:t>
      </w:r>
      <w:r>
        <w:rPr>
          <w:w w:val="100"/>
        </w:rPr>
        <w:t> </w:t>
      </w:r>
      <w:r>
        <w:rPr/>
        <w:t>实用新型专利授权、</w:t>
      </w:r>
      <w:r>
        <w:rPr>
          <w:rFonts w:ascii="Times New Roman" w:hAnsi="Times New Roman" w:cs="Times New Roman" w:eastAsia="Times New Roman" w:hint="default"/>
        </w:rPr>
        <w:t>1</w:t>
      </w:r>
      <w:r>
        <w:rPr/>
        <w:t>项软件著作权授权、</w:t>
      </w:r>
      <w:r>
        <w:rPr>
          <w:rFonts w:ascii="Times New Roman" w:hAnsi="Times New Roman" w:cs="Times New Roman" w:eastAsia="Times New Roman" w:hint="default"/>
        </w:rPr>
        <w:t>2</w:t>
      </w:r>
      <w:r>
        <w:rPr/>
        <w:t>项发明专利进入实质审查阶段、</w:t>
      </w:r>
      <w:r>
        <w:rPr>
          <w:rFonts w:ascii="Times New Roman" w:hAnsi="Times New Roman" w:cs="Times New Roman" w:eastAsia="Times New Roman" w:hint="default"/>
        </w:rPr>
        <w:t>1</w:t>
      </w:r>
      <w:r>
        <w:rPr/>
        <w:t>项实用新型专利在申请中。</w:t>
      </w:r>
    </w:p>
    <w:p>
      <w:pPr>
        <w:pStyle w:val="BodyText"/>
        <w:spacing w:line="386" w:lineRule="auto" w:before="28"/>
        <w:ind w:left="573" w:right="992"/>
        <w:jc w:val="left"/>
      </w:pPr>
      <w:r>
        <w:rPr>
          <w:rFonts w:ascii="Times New Roman" w:hAnsi="Times New Roman" w:cs="Times New Roman" w:eastAsia="Times New Roman" w:hint="default"/>
        </w:rPr>
        <w:t>4</w:t>
      </w:r>
      <w:r>
        <w:rPr/>
        <w:t>、对外投资提升长期发展动力</w:t>
      </w:r>
      <w:r>
        <w:rPr>
          <w:w w:val="100"/>
        </w:rPr>
        <w:t> </w:t>
      </w:r>
      <w:r>
        <w:rPr>
          <w:spacing w:val="-2"/>
        </w:rPr>
        <w:t>报告期内，公司通过使用自有资金</w:t>
      </w:r>
      <w:r>
        <w:rPr>
          <w:rFonts w:ascii="Times New Roman" w:hAnsi="Times New Roman" w:cs="Times New Roman" w:eastAsia="Times New Roman" w:hint="default"/>
          <w:spacing w:val="-2"/>
        </w:rPr>
        <w:t>1</w:t>
      </w:r>
      <w:r>
        <w:rPr>
          <w:spacing w:val="-2"/>
        </w:rPr>
        <w:t>亿元对恒天领锐进行增资的方式，参与其新能源动力及控制系统</w:t>
      </w:r>
    </w:p>
    <w:p>
      <w:pPr>
        <w:pStyle w:val="BodyText"/>
        <w:spacing w:line="398" w:lineRule="auto" w:before="35"/>
        <w:ind w:right="992"/>
        <w:jc w:val="left"/>
      </w:pPr>
      <w:r>
        <w:rPr>
          <w:spacing w:val="-2"/>
        </w:rPr>
        <w:t>研发、生产及销售项目，以提高公司长期发展动力，打造新的效益增长点，提高公司现有业务板块技术增</w:t>
      </w:r>
      <w:r>
        <w:rPr>
          <w:spacing w:val="-44"/>
        </w:rPr>
        <w:t> </w:t>
      </w:r>
      <w:r>
        <w:rPr>
          <w:spacing w:val="-44"/>
        </w:rPr>
      </w:r>
      <w:r>
        <w:rPr/>
        <w:t>长能力和市场能力。公司已使用自有资金对恒天领锐增资</w:t>
      </w:r>
      <w:r>
        <w:rPr>
          <w:rFonts w:ascii="Times New Roman" w:hAnsi="Times New Roman" w:cs="Times New Roman" w:eastAsia="Times New Roman" w:hint="default"/>
        </w:rPr>
        <w:t>1</w:t>
      </w:r>
      <w:r>
        <w:rPr/>
        <w:t>亿元，且恒天领锐已完成工商变更手续，本次</w:t>
      </w:r>
      <w:r>
        <w:rPr>
          <w:w w:val="100"/>
        </w:rPr>
        <w:t> </w:t>
      </w:r>
      <w:r>
        <w:rPr/>
        <w:t>增资完成后，公司持有恒天领锐</w:t>
      </w:r>
      <w:r>
        <w:rPr>
          <w:rFonts w:ascii="Times New Roman" w:hAnsi="Times New Roman" w:cs="Times New Roman" w:eastAsia="Times New Roman" w:hint="default"/>
        </w:rPr>
        <w:t>12.50%</w:t>
      </w:r>
      <w:r>
        <w:rPr/>
        <w:t>的股权。</w:t>
      </w:r>
    </w:p>
    <w:p>
      <w:pPr>
        <w:pStyle w:val="BodyText"/>
        <w:spacing w:line="386" w:lineRule="auto" w:before="24"/>
        <w:ind w:left="573" w:right="992"/>
        <w:jc w:val="left"/>
      </w:pPr>
      <w:r>
        <w:rPr>
          <w:rFonts w:ascii="Times New Roman" w:hAnsi="Times New Roman" w:cs="Times New Roman" w:eastAsia="Times New Roman" w:hint="default"/>
        </w:rPr>
        <w:t>5</w:t>
      </w:r>
      <w:r>
        <w:rPr/>
        <w:t>、优化员工结构，激励促进动力</w:t>
      </w:r>
      <w:r>
        <w:rPr>
          <w:w w:val="100"/>
        </w:rPr>
        <w:t> </w:t>
      </w:r>
      <w:r>
        <w:rPr>
          <w:spacing w:val="-2"/>
        </w:rPr>
        <w:t>报告期内，公司继续加大人才引进力度，引入高学历的研发人员和高素质的管理人员。公司针对不同</w:t>
      </w:r>
    </w:p>
    <w:p>
      <w:pPr>
        <w:pStyle w:val="BodyText"/>
        <w:spacing w:line="403" w:lineRule="auto" w:before="65"/>
        <w:ind w:left="0" w:right="1109"/>
        <w:jc w:val="right"/>
      </w:pPr>
      <w:r>
        <w:rPr>
          <w:spacing w:val="-2"/>
        </w:rPr>
        <w:t>岗位群体提供专业化、精细化的培养和管理，持续开展各个层次的常态化和创新性培训，不断提高员工的</w:t>
      </w:r>
      <w:r>
        <w:rPr>
          <w:spacing w:val="-82"/>
        </w:rPr>
        <w:t> </w:t>
      </w:r>
      <w:r>
        <w:rPr>
          <w:spacing w:val="-82"/>
        </w:rPr>
      </w:r>
      <w:r>
        <w:rPr>
          <w:spacing w:val="-2"/>
        </w:rPr>
        <w:t>业务能力和综合素质，组建高素质、专业化人才梯队，进一步优化人员结构，为公司发展提供持续动力。</w:t>
      </w:r>
      <w:r>
        <w:rPr>
          <w:spacing w:val="-48"/>
        </w:rPr>
        <w:t> </w:t>
      </w:r>
      <w:r>
        <w:rPr>
          <w:spacing w:val="-48"/>
        </w:rPr>
      </w:r>
      <w:r>
        <w:rPr>
          <w:spacing w:val="-2"/>
        </w:rPr>
        <w:t>报告期内，公司办理完成</w:t>
      </w:r>
      <w:r>
        <w:rPr>
          <w:rFonts w:ascii="Times New Roman" w:hAnsi="Times New Roman" w:cs="Times New Roman" w:eastAsia="Times New Roman" w:hint="default"/>
          <w:spacing w:val="-2"/>
        </w:rPr>
        <w:t>166</w:t>
      </w:r>
      <w:r>
        <w:rPr>
          <w:spacing w:val="-2"/>
        </w:rPr>
        <w:t>名激励对象所持</w:t>
      </w:r>
      <w:r>
        <w:rPr>
          <w:rFonts w:ascii="Times New Roman" w:hAnsi="Times New Roman" w:cs="Times New Roman" w:eastAsia="Times New Roman" w:hint="default"/>
          <w:spacing w:val="-2"/>
        </w:rPr>
        <w:t>343</w:t>
      </w:r>
      <w:r>
        <w:rPr>
          <w:spacing w:val="-2"/>
        </w:rPr>
        <w:t>万股限制性股票解除限售手续，上述激励对象涵盖了</w:t>
      </w:r>
      <w:r>
        <w:rPr>
          <w:w w:val="100"/>
        </w:rPr>
        <w:t> </w:t>
      </w:r>
      <w:r>
        <w:rPr>
          <w:spacing w:val="-2"/>
        </w:rPr>
        <w:t>公司部分非独立董事、高级管理人员及公司核心骨干人员。有效提升了公司人才的稳定性，激发了公司管</w:t>
      </w:r>
      <w:r>
        <w:rPr>
          <w:spacing w:val="-84"/>
        </w:rPr>
        <w:t> </w:t>
      </w:r>
      <w:r>
        <w:rPr>
          <w:spacing w:val="-84"/>
        </w:rPr>
      </w:r>
      <w:r>
        <w:rPr>
          <w:spacing w:val="-2"/>
        </w:rPr>
        <w:t>理团队和核心人才的动力和创造力，充分调动员工积极性，有利于公司吸引和留住优秀人才，进一步激发</w:t>
      </w:r>
    </w:p>
    <w:p>
      <w:pPr>
        <w:pStyle w:val="BodyText"/>
        <w:spacing w:line="240" w:lineRule="auto" w:before="50"/>
        <w:ind w:right="0"/>
        <w:jc w:val="both"/>
      </w:pPr>
      <w:r>
        <w:rPr/>
        <w:t>公司创新活力，增强公司凝聚力。</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6</w:t>
      </w:r>
      <w:r>
        <w:rPr/>
        <w:t>、优化集团化管理模式，明确子公司定位</w:t>
      </w:r>
      <w:r>
        <w:rPr>
          <w:w w:val="100"/>
        </w:rPr>
        <w:t> </w:t>
      </w:r>
      <w:r>
        <w:rPr>
          <w:spacing w:val="-2"/>
        </w:rPr>
        <w:t>为进一步提升管理效率，前期公司建立集团化管理模式，本报告期，根据战略发展需要，对该模式进</w:t>
      </w:r>
    </w:p>
    <w:p>
      <w:pPr>
        <w:pStyle w:val="BodyText"/>
        <w:spacing w:line="408" w:lineRule="auto" w:before="65"/>
        <w:ind w:right="1126"/>
        <w:jc w:val="both"/>
      </w:pPr>
      <w:r>
        <w:rPr>
          <w:spacing w:val="-2"/>
        </w:rPr>
        <w:t>行优化，明晰和细化各子公司业务定位，加强对子公司的垂直管理及直接投资项目的管理，在组织机构设</w:t>
      </w:r>
      <w:r>
        <w:rPr>
          <w:spacing w:val="-44"/>
        </w:rPr>
        <w:t> </w:t>
      </w:r>
      <w:r>
        <w:rPr>
          <w:spacing w:val="-44"/>
        </w:rPr>
      </w:r>
      <w:r>
        <w:rPr>
          <w:spacing w:val="-2"/>
        </w:rPr>
        <w:t>置和管理人员水平上严格把关，提高各子公司运营管理水平。同时，发挥集团公司协同作用，促进各子公</w:t>
      </w:r>
      <w:r>
        <w:rPr>
          <w:spacing w:val="-47"/>
        </w:rPr>
        <w:t> </w:t>
      </w:r>
      <w:r>
        <w:rPr>
          <w:spacing w:val="-47"/>
        </w:rPr>
      </w:r>
      <w:r>
        <w:rPr/>
        <w:t>司深度协同、高效管控、顺畅运行。</w:t>
      </w:r>
    </w:p>
    <w:p>
      <w:pPr>
        <w:pStyle w:val="BodyText"/>
        <w:spacing w:line="240" w:lineRule="auto"/>
        <w:ind w:left="573" w:right="992"/>
        <w:jc w:val="left"/>
      </w:pPr>
      <w:r>
        <w:rPr>
          <w:rFonts w:ascii="Times New Roman" w:hAnsi="Times New Roman" w:cs="Times New Roman" w:eastAsia="Times New Roman" w:hint="default"/>
        </w:rPr>
        <w:t>7</w:t>
      </w:r>
      <w:r>
        <w:rPr/>
        <w:t>、加强财务资金管理</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公司进一步强化应收账款管理，一方面要对应收账款及时收回，另一方面加强结算工作，加速资金回</w:t>
      </w:r>
      <w:r>
        <w:rPr>
          <w:w w:val="100"/>
        </w:rPr>
        <w:t> </w:t>
      </w:r>
      <w:r>
        <w:rPr>
          <w:spacing w:val="-2"/>
        </w:rPr>
        <w:t>笼，让项目经营成果转变为企业实实在在的经济效益。同时，强化固定资产的盘活和利用，有效利用办公</w:t>
      </w:r>
      <w:r>
        <w:rPr>
          <w:spacing w:val="-45"/>
        </w:rPr>
        <w:t> </w:t>
      </w:r>
      <w:r>
        <w:rPr>
          <w:spacing w:val="-45"/>
        </w:rPr>
      </w:r>
      <w:r>
        <w:rPr>
          <w:spacing w:val="-2"/>
        </w:rPr>
        <w:t>区域、生产厂区及生产设备，减少新的不良资产的产生，强化效益意识，提高资产周转率，努力实现资源</w:t>
      </w:r>
      <w:r>
        <w:rPr>
          <w:spacing w:val="-43"/>
        </w:rPr>
        <w:t> </w:t>
      </w:r>
      <w:r>
        <w:rPr>
          <w:spacing w:val="-43"/>
        </w:rPr>
      </w:r>
      <w:r>
        <w:rPr/>
        <w:t>占用规模最优化。</w:t>
      </w:r>
    </w:p>
    <w:p>
      <w:pPr>
        <w:spacing w:line="240" w:lineRule="auto" w:before="8"/>
        <w:rPr>
          <w:rFonts w:ascii="宋体" w:hAnsi="宋体" w:cs="宋体" w:eastAsia="宋体" w:hint="default"/>
          <w:sz w:val="18"/>
          <w:szCs w:val="18"/>
        </w:rPr>
      </w:pPr>
    </w:p>
    <w:p>
      <w:pPr>
        <w:pStyle w:val="Heading2"/>
        <w:spacing w:line="240" w:lineRule="auto"/>
        <w:ind w:right="992"/>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9"/>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135" w:right="1110"/>
        <w:jc w:val="center"/>
      </w:pPr>
      <w:r>
        <w:rPr/>
        <w:t>营业收入整体情况</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471,866,245.30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446,156,028.97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205,138,094.84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43.47%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205,679,977.79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z w:val="18"/>
              </w:rPr>
              <w:t>46.10%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215,686,635.56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174,749,010.96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39.17%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51,041,514.90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65,727,040.22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14.73%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205,138,094.84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205,679,977.79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46.10%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煤矿顶板安全监测 系统及相关仪器仪 表等产品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215,686,635.56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174,749,010.96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23.43%</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轨道交通信息化产 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51,041,514.90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65,727,040.22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35,302,312.00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35,456,718.98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87,535,771.13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70,475,999.45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11,543,266.39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22,288,016.86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-48.21%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39,762,872.54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12,679,222.89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16,133,191.12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4,953,874.32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225.67%</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13,404,149.25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19,896,767.00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-32.63%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4,296,875.50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4,651,435.25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5,222,573.00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4,222,996.90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49,512,867.05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112,473,160.76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143,679,903.04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74,104,370.81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639,377.85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7,136,310.49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417,424.35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215,051.24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55,409,072.82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38,927,447.02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1,428,619.08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2,365,382.80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13,516,612.06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7,561,687.00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22,792,662.14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-66.82%</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205,138,094.84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125,543,859.13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215,686,635.56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89,307,880.73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51,041,514.90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35,917,788.67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205,138,094.84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125,543,859.13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-4.61%</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煤矿顶板安全监 测系统及相关仪 器仪表等产品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215,686,635.56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89,307,880.73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轨道交通信息化 产品及服务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51,041,514.90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35,917,788.67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35,302,312.00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8,720,145.62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87,535,771.13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31,782,081.94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39,762,872.54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30,047,932.08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49,512,867.05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28,434,650.46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143,679,903.04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87,743,461.54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55,409,072.82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39,412,687.62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992" w:firstLine="420"/>
        <w:jc w:val="left"/>
      </w:pPr>
      <w:r>
        <w:rPr>
          <w:spacing w:val="-3"/>
        </w:rPr>
        <w:t>公司主营业务数据统计口径在报告期发生调整的情况下，公司最近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年按报告期末口径调整后的主营</w:t>
      </w:r>
      <w:r>
        <w:rPr>
          <w:w w:val="100"/>
        </w:rPr>
        <w:t> </w:t>
      </w:r>
      <w:r>
        <w:rPr/>
        <w:t>业务数据：</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19"/>
          <w:szCs w:val="19"/>
        </w:rPr>
      </w:pPr>
    </w:p>
    <w:p>
      <w:pPr>
        <w:pStyle w:val="Heading4"/>
        <w:spacing w:line="240" w:lineRule="auto"/>
        <w:ind w:right="99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788,311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-22.29%</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180.12%</w:t>
            </w:r>
          </w:p>
        </w:tc>
      </w:tr>
    </w:tbl>
    <w:p>
      <w:pPr>
        <w:spacing w:line="240" w:lineRule="auto" w:before="3"/>
        <w:rPr>
          <w:rFonts w:ascii="宋体" w:hAnsi="宋体" w:cs="宋体" w:eastAsia="宋体" w:hint="default"/>
          <w:sz w:val="5"/>
          <w:szCs w:val="5"/>
        </w:rPr>
      </w:pPr>
    </w:p>
    <w:p>
      <w:pPr>
        <w:pStyle w:val="BodyText"/>
        <w:spacing w:line="386" w:lineRule="auto" w:before="36"/>
        <w:ind w:right="992" w:firstLine="420"/>
        <w:jc w:val="left"/>
      </w:pPr>
      <w:r>
        <w:rPr/>
        <w:t>相关数据同比发生变动</w:t>
      </w:r>
      <w:r>
        <w:rPr>
          <w:spacing w:val="-16"/>
        </w:rPr>
        <w:t> </w:t>
      </w:r>
      <w:r>
        <w:rPr>
          <w:rFonts w:ascii="Times New Roman" w:hAnsi="Times New Roman" w:cs="Times New Roman" w:eastAsia="Times New Roman" w:hint="default"/>
          <w:spacing w:val="-3"/>
        </w:rPr>
        <w:t>30%</w:t>
      </w:r>
      <w:r>
        <w:rPr>
          <w:spacing w:val="-3"/>
        </w:rPr>
        <w:t>以上的原因说明：公司主要从事信息通讯行业的控股子公司富华宇祺，报</w:t>
      </w:r>
      <w:r>
        <w:rPr>
          <w:w w:val="100"/>
        </w:rPr>
        <w:t> </w:t>
      </w:r>
      <w:r>
        <w:rPr/>
        <w:t>告期末为中标项目备货导致库存量同比增长。</w:t>
      </w:r>
    </w:p>
    <w:p>
      <w:pPr>
        <w:pStyle w:val="BodyText"/>
        <w:spacing w:line="240" w:lineRule="auto" w:before="103"/>
        <w:ind w:left="573" w:right="992"/>
        <w:jc w:val="left"/>
      </w:pPr>
      <w:r>
        <w:rPr>
          <w:spacing w:val="-9"/>
        </w:rPr>
        <w:t>注：全资子公司师凯科技系军工企业，长期承担武器装备科研任务，拥有《武器装备科研生产许可证》、</w:t>
      </w:r>
    </w:p>
    <w:p>
      <w:pPr>
        <w:spacing w:line="240" w:lineRule="auto" w:before="10"/>
        <w:rPr>
          <w:rFonts w:ascii="宋体" w:hAnsi="宋体" w:cs="宋体" w:eastAsia="宋体" w:hint="default"/>
          <w:sz w:val="14"/>
          <w:szCs w:val="14"/>
        </w:rPr>
      </w:pPr>
    </w:p>
    <w:p>
      <w:pPr>
        <w:pStyle w:val="BodyText"/>
        <w:spacing w:line="408" w:lineRule="auto" w:before="0"/>
        <w:ind w:right="992"/>
        <w:jc w:val="left"/>
      </w:pPr>
      <w:r>
        <w:rPr>
          <w:spacing w:val="-2"/>
        </w:rPr>
        <w:t>《装备承制单位注册证书》、《二级保密资格单位证书》、《武器装备质量体系认证证书》等军工企业相</w:t>
      </w:r>
      <w:r>
        <w:rPr>
          <w:spacing w:val="-44"/>
        </w:rPr>
        <w:t> </w:t>
      </w:r>
      <w:r>
        <w:rPr>
          <w:spacing w:val="-44"/>
        </w:rPr>
      </w:r>
      <w:r>
        <w:rPr>
          <w:spacing w:val="-5"/>
        </w:rPr>
        <w:t>关资质证书。根据国家国防科技工业局等相关规定，以下相关信息豁免披露或采取脱密处理方式进行披露： </w:t>
      </w:r>
      <w:r>
        <w:rPr>
          <w:spacing w:val="-5"/>
        </w:rPr>
      </w:r>
      <w:r>
        <w:rPr>
          <w:spacing w:val="-2"/>
        </w:rPr>
        <w:t>申请豁免披露下列内容：军品生产技术、武器研制所处阶段；产能、产量、销量、单价及期初、期末库存</w:t>
      </w:r>
      <w:r>
        <w:rPr>
          <w:spacing w:val="-48"/>
        </w:rPr>
        <w:t> </w:t>
      </w:r>
      <w:r>
        <w:rPr>
          <w:spacing w:val="-48"/>
        </w:rPr>
      </w:r>
      <w:r>
        <w:rPr>
          <w:spacing w:val="-2"/>
        </w:rPr>
        <w:t>数量；国家涉密政策文件。采用代称、打包或者汇总等方式，脱密处理后对外披露：军品名称、型号（含</w:t>
      </w:r>
      <w:r>
        <w:rPr>
          <w:spacing w:val="-48"/>
        </w:rPr>
        <w:t> </w:t>
      </w:r>
      <w:r>
        <w:rPr>
          <w:spacing w:val="-48"/>
        </w:rPr>
      </w:r>
      <w:r>
        <w:rPr/>
        <w:t>在产品、半成品、产成品及原材料）；涉及军品的研制、销售合同；涉军客户名称。</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58,630,591.38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42,171,990.33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23,203,499.22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16,990,727.98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7,473,790.13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6,232,845.24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33,705,179.21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35,348,897.29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644,429.23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558,511.28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1,568,180.23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1,295,330.98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21.06%</w:t>
            </w:r>
          </w:p>
        </w:tc>
      </w:tr>
    </w:tbl>
    <w:p>
      <w:pPr>
        <w:spacing w:line="240" w:lineRule="auto" w:before="3"/>
        <w:rPr>
          <w:rFonts w:ascii="宋体" w:hAnsi="宋体" w:cs="宋体" w:eastAsia="宋体" w:hint="default"/>
          <w:sz w:val="5"/>
          <w:szCs w:val="5"/>
        </w:rPr>
      </w:pPr>
    </w:p>
    <w:p>
      <w:pPr>
        <w:pStyle w:val="BodyText"/>
        <w:spacing w:line="408" w:lineRule="auto" w:before="36"/>
        <w:ind w:right="1104" w:firstLine="420"/>
        <w:jc w:val="both"/>
      </w:pPr>
      <w:r>
        <w:rPr>
          <w:spacing w:val="-3"/>
        </w:rPr>
        <w:t>说明：全资子公司师凯科技系军工企业，长期承担武器装备科研任务，拥有《武器装备科研生产许可</w:t>
      </w:r>
      <w:r>
        <w:rPr>
          <w:w w:val="100"/>
        </w:rPr>
        <w:t> </w:t>
      </w:r>
      <w:r>
        <w:rPr>
          <w:spacing w:val="-2"/>
        </w:rPr>
        <w:t>证》、《装备承制单位注册证书》、《二级保密资格单位证书》、《武器装备质量体系认证证书》等军工</w:t>
      </w:r>
      <w:r>
        <w:rPr>
          <w:spacing w:val="-45"/>
        </w:rPr>
        <w:t> </w:t>
      </w:r>
      <w:r>
        <w:rPr>
          <w:spacing w:val="-45"/>
        </w:rPr>
      </w:r>
      <w:r>
        <w:rPr>
          <w:spacing w:val="-2"/>
        </w:rPr>
        <w:t>企业相关资质证书。根据国家国防科技工业局等相关规定，以下相关信息豁免披露或采取脱密处理方式进</w:t>
      </w:r>
      <w:r>
        <w:rPr>
          <w:spacing w:val="-43"/>
        </w:rPr>
        <w:t> </w:t>
      </w:r>
      <w:r>
        <w:rPr>
          <w:spacing w:val="-43"/>
        </w:rPr>
      </w:r>
      <w:r>
        <w:rPr>
          <w:spacing w:val="-2"/>
        </w:rPr>
        <w:t>行披露：申请豁免披露下列内容：军品生产技术、武器研制所处阶段；产能、产量、销量、单价及期初、</w:t>
      </w:r>
      <w:r>
        <w:rPr>
          <w:spacing w:val="-21"/>
        </w:rPr>
        <w:t> </w:t>
      </w:r>
      <w:r>
        <w:rPr>
          <w:spacing w:val="-21"/>
        </w:rPr>
      </w:r>
      <w:r>
        <w:rPr>
          <w:spacing w:val="-2"/>
        </w:rPr>
        <w:t>期末库存数量；国家涉密政策文件。采用代称、打包或者汇总等方式，脱密处理后对外披露：军品名称、</w:t>
      </w:r>
      <w:r>
        <w:rPr>
          <w:spacing w:val="-20"/>
        </w:rPr>
        <w:t> </w:t>
      </w:r>
      <w:r>
        <w:rPr>
          <w:spacing w:val="-20"/>
        </w:rPr>
      </w:r>
      <w:r>
        <w:rPr/>
        <w:t>型号（含在产品、半成品、产成品及原材料）；涉及军品的研制、销售合同；涉军客户名称。</w:t>
      </w:r>
    </w:p>
    <w:p>
      <w:pPr>
        <w:spacing w:line="240" w:lineRule="auto" w:before="5"/>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30"/>
          <w:szCs w:val="30"/>
        </w:rPr>
      </w:pPr>
    </w:p>
    <w:p>
      <w:pPr>
        <w:pStyle w:val="BodyText"/>
        <w:spacing w:line="420" w:lineRule="auto" w:before="0"/>
        <w:ind w:left="573" w:right="99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公司报告期内增加</w:t>
      </w:r>
      <w:r>
        <w:rPr>
          <w:rFonts w:ascii="Times New Roman" w:hAnsi="Times New Roman" w:cs="Times New Roman" w:eastAsia="Times New Roman" w:hint="default"/>
          <w:spacing w:val="-2"/>
        </w:rPr>
        <w:t>3</w:t>
      </w:r>
      <w:r>
        <w:rPr>
          <w:spacing w:val="-2"/>
        </w:rPr>
        <w:t>个二级子公司，分别为泰安市新达信息技术有限公司、山东安冷新材料科技有限</w:t>
      </w:r>
    </w:p>
    <w:p>
      <w:pPr>
        <w:pStyle w:val="BodyText"/>
        <w:spacing w:line="240" w:lineRule="auto" w:before="3"/>
        <w:ind w:right="992"/>
        <w:jc w:val="left"/>
      </w:pPr>
      <w:r>
        <w:rPr/>
        <w:t>公司、成都速达尔信息技术有限公司。</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30"/>
          <w:szCs w:val="30"/>
        </w:rPr>
      </w:pPr>
    </w:p>
    <w:p>
      <w:pPr>
        <w:spacing w:line="571" w:lineRule="auto" w:before="0"/>
        <w:ind w:left="573" w:right="6375" w:hanging="421"/>
        <w:jc w:val="left"/>
        <w:rPr>
          <w:rFonts w:ascii="宋体" w:hAnsi="宋体" w:cs="宋体" w:eastAsia="宋体" w:hint="default"/>
          <w:sz w:val="21"/>
          <w:szCs w:val="21"/>
        </w:rPr>
      </w:pPr>
      <w:r>
        <w:rPr/>
        <w:pict>
          <v:shape style="position:absolute;margin-left:56.459999pt;margin-top:56.80368pt;width:479.2pt;height:76.35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256,326,189.49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54.32%</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0"/>
        <w:ind w:left="573" w:right="992"/>
        <w:jc w:val="left"/>
      </w:pPr>
      <w:r>
        <w:rPr/>
        <w:t>公司前</w:t>
      </w:r>
      <w:r>
        <w:rPr>
          <w:spacing w:val="-53"/>
        </w:rPr>
        <w:t> </w:t>
      </w:r>
      <w:r>
        <w:rPr>
          <w:rFonts w:ascii="Times New Roman" w:hAnsi="Times New Roman" w:cs="Times New Roman" w:eastAsia="Times New Roman" w:hint="default"/>
        </w:rPr>
        <w:t>5 </w:t>
      </w:r>
      <w:r>
        <w:rPr/>
        <w:t>大客户资料</w:t>
      </w:r>
    </w:p>
    <w:p>
      <w:pPr>
        <w:spacing w:line="240" w:lineRule="auto" w:before="10"/>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136,148,553.85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42,738,938.05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26,951,007.09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26,018,047.60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24,469,642.90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256,326,189.49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20" w:lineRule="auto" w:before="36"/>
        <w:ind w:left="573" w:right="6375"/>
        <w:jc w:val="left"/>
      </w:pPr>
      <w:r>
        <w:rPr/>
        <w:t>主要客户其他情况说明：</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112,421,580.41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6"/>
          <w:szCs w:val="6"/>
        </w:rPr>
      </w:pPr>
    </w:p>
    <w:p>
      <w:pPr>
        <w:pStyle w:val="BodyText"/>
        <w:spacing w:line="240" w:lineRule="auto" w:before="36"/>
        <w:ind w:left="573" w:right="992"/>
        <w:jc w:val="left"/>
      </w:pPr>
      <w:r>
        <w:rPr/>
        <w:t>公司前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7"/>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23,348,080.41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20,928,300.00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20,859,000.00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19,216,200.00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112,421,580.41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38.09%</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主要供应商其他情况说明：</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54,008,079.05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43,722,342.35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23.53%</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主要原因是公司报告期加大新产品 的开拓力度，相应费用增加</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64,576,605.25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57,829,736.41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1" w:right="0"/>
              <w:jc w:val="left"/>
              <w:rPr>
                <w:rFonts w:ascii="Times New Roman" w:hAnsi="Times New Roman" w:cs="Times New Roman" w:eastAsia="Times New Roman" w:hint="default"/>
                <w:sz w:val="18"/>
                <w:szCs w:val="18"/>
              </w:rPr>
            </w:pPr>
            <w:r>
              <w:rPr>
                <w:rFonts w:ascii="Times New Roman"/>
                <w:sz w:val="18"/>
              </w:rPr>
              <w:t>11.67%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主要原因是公司报告期无形资产权 摊销和薪酬增加所致。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-6,847,058.01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-4,436,438.88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-54.34%</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主要原因是公司报告期内银行存款 增加及利息收入增加所致。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47,834,016.35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47,604,135.93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公司高度重视新产品、新技术的研发创新工作，始终将研发创新作为公司长远发展的根本保障，通过</w:t>
      </w:r>
      <w:r>
        <w:rPr>
          <w:w w:val="100"/>
        </w:rPr>
        <w:t> </w:t>
      </w:r>
      <w:r>
        <w:rPr>
          <w:spacing w:val="-2"/>
        </w:rPr>
        <w:t>保持合理的研发投入，不断提高研发能力和研发效率，快速响应客户需求、持续提升产品品质、增加产品</w:t>
      </w:r>
      <w:r>
        <w:rPr>
          <w:spacing w:val="-47"/>
        </w:rPr>
        <w:t> </w:t>
      </w:r>
      <w:r>
        <w:rPr>
          <w:spacing w:val="-47"/>
        </w:rPr>
      </w:r>
      <w:r>
        <w:rPr/>
        <w:t>竞争力，继续巩固并扩大在行业内的领先优势，全面提升公司的技术储备及竞争优势。</w:t>
      </w:r>
    </w:p>
    <w:p>
      <w:pPr>
        <w:pStyle w:val="BodyText"/>
        <w:spacing w:line="386" w:lineRule="auto"/>
        <w:ind w:right="1129" w:firstLine="42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日，公司累计取得专利</w:t>
      </w:r>
      <w:r>
        <w:rPr>
          <w:rFonts w:ascii="Times New Roman" w:hAnsi="Times New Roman" w:cs="Times New Roman" w:eastAsia="Times New Roman" w:hint="default"/>
        </w:rPr>
        <w:t>118</w:t>
      </w:r>
      <w:r>
        <w:rPr/>
        <w:t>项，包含发明专利</w:t>
      </w:r>
      <w:r>
        <w:rPr>
          <w:rFonts w:ascii="Times New Roman" w:hAnsi="Times New Roman" w:cs="Times New Roman" w:eastAsia="Times New Roman" w:hint="default"/>
        </w:rPr>
        <w:t>28</w:t>
      </w:r>
      <w:r>
        <w:rPr/>
        <w:t>项，实用新型专利</w:t>
      </w:r>
      <w:r>
        <w:rPr>
          <w:rFonts w:ascii="Times New Roman" w:hAnsi="Times New Roman" w:cs="Times New Roman" w:eastAsia="Times New Roman" w:hint="default"/>
        </w:rPr>
        <w:t>88</w:t>
      </w:r>
      <w:r>
        <w:rPr/>
        <w:t>项，外观设计</w:t>
      </w:r>
      <w:r>
        <w:rPr>
          <w:w w:val="100"/>
        </w:rPr>
        <w:t> </w:t>
      </w:r>
      <w:r>
        <w:rPr>
          <w:spacing w:val="-2"/>
        </w:rPr>
        <w:t>专利</w:t>
      </w:r>
      <w:r>
        <w:rPr>
          <w:rFonts w:ascii="Times New Roman" w:hAnsi="Times New Roman" w:cs="Times New Roman" w:eastAsia="Times New Roman" w:hint="default"/>
          <w:spacing w:val="-2"/>
        </w:rPr>
        <w:t>2</w:t>
      </w:r>
      <w:r>
        <w:rPr>
          <w:spacing w:val="-2"/>
        </w:rPr>
        <w:t>项。其中，报告期内取得发明专利</w:t>
      </w:r>
      <w:r>
        <w:rPr>
          <w:rFonts w:ascii="Times New Roman" w:hAnsi="Times New Roman" w:cs="Times New Roman" w:eastAsia="Times New Roman" w:hint="default"/>
          <w:spacing w:val="-2"/>
        </w:rPr>
        <w:t>1</w:t>
      </w:r>
      <w:r>
        <w:rPr>
          <w:spacing w:val="-2"/>
        </w:rPr>
        <w:t>项，实用新型专利</w:t>
      </w:r>
      <w:r>
        <w:rPr>
          <w:rFonts w:ascii="Times New Roman" w:hAnsi="Times New Roman" w:cs="Times New Roman" w:eastAsia="Times New Roman" w:hint="default"/>
          <w:spacing w:val="-2"/>
        </w:rPr>
        <w:t>24</w:t>
      </w:r>
      <w:r>
        <w:rPr>
          <w:spacing w:val="-2"/>
        </w:rPr>
        <w:t>项。累计取得软件著作权</w:t>
      </w:r>
      <w:r>
        <w:rPr>
          <w:rFonts w:ascii="Times New Roman" w:hAnsi="Times New Roman" w:cs="Times New Roman" w:eastAsia="Times New Roman" w:hint="default"/>
          <w:spacing w:val="-2"/>
        </w:rPr>
        <w:t>93</w:t>
      </w:r>
      <w:r>
        <w:rPr>
          <w:spacing w:val="-2"/>
        </w:rPr>
        <w:t>项，取得非煤安</w:t>
      </w:r>
    </w:p>
    <w:p>
      <w:pPr>
        <w:spacing w:after="0" w:line="386"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20" w:lineRule="auto" w:before="36"/>
        <w:ind w:left="573" w:right="4608" w:hanging="421"/>
        <w:jc w:val="left"/>
      </w:pPr>
      <w:r>
        <w:rPr/>
        <w:t>标证、安标证和防爆证</w:t>
      </w:r>
      <w:r>
        <w:rPr>
          <w:rFonts w:ascii="Times New Roman" w:hAnsi="Times New Roman" w:cs="Times New Roman" w:eastAsia="Times New Roman" w:hint="default"/>
        </w:rPr>
        <w:t>155</w:t>
      </w:r>
      <w:r>
        <w:rPr/>
        <w:t>个。</w:t>
      </w:r>
      <w:r>
        <w:rPr>
          <w:w w:val="100"/>
        </w:rPr>
        <w:t> </w:t>
      </w:r>
      <w:r>
        <w:rPr>
          <w:spacing w:val="-2"/>
        </w:rPr>
        <w:t>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47,834,016.35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47,604,135.93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30,637,420.38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1,557,480.73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r>
    </w:tbl>
    <w:p>
      <w:pPr>
        <w:spacing w:line="240" w:lineRule="auto" w:before="0"/>
        <w:rPr>
          <w:rFonts w:ascii="宋体" w:hAnsi="宋体" w:cs="宋体" w:eastAsia="宋体" w:hint="default"/>
          <w:sz w:val="6"/>
          <w:szCs w:val="6"/>
        </w:rPr>
      </w:pPr>
    </w:p>
    <w:p>
      <w:pPr>
        <w:pStyle w:val="BodyText"/>
        <w:spacing w:line="420" w:lineRule="auto" w:before="36"/>
        <w:ind w:left="573" w:right="992"/>
        <w:jc w:val="left"/>
      </w:pPr>
      <w:r>
        <w:rPr/>
        <w:t>研发投入总额占营业收入的比重较上年发生显著变化的原因：</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r>
        <w:rPr>
          <w:w w:val="100"/>
        </w:rPr>
        <w:t> </w:t>
      </w:r>
      <w:r>
        <w:rPr/>
        <w:t>研发投入资本化率大幅变动的原因及其合理性说明：</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17"/>
          <w:szCs w:val="17"/>
        </w:rPr>
      </w:pPr>
    </w:p>
    <w:p>
      <w:pPr>
        <w:pStyle w:val="Heading4"/>
        <w:spacing w:line="240" w:lineRule="auto"/>
        <w:ind w:right="99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619,175,951.39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431,296,698.29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43.56%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442,333,578.80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386,479,912.49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176,842,372.59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44,816,785.80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408,280,521.22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551,009,611.81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474,740,785.18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677,805,672.63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-66,460,263.96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-126,796,060.82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78,476,479.48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75,637,851.90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-78,476,479.48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-65,637,851.90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31,905,629.15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-147,617,126.92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121.61%</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相关数据同比发生重大变动的主要影响因素说明：</w:t>
      </w:r>
    </w:p>
    <w:p>
      <w:pPr>
        <w:spacing w:line="240" w:lineRule="auto" w:before="9"/>
        <w:rPr>
          <w:rFonts w:ascii="宋体" w:hAnsi="宋体" w:cs="宋体" w:eastAsia="宋体" w:hint="default"/>
          <w:sz w:val="17"/>
          <w:szCs w:val="17"/>
        </w:rPr>
      </w:pPr>
    </w:p>
    <w:p>
      <w:pPr>
        <w:pStyle w:val="BodyText"/>
        <w:spacing w:line="386" w:lineRule="auto" w:before="0"/>
        <w:ind w:right="992" w:firstLine="420"/>
        <w:jc w:val="left"/>
      </w:pPr>
      <w:r>
        <w:rPr>
          <w:spacing w:val="-5"/>
        </w:rPr>
        <w:t>（</w:t>
      </w:r>
      <w:r>
        <w:rPr>
          <w:rFonts w:ascii="Times New Roman" w:hAnsi="Times New Roman" w:cs="Times New Roman" w:eastAsia="Times New Roman" w:hint="default"/>
          <w:spacing w:val="-5"/>
        </w:rPr>
        <w:t>1</w:t>
      </w:r>
      <w:r>
        <w:rPr>
          <w:spacing w:val="-5"/>
        </w:rPr>
        <w:t>）经营活动产生的现金流量净额同比增加</w:t>
      </w:r>
      <w:r>
        <w:rPr>
          <w:rFonts w:ascii="Times New Roman" w:hAnsi="Times New Roman" w:cs="Times New Roman" w:eastAsia="Times New Roman" w:hint="default"/>
          <w:spacing w:val="-5"/>
        </w:rPr>
        <w:t>294.59%</w:t>
      </w:r>
      <w:r>
        <w:rPr>
          <w:spacing w:val="-5"/>
        </w:rPr>
        <w:t>，主要原因是公司报告期内产品及客户结构优化，</w:t>
      </w:r>
      <w:r>
        <w:rPr>
          <w:w w:val="100"/>
        </w:rPr>
        <w:t> </w:t>
      </w:r>
      <w:r>
        <w:rPr/>
        <w:t>货款回收能力提高所致。</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992" w:firstLine="420"/>
        <w:jc w:val="left"/>
      </w:pPr>
      <w:r>
        <w:rPr>
          <w:spacing w:val="-2"/>
        </w:rPr>
        <w:t>（</w:t>
      </w:r>
      <w:r>
        <w:rPr>
          <w:rFonts w:ascii="Times New Roman" w:hAnsi="Times New Roman" w:cs="Times New Roman" w:eastAsia="Times New Roman" w:hint="default"/>
          <w:spacing w:val="-2"/>
        </w:rPr>
        <w:t>2</w:t>
      </w:r>
      <w:r>
        <w:rPr>
          <w:spacing w:val="-2"/>
        </w:rPr>
        <w:t>）投资活动产生的现金流量净额同比增加</w:t>
      </w:r>
      <w:r>
        <w:rPr>
          <w:rFonts w:ascii="Times New Roman" w:hAnsi="Times New Roman" w:cs="Times New Roman" w:eastAsia="Times New Roman" w:hint="default"/>
          <w:spacing w:val="-2"/>
        </w:rPr>
        <w:t>47.58%</w:t>
      </w:r>
      <w:r>
        <w:rPr>
          <w:spacing w:val="-2"/>
        </w:rPr>
        <w:t>，主要原因是公司报告期内购买的理财产品支出</w:t>
      </w:r>
      <w:r>
        <w:rPr>
          <w:w w:val="100"/>
        </w:rPr>
        <w:t> </w:t>
      </w:r>
      <w:r>
        <w:rPr/>
        <w:t>减少所致。</w:t>
      </w:r>
    </w:p>
    <w:p>
      <w:pPr>
        <w:pStyle w:val="BodyText"/>
        <w:spacing w:line="240" w:lineRule="auto" w:before="65"/>
        <w:ind w:left="573" w:right="992"/>
        <w:jc w:val="left"/>
      </w:pPr>
      <w:r>
        <w:rPr/>
        <w:t>（</w:t>
      </w:r>
      <w:r>
        <w:rPr>
          <w:rFonts w:ascii="Times New Roman" w:hAnsi="Times New Roman" w:cs="Times New Roman" w:eastAsia="Times New Roman" w:hint="default"/>
        </w:rPr>
        <w:t>3</w:t>
      </w:r>
      <w:r>
        <w:rPr/>
        <w:t>）筹资活动现金流入小计本期为</w:t>
      </w:r>
      <w:r>
        <w:rPr>
          <w:rFonts w:ascii="Times New Roman" w:hAnsi="Times New Roman" w:cs="Times New Roman" w:eastAsia="Times New Roman" w:hint="default"/>
        </w:rPr>
        <w:t>0</w:t>
      </w:r>
      <w:r>
        <w:rPr/>
        <w:t>，主要原因是上期的短期借款在本期归还后未再借款所致。</w:t>
      </w:r>
    </w:p>
    <w:p>
      <w:pPr>
        <w:pStyle w:val="BodyText"/>
        <w:spacing w:line="386" w:lineRule="auto" w:before="177"/>
        <w:ind w:right="992" w:firstLine="420"/>
        <w:jc w:val="left"/>
      </w:pPr>
      <w:r>
        <w:rPr>
          <w:spacing w:val="-3"/>
        </w:rPr>
        <w:t>（</w:t>
      </w:r>
      <w:r>
        <w:rPr>
          <w:rFonts w:ascii="Times New Roman" w:hAnsi="Times New Roman" w:cs="Times New Roman" w:eastAsia="Times New Roman" w:hint="default"/>
          <w:spacing w:val="-3"/>
        </w:rPr>
        <w:t>4</w:t>
      </w:r>
      <w:r>
        <w:rPr>
          <w:spacing w:val="-3"/>
        </w:rPr>
        <w:t>）现金及现金等价物净增加额同比增加</w:t>
      </w:r>
      <w:r>
        <w:rPr>
          <w:rFonts w:ascii="Times New Roman" w:hAnsi="Times New Roman" w:cs="Times New Roman" w:eastAsia="Times New Roman" w:hint="default"/>
          <w:spacing w:val="-3"/>
        </w:rPr>
        <w:t>121.61%</w:t>
      </w:r>
      <w:r>
        <w:rPr>
          <w:spacing w:val="-3"/>
        </w:rPr>
        <w:t>，主要原因是公司报告期内经营活动产生的现金流</w:t>
      </w:r>
      <w:r>
        <w:rPr>
          <w:w w:val="100"/>
        </w:rPr>
        <w:t> </w:t>
      </w:r>
      <w:r>
        <w:rPr/>
        <w:t>量比去年同期大幅增加所致。</w:t>
      </w:r>
    </w:p>
    <w:p>
      <w:pPr>
        <w:pStyle w:val="BodyText"/>
        <w:spacing w:line="441" w:lineRule="auto" w:before="106"/>
        <w:ind w:left="573" w:right="992"/>
        <w:jc w:val="left"/>
      </w:pPr>
      <w:r>
        <w:rPr/>
        <w:t>报告期内公司经营活动产生的现金净流量与本年度净利润存在重大差异的原因说明：</w:t>
      </w:r>
      <w:r>
        <w:rPr>
          <w:w w:val="100"/>
        </w:rPr>
        <w:t> </w:t>
      </w:r>
      <w:r>
        <w:rPr>
          <w:spacing w:val="-2"/>
        </w:rPr>
        <w:t>报告期内，公司经营活动产生的现金净流量与本年度净利润存在重大差异，主要有两方面原因：一是</w:t>
      </w:r>
    </w:p>
    <w:p>
      <w:pPr>
        <w:pStyle w:val="BodyText"/>
        <w:spacing w:line="408" w:lineRule="auto" w:before="16"/>
        <w:ind w:right="1126"/>
        <w:jc w:val="both"/>
      </w:pPr>
      <w:r>
        <w:rPr>
          <w:spacing w:val="-2"/>
        </w:rPr>
        <w:t>公司报告期内产品及客户结构优化、货款回收能力提高使得货款回收金额大幅增加，同时，收到的税费返</w:t>
      </w:r>
      <w:r>
        <w:rPr>
          <w:spacing w:val="-44"/>
        </w:rPr>
        <w:t> </w:t>
      </w:r>
      <w:r>
        <w:rPr>
          <w:spacing w:val="-44"/>
        </w:rPr>
      </w:r>
      <w:r>
        <w:rPr>
          <w:spacing w:val="-2"/>
        </w:rPr>
        <w:t>还增加，最终导致经营活动产生的现金净流量大幅度增加；二是公司对控股子公司富华宇祺剩余的商誉全</w:t>
      </w:r>
      <w:r>
        <w:rPr>
          <w:spacing w:val="-44"/>
        </w:rPr>
        <w:t> </w:t>
      </w:r>
      <w:r>
        <w:rPr>
          <w:spacing w:val="-44"/>
        </w:rPr>
      </w:r>
      <w:r>
        <w:rPr/>
        <w:t>额计提减值准备导致本年度净利润下降。</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2,021,957.08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购买理财产品形成的收益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-37,568,613.56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-54.95%</w:t>
            </w:r>
          </w:p>
        </w:tc>
        <w:tc>
          <w:tcPr>
            <w:tcW w:w="2168"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计提商誉减值准备形成的 损失</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148,392.06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208" w:firstLine="420"/>
        <w:jc w:val="left"/>
      </w:pPr>
      <w:r>
        <w:rPr/>
        <w:t>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年起首次执行新金融工具准则、新收入准则或新租赁准则且调整执行当年年初财务报表相</w:t>
      </w:r>
      <w:r>
        <w:rPr>
          <w:w w:val="100"/>
        </w:rPr>
        <w:t> </w:t>
      </w:r>
      <w:r>
        <w:rPr/>
        <w:t>关项目：</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before="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430"/>
        <w:gridCol w:w="1275"/>
        <w:gridCol w:w="1274"/>
        <w:gridCol w:w="1419"/>
        <w:gridCol w:w="1135"/>
        <w:gridCol w:w="1772"/>
      </w:tblGrid>
      <w:tr>
        <w:trPr>
          <w:trHeight w:val="20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2705"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5" w:type="dxa"/>
            <w:vMerge/>
            <w:tcBorders>
              <w:left w:val="single" w:sz="4" w:space="0" w:color="000000"/>
              <w:bottom w:val="nil" w:sz="6" w:space="0" w:color="auto"/>
              <w:right w:val="single" w:sz="4" w:space="0" w:color="000000"/>
            </w:tcBorders>
            <w:shd w:val="clear" w:color="auto" w:fill="D2D2D2"/>
          </w:tcPr>
          <w:p>
            <w:pPr/>
          </w:p>
        </w:tc>
        <w:tc>
          <w:tcPr>
            <w:tcW w:w="177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178,881,996.01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147,574,794.14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206,165,350.84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323,326,530.24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194,636,482.35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111,068,193.03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51,900,235.02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2,060,177.56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0.11%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192,306,562.32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197,666,185.67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1275"/>
        <w:gridCol w:w="1274"/>
        <w:gridCol w:w="1419"/>
        <w:gridCol w:w="1135"/>
        <w:gridCol w:w="1772"/>
      </w:tblGrid>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0.52%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-0.52%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135"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571" w:lineRule="auto"/>
        <w:ind w:left="573" w:right="7050" w:hanging="421"/>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、截至报告期末的资产权利受限情况</w:t>
      </w:r>
      <w:r>
        <w:rPr>
          <w:spacing w:val="-89"/>
        </w:rPr>
        <w:t> </w:t>
      </w:r>
      <w:r>
        <w:rPr>
          <w:spacing w:val="-89"/>
        </w:rPr>
      </w:r>
      <w:r>
        <w:rPr>
          <w:rFonts w:ascii="宋体" w:hAnsi="宋体" w:cs="宋体" w:eastAsia="宋体" w:hint="default"/>
          <w:b w:val="0"/>
          <w:bCs w:val="0"/>
        </w:rPr>
        <w:t>不适用</w:t>
      </w:r>
    </w:p>
    <w:p>
      <w:pPr>
        <w:pStyle w:val="Heading2"/>
        <w:spacing w:line="240" w:lineRule="auto" w:before="101"/>
        <w:ind w:right="992"/>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35"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35"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35"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135"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spacing w:line="571" w:lineRule="auto" w:before="0"/>
        <w:ind w:left="573" w:right="63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公司报告期无募集资金使用情况。</w:t>
      </w:r>
    </w:p>
    <w:p>
      <w:pPr>
        <w:pStyle w:val="Heading2"/>
        <w:spacing w:line="240" w:lineRule="auto" w:before="101"/>
        <w:ind w:right="992"/>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spacing w:line="568" w:lineRule="auto" w:before="0"/>
        <w:ind w:left="573" w:right="63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公司报告期未出售重大资产。</w:t>
      </w:r>
    </w:p>
    <w:p>
      <w:pPr>
        <w:spacing w:after="0" w:line="568"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left="51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9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left="512" w:right="0"/>
        <w:jc w:val="left"/>
        <w:rPr>
          <w:b w:val="0"/>
          <w:bCs w:val="0"/>
        </w:rPr>
      </w:pPr>
      <w:r>
        <w:rPr/>
        <w:t>七、主要控股参股公司分析</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933" w:right="0"/>
        <w:jc w:val="left"/>
      </w:pPr>
      <w:r>
        <w:rPr/>
        <w:t>主要子公司及对公司净利润影响达</w:t>
      </w:r>
      <w:r>
        <w:rPr>
          <w:spacing w:val="-56"/>
        </w:rPr>
        <w:t> </w:t>
      </w:r>
      <w:r>
        <w:rPr>
          <w:rFonts w:ascii="Times New Roman" w:hAnsi="Times New Roman" w:cs="Times New Roman" w:eastAsia="Times New Roman" w:hint="default"/>
        </w:rPr>
        <w:t>10%</w:t>
      </w:r>
      <w:r>
        <w:rPr/>
        <w:t>以上的参股公司情况</w:t>
      </w:r>
    </w:p>
    <w:p>
      <w:pPr>
        <w:spacing w:line="240" w:lineRule="auto" w:before="13"/>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424"/>
        <w:gridCol w:w="852"/>
        <w:gridCol w:w="850"/>
        <w:gridCol w:w="994"/>
        <w:gridCol w:w="1274"/>
        <w:gridCol w:w="1277"/>
        <w:gridCol w:w="1274"/>
        <w:gridCol w:w="1277"/>
        <w:gridCol w:w="1202"/>
      </w:tblGrid>
      <w:tr>
        <w:trPr>
          <w:trHeight w:val="403" w:hRule="exact"/>
        </w:trPr>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长春师凯科技产 业有限责任公司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426,258,376.63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303,166,214.31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205,138,094.84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84,007,519.25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72,604,528.76</w:t>
            </w:r>
          </w:p>
        </w:tc>
      </w:tr>
      <w:tr>
        <w:trPr>
          <w:trHeight w:val="7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北京富华宇祺信 息技术有限公司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信息通信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25,982,906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205,040,712.24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111,383,770.60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51,041,514.90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-28,169,107.26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-21,011,806.24</w:t>
            </w:r>
          </w:p>
        </w:tc>
      </w:tr>
      <w:tr>
        <w:trPr>
          <w:trHeight w:val="71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尤洛卡（山东）矿</w:t>
            </w:r>
            <w:r>
              <w:rPr>
                <w:rFonts w:ascii="宋体" w:hAnsi="宋体" w:cs="宋体" w:eastAsia="宋体" w:hint="default"/>
                <w:sz w:val="18"/>
                <w:szCs w:val="18"/>
              </w:rPr>
              <w:t> 业科技有限公司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煤矿安全 产品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405,000,000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628,213,685.24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464,357,250.08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158,424,485.90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50,439,668.77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43,944,693.82</w:t>
            </w:r>
          </w:p>
        </w:tc>
      </w:tr>
    </w:tbl>
    <w:p>
      <w:pPr>
        <w:spacing w:line="240" w:lineRule="auto" w:before="3"/>
        <w:rPr>
          <w:rFonts w:ascii="宋体" w:hAnsi="宋体" w:cs="宋体" w:eastAsia="宋体" w:hint="default"/>
          <w:sz w:val="5"/>
          <w:szCs w:val="5"/>
        </w:rPr>
      </w:pPr>
    </w:p>
    <w:p>
      <w:pPr>
        <w:pStyle w:val="BodyText"/>
        <w:spacing w:line="240" w:lineRule="auto" w:before="36"/>
        <w:ind w:left="933" w:right="0"/>
        <w:jc w:val="left"/>
      </w:pPr>
      <w:r>
        <w:rPr/>
        <w:t>报告期内取得和处置子公司的情况</w:t>
      </w:r>
    </w:p>
    <w:p>
      <w:pPr>
        <w:spacing w:line="240" w:lineRule="auto" w:before="9"/>
        <w:rPr>
          <w:rFonts w:ascii="宋体" w:hAnsi="宋体" w:cs="宋体" w:eastAsia="宋体" w:hint="default"/>
          <w:sz w:val="17"/>
          <w:szCs w:val="17"/>
        </w:rPr>
      </w:pPr>
    </w:p>
    <w:p>
      <w:pPr>
        <w:pStyle w:val="BodyText"/>
        <w:spacing w:line="420" w:lineRule="auto" w:before="0"/>
        <w:ind w:left="933" w:right="63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主要控股参股公司情况说明</w:t>
      </w:r>
    </w:p>
    <w:p>
      <w:pPr>
        <w:pStyle w:val="BodyText"/>
        <w:spacing w:line="398" w:lineRule="auto" w:before="74"/>
        <w:ind w:left="512" w:right="0" w:firstLine="420"/>
        <w:jc w:val="left"/>
      </w:pPr>
      <w:r>
        <w:rPr>
          <w:rFonts w:ascii="Times New Roman" w:hAnsi="Times New Roman" w:cs="Times New Roman" w:eastAsia="Times New Roman" w:hint="default"/>
        </w:rPr>
        <w:t>1</w:t>
      </w:r>
      <w:r>
        <w:rPr/>
        <w:t>、师凯科技报告期内收入稳定，实现营业收入</w:t>
      </w:r>
      <w:r>
        <w:rPr>
          <w:rFonts w:ascii="Times New Roman" w:hAnsi="Times New Roman" w:cs="Times New Roman" w:eastAsia="Times New Roman" w:hint="default"/>
        </w:rPr>
        <w:t>20,513.81</w:t>
      </w:r>
      <w:r>
        <w:rPr/>
        <w:t>万元，与去年同期基本持平；但因研发投入</w:t>
      </w:r>
      <w:r>
        <w:rPr>
          <w:w w:val="100"/>
        </w:rPr>
        <w:t> </w:t>
      </w:r>
      <w:r>
        <w:rPr>
          <w:spacing w:val="-2"/>
        </w:rPr>
        <w:t>增加及超额完成业绩增加奖励等原因造成费用大幅增加，另外，因产品结构变化及税率调整增值税返还减</w:t>
      </w:r>
      <w:r>
        <w:rPr>
          <w:spacing w:val="-42"/>
        </w:rPr>
        <w:t> </w:t>
      </w:r>
      <w:r>
        <w:rPr>
          <w:spacing w:val="-42"/>
        </w:rPr>
      </w:r>
      <w:r>
        <w:rPr/>
        <w:t>少，造成报告期净利润有所下降，最终实现净利润</w:t>
      </w:r>
      <w:r>
        <w:rPr>
          <w:rFonts w:ascii="Times New Roman" w:hAnsi="Times New Roman" w:cs="Times New Roman" w:eastAsia="Times New Roman" w:hint="default"/>
        </w:rPr>
        <w:t>7,260.45</w:t>
      </w:r>
      <w:r>
        <w:rPr/>
        <w:t>万元。</w:t>
      </w:r>
    </w:p>
    <w:p>
      <w:pPr>
        <w:pStyle w:val="BodyText"/>
        <w:spacing w:line="398" w:lineRule="auto" w:before="24"/>
        <w:ind w:left="512" w:right="1126" w:firstLine="420"/>
        <w:jc w:val="both"/>
      </w:pPr>
      <w:r>
        <w:rPr>
          <w:rFonts w:ascii="Times New Roman" w:hAnsi="Times New Roman" w:cs="Times New Roman" w:eastAsia="Times New Roman" w:hint="default"/>
          <w:spacing w:val="-2"/>
        </w:rPr>
        <w:t>2</w:t>
      </w:r>
      <w:r>
        <w:rPr>
          <w:spacing w:val="-2"/>
        </w:rPr>
        <w:t>、富华宇祺报告期内实现营业收入</w:t>
      </w:r>
      <w:r>
        <w:rPr>
          <w:rFonts w:ascii="Times New Roman" w:hAnsi="Times New Roman" w:cs="Times New Roman" w:eastAsia="Times New Roman" w:hint="default"/>
          <w:spacing w:val="-2"/>
        </w:rPr>
        <w:t>5,104.15</w:t>
      </w:r>
      <w:r>
        <w:rPr>
          <w:spacing w:val="-2"/>
        </w:rPr>
        <w:t>万元，实现净利润</w:t>
      </w:r>
      <w:r>
        <w:rPr>
          <w:rFonts w:ascii="Times New Roman" w:hAnsi="Times New Roman" w:cs="Times New Roman" w:eastAsia="Times New Roman" w:hint="default"/>
          <w:spacing w:val="-2"/>
        </w:rPr>
        <w:t>-2,101.18</w:t>
      </w:r>
      <w:r>
        <w:rPr>
          <w:spacing w:val="-2"/>
        </w:rPr>
        <w:t>万元，主要原因是：富华宇祺</w:t>
      </w:r>
      <w:r>
        <w:rPr>
          <w:w w:val="100"/>
        </w:rPr>
        <w:t> </w:t>
      </w:r>
      <w:r>
        <w:rPr>
          <w:spacing w:val="-2"/>
        </w:rPr>
        <w:t>业务转型尚未完全实现，虽然新业务已取得了部分订单，但收入未完全在本报告期体现，导致营业收入较</w:t>
      </w:r>
      <w:r>
        <w:rPr>
          <w:spacing w:val="-43"/>
        </w:rPr>
        <w:t> </w:t>
      </w:r>
      <w:r>
        <w:rPr>
          <w:spacing w:val="-43"/>
        </w:rPr>
      </w:r>
      <w:r>
        <w:rPr/>
        <w:t>去年同期下滑，且在研发费用、市场开拓费用大量投入的情况下，报告期经营业绩仍处于亏损状态。</w:t>
      </w:r>
    </w:p>
    <w:p>
      <w:pPr>
        <w:pStyle w:val="BodyText"/>
        <w:spacing w:line="386" w:lineRule="auto" w:before="54"/>
        <w:ind w:left="512" w:right="0" w:firstLine="420"/>
        <w:jc w:val="left"/>
      </w:pPr>
      <w:r>
        <w:rPr>
          <w:rFonts w:ascii="Times New Roman" w:hAnsi="Times New Roman" w:cs="Times New Roman" w:eastAsia="Times New Roman" w:hint="default"/>
          <w:spacing w:val="-2"/>
        </w:rPr>
        <w:t>3</w:t>
      </w:r>
      <w:r>
        <w:rPr>
          <w:spacing w:val="-2"/>
        </w:rPr>
        <w:t>、公司传统煤矿安全业务下沉至山东子公司，导致报告期内山东子公司业绩大幅上涨，实现营业收</w:t>
      </w:r>
      <w:r>
        <w:rPr>
          <w:w w:val="100"/>
        </w:rPr>
        <w:t> </w:t>
      </w:r>
      <w:r>
        <w:rPr/>
        <w:t>入</w:t>
      </w:r>
      <w:r>
        <w:rPr>
          <w:rFonts w:ascii="宋体" w:hAnsi="宋体" w:cs="宋体" w:eastAsia="宋体" w:hint="default"/>
        </w:rPr>
        <w:t>15,842.45</w:t>
      </w:r>
      <w:r>
        <w:rPr/>
        <w:t>万元，实现净利润</w:t>
      </w:r>
      <w:r>
        <w:rPr>
          <w:rFonts w:ascii="宋体" w:hAnsi="宋体" w:cs="宋体" w:eastAsia="宋体" w:hint="default"/>
        </w:rPr>
        <w:t>4,394.47</w:t>
      </w:r>
      <w:r>
        <w:rPr/>
        <w:t>万元，营业收入、净利润较上年同期均显著增长。</w:t>
      </w:r>
    </w:p>
    <w:p>
      <w:pPr>
        <w:spacing w:line="240" w:lineRule="auto" w:before="1"/>
        <w:rPr>
          <w:rFonts w:ascii="宋体" w:hAnsi="宋体" w:cs="宋体" w:eastAsia="宋体" w:hint="default"/>
          <w:sz w:val="20"/>
          <w:szCs w:val="20"/>
        </w:rPr>
      </w:pPr>
    </w:p>
    <w:p>
      <w:pPr>
        <w:pStyle w:val="Heading2"/>
        <w:spacing w:line="240" w:lineRule="auto"/>
        <w:ind w:left="512" w:right="0"/>
        <w:jc w:val="left"/>
        <w:rPr>
          <w:b w:val="0"/>
          <w:bCs w:val="0"/>
        </w:rPr>
      </w:pPr>
      <w:r>
        <w:rPr/>
        <w:t>八、公司控制的结构化主体情况</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before="0"/>
        <w:ind w:left="9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left="512"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933" w:right="0"/>
        <w:jc w:val="left"/>
      </w:pPr>
      <w:r>
        <w:rPr/>
        <w:t>（一）行业格局和趋势</w:t>
      </w:r>
    </w:p>
    <w:p>
      <w:pPr>
        <w:spacing w:line="240" w:lineRule="auto" w:before="10"/>
        <w:rPr>
          <w:rFonts w:ascii="宋体" w:hAnsi="宋体" w:cs="宋体" w:eastAsia="宋体" w:hint="default"/>
          <w:sz w:val="14"/>
          <w:szCs w:val="14"/>
        </w:rPr>
      </w:pPr>
    </w:p>
    <w:p>
      <w:pPr>
        <w:pStyle w:val="BodyText"/>
        <w:spacing w:line="240" w:lineRule="auto" w:before="0"/>
        <w:ind w:left="933" w:right="0"/>
        <w:jc w:val="left"/>
      </w:pPr>
      <w:r>
        <w:rPr>
          <w:rFonts w:ascii="Times New Roman" w:hAnsi="Times New Roman" w:cs="Times New Roman" w:eastAsia="Times New Roman" w:hint="default"/>
        </w:rPr>
        <w:t>1</w:t>
      </w:r>
      <w:r>
        <w:rPr/>
        <w:t>、军工行业</w:t>
      </w:r>
    </w:p>
    <w:p>
      <w:pPr>
        <w:spacing w:after="0" w:line="240" w:lineRule="auto"/>
        <w:jc w:val="left"/>
        <w:sectPr>
          <w:pgSz w:w="11910" w:h="16840"/>
          <w:pgMar w:header="877" w:footer="980" w:top="1100" w:bottom="1160" w:left="62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t>近年来，国家陆续发布《军队建设发展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规划纲要》、《关于深化国防和军队改革的意见》、</w:t>
      </w:r>
    </w:p>
    <w:p>
      <w:pPr>
        <w:pStyle w:val="BodyText"/>
        <w:spacing w:line="386" w:lineRule="auto" w:before="177"/>
        <w:ind w:right="1222"/>
        <w:jc w:val="both"/>
      </w:pPr>
      <w:r>
        <w:rPr>
          <w:spacing w:val="-2"/>
        </w:rPr>
        <w:t>《关于鼓励和引导民间资本进入国防科技工业领域的实施意见》、《军民融合发展战略纲要》、《</w:t>
      </w:r>
      <w:r>
        <w:rPr>
          <w:rFonts w:ascii="Times New Roman" w:hAnsi="Times New Roman" w:cs="Times New Roman" w:eastAsia="Times New Roman" w:hint="default"/>
          <w:spacing w:val="-2"/>
        </w:rPr>
        <w:t>“</w:t>
      </w:r>
      <w:r>
        <w:rPr>
          <w:spacing w:val="-2"/>
        </w:rPr>
        <w:t>十三</w:t>
      </w:r>
      <w:r>
        <w:rPr>
          <w:spacing w:val="-25"/>
        </w:rPr>
        <w:t> </w:t>
      </w:r>
      <w:r>
        <w:rPr>
          <w:spacing w:val="-2"/>
        </w:rPr>
        <w:t>五</w:t>
      </w:r>
      <w:r>
        <w:rPr>
          <w:rFonts w:ascii="Times New Roman" w:hAnsi="Times New Roman" w:cs="Times New Roman" w:eastAsia="Times New Roman" w:hint="default"/>
          <w:spacing w:val="-2"/>
        </w:rPr>
        <w:t>”</w:t>
      </w:r>
      <w:r>
        <w:rPr>
          <w:spacing w:val="-2"/>
        </w:rPr>
        <w:t>科技军民融合发展专项规划》等，国家对新兴武器装备配备的重视程度大幅提升，对军民融合发展在</w:t>
      </w:r>
      <w:r>
        <w:rPr>
          <w:spacing w:val="-23"/>
        </w:rPr>
        <w:t> </w:t>
      </w:r>
      <w:r>
        <w:rPr>
          <w:spacing w:val="-23"/>
        </w:rPr>
      </w:r>
      <w:r>
        <w:rPr/>
        <w:t>政策和资金上的扶持力度逐步加大，为军工行业及相关企业的持续发展提供了良好的机遇。</w:t>
      </w:r>
    </w:p>
    <w:p>
      <w:pPr>
        <w:pStyle w:val="BodyText"/>
        <w:spacing w:line="400" w:lineRule="auto" w:before="65"/>
        <w:ind w:right="992"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日，国防部发布了《新时代的中国国防》白皮书，指出中国国防费占国内生产总值和财</w:t>
      </w:r>
      <w:r>
        <w:rPr>
          <w:w w:val="100"/>
        </w:rPr>
        <w:t> </w:t>
      </w:r>
      <w:r>
        <w:rPr>
          <w:spacing w:val="-2"/>
        </w:rPr>
        <w:t>政支出的比重、人均国防费是偏低的；中国国防开支与维护国家主权、安全、发展利益、履行大国国际责</w:t>
      </w:r>
      <w:r>
        <w:rPr>
          <w:spacing w:val="-43"/>
        </w:rPr>
        <w:t> </w:t>
      </w:r>
      <w:r>
        <w:rPr>
          <w:spacing w:val="-43"/>
        </w:rPr>
      </w:r>
      <w:r>
        <w:rPr>
          <w:spacing w:val="-2"/>
        </w:rPr>
        <w:t>任义务与自身建设发展的保障需求相比，还有较大差距。中国国防开支将与国家经济发展水平相协调，继</w:t>
      </w:r>
      <w:r>
        <w:rPr>
          <w:spacing w:val="-44"/>
        </w:rPr>
        <w:t> </w:t>
      </w:r>
      <w:r>
        <w:rPr>
          <w:spacing w:val="-44"/>
        </w:rPr>
      </w:r>
      <w:r>
        <w:rPr/>
        <w:t>续保持适度稳定增长。</w:t>
      </w:r>
    </w:p>
    <w:p>
      <w:pPr>
        <w:pStyle w:val="BodyText"/>
        <w:spacing w:line="408" w:lineRule="auto" w:before="52"/>
        <w:ind w:right="1126" w:firstLine="420"/>
        <w:jc w:val="both"/>
      </w:pPr>
      <w:r>
        <w:rPr>
          <w:spacing w:val="-2"/>
        </w:rPr>
        <w:t>我国国防支出在过去二十多年来持续快速增长，随着我国国际地位和国力的不断提升，周边地区局势</w:t>
      </w:r>
      <w:r>
        <w:rPr>
          <w:w w:val="100"/>
        </w:rPr>
        <w:t> </w:t>
      </w:r>
      <w:r>
        <w:rPr>
          <w:spacing w:val="-2"/>
        </w:rPr>
        <w:t>长期复杂多变，可以预计在未来十年内仍将持续保持快速增长，同时装备费占国防支出总金额的比例将进</w:t>
      </w:r>
      <w:r>
        <w:rPr>
          <w:spacing w:val="-43"/>
        </w:rPr>
        <w:t> </w:t>
      </w:r>
      <w:r>
        <w:rPr>
          <w:spacing w:val="-43"/>
        </w:rPr>
      </w:r>
      <w:r>
        <w:rPr/>
        <w:t>一步提高，这为我国的国防科技工业的持续健康发展提供了坚实有力的保障。</w:t>
      </w:r>
    </w:p>
    <w:p>
      <w:pPr>
        <w:pStyle w:val="BodyText"/>
        <w:spacing w:line="408" w:lineRule="auto"/>
        <w:ind w:right="1104" w:firstLine="420"/>
        <w:jc w:val="both"/>
      </w:pPr>
      <w:r>
        <w:rPr>
          <w:spacing w:val="-2"/>
        </w:rPr>
        <w:t>国防和军队体制改革的不断深入，为民营军工企业提供了巨大的发展空间。随着科技产业革命和军事</w:t>
      </w:r>
      <w:r>
        <w:rPr>
          <w:w w:val="100"/>
        </w:rPr>
        <w:t> </w:t>
      </w:r>
      <w:r>
        <w:rPr>
          <w:spacing w:val="-2"/>
        </w:rPr>
        <w:t>变革的迅猛发展，国防经济与社会经济、军事技术与民用技术的界限趋于模糊，民营军工企业参加国防建</w:t>
      </w:r>
      <w:r>
        <w:rPr>
          <w:spacing w:val="-44"/>
        </w:rPr>
        <w:t> </w:t>
      </w:r>
      <w:r>
        <w:rPr>
          <w:spacing w:val="-44"/>
        </w:rPr>
      </w:r>
      <w:r>
        <w:rPr>
          <w:spacing w:val="-2"/>
        </w:rPr>
        <w:t>设已成为顺应军事变革发展的大趋势。未来，随着国防和军队体制改革的深度推进，具有强大研发实力、</w:t>
      </w:r>
      <w:r>
        <w:rPr>
          <w:spacing w:val="-20"/>
        </w:rPr>
        <w:t> </w:t>
      </w:r>
      <w:r>
        <w:rPr>
          <w:spacing w:val="-20"/>
        </w:rPr>
      </w:r>
      <w:r>
        <w:rPr>
          <w:spacing w:val="-2"/>
        </w:rPr>
        <w:t>优秀管理团队、良好市场声誉的民营企业将迎来巨大的成长空间，这为我国民营军工企业带来了新的机遇</w:t>
      </w:r>
      <w:r>
        <w:rPr>
          <w:spacing w:val="-42"/>
        </w:rPr>
        <w:t> </w:t>
      </w:r>
      <w:r>
        <w:rPr>
          <w:spacing w:val="-42"/>
        </w:rPr>
      </w:r>
      <w:r>
        <w:rPr>
          <w:spacing w:val="-2"/>
        </w:rPr>
        <w:t>和发展空间，整个行业面临较好的发展前景。公司将抓住这一发展机遇，继续深耕军工业务，加大研发力</w:t>
      </w:r>
      <w:r>
        <w:rPr>
          <w:spacing w:val="-50"/>
        </w:rPr>
        <w:t> </w:t>
      </w:r>
      <w:r>
        <w:rPr>
          <w:spacing w:val="-50"/>
        </w:rPr>
      </w:r>
      <w:r>
        <w:rPr/>
        <w:t>度、强化管理团队、爱惜品牌声誉，促进军工业务不断向前发展。</w:t>
      </w:r>
    </w:p>
    <w:p>
      <w:pPr>
        <w:pStyle w:val="BodyText"/>
        <w:spacing w:line="240" w:lineRule="auto"/>
        <w:ind w:left="573" w:right="992"/>
        <w:jc w:val="left"/>
      </w:pPr>
      <w:r>
        <w:rPr>
          <w:rFonts w:ascii="Times New Roman" w:hAnsi="Times New Roman" w:cs="Times New Roman" w:eastAsia="Times New Roman" w:hint="default"/>
        </w:rPr>
        <w:t>2</w:t>
      </w:r>
      <w:r>
        <w:rPr/>
        <w:t>、煤矿安全行业</w:t>
      </w:r>
    </w:p>
    <w:p>
      <w:pPr>
        <w:pStyle w:val="BodyText"/>
        <w:spacing w:line="386" w:lineRule="auto" w:before="177"/>
        <w:ind w:right="1126" w:firstLine="420"/>
        <w:jc w:val="both"/>
      </w:pPr>
      <w:r>
        <w:rPr>
          <w:spacing w:val="-4"/>
        </w:rPr>
        <w:t>《中国制造</w:t>
      </w:r>
      <w:r>
        <w:rPr>
          <w:rFonts w:ascii="Times New Roman" w:hAnsi="Times New Roman" w:cs="Times New Roman" w:eastAsia="Times New Roman" w:hint="default"/>
          <w:spacing w:val="-4"/>
        </w:rPr>
        <w:t>2025-</w:t>
      </w:r>
      <w:r>
        <w:rPr>
          <w:spacing w:val="-4"/>
        </w:rPr>
        <w:t>能源装备实施方案》中，将煤炭绿色智能采掘装备列入能源装备发展任务之一；国家</w:t>
      </w:r>
      <w:r>
        <w:rPr>
          <w:w w:val="100"/>
        </w:rPr>
        <w:t> </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规划在能源关键技术装备中也明确提出加快推进煤炭无人开采技术的研发应用；国家安全生产监</w:t>
      </w:r>
      <w:r>
        <w:rPr>
          <w:spacing w:val="-18"/>
        </w:rPr>
        <w:t> </w:t>
      </w:r>
      <w:r>
        <w:rPr>
          <w:spacing w:val="-18"/>
        </w:rPr>
      </w:r>
      <w:r>
        <w:rPr>
          <w:spacing w:val="-2"/>
        </w:rPr>
        <w:t>督管理总局对</w:t>
      </w:r>
      <w:r>
        <w:rPr>
          <w:rFonts w:ascii="Times New Roman" w:hAnsi="Times New Roman" w:cs="Times New Roman" w:eastAsia="Times New Roman" w:hint="default"/>
          <w:spacing w:val="-2"/>
        </w:rPr>
        <w:t>“</w:t>
      </w:r>
      <w:r>
        <w:rPr>
          <w:spacing w:val="-2"/>
        </w:rPr>
        <w:t>机械化换人、自动化减人</w:t>
      </w:r>
      <w:r>
        <w:rPr>
          <w:rFonts w:ascii="Times New Roman" w:hAnsi="Times New Roman" w:cs="Times New Roman" w:eastAsia="Times New Roman" w:hint="default"/>
          <w:spacing w:val="-2"/>
        </w:rPr>
        <w:t>”</w:t>
      </w:r>
      <w:r>
        <w:rPr>
          <w:spacing w:val="-2"/>
        </w:rPr>
        <w:t>科技强安专项行动也将煤炭智能化开采列为重点研究方向；煤炭</w:t>
      </w:r>
      <w:r>
        <w:rPr>
          <w:spacing w:val="-22"/>
        </w:rPr>
        <w:t> </w:t>
      </w:r>
      <w:r>
        <w:rPr>
          <w:spacing w:val="-22"/>
        </w:rPr>
      </w:r>
      <w:r>
        <w:rPr/>
        <w:t>工业也开始不断深入探索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自动开采</w:t>
      </w:r>
      <w:r>
        <w:rPr>
          <w:rFonts w:ascii="Times New Roman" w:hAnsi="Times New Roman" w:cs="Times New Roman" w:eastAsia="Times New Roman" w:hint="default"/>
        </w:rPr>
        <w:t>”</w:t>
      </w:r>
      <w:r>
        <w:rPr/>
        <w:t>的绿色开采新模式。</w:t>
      </w:r>
    </w:p>
    <w:p>
      <w:pPr>
        <w:pStyle w:val="BodyText"/>
        <w:spacing w:line="403" w:lineRule="auto" w:before="35"/>
        <w:ind w:right="992" w:firstLine="420"/>
        <w:jc w:val="left"/>
      </w:pPr>
      <w:r>
        <w:rPr/>
        <w:t>国家有关部门发布了煤炭工业智能化矿井设计标准。随后，各产煤大省相继出台关于煤矿智能化建设</w:t>
      </w:r>
      <w:r>
        <w:rPr>
          <w:w w:val="100"/>
        </w:rPr>
        <w:t> </w:t>
      </w:r>
      <w:r>
        <w:rPr>
          <w:spacing w:val="-2"/>
        </w:rPr>
        <w:t>的相关规划和建设规范等，进一步助推煤矿向智能化发展。依靠智能化建设减少井下作业人员、减轻职工</w:t>
      </w:r>
      <w:r>
        <w:rPr>
          <w:spacing w:val="-43"/>
        </w:rPr>
        <w:t> </w:t>
      </w:r>
      <w:r>
        <w:rPr>
          <w:spacing w:val="-43"/>
        </w:rPr>
      </w:r>
      <w:r>
        <w:rPr>
          <w:spacing w:val="-4"/>
        </w:rPr>
        <w:t>劳动强度、提高煤矿生产效率，实现</w:t>
      </w:r>
      <w:r>
        <w:rPr>
          <w:rFonts w:ascii="Times New Roman" w:hAnsi="Times New Roman" w:cs="Times New Roman" w:eastAsia="Times New Roman" w:hint="default"/>
          <w:spacing w:val="-4"/>
        </w:rPr>
        <w:t>“</w:t>
      </w:r>
      <w:r>
        <w:rPr>
          <w:spacing w:val="-4"/>
        </w:rPr>
        <w:t>有人巡视、无人盯岗</w:t>
      </w:r>
      <w:r>
        <w:rPr>
          <w:rFonts w:ascii="Times New Roman" w:hAnsi="Times New Roman" w:cs="Times New Roman" w:eastAsia="Times New Roman" w:hint="default"/>
          <w:spacing w:val="-4"/>
        </w:rPr>
        <w:t>”</w:t>
      </w:r>
      <w:r>
        <w:rPr>
          <w:spacing w:val="-4"/>
        </w:rPr>
        <w:t>的安全管理新模式已是新时代煤矿的发展方向。</w:t>
      </w:r>
      <w:r>
        <w:rPr>
          <w:spacing w:val="-30"/>
        </w:rPr>
        <w:t> </w:t>
      </w:r>
      <w:r>
        <w:rPr>
          <w:spacing w:val="-30"/>
        </w:rPr>
      </w:r>
      <w:r>
        <w:rPr>
          <w:spacing w:val="-2"/>
        </w:rPr>
        <w:t>综采智能化工作面的推广，为公司智能化矿山业务带来了良好的发展机会，公司将抓住这次机遇，进一步</w:t>
      </w:r>
      <w:r>
        <w:rPr>
          <w:spacing w:val="-43"/>
        </w:rPr>
        <w:t> </w:t>
      </w:r>
      <w:r>
        <w:rPr>
          <w:spacing w:val="-43"/>
        </w:rPr>
      </w:r>
      <w:r>
        <w:rPr/>
        <w:t>推广相关产品和服务，谋取更好的业绩。</w:t>
      </w:r>
    </w:p>
    <w:p>
      <w:pPr>
        <w:pStyle w:val="BodyText"/>
        <w:spacing w:line="398" w:lineRule="auto" w:before="50"/>
        <w:ind w:right="1126" w:firstLine="420"/>
        <w:jc w:val="both"/>
      </w:pPr>
      <w:r>
        <w:rPr>
          <w:spacing w:val="-2"/>
        </w:rPr>
        <w:t>全国较大煤矿生产安全事故接连发生多起，特别是</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月下旬</w:t>
      </w:r>
      <w:r>
        <w:rPr>
          <w:rFonts w:ascii="Times New Roman" w:hAnsi="Times New Roman" w:cs="Times New Roman" w:eastAsia="Times New Roman" w:hint="default"/>
          <w:spacing w:val="-2"/>
        </w:rPr>
        <w:t>5</w:t>
      </w:r>
      <w:r>
        <w:rPr>
          <w:spacing w:val="-2"/>
        </w:rPr>
        <w:t>天内连续发生</w:t>
      </w:r>
      <w:r>
        <w:rPr>
          <w:rFonts w:ascii="Times New Roman" w:hAnsi="Times New Roman" w:cs="Times New Roman" w:eastAsia="Times New Roman" w:hint="default"/>
          <w:spacing w:val="-2"/>
        </w:rPr>
        <w:t>3</w:t>
      </w:r>
      <w:r>
        <w:rPr>
          <w:spacing w:val="-2"/>
        </w:rPr>
        <w:t>起较大事故，国务</w:t>
      </w:r>
      <w:r>
        <w:rPr>
          <w:w w:val="100"/>
        </w:rPr>
        <w:t> </w:t>
      </w:r>
      <w:r>
        <w:rPr>
          <w:spacing w:val="-2"/>
        </w:rPr>
        <w:t>院安委会办公室发布了《关于进一步加强煤矿安全生产工作的紧急通知》。中共中央一直高度重视安全生</w:t>
      </w:r>
      <w:r>
        <w:rPr>
          <w:spacing w:val="-43"/>
        </w:rPr>
        <w:t> </w:t>
      </w:r>
      <w:r>
        <w:rPr>
          <w:spacing w:val="-43"/>
        </w:rPr>
      </w:r>
      <w:r>
        <w:rPr>
          <w:spacing w:val="-2"/>
        </w:rPr>
        <w:t>产，习近平总书记强调，生命重于泰山，务必把安全生产摆到重要位置，树牢安全发展理念。李克强总理</w:t>
      </w:r>
    </w:p>
    <w:p>
      <w:pPr>
        <w:spacing w:after="0" w:line="39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2"/>
        <w:jc w:val="left"/>
      </w:pPr>
      <w:r>
        <w:rPr>
          <w:spacing w:val="-2"/>
        </w:rPr>
        <w:t>指出要细化强化安全生产工作，切实维护人民群众生命财产安全。煤矿安全关系到企业财产安全和很多百</w:t>
      </w:r>
      <w:r>
        <w:rPr>
          <w:spacing w:val="-42"/>
        </w:rPr>
        <w:t> </w:t>
      </w:r>
      <w:r>
        <w:rPr>
          <w:spacing w:val="-42"/>
        </w:rPr>
      </w:r>
      <w:r>
        <w:rPr/>
        <w:t>姓家庭的幸福，公司将进一步推动煤矿安全服务业务，为煤矿安全生产保驾护航。</w:t>
      </w:r>
    </w:p>
    <w:p>
      <w:pPr>
        <w:pStyle w:val="BodyText"/>
        <w:spacing w:line="386" w:lineRule="auto"/>
        <w:ind w:left="573" w:right="992"/>
        <w:jc w:val="left"/>
      </w:pPr>
      <w:r>
        <w:rPr>
          <w:rFonts w:ascii="Times New Roman" w:hAnsi="Times New Roman" w:cs="Times New Roman" w:eastAsia="Times New Roman" w:hint="default"/>
        </w:rPr>
        <w:t>3</w:t>
      </w:r>
      <w:r>
        <w:rPr/>
        <w:t>、信息通信行业</w:t>
      </w:r>
      <w:r>
        <w:rPr>
          <w:w w:val="100"/>
        </w:rPr>
        <w:t> </w:t>
      </w:r>
      <w:r>
        <w:rPr>
          <w:spacing w:val="-2"/>
        </w:rPr>
        <w:t>公司的信息通讯业务重点包括三方面业务：军工信息通讯、轨交车载通信、矿山通信，随着信息化的</w:t>
      </w:r>
    </w:p>
    <w:p>
      <w:pPr>
        <w:pStyle w:val="BodyText"/>
        <w:spacing w:line="408" w:lineRule="auto" w:before="65"/>
        <w:ind w:left="573" w:right="992" w:hanging="421"/>
        <w:jc w:val="left"/>
      </w:pPr>
      <w:r>
        <w:rPr/>
        <w:t>快速发展，信息通讯行业一直展现蓬勃发展的生命力。</w:t>
      </w:r>
      <w:r>
        <w:rPr>
          <w:w w:val="100"/>
        </w:rPr>
        <w:t> </w:t>
      </w:r>
      <w:r>
        <w:rPr>
          <w:spacing w:val="-2"/>
        </w:rPr>
        <w:t>中央军委在《军队建设发展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规划纲要》明确表示，到</w:t>
      </w:r>
      <w:r>
        <w:rPr>
          <w:rFonts w:ascii="Times New Roman" w:hAnsi="Times New Roman" w:cs="Times New Roman" w:eastAsia="Times New Roman" w:hint="default"/>
          <w:spacing w:val="-2"/>
        </w:rPr>
        <w:t>2020</w:t>
      </w:r>
      <w:r>
        <w:rPr>
          <w:spacing w:val="-2"/>
        </w:rPr>
        <w:t>年，军队要如期实现国防和军队现</w:t>
      </w:r>
    </w:p>
    <w:p>
      <w:pPr>
        <w:pStyle w:val="BodyText"/>
        <w:spacing w:line="398" w:lineRule="auto" w:before="14"/>
        <w:ind w:right="1126"/>
        <w:jc w:val="both"/>
      </w:pPr>
      <w:r>
        <w:rPr>
          <w:spacing w:val="-2"/>
        </w:rPr>
        <w:t>代化建设</w:t>
      </w:r>
      <w:r>
        <w:rPr>
          <w:rFonts w:ascii="Times New Roman" w:hAnsi="Times New Roman" w:cs="Times New Roman" w:eastAsia="Times New Roman" w:hint="default"/>
          <w:spacing w:val="-2"/>
        </w:rPr>
        <w:t>“</w:t>
      </w:r>
      <w:r>
        <w:rPr>
          <w:spacing w:val="-2"/>
        </w:rPr>
        <w:t>三步走</w:t>
      </w:r>
      <w:r>
        <w:rPr>
          <w:rFonts w:ascii="Times New Roman" w:hAnsi="Times New Roman" w:cs="Times New Roman" w:eastAsia="Times New Roman" w:hint="default"/>
          <w:spacing w:val="-2"/>
        </w:rPr>
        <w:t>”</w:t>
      </w:r>
      <w:r>
        <w:rPr>
          <w:spacing w:val="-2"/>
        </w:rPr>
        <w:t>发展战略第二步目标，信息化建设取得重大进展，构建能够打赢信息化战争、有效履行</w:t>
      </w:r>
      <w:r>
        <w:rPr>
          <w:spacing w:val="-18"/>
        </w:rPr>
        <w:t> </w:t>
      </w:r>
      <w:r>
        <w:rPr>
          <w:spacing w:val="-18"/>
        </w:rPr>
      </w:r>
      <w:r>
        <w:rPr>
          <w:spacing w:val="-2"/>
        </w:rPr>
        <w:t>使命任务的中国特色现代军事力量体系。据前瞻产业研究院《中国军工产业深度市场调研与投资战略规划</w:t>
      </w:r>
      <w:r>
        <w:rPr>
          <w:spacing w:val="-43"/>
        </w:rPr>
        <w:t> </w:t>
      </w:r>
      <w:r>
        <w:rPr>
          <w:spacing w:val="-43"/>
        </w:rPr>
      </w:r>
      <w:r>
        <w:rPr>
          <w:spacing w:val="-2"/>
        </w:rPr>
        <w:t>分析报告》提供的数据，预计到</w:t>
      </w:r>
      <w:r>
        <w:rPr>
          <w:rFonts w:ascii="Times New Roman" w:hAnsi="Times New Roman" w:cs="Times New Roman" w:eastAsia="Times New Roman" w:hint="default"/>
          <w:spacing w:val="-2"/>
        </w:rPr>
        <w:t>2025</w:t>
      </w:r>
      <w:r>
        <w:rPr>
          <w:spacing w:val="-2"/>
        </w:rPr>
        <w:t>年，国防信息化开支增至</w:t>
      </w:r>
      <w:r>
        <w:rPr>
          <w:rFonts w:ascii="Times New Roman" w:hAnsi="Times New Roman" w:cs="Times New Roman" w:eastAsia="Times New Roman" w:hint="default"/>
          <w:spacing w:val="-2"/>
        </w:rPr>
        <w:t>2,513</w:t>
      </w:r>
      <w:r>
        <w:rPr>
          <w:spacing w:val="-2"/>
        </w:rPr>
        <w:t>亿元，年复合增长率达到</w:t>
      </w:r>
      <w:r>
        <w:rPr>
          <w:rFonts w:ascii="Times New Roman" w:hAnsi="Times New Roman" w:cs="Times New Roman" w:eastAsia="Times New Roman" w:hint="default"/>
          <w:spacing w:val="-2"/>
        </w:rPr>
        <w:t>11.6%</w:t>
      </w:r>
      <w:r>
        <w:rPr>
          <w:spacing w:val="-2"/>
        </w:rPr>
        <w:t>。可以</w:t>
      </w:r>
      <w:r>
        <w:rPr>
          <w:spacing w:val="-8"/>
        </w:rPr>
        <w:t> </w:t>
      </w:r>
      <w:r>
        <w:rPr>
          <w:spacing w:val="-8"/>
        </w:rPr>
      </w:r>
      <w:r>
        <w:rPr>
          <w:spacing w:val="-2"/>
        </w:rPr>
        <w:t>预见，随着国防信息化产业发展的提速，公司军工信息通讯业务有望共享发展带来的红利，进入黄金发展</w:t>
      </w:r>
      <w:r>
        <w:rPr>
          <w:spacing w:val="-45"/>
        </w:rPr>
        <w:t> </w:t>
      </w:r>
      <w:r>
        <w:rPr>
          <w:spacing w:val="-45"/>
        </w:rPr>
      </w:r>
      <w:r>
        <w:rPr/>
        <w:t>期。</w:t>
      </w:r>
    </w:p>
    <w:p>
      <w:pPr>
        <w:pStyle w:val="BodyText"/>
        <w:spacing w:line="396" w:lineRule="auto" w:before="54"/>
        <w:ind w:right="992" w:firstLine="420"/>
        <w:jc w:val="left"/>
      </w:pPr>
      <w:r>
        <w:rPr>
          <w:spacing w:val="-2"/>
        </w:rPr>
        <w:t>无线通信领域军工电子信息化水平决定现代战争走向，</w:t>
      </w:r>
      <w:r>
        <w:rPr>
          <w:rFonts w:ascii="Times New Roman" w:hAnsi="Times New Roman" w:cs="Times New Roman" w:eastAsia="Times New Roman" w:hint="default"/>
          <w:spacing w:val="-2"/>
        </w:rPr>
        <w:t>“</w:t>
      </w:r>
      <w:r>
        <w:rPr>
          <w:spacing w:val="-2"/>
        </w:rPr>
        <w:t>新型研制</w:t>
      </w:r>
      <w:r>
        <w:rPr>
          <w:rFonts w:ascii="Times New Roman" w:hAnsi="Times New Roman" w:cs="Times New Roman" w:eastAsia="Times New Roman" w:hint="default"/>
          <w:spacing w:val="-2"/>
        </w:rPr>
        <w:t>+</w:t>
      </w:r>
      <w:r>
        <w:rPr>
          <w:spacing w:val="-2"/>
        </w:rPr>
        <w:t>旧型改进</w:t>
      </w:r>
      <w:r>
        <w:rPr>
          <w:rFonts w:ascii="Times New Roman" w:hAnsi="Times New Roman" w:cs="Times New Roman" w:eastAsia="Times New Roman" w:hint="default"/>
          <w:spacing w:val="-2"/>
        </w:rPr>
        <w:t>”</w:t>
      </w:r>
      <w:r>
        <w:rPr>
          <w:spacing w:val="-2"/>
        </w:rPr>
        <w:t>为信息化能力实现路径，</w:t>
      </w:r>
      <w:r>
        <w:rPr>
          <w:w w:val="100"/>
        </w:rPr>
        <w:t> </w:t>
      </w:r>
      <w:r>
        <w:rPr>
          <w:spacing w:val="-2"/>
        </w:rPr>
        <w:t>对标世界先进军队信息化先进水平，我国差距仍较大，强军目标推动未来</w:t>
      </w:r>
      <w:r>
        <w:rPr>
          <w:rFonts w:ascii="Times New Roman" w:hAnsi="Times New Roman" w:cs="Times New Roman" w:eastAsia="Times New Roman" w:hint="default"/>
          <w:spacing w:val="-2"/>
        </w:rPr>
        <w:t>10</w:t>
      </w:r>
      <w:r>
        <w:rPr>
          <w:spacing w:val="-2"/>
        </w:rPr>
        <w:t>年成为军工电子信息化黄金发</w:t>
      </w:r>
      <w:r>
        <w:rPr>
          <w:spacing w:val="-41"/>
        </w:rPr>
        <w:t> </w:t>
      </w:r>
      <w:r>
        <w:rPr>
          <w:spacing w:val="-41"/>
        </w:rPr>
      </w:r>
      <w:r>
        <w:rPr>
          <w:spacing w:val="-2"/>
        </w:rPr>
        <w:t>展期，自主可控为发展战略重点。无线通信设备作为构成国家军队信息化体系的具体应用装备，在战术使</w:t>
      </w:r>
      <w:r>
        <w:rPr>
          <w:spacing w:val="-43"/>
        </w:rPr>
        <w:t> </w:t>
      </w:r>
      <w:r>
        <w:rPr>
          <w:spacing w:val="-43"/>
        </w:rPr>
      </w:r>
      <w:r>
        <w:rPr/>
        <w:t>用中较为广泛，受军队</w:t>
      </w:r>
      <w:r>
        <w:rPr>
          <w:rFonts w:ascii="Times New Roman" w:hAnsi="Times New Roman" w:cs="Times New Roman" w:eastAsia="Times New Roman" w:hint="default"/>
        </w:rPr>
        <w:t>“</w:t>
      </w:r>
      <w:r>
        <w:rPr/>
        <w:t>数字化</w:t>
      </w:r>
      <w:r>
        <w:rPr>
          <w:rFonts w:ascii="Times New Roman" w:hAnsi="Times New Roman" w:cs="Times New Roman" w:eastAsia="Times New Roman" w:hint="default"/>
        </w:rPr>
        <w:t>”</w:t>
      </w:r>
      <w:r>
        <w:rPr/>
        <w:t>建设牵引，市场空间可期。因此可以预见，未来军费结构中军工信息化支</w:t>
      </w:r>
      <w:r>
        <w:rPr>
          <w:w w:val="100"/>
        </w:rPr>
        <w:t> </w:t>
      </w:r>
      <w:r>
        <w:rPr/>
        <w:t>出占比将不断上升。公司军工信息通讯方面在前期不断努力下，已经开始突破，下一步将乘胜追击争取更</w:t>
      </w:r>
      <w:r>
        <w:rPr>
          <w:w w:val="100"/>
        </w:rPr>
        <w:t> </w:t>
      </w:r>
      <w:r>
        <w:rPr/>
        <w:t>多发展机会。</w:t>
      </w:r>
    </w:p>
    <w:p>
      <w:pPr>
        <w:pStyle w:val="BodyText"/>
        <w:spacing w:line="393" w:lineRule="auto" w:before="57"/>
        <w:ind w:right="1126" w:firstLine="420"/>
        <w:jc w:val="both"/>
      </w:pPr>
      <w:r>
        <w:rPr>
          <w:spacing w:val="-2"/>
        </w:rPr>
        <w:t>随着社会与经济的发展，城市化已成为当今社会发展的重要趋势，人们出行成为当前必须解决的关键</w:t>
      </w:r>
      <w:r>
        <w:rPr>
          <w:w w:val="100"/>
        </w:rPr>
        <w:t> </w:t>
      </w:r>
      <w:r>
        <w:rPr>
          <w:spacing w:val="-3"/>
        </w:rPr>
        <w:t>问题。通过兴建轨道交通体系将有利于构建完善的城市交通网络</w:t>
      </w:r>
      <w:r>
        <w:rPr>
          <w:rFonts w:ascii="Times New Roman" w:hAnsi="Times New Roman" w:cs="Times New Roman" w:eastAsia="Times New Roman" w:hint="default"/>
          <w:spacing w:val="-3"/>
        </w:rPr>
        <w:t>,</w:t>
      </w:r>
      <w:r>
        <w:rPr>
          <w:spacing w:val="-3"/>
        </w:rPr>
        <w:t>从而为人们出行提供极大的便利。轨道交</w:t>
      </w:r>
      <w:r>
        <w:rPr>
          <w:spacing w:val="-49"/>
        </w:rPr>
        <w:t> </w:t>
      </w:r>
      <w:r>
        <w:rPr>
          <w:spacing w:val="-49"/>
        </w:rPr>
      </w:r>
      <w:r>
        <w:rPr>
          <w:spacing w:val="-3"/>
        </w:rPr>
        <w:t>通行业蓬勃发展的过程中</w:t>
      </w:r>
      <w:r>
        <w:rPr>
          <w:rFonts w:ascii="Times New Roman" w:hAnsi="Times New Roman" w:cs="Times New Roman" w:eastAsia="Times New Roman" w:hint="default"/>
          <w:spacing w:val="-3"/>
        </w:rPr>
        <w:t>,</w:t>
      </w:r>
      <w:r>
        <w:rPr>
          <w:spacing w:val="-3"/>
        </w:rPr>
        <w:t>搭载的轨交车载通信系统也将伴随较快发展，公司将在现有客户基础上，加快拓</w:t>
      </w:r>
      <w:r>
        <w:rPr>
          <w:spacing w:val="-49"/>
        </w:rPr>
        <w:t> </w:t>
      </w:r>
      <w:r>
        <w:rPr>
          <w:spacing w:val="-49"/>
        </w:rPr>
      </w:r>
      <w:r>
        <w:rPr/>
        <w:t>展新的大客户，寻求增长点。</w:t>
      </w:r>
    </w:p>
    <w:p>
      <w:pPr>
        <w:pStyle w:val="BodyText"/>
        <w:spacing w:line="393" w:lineRule="auto" w:before="58"/>
        <w:ind w:right="992" w:firstLine="420"/>
        <w:jc w:val="left"/>
      </w:pPr>
      <w:r>
        <w:rPr>
          <w:spacing w:val="-2"/>
        </w:rPr>
        <w:t>煤矿仍然是未来很长时期主要的能源来源，国家对煤矿安全的重视和煤矿信息化的加强，未来矿用通</w:t>
      </w:r>
      <w:r>
        <w:rPr>
          <w:w w:val="100"/>
        </w:rPr>
        <w:t> </w:t>
      </w:r>
      <w:r>
        <w:rPr/>
        <w:t>信类的系统会进一步加大投资。煤化工通信正在原有</w:t>
      </w:r>
      <w:r>
        <w:rPr>
          <w:rFonts w:ascii="Times New Roman" w:hAnsi="Times New Roman" w:cs="Times New Roman" w:eastAsia="Times New Roman" w:hint="default"/>
        </w:rPr>
        <w:t>4G</w:t>
      </w:r>
      <w:r>
        <w:rPr/>
        <w:t>矿用产品解决方案基础上全面升级为基于</w:t>
      </w:r>
      <w:r>
        <w:rPr>
          <w:rFonts w:ascii="Times New Roman" w:hAnsi="Times New Roman" w:cs="Times New Roman" w:eastAsia="Times New Roman" w:hint="default"/>
        </w:rPr>
        <w:t>5G</w:t>
      </w:r>
      <w:r>
        <w:rPr/>
        <w:t>技术</w:t>
      </w:r>
      <w:r>
        <w:rPr>
          <w:spacing w:val="-3"/>
          <w:w w:val="100"/>
        </w:rPr>
        <w:t> </w:t>
      </w:r>
      <w:r>
        <w:rPr>
          <w:spacing w:val="-3"/>
        </w:rPr>
        <w:t>的矿用通信系统。公司已经取得</w:t>
      </w:r>
      <w:r>
        <w:rPr>
          <w:rFonts w:ascii="Times New Roman" w:hAnsi="Times New Roman" w:cs="Times New Roman" w:eastAsia="Times New Roman" w:hint="default"/>
          <w:spacing w:val="-3"/>
        </w:rPr>
        <w:t>5G</w:t>
      </w:r>
      <w:r>
        <w:rPr>
          <w:spacing w:val="-3"/>
        </w:rPr>
        <w:t>相关产品的矿用防爆证书，下一步将加大研发和商务投入，抓住机遇与</w:t>
      </w:r>
      <w:r>
        <w:rPr>
          <w:spacing w:val="-43"/>
        </w:rPr>
        <w:t> </w:t>
      </w:r>
      <w:r>
        <w:rPr>
          <w:spacing w:val="-43"/>
        </w:rPr>
      </w:r>
      <w:r>
        <w:rPr/>
        <w:t>运营商通力合作，将该项业务尽快变现。</w:t>
      </w:r>
    </w:p>
    <w:p>
      <w:pPr>
        <w:pStyle w:val="BodyText"/>
        <w:spacing w:line="408" w:lineRule="auto" w:before="59"/>
        <w:ind w:left="573" w:right="992"/>
        <w:jc w:val="left"/>
      </w:pPr>
      <w:r>
        <w:rPr/>
        <w:t>（二）公司未来发展战略</w:t>
      </w:r>
      <w:r>
        <w:rPr>
          <w:w w:val="100"/>
        </w:rPr>
        <w:t> </w:t>
      </w:r>
      <w:r>
        <w:rPr>
          <w:spacing w:val="-2"/>
        </w:rPr>
        <w:t>未来公司将继续秉持适度多元化的发展战略，依托集团化管理模式，加强对各子公司的垂直管理，提</w:t>
      </w:r>
    </w:p>
    <w:p>
      <w:pPr>
        <w:pStyle w:val="BodyText"/>
        <w:spacing w:line="398" w:lineRule="auto"/>
        <w:ind w:right="992"/>
        <w:jc w:val="left"/>
      </w:pPr>
      <w:r>
        <w:rPr/>
        <w:t>升公司整体运营管理效率，保持</w:t>
      </w:r>
      <w:r>
        <w:rPr>
          <w:rFonts w:ascii="Times New Roman" w:hAnsi="Times New Roman" w:cs="Times New Roman" w:eastAsia="Times New Roman" w:hint="default"/>
        </w:rPr>
        <w:t>“</w:t>
      </w:r>
      <w:r>
        <w:rPr/>
        <w:t>三驾马车</w:t>
      </w:r>
      <w:r>
        <w:rPr>
          <w:rFonts w:ascii="Times New Roman" w:hAnsi="Times New Roman" w:cs="Times New Roman" w:eastAsia="Times New Roman" w:hint="default"/>
        </w:rPr>
        <w:t>”</w:t>
      </w:r>
      <w:r>
        <w:rPr/>
        <w:t>格局不变，强化</w:t>
      </w:r>
      <w:r>
        <w:rPr>
          <w:rFonts w:ascii="Times New Roman" w:hAnsi="Times New Roman" w:cs="Times New Roman" w:eastAsia="Times New Roman" w:hint="default"/>
        </w:rPr>
        <w:t>“</w:t>
      </w:r>
      <w:r>
        <w:rPr/>
        <w:t>军工业务、煤矿安全业务、信息通讯业务</w:t>
      </w:r>
      <w:r>
        <w:rPr>
          <w:rFonts w:ascii="Times New Roman" w:hAnsi="Times New Roman" w:cs="Times New Roman" w:eastAsia="Times New Roman" w:hint="default"/>
        </w:rPr>
        <w:t>”</w:t>
      </w:r>
      <w:r>
        <w:rPr/>
        <w:t>三</w:t>
      </w:r>
      <w:r>
        <w:rPr>
          <w:w w:val="100"/>
        </w:rPr>
        <w:t> </w:t>
      </w:r>
      <w:r>
        <w:rPr>
          <w:spacing w:val="-5"/>
        </w:rPr>
        <w:t>大领域的布局和协调发展，充分发挥其在各自行业的优势和市场地位，加快布局，推进市场占有率的提升。</w:t>
      </w:r>
      <w:r>
        <w:rPr>
          <w:spacing w:val="-4"/>
        </w:rPr>
        <w:t> </w:t>
      </w:r>
      <w:r>
        <w:rPr>
          <w:spacing w:val="-4"/>
        </w:rPr>
      </w:r>
      <w:r>
        <w:rPr/>
        <w:t>围绕公司以上发展战略，充分利用公司资本、资金优势，继续抓牢</w:t>
      </w:r>
      <w:r>
        <w:rPr>
          <w:rFonts w:ascii="Times New Roman" w:hAnsi="Times New Roman" w:cs="Times New Roman" w:eastAsia="Times New Roman" w:hint="default"/>
        </w:rPr>
        <w:t>“</w:t>
      </w:r>
      <w:r>
        <w:rPr/>
        <w:t>军工</w:t>
      </w:r>
      <w:r>
        <w:rPr>
          <w:rFonts w:ascii="Times New Roman" w:hAnsi="Times New Roman" w:cs="Times New Roman" w:eastAsia="Times New Roman" w:hint="default"/>
        </w:rPr>
        <w:t>”</w:t>
      </w:r>
      <w:r>
        <w:rPr/>
        <w:t>这一主线，在内强化自身发展的</w:t>
      </w:r>
    </w:p>
    <w:p>
      <w:pPr>
        <w:spacing w:after="0" w:line="39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基础上，通过采用并购等资本市场运作手段提升做大做强军工业务的速度。坚持自主创新，强化核心技术</w:t>
      </w:r>
      <w:r>
        <w:rPr>
          <w:spacing w:val="-43"/>
        </w:rPr>
        <w:t> </w:t>
      </w:r>
      <w:r>
        <w:rPr>
          <w:spacing w:val="-43"/>
        </w:rPr>
      </w:r>
      <w:r>
        <w:rPr>
          <w:spacing w:val="-2"/>
        </w:rPr>
        <w:t>积累和技术引领作用，在提升现有产品竞争力的基础上，拓展技术领域，不断夯实公司在产品上的综合竞</w:t>
      </w:r>
      <w:r>
        <w:rPr>
          <w:spacing w:val="-44"/>
        </w:rPr>
        <w:t> </w:t>
      </w:r>
      <w:r>
        <w:rPr>
          <w:spacing w:val="-44"/>
        </w:rPr>
      </w:r>
      <w:r>
        <w:rPr>
          <w:spacing w:val="-2"/>
        </w:rPr>
        <w:t>争力，发挥公司技术和服务的双优势，拓展新的增长空间。优化管理流程，加强内部资源集约管理、追求</w:t>
      </w:r>
      <w:r>
        <w:rPr>
          <w:spacing w:val="-43"/>
        </w:rPr>
        <w:t> </w:t>
      </w:r>
      <w:r>
        <w:rPr>
          <w:spacing w:val="-43"/>
        </w:rPr>
      </w:r>
      <w:r>
        <w:rPr/>
        <w:t>流程卓越，全方位进行降本增效，提高市场反应速度。</w:t>
      </w:r>
    </w:p>
    <w:p>
      <w:pPr>
        <w:pStyle w:val="BodyText"/>
        <w:spacing w:line="240" w:lineRule="auto"/>
        <w:ind w:left="573" w:right="992"/>
        <w:jc w:val="left"/>
      </w:pPr>
      <w:r>
        <w:rPr/>
        <w:t>（三）</w:t>
      </w:r>
      <w:r>
        <w:rPr>
          <w:rFonts w:ascii="Times New Roman" w:hAnsi="Times New Roman" w:cs="Times New Roman" w:eastAsia="Times New Roman" w:hint="default"/>
        </w:rPr>
        <w:t>2020</w:t>
      </w:r>
      <w:r>
        <w:rPr/>
        <w:t>年经营计划</w:t>
      </w:r>
    </w:p>
    <w:p>
      <w:pPr>
        <w:pStyle w:val="BodyText"/>
        <w:spacing w:line="398" w:lineRule="auto" w:before="177"/>
        <w:ind w:right="1126" w:firstLine="420"/>
        <w:jc w:val="both"/>
      </w:pPr>
      <w:r>
        <w:rPr>
          <w:rFonts w:ascii="Times New Roman" w:hAnsi="Times New Roman" w:cs="Times New Roman" w:eastAsia="Times New Roman" w:hint="default"/>
          <w:spacing w:val="-2"/>
        </w:rPr>
        <w:t>2020</w:t>
      </w:r>
      <w:r>
        <w:rPr>
          <w:spacing w:val="-2"/>
        </w:rPr>
        <w:t>年是国家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收官之年，更是</w:t>
      </w:r>
      <w:r>
        <w:rPr>
          <w:rFonts w:ascii="Times New Roman" w:hAnsi="Times New Roman" w:cs="Times New Roman" w:eastAsia="Times New Roman" w:hint="default"/>
          <w:spacing w:val="-2"/>
        </w:rPr>
        <w:t>“</w:t>
      </w:r>
      <w:r>
        <w:rPr>
          <w:spacing w:val="-2"/>
        </w:rPr>
        <w:t>十四五</w:t>
      </w:r>
      <w:r>
        <w:rPr>
          <w:rFonts w:ascii="Times New Roman" w:hAnsi="Times New Roman" w:cs="Times New Roman" w:eastAsia="Times New Roman" w:hint="default"/>
          <w:spacing w:val="-2"/>
        </w:rPr>
        <w:t>”</w:t>
      </w:r>
      <w:r>
        <w:rPr>
          <w:spacing w:val="-2"/>
        </w:rPr>
        <w:t>谋篇布局之年。对公司而言，</w:t>
      </w:r>
      <w:r>
        <w:rPr>
          <w:rFonts w:ascii="Times New Roman" w:hAnsi="Times New Roman" w:cs="Times New Roman" w:eastAsia="Times New Roman" w:hint="default"/>
          <w:spacing w:val="-2"/>
        </w:rPr>
        <w:t>2020</w:t>
      </w:r>
      <w:r>
        <w:rPr>
          <w:spacing w:val="-2"/>
        </w:rPr>
        <w:t>年是稳生产、努力</w:t>
      </w:r>
      <w:r>
        <w:rPr>
          <w:w w:val="100"/>
        </w:rPr>
        <w:t> </w:t>
      </w:r>
      <w:r>
        <w:rPr>
          <w:spacing w:val="-2"/>
        </w:rPr>
        <w:t>实现持续健康发展的关键年，公司将积极推进各项经营管理工作，以实现持续健康发展的目标。具体做好</w:t>
      </w:r>
      <w:r>
        <w:rPr>
          <w:spacing w:val="-43"/>
        </w:rPr>
        <w:t> </w:t>
      </w:r>
      <w:r>
        <w:rPr>
          <w:spacing w:val="-43"/>
        </w:rPr>
      </w:r>
      <w:r>
        <w:rPr/>
        <w:t>以下几点：</w:t>
      </w:r>
    </w:p>
    <w:p>
      <w:pPr>
        <w:pStyle w:val="BodyText"/>
        <w:spacing w:line="240" w:lineRule="auto" w:before="54"/>
        <w:ind w:left="573" w:right="992"/>
        <w:jc w:val="left"/>
      </w:pPr>
      <w:r>
        <w:rPr>
          <w:rFonts w:ascii="Times New Roman" w:hAnsi="Times New Roman" w:cs="Times New Roman" w:eastAsia="Times New Roman" w:hint="default"/>
        </w:rPr>
        <w:t>1</w:t>
      </w:r>
      <w:r>
        <w:rPr/>
        <w:t>、聚焦重要产品，稳生产</w:t>
      </w:r>
    </w:p>
    <w:p>
      <w:pPr>
        <w:pStyle w:val="BodyText"/>
        <w:spacing w:line="391" w:lineRule="auto" w:before="178"/>
        <w:ind w:right="992" w:firstLine="420"/>
        <w:jc w:val="left"/>
      </w:pPr>
      <w:r>
        <w:rPr>
          <w:rFonts w:ascii="Times New Roman" w:hAnsi="Times New Roman" w:cs="Times New Roman" w:eastAsia="Times New Roman" w:hint="default"/>
          <w:spacing w:val="-5"/>
        </w:rPr>
        <w:t>2020</w:t>
      </w:r>
      <w:r>
        <w:rPr>
          <w:spacing w:val="-5"/>
        </w:rPr>
        <w:t>年，面对新型冠状病毒肺炎疫情带来的严峻经济形势，经济下行压力加大，公司经营亦面临挑战。</w:t>
      </w:r>
      <w:r>
        <w:rPr>
          <w:w w:val="100"/>
        </w:rPr>
        <w:t> </w:t>
      </w:r>
      <w:r>
        <w:rPr>
          <w:spacing w:val="-2"/>
        </w:rPr>
        <w:t>受疫情延迟复工影响，公司</w:t>
      </w:r>
      <w:r>
        <w:rPr>
          <w:rFonts w:ascii="Times New Roman" w:hAnsi="Times New Roman" w:cs="Times New Roman" w:eastAsia="Times New Roman" w:hint="default"/>
          <w:spacing w:val="-2"/>
        </w:rPr>
        <w:t>2020</w:t>
      </w:r>
      <w:r>
        <w:rPr>
          <w:spacing w:val="-2"/>
        </w:rPr>
        <w:t>年一季度业绩同比下滑，预测疫情会对全年业绩产生影响。为应对疫情影</w:t>
      </w:r>
      <w:r>
        <w:rPr>
          <w:spacing w:val="-40"/>
        </w:rPr>
        <w:t> </w:t>
      </w:r>
      <w:r>
        <w:rPr>
          <w:spacing w:val="-40"/>
        </w:rPr>
      </w:r>
      <w:r>
        <w:rPr>
          <w:spacing w:val="-2"/>
        </w:rPr>
        <w:t>响，公司</w:t>
      </w:r>
      <w:r>
        <w:rPr>
          <w:rFonts w:ascii="Times New Roman" w:hAnsi="Times New Roman" w:cs="Times New Roman" w:eastAsia="Times New Roman" w:hint="default"/>
          <w:spacing w:val="-2"/>
        </w:rPr>
        <w:t>2020</w:t>
      </w:r>
      <w:r>
        <w:rPr>
          <w:spacing w:val="-2"/>
        </w:rPr>
        <w:t>年工作重点是聚焦重要产品，稳生产。一是严抓公司疫情防控工作，保证员工身体健康和生</w:t>
      </w:r>
      <w:r>
        <w:rPr>
          <w:spacing w:val="-45"/>
        </w:rPr>
        <w:t> </w:t>
      </w:r>
      <w:r>
        <w:rPr>
          <w:spacing w:val="-45"/>
        </w:rPr>
      </w:r>
      <w:r>
        <w:rPr>
          <w:spacing w:val="-5"/>
        </w:rPr>
        <w:t>产有序进行；二是保障产品质量，做好售后服务，维护好客户口碑；三是聚焦重要产品加大市场拓展力度，</w:t>
      </w:r>
      <w:r>
        <w:rPr>
          <w:spacing w:val="-6"/>
        </w:rPr>
        <w:t> </w:t>
      </w:r>
      <w:r>
        <w:rPr>
          <w:spacing w:val="-6"/>
        </w:rPr>
      </w:r>
      <w:r>
        <w:rPr/>
        <w:t>利用产品竞争优势开拓新的业务订单。多方发力争取公司</w:t>
      </w:r>
      <w:r>
        <w:rPr>
          <w:rFonts w:ascii="Times New Roman" w:hAnsi="Times New Roman" w:cs="Times New Roman" w:eastAsia="Times New Roman" w:hint="default"/>
        </w:rPr>
        <w:t>2020</w:t>
      </w:r>
      <w:r>
        <w:rPr/>
        <w:t>年业绩稳中有进，更好的回报股东。</w:t>
      </w:r>
    </w:p>
    <w:p>
      <w:pPr>
        <w:pStyle w:val="BodyText"/>
        <w:spacing w:line="386" w:lineRule="auto" w:before="30"/>
        <w:ind w:left="573" w:right="992"/>
        <w:jc w:val="left"/>
      </w:pPr>
      <w:r>
        <w:rPr>
          <w:rFonts w:ascii="Times New Roman" w:hAnsi="Times New Roman" w:cs="Times New Roman" w:eastAsia="Times New Roman" w:hint="default"/>
        </w:rPr>
        <w:t>2</w:t>
      </w:r>
      <w:r>
        <w:rPr/>
        <w:t>、强化自主研发，建立有竞争力的研发体系</w:t>
      </w:r>
      <w:r>
        <w:rPr>
          <w:w w:val="100"/>
        </w:rPr>
        <w:t> </w:t>
      </w:r>
      <w:r>
        <w:rPr>
          <w:spacing w:val="-2"/>
        </w:rPr>
        <w:t>自主研发是公司的核心竞争力，是公司未来发展的根本保障。</w:t>
      </w:r>
      <w:r>
        <w:rPr>
          <w:rFonts w:ascii="Times New Roman" w:hAnsi="Times New Roman" w:cs="Times New Roman" w:eastAsia="Times New Roman" w:hint="default"/>
          <w:spacing w:val="-2"/>
        </w:rPr>
        <w:t>2020</w:t>
      </w:r>
      <w:r>
        <w:rPr>
          <w:spacing w:val="-2"/>
        </w:rPr>
        <w:t>年公司将继续立足于主业，保持较</w:t>
      </w:r>
    </w:p>
    <w:p>
      <w:pPr>
        <w:pStyle w:val="BodyText"/>
        <w:spacing w:line="408" w:lineRule="auto" w:before="35"/>
        <w:ind w:right="1126"/>
        <w:jc w:val="both"/>
      </w:pPr>
      <w:r>
        <w:rPr>
          <w:spacing w:val="-2"/>
        </w:rPr>
        <w:t>高力度的研发投入，强化自主研发工作，根据客户需求以及对未来市场前景的判断，在现有技术平台的基</w:t>
      </w:r>
      <w:r>
        <w:rPr>
          <w:spacing w:val="-43"/>
        </w:rPr>
        <w:t> </w:t>
      </w:r>
      <w:r>
        <w:rPr>
          <w:spacing w:val="-43"/>
        </w:rPr>
      </w:r>
      <w:r>
        <w:rPr>
          <w:spacing w:val="-2"/>
        </w:rPr>
        <w:t>础上，建立更为全面有竞争力的研发体系。一方面，积极推进产品的研发工作，快速推出满足市场需求的</w:t>
      </w:r>
      <w:r>
        <w:rPr>
          <w:spacing w:val="-50"/>
        </w:rPr>
        <w:t> </w:t>
      </w:r>
      <w:r>
        <w:rPr>
          <w:spacing w:val="-50"/>
        </w:rPr>
      </w:r>
      <w:r>
        <w:rPr>
          <w:spacing w:val="-2"/>
        </w:rPr>
        <w:t>新产品，巩固和扩大公司在行业中的技术优势和技术影响力，增强公司核心竞争力。另一方面，继续培养</w:t>
      </w:r>
      <w:r>
        <w:rPr>
          <w:spacing w:val="-47"/>
        </w:rPr>
        <w:t> </w:t>
      </w:r>
      <w:r>
        <w:rPr>
          <w:spacing w:val="-47"/>
        </w:rPr>
      </w:r>
      <w:r>
        <w:rPr/>
        <w:t>和引进多学科、多层次的技术人才，构建高水平的研发团队。</w:t>
      </w:r>
    </w:p>
    <w:p>
      <w:pPr>
        <w:pStyle w:val="BodyText"/>
        <w:spacing w:line="386" w:lineRule="auto"/>
        <w:ind w:left="573" w:right="992"/>
        <w:jc w:val="left"/>
      </w:pPr>
      <w:r>
        <w:rPr>
          <w:rFonts w:ascii="Times New Roman" w:hAnsi="Times New Roman" w:cs="Times New Roman" w:eastAsia="Times New Roman" w:hint="default"/>
        </w:rPr>
        <w:t>3</w:t>
      </w:r>
      <w:r>
        <w:rPr/>
        <w:t>、加强人才建设，构建高素质人才队伍</w:t>
      </w:r>
      <w:r>
        <w:rPr>
          <w:w w:val="100"/>
        </w:rPr>
        <w:t> </w:t>
      </w:r>
      <w:r>
        <w:rPr>
          <w:spacing w:val="-2"/>
        </w:rPr>
        <w:t>公司将充分利用多种渠道吸引高端人才，完善公司人才梯队建设；持续健全人才识别、培养与发挥机</w:t>
      </w:r>
    </w:p>
    <w:p>
      <w:pPr>
        <w:pStyle w:val="BodyText"/>
        <w:spacing w:line="408" w:lineRule="auto" w:before="65"/>
        <w:ind w:right="1023"/>
        <w:jc w:val="both"/>
      </w:pPr>
      <w:r>
        <w:rPr>
          <w:spacing w:val="-2"/>
        </w:rPr>
        <w:t>制，建立人才储备库，进一步完善培训课程体系，强化人才培养，制定每类岗位未来的发展途径和晋升通</w:t>
      </w:r>
      <w:r>
        <w:rPr>
          <w:spacing w:val="-47"/>
        </w:rPr>
        <w:t> </w:t>
      </w:r>
      <w:r>
        <w:rPr>
          <w:spacing w:val="-47"/>
        </w:rPr>
      </w:r>
      <w:r>
        <w:rPr>
          <w:spacing w:val="-2"/>
        </w:rPr>
        <w:t>道，助力员工实现自身价值；创新激励机制，充分发挥员工的积极性和创造性。通过多措并举，加强人才</w:t>
      </w:r>
      <w:r>
        <w:rPr>
          <w:spacing w:val="-43"/>
        </w:rPr>
        <w:t> </w:t>
      </w:r>
      <w:r>
        <w:rPr>
          <w:spacing w:val="-43"/>
        </w:rPr>
      </w:r>
      <w:r>
        <w:rPr>
          <w:spacing w:val="-5"/>
        </w:rPr>
        <w:t>建设，构建一支稳定的、有战斗力的、高素质的人才队伍，为公司集团化、多元化方向发展提供人才保障。</w:t>
      </w:r>
    </w:p>
    <w:p>
      <w:pPr>
        <w:pStyle w:val="BodyText"/>
        <w:spacing w:line="386" w:lineRule="auto"/>
        <w:ind w:left="573" w:right="992"/>
        <w:jc w:val="left"/>
      </w:pPr>
      <w:r>
        <w:rPr>
          <w:rFonts w:ascii="Times New Roman" w:hAnsi="Times New Roman" w:cs="Times New Roman" w:eastAsia="Times New Roman" w:hint="default"/>
        </w:rPr>
        <w:t>4</w:t>
      </w:r>
      <w:r>
        <w:rPr/>
        <w:t>、提高管理水平，强化风险管控</w:t>
      </w:r>
      <w:r>
        <w:rPr>
          <w:w w:val="100"/>
        </w:rPr>
        <w:t> </w:t>
      </w:r>
      <w:r>
        <w:rPr>
          <w:spacing w:val="-2"/>
        </w:rPr>
        <w:t>公司将以业务为核心，优化管理流程，通过明确标准、优化流程、完善机制等方式进一步提高业务的</w:t>
      </w:r>
    </w:p>
    <w:p>
      <w:pPr>
        <w:pStyle w:val="BodyText"/>
        <w:spacing w:line="408" w:lineRule="auto" w:before="65"/>
        <w:ind w:right="1126"/>
        <w:jc w:val="both"/>
      </w:pPr>
      <w:r>
        <w:rPr>
          <w:spacing w:val="-2"/>
        </w:rPr>
        <w:t>规范化、差异化、精细化管理。同时，逐步提升内部控制诊断水平，不断完善风险管理组织和制度，把控</w:t>
      </w:r>
      <w:r>
        <w:rPr>
          <w:spacing w:val="-42"/>
        </w:rPr>
        <w:t> </w:t>
      </w:r>
      <w:r>
        <w:rPr>
          <w:spacing w:val="-42"/>
        </w:rPr>
      </w:r>
      <w:r>
        <w:rPr>
          <w:spacing w:val="-2"/>
        </w:rPr>
        <w:t>制项目质量和资金安全放在首位，以财务规范管理为核心，制定科学有效、严格规范的风险防范措施，提</w:t>
      </w:r>
      <w:r>
        <w:rPr>
          <w:spacing w:val="-44"/>
        </w:rPr>
        <w:t> </w:t>
      </w:r>
      <w:r>
        <w:rPr>
          <w:spacing w:val="-44"/>
        </w:rPr>
      </w:r>
      <w:r>
        <w:rPr/>
        <w:t>高抗风险能力，以保障公司长远稳健发展。</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3" w:right="992"/>
        <w:jc w:val="left"/>
      </w:pPr>
      <w:r>
        <w:rPr>
          <w:rFonts w:ascii="Times New Roman" w:hAnsi="Times New Roman" w:cs="Times New Roman" w:eastAsia="Times New Roman" w:hint="default"/>
        </w:rPr>
        <w:t>5</w:t>
      </w:r>
      <w:r>
        <w:rPr/>
        <w:t>、努力实现矿山</w:t>
      </w:r>
      <w:r>
        <w:rPr>
          <w:rFonts w:ascii="Times New Roman" w:hAnsi="Times New Roman" w:cs="Times New Roman" w:eastAsia="Times New Roman" w:hint="default"/>
        </w:rPr>
        <w:t>5G</w:t>
      </w:r>
      <w:r>
        <w:rPr/>
        <w:t>和军工信息化业务的扩量</w:t>
      </w:r>
      <w:r>
        <w:rPr>
          <w:w w:val="100"/>
        </w:rPr>
        <w:t> </w:t>
      </w:r>
      <w:r>
        <w:rPr>
          <w:spacing w:val="-3"/>
        </w:rPr>
        <w:t>经过前期人财、物力的投入，矿山</w:t>
      </w:r>
      <w:r>
        <w:rPr>
          <w:rFonts w:ascii="Times New Roman" w:hAnsi="Times New Roman" w:cs="Times New Roman" w:eastAsia="Times New Roman" w:hint="default"/>
          <w:spacing w:val="-3"/>
        </w:rPr>
        <w:t>5G</w:t>
      </w:r>
      <w:r>
        <w:rPr>
          <w:spacing w:val="-3"/>
        </w:rPr>
        <w:t>和军工信息化项目已经具备了扩展业务量的基础。</w:t>
      </w:r>
      <w:r>
        <w:rPr>
          <w:rFonts w:ascii="Times New Roman" w:hAnsi="Times New Roman" w:cs="Times New Roman" w:eastAsia="Times New Roman" w:hint="default"/>
          <w:spacing w:val="-3"/>
        </w:rPr>
        <w:t>2020</w:t>
      </w:r>
      <w:r>
        <w:rPr>
          <w:spacing w:val="-3"/>
        </w:rPr>
        <w:t>年，富华</w:t>
      </w:r>
    </w:p>
    <w:p>
      <w:pPr>
        <w:pStyle w:val="BodyText"/>
        <w:spacing w:line="398" w:lineRule="auto" w:before="35"/>
        <w:ind w:right="992"/>
        <w:jc w:val="left"/>
      </w:pPr>
      <w:r>
        <w:rPr>
          <w:spacing w:val="-2"/>
        </w:rPr>
        <w:t>宇祺要深入加强与某大型通讯企业合作，快速铺开在矿山尤其是煤矿的</w:t>
      </w:r>
      <w:r>
        <w:rPr>
          <w:rFonts w:ascii="Times New Roman" w:hAnsi="Times New Roman" w:cs="Times New Roman" w:eastAsia="Times New Roman" w:hint="default"/>
          <w:spacing w:val="-2"/>
        </w:rPr>
        <w:t>5G</w:t>
      </w:r>
      <w:r>
        <w:rPr>
          <w:spacing w:val="-2"/>
        </w:rPr>
        <w:t>应用建设，实现业务量的突破；</w:t>
      </w:r>
      <w:r>
        <w:rPr>
          <w:spacing w:val="-17"/>
        </w:rPr>
        <w:t> </w:t>
      </w:r>
      <w:r>
        <w:rPr>
          <w:spacing w:val="-17"/>
        </w:rPr>
      </w:r>
      <w:r>
        <w:rPr>
          <w:spacing w:val="-2"/>
        </w:rPr>
        <w:t>军工信息化业务在集团的统一协调下，富华宇祺与师凯科技紧密合作，资源共享共用，确保完成二至三个</w:t>
      </w:r>
      <w:r>
        <w:rPr>
          <w:spacing w:val="-43"/>
        </w:rPr>
        <w:t> </w:t>
      </w:r>
      <w:r>
        <w:rPr>
          <w:spacing w:val="-43"/>
        </w:rPr>
      </w:r>
      <w:r>
        <w:rPr/>
        <w:t>较大项目，实现更大的销售收入。</w:t>
      </w:r>
    </w:p>
    <w:p>
      <w:pPr>
        <w:pStyle w:val="BodyText"/>
        <w:spacing w:line="386" w:lineRule="auto" w:before="54"/>
        <w:ind w:left="573" w:right="992"/>
        <w:jc w:val="left"/>
      </w:pPr>
      <w:r>
        <w:rPr>
          <w:rFonts w:ascii="Times New Roman" w:hAnsi="Times New Roman" w:cs="Times New Roman" w:eastAsia="Times New Roman" w:hint="default"/>
        </w:rPr>
        <w:t>6</w:t>
      </w:r>
      <w:r>
        <w:rPr/>
        <w:t>、深化合作，加快新投资项目的进度</w:t>
      </w:r>
      <w:r>
        <w:rPr>
          <w:w w:val="100"/>
        </w:rPr>
        <w:t> </w:t>
      </w:r>
      <w:r>
        <w:rPr>
          <w:spacing w:val="-2"/>
        </w:rPr>
        <w:t>公司于</w:t>
      </w:r>
      <w:r>
        <w:rPr>
          <w:rFonts w:ascii="Times New Roman" w:hAnsi="Times New Roman" w:cs="Times New Roman" w:eastAsia="Times New Roman" w:hint="default"/>
          <w:spacing w:val="-2"/>
        </w:rPr>
        <w:t>2019</w:t>
      </w:r>
      <w:r>
        <w:rPr>
          <w:spacing w:val="-2"/>
        </w:rPr>
        <w:t>年末至</w:t>
      </w:r>
      <w:r>
        <w:rPr>
          <w:rFonts w:ascii="Times New Roman" w:hAnsi="Times New Roman" w:cs="Times New Roman" w:eastAsia="Times New Roman" w:hint="default"/>
          <w:spacing w:val="-2"/>
        </w:rPr>
        <w:t>2020</w:t>
      </w:r>
      <w:r>
        <w:rPr>
          <w:spacing w:val="-2"/>
        </w:rPr>
        <w:t>年初共投资一亿元，参与南京恒天领锐汽车有限公司实施的新能源动力及控制</w:t>
      </w:r>
    </w:p>
    <w:p>
      <w:pPr>
        <w:pStyle w:val="BodyText"/>
        <w:spacing w:line="408" w:lineRule="auto" w:before="35"/>
        <w:ind w:right="1126"/>
        <w:jc w:val="both"/>
      </w:pPr>
      <w:r>
        <w:rPr>
          <w:spacing w:val="-2"/>
        </w:rPr>
        <w:t>系统项目，主要目的是研发生产新能源动力及控制系统、新能源交通工具网联化和智能化系统，以配套不</w:t>
      </w:r>
      <w:r>
        <w:rPr>
          <w:spacing w:val="-44"/>
        </w:rPr>
        <w:t> </w:t>
      </w:r>
      <w:r>
        <w:rPr>
          <w:spacing w:val="-44"/>
        </w:rPr>
      </w:r>
      <w:r>
        <w:rPr>
          <w:spacing w:val="-2"/>
        </w:rPr>
        <w:t>同领域内的高端新能源交通工具。新的一年公司计划与恒天领锐进行深度合作，探索各项业务的融合，尤</w:t>
      </w:r>
      <w:r>
        <w:rPr>
          <w:spacing w:val="-42"/>
        </w:rPr>
        <w:t> </w:t>
      </w:r>
      <w:r>
        <w:rPr>
          <w:spacing w:val="-42"/>
        </w:rPr>
      </w:r>
      <w:r>
        <w:rPr/>
        <w:t>其是新能源动力及控制系统在军方和轨交方面的应用，努力打开一个新的市场前景广阔的业务局面。</w:t>
      </w:r>
    </w:p>
    <w:p>
      <w:pPr>
        <w:pStyle w:val="BodyText"/>
        <w:spacing w:line="386" w:lineRule="auto"/>
        <w:ind w:left="573" w:right="992"/>
        <w:jc w:val="left"/>
      </w:pPr>
      <w:r>
        <w:rPr>
          <w:rFonts w:ascii="Times New Roman" w:hAnsi="Times New Roman" w:cs="Times New Roman" w:eastAsia="Times New Roman" w:hint="default"/>
        </w:rPr>
        <w:t>7</w:t>
      </w:r>
      <w:r>
        <w:rPr/>
        <w:t>、加强投资者关系管理工作，维护公司良好市场形象</w:t>
      </w:r>
      <w:r>
        <w:rPr>
          <w:w w:val="100"/>
        </w:rPr>
        <w:t> </w:t>
      </w:r>
      <w:r>
        <w:rPr>
          <w:spacing w:val="-2"/>
        </w:rPr>
        <w:t>投资者关系管理工作是上市公司治理的重要组成部分，也是衡量上市公司高质量发展的重要因素。公</w:t>
      </w:r>
    </w:p>
    <w:p>
      <w:pPr>
        <w:pStyle w:val="BodyText"/>
        <w:spacing w:line="408" w:lineRule="auto" w:before="65"/>
        <w:ind w:right="1126"/>
        <w:jc w:val="both"/>
      </w:pPr>
      <w:r>
        <w:rPr>
          <w:spacing w:val="-2"/>
        </w:rPr>
        <w:t>司将严格按照相关法律、法规、规范性文件及监管部门的有关规定，做好信息披露工作，保障投资者知情</w:t>
      </w:r>
      <w:r>
        <w:rPr>
          <w:spacing w:val="-50"/>
        </w:rPr>
        <w:t> </w:t>
      </w:r>
      <w:r>
        <w:rPr>
          <w:spacing w:val="-50"/>
        </w:rPr>
      </w:r>
      <w:r>
        <w:rPr>
          <w:spacing w:val="-2"/>
        </w:rPr>
        <w:t>权和参与权，积极维护公司与投资者的良好关系，提高公司信息透明度，提升上市公司可持续发展能力与</w:t>
      </w:r>
      <w:r>
        <w:rPr>
          <w:spacing w:val="-43"/>
        </w:rPr>
        <w:t> </w:t>
      </w:r>
      <w:r>
        <w:rPr>
          <w:spacing w:val="-43"/>
        </w:rPr>
      </w:r>
      <w:r>
        <w:rPr/>
        <w:t>内在价值，维护公司良好市场形象。</w:t>
      </w:r>
    </w:p>
    <w:p>
      <w:pPr>
        <w:pStyle w:val="BodyText"/>
        <w:spacing w:line="386" w:lineRule="auto"/>
        <w:ind w:right="992" w:firstLine="420"/>
        <w:jc w:val="left"/>
      </w:pPr>
      <w:r>
        <w:rPr>
          <w:spacing w:val="-5"/>
        </w:rPr>
        <w:t>特别提示：公司上述经营目标不代表公司对</w:t>
      </w:r>
      <w:r>
        <w:rPr>
          <w:rFonts w:ascii="Times New Roman" w:hAnsi="Times New Roman" w:cs="Times New Roman" w:eastAsia="Times New Roman" w:hint="default"/>
          <w:spacing w:val="-5"/>
        </w:rPr>
        <w:t>2020</w:t>
      </w:r>
      <w:r>
        <w:rPr>
          <w:spacing w:val="-5"/>
        </w:rPr>
        <w:t>年度的盈利预测，能否顺利实现取决于市场状况变化、</w:t>
      </w:r>
      <w:r>
        <w:rPr>
          <w:w w:val="100"/>
        </w:rPr>
        <w:t> </w:t>
      </w:r>
      <w:r>
        <w:rPr/>
        <w:t>经营团队的努力程度等多种因素，存在一定的不确定性，敬请广大投资者和本年度报告阅读人特别留意。</w:t>
      </w:r>
    </w:p>
    <w:p>
      <w:pPr>
        <w:pStyle w:val="BodyText"/>
        <w:spacing w:line="240" w:lineRule="auto" w:before="65"/>
        <w:ind w:left="573" w:right="992"/>
        <w:jc w:val="left"/>
      </w:pPr>
      <w:r>
        <w:rPr/>
        <w:t>（四）除在本报告期前面所提示的风险外，还要重点关注如下几个风险：</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1</w:t>
      </w:r>
      <w:r>
        <w:rPr/>
        <w:t>、投资风险</w:t>
      </w:r>
      <w:r>
        <w:rPr>
          <w:w w:val="100"/>
        </w:rPr>
        <w:t> </w:t>
      </w:r>
      <w:r>
        <w:rPr>
          <w:spacing w:val="-2"/>
        </w:rPr>
        <w:t>为提升公司长期发展动力，提高公司现有业务板块技术增长能力和市场能力，更好的创造经济效益回</w:t>
      </w:r>
    </w:p>
    <w:p>
      <w:pPr>
        <w:pStyle w:val="BodyText"/>
        <w:spacing w:line="408" w:lineRule="auto" w:before="65"/>
        <w:ind w:right="1126"/>
        <w:jc w:val="both"/>
      </w:pPr>
      <w:r>
        <w:rPr>
          <w:spacing w:val="-2"/>
        </w:rPr>
        <w:t>报广大投资者，公司一直积极探寻优质发展项目。公司通过对拟投项目经济效益可行性分析进行评估、咨</w:t>
      </w:r>
      <w:r>
        <w:rPr>
          <w:spacing w:val="-43"/>
        </w:rPr>
        <w:t> </w:t>
      </w:r>
      <w:r>
        <w:rPr>
          <w:spacing w:val="-43"/>
        </w:rPr>
      </w:r>
      <w:r>
        <w:rPr>
          <w:spacing w:val="-2"/>
        </w:rPr>
        <w:t>询业内专家、必要时聘请外部机构进行咨询论证等方式，保证在投资前进行严格、科学的论证，提高决策</w:t>
      </w:r>
      <w:r>
        <w:rPr>
          <w:spacing w:val="-47"/>
        </w:rPr>
        <w:t> </w:t>
      </w:r>
      <w:r>
        <w:rPr>
          <w:spacing w:val="-47"/>
        </w:rPr>
      </w:r>
      <w:r>
        <w:rPr>
          <w:spacing w:val="-2"/>
        </w:rPr>
        <w:t>的正确性。经充分论证，公司直接或通过西安军民融合产业基金间接投资了新能源动力与控制系统、武器</w:t>
      </w:r>
      <w:r>
        <w:rPr>
          <w:spacing w:val="-43"/>
        </w:rPr>
        <w:t> </w:t>
      </w:r>
      <w:r>
        <w:rPr>
          <w:spacing w:val="-43"/>
        </w:rPr>
      </w:r>
      <w:r>
        <w:rPr>
          <w:spacing w:val="-2"/>
        </w:rPr>
        <w:t>装备系统、军工信息化等项目。虽然项目都是在经过充分、科学的论证后投资，但因项目周期较长，受宏</w:t>
      </w:r>
      <w:r>
        <w:rPr>
          <w:spacing w:val="-43"/>
        </w:rPr>
        <w:t> </w:t>
      </w:r>
      <w:r>
        <w:rPr>
          <w:spacing w:val="-43"/>
        </w:rPr>
      </w:r>
      <w:r>
        <w:rPr/>
        <w:t>观经济、行业环境、扶持政策等诸多不确定因素影响，投资收益存在一定的不确定性。</w:t>
      </w:r>
    </w:p>
    <w:p>
      <w:pPr>
        <w:pStyle w:val="BodyText"/>
        <w:spacing w:line="408" w:lineRule="auto"/>
        <w:ind w:right="1126" w:firstLine="420"/>
        <w:jc w:val="both"/>
      </w:pPr>
      <w:r>
        <w:rPr>
          <w:spacing w:val="-2"/>
        </w:rPr>
        <w:t>应对措施：公司将严格按照相关法律、法规和公司内部管理制度等的相关规定进行投资决策，提升投</w:t>
      </w:r>
      <w:r>
        <w:rPr>
          <w:w w:val="100"/>
        </w:rPr>
        <w:t> </w:t>
      </w:r>
      <w:r>
        <w:rPr>
          <w:spacing w:val="-2"/>
        </w:rPr>
        <w:t>资决策的科学性，并做好投后管理工作。公司审计部门对投资项目的情况进行定期或不定期检查，并安排</w:t>
      </w:r>
      <w:r>
        <w:rPr>
          <w:spacing w:val="-45"/>
        </w:rPr>
        <w:t> </w:t>
      </w:r>
      <w:r>
        <w:rPr>
          <w:spacing w:val="-45"/>
        </w:rPr>
      </w:r>
      <w:r>
        <w:rPr>
          <w:spacing w:val="-2"/>
        </w:rPr>
        <w:t>专人对投资项目进行跟进，了解投资项目的进展情况，关注项目投资实施的外部环境变化，在项目有实质</w:t>
      </w:r>
      <w:r>
        <w:rPr>
          <w:spacing w:val="-44"/>
        </w:rPr>
        <w:t> </w:t>
      </w:r>
      <w:r>
        <w:rPr>
          <w:spacing w:val="-44"/>
        </w:rPr>
      </w:r>
      <w:r>
        <w:rPr/>
        <w:t>性进展或实施过程中发生重大变化时，公司及时做好应对措施，以更好的保护公司及全体股东利益。</w:t>
      </w:r>
    </w:p>
    <w:p>
      <w:pPr>
        <w:pStyle w:val="BodyText"/>
        <w:spacing w:line="240" w:lineRule="auto"/>
        <w:ind w:left="573" w:right="992"/>
        <w:jc w:val="left"/>
      </w:pPr>
      <w:r>
        <w:rPr>
          <w:rFonts w:ascii="Times New Roman" w:hAnsi="Times New Roman" w:cs="Times New Roman" w:eastAsia="Times New Roman" w:hint="default"/>
        </w:rPr>
        <w:t>2</w:t>
      </w:r>
      <w:r>
        <w:rPr/>
        <w:t>、新产品研发及市场开拓风险</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5" w:lineRule="auto" w:before="36"/>
        <w:ind w:right="992" w:firstLine="420"/>
        <w:jc w:val="left"/>
      </w:pPr>
      <w:r>
        <w:rPr>
          <w:spacing w:val="-2"/>
        </w:rPr>
        <w:t>为了有效保持公司的持续发展和竞争优势，公司以创新为基础，以市场需求为导向，在保持公司已有</w:t>
      </w:r>
      <w:r>
        <w:rPr>
          <w:w w:val="100"/>
        </w:rPr>
        <w:t> </w:t>
      </w:r>
      <w:r>
        <w:rPr>
          <w:spacing w:val="-2"/>
        </w:rPr>
        <w:t>产品升级基础上，积极开拓行业化创新产品，目前在研新产品有热像检测仪、矿用</w:t>
      </w:r>
      <w:r>
        <w:rPr>
          <w:rFonts w:ascii="Times New Roman" w:hAnsi="Times New Roman" w:cs="Times New Roman" w:eastAsia="Times New Roman" w:hint="default"/>
          <w:spacing w:val="-2"/>
        </w:rPr>
        <w:t>5G</w:t>
      </w:r>
      <w:r>
        <w:rPr>
          <w:spacing w:val="-2"/>
        </w:rPr>
        <w:t>通讯系统相关设备、</w:t>
      </w:r>
      <w:r>
        <w:rPr>
          <w:spacing w:val="-18"/>
        </w:rPr>
        <w:t> </w:t>
      </w:r>
      <w:r>
        <w:rPr>
          <w:spacing w:val="-18"/>
        </w:rPr>
      </w:r>
      <w:r>
        <w:rPr>
          <w:spacing w:val="-2"/>
        </w:rPr>
        <w:t>军工信息化通讯、煤矿井下人员定位、车载控制系统软硬件、自主可控交换机、氢能源电池和区块链等方</w:t>
      </w:r>
      <w:r>
        <w:rPr>
          <w:spacing w:val="-50"/>
        </w:rPr>
        <w:t> </w:t>
      </w:r>
      <w:r>
        <w:rPr>
          <w:spacing w:val="-50"/>
        </w:rPr>
      </w:r>
      <w:r>
        <w:rPr>
          <w:spacing w:val="-5"/>
        </w:rPr>
        <w:t>面的产品，以丰富公司产品及扩宽业务领域，寻求新的利润增长点。但科技发展进步迅速，市场竞争激烈，</w:t>
      </w:r>
      <w:r>
        <w:rPr>
          <w:spacing w:val="-13"/>
        </w:rPr>
        <w:t> </w:t>
      </w:r>
      <w:r>
        <w:rPr>
          <w:spacing w:val="-13"/>
        </w:rPr>
      </w:r>
      <w:r>
        <w:rPr>
          <w:spacing w:val="-2"/>
        </w:rPr>
        <w:t>新产品从研发到投入生产、取得客户认可并产生经济效益需要一定的业务周期，在这一过程中，公司可能</w:t>
      </w:r>
      <w:r>
        <w:rPr>
          <w:spacing w:val="-44"/>
        </w:rPr>
        <w:t> </w:t>
      </w:r>
      <w:r>
        <w:rPr>
          <w:spacing w:val="-44"/>
        </w:rPr>
      </w:r>
      <w:r>
        <w:rPr>
          <w:spacing w:val="-2"/>
        </w:rPr>
        <w:t>会面临人才短缺、营销渠道拓展难等方面的挑战，也可能会错失市场上稍纵即逝的商业机会，导致公司前</w:t>
      </w:r>
      <w:r>
        <w:rPr>
          <w:spacing w:val="-44"/>
        </w:rPr>
        <w:t> </w:t>
      </w:r>
      <w:r>
        <w:rPr>
          <w:spacing w:val="-44"/>
        </w:rPr>
      </w:r>
      <w:r>
        <w:rPr/>
        <w:t>期的投入无法获得必要的回报，面临较大的市场开拓风险。</w:t>
      </w:r>
    </w:p>
    <w:p>
      <w:pPr>
        <w:pStyle w:val="BodyText"/>
        <w:spacing w:line="408" w:lineRule="auto" w:before="48"/>
        <w:ind w:right="1126" w:firstLine="420"/>
        <w:jc w:val="both"/>
      </w:pPr>
      <w:r>
        <w:rPr>
          <w:spacing w:val="-2"/>
        </w:rPr>
        <w:t>应对措施：公司将持续密切关注行业政策及客户需求变化，适时灵活应对，不断提高市场判断能力和</w:t>
      </w:r>
      <w:r>
        <w:rPr>
          <w:w w:val="100"/>
        </w:rPr>
        <w:t> </w:t>
      </w:r>
      <w:r>
        <w:rPr>
          <w:spacing w:val="-2"/>
        </w:rPr>
        <w:t>应变能力，做好项目的可行性研究，强化过程控制与管理，及时根据市场情况调整业务方向和策略；引进</w:t>
      </w:r>
      <w:r>
        <w:rPr>
          <w:spacing w:val="-50"/>
        </w:rPr>
        <w:t> </w:t>
      </w:r>
      <w:r>
        <w:rPr>
          <w:spacing w:val="-50"/>
        </w:rPr>
      </w:r>
      <w:r>
        <w:rPr>
          <w:spacing w:val="-2"/>
        </w:rPr>
        <w:t>高端管理、营销、技术等复合型人才，健全人才激励机制；不断提高核心技术的研发能力，积极稳妥地引</w:t>
      </w:r>
      <w:r>
        <w:rPr>
          <w:spacing w:val="-43"/>
        </w:rPr>
        <w:t> </w:t>
      </w:r>
      <w:r>
        <w:rPr>
          <w:spacing w:val="-43"/>
        </w:rPr>
      </w:r>
      <w:r>
        <w:rPr/>
        <w:t>导和推进由单一煤矿安全行业向军工和信息行业转型，以规避单一行业依赖的风险。</w:t>
      </w:r>
    </w:p>
    <w:p>
      <w:pPr>
        <w:pStyle w:val="BodyText"/>
        <w:spacing w:line="386" w:lineRule="auto"/>
        <w:ind w:left="573" w:right="992"/>
        <w:jc w:val="left"/>
      </w:pPr>
      <w:r>
        <w:rPr>
          <w:rFonts w:ascii="Times New Roman" w:hAnsi="Times New Roman" w:cs="Times New Roman" w:eastAsia="Times New Roman" w:hint="default"/>
        </w:rPr>
        <w:t>3</w:t>
      </w:r>
      <w:r>
        <w:rPr/>
        <w:t>、集团化整合带来的管理风险</w:t>
      </w:r>
      <w:r>
        <w:rPr>
          <w:w w:val="100"/>
        </w:rPr>
        <w:t> </w:t>
      </w:r>
      <w:r>
        <w:rPr>
          <w:spacing w:val="-2"/>
        </w:rPr>
        <w:t>公司通过</w:t>
      </w:r>
      <w:r>
        <w:rPr>
          <w:rFonts w:ascii="Times New Roman" w:hAnsi="Times New Roman" w:cs="Times New Roman" w:eastAsia="Times New Roman" w:hint="default"/>
          <w:spacing w:val="-2"/>
        </w:rPr>
        <w:t>“</w:t>
      </w:r>
      <w:r>
        <w:rPr>
          <w:spacing w:val="-2"/>
        </w:rPr>
        <w:t>内生</w:t>
      </w:r>
      <w:r>
        <w:rPr>
          <w:rFonts w:ascii="Times New Roman" w:hAnsi="Times New Roman" w:cs="Times New Roman" w:eastAsia="Times New Roman" w:hint="default"/>
          <w:spacing w:val="-2"/>
        </w:rPr>
        <w:t>+</w:t>
      </w:r>
      <w:r>
        <w:rPr>
          <w:spacing w:val="-2"/>
        </w:rPr>
        <w:t>外延</w:t>
      </w:r>
      <w:r>
        <w:rPr>
          <w:rFonts w:ascii="Times New Roman" w:hAnsi="Times New Roman" w:cs="Times New Roman" w:eastAsia="Times New Roman" w:hint="default"/>
          <w:spacing w:val="-2"/>
        </w:rPr>
        <w:t>”</w:t>
      </w:r>
      <w:r>
        <w:rPr>
          <w:spacing w:val="-2"/>
        </w:rPr>
        <w:t>并驱方式，现已发展成为拥有多家子公司的产业集团，经营管理半径进一步扩</w:t>
      </w:r>
    </w:p>
    <w:p>
      <w:pPr>
        <w:pStyle w:val="BodyText"/>
        <w:spacing w:line="408" w:lineRule="auto" w:before="35"/>
        <w:ind w:right="992"/>
        <w:jc w:val="left"/>
      </w:pPr>
      <w:r>
        <w:rPr>
          <w:spacing w:val="-2"/>
        </w:rPr>
        <w:t>大。公司组织架构和管理体系更加趋于复杂化，经营决策、风险控制等难度随之增加，集团化运作方式对</w:t>
      </w:r>
      <w:r>
        <w:rPr>
          <w:spacing w:val="-50"/>
        </w:rPr>
        <w:t> </w:t>
      </w:r>
      <w:r>
        <w:rPr>
          <w:spacing w:val="-50"/>
        </w:rPr>
      </w:r>
      <w:r>
        <w:rPr>
          <w:spacing w:val="-2"/>
        </w:rPr>
        <w:t>公司整体运营管理、人才队伍建设以及文化融合、资源整合、内部控制、管理制度等方面均提出了更高的</w:t>
      </w:r>
      <w:r>
        <w:rPr>
          <w:spacing w:val="-47"/>
        </w:rPr>
        <w:t> </w:t>
      </w:r>
      <w:r>
        <w:rPr>
          <w:spacing w:val="-47"/>
        </w:rPr>
      </w:r>
      <w:r>
        <w:rPr>
          <w:spacing w:val="-5"/>
        </w:rPr>
        <w:t>要求。如果公司集团化管控能力薄弱，集团管理体系调整滞后，管理人员能力无法适应集团化整合的要求， </w:t>
      </w:r>
      <w:r>
        <w:rPr>
          <w:spacing w:val="-5"/>
        </w:rPr>
      </w:r>
      <w:r>
        <w:rPr/>
        <w:t>则可能导致相应的经营和管理风险，影响公司的市场竞争力和经营业绩，阻碍公司的持续健康发展。</w:t>
      </w:r>
    </w:p>
    <w:p>
      <w:pPr>
        <w:pStyle w:val="BodyText"/>
        <w:spacing w:line="403" w:lineRule="auto"/>
        <w:ind w:right="992" w:firstLine="420"/>
        <w:jc w:val="left"/>
      </w:pPr>
      <w:r>
        <w:rPr>
          <w:spacing w:val="-2"/>
        </w:rPr>
        <w:t>应对措施：公司不断完善整体战略规划和管理体系，通过将煤矿安全类资产业务划转到山东子公司，</w:t>
      </w:r>
      <w:r>
        <w:rPr>
          <w:w w:val="100"/>
        </w:rPr>
        <w:t> </w:t>
      </w:r>
      <w:r>
        <w:rPr/>
        <w:t>形成上市公司垂直管理</w:t>
      </w:r>
      <w:r>
        <w:rPr>
          <w:rFonts w:ascii="Times New Roman" w:hAnsi="Times New Roman" w:cs="Times New Roman" w:eastAsia="Times New Roman" w:hint="default"/>
        </w:rPr>
        <w:t>6</w:t>
      </w:r>
      <w:r>
        <w:rPr/>
        <w:t>家全资或控股子公司的管理模式，努力提升整体效率；推动集团化内部运营机制</w:t>
      </w:r>
      <w:r>
        <w:rPr>
          <w:w w:val="100"/>
        </w:rPr>
        <w:t> </w:t>
      </w:r>
      <w:r>
        <w:rPr>
          <w:spacing w:val="-2"/>
        </w:rPr>
        <w:t>和监督机制建设，逐步建立起与集团规模相适应的管控机制，从制度建设上保证公司运营顺畅，有效控制</w:t>
      </w:r>
      <w:r>
        <w:rPr>
          <w:spacing w:val="-44"/>
        </w:rPr>
        <w:t> </w:t>
      </w:r>
      <w:r>
        <w:rPr>
          <w:spacing w:val="-44"/>
        </w:rPr>
      </w:r>
      <w:r>
        <w:rPr>
          <w:spacing w:val="-2"/>
        </w:rPr>
        <w:t>公司整体规模扩大带来的管理风险；制定具有竞争力的薪酬激励政策，吸引和留住人才，特别是优秀管理</w:t>
      </w:r>
      <w:r>
        <w:rPr>
          <w:spacing w:val="-43"/>
        </w:rPr>
        <w:t> </w:t>
      </w:r>
      <w:r>
        <w:rPr>
          <w:spacing w:val="-43"/>
        </w:rPr>
      </w:r>
      <w:r>
        <w:rPr/>
        <w:t>人才、技术人才和市场营销人才。</w:t>
      </w:r>
    </w:p>
    <w:p>
      <w:pPr>
        <w:pStyle w:val="BodyText"/>
        <w:spacing w:line="386" w:lineRule="auto" w:before="50"/>
        <w:ind w:left="573" w:right="992"/>
        <w:jc w:val="left"/>
      </w:pPr>
      <w:r>
        <w:rPr>
          <w:rFonts w:ascii="Times New Roman" w:hAnsi="Times New Roman" w:cs="Times New Roman" w:eastAsia="Times New Roman" w:hint="default"/>
        </w:rPr>
        <w:t>4</w:t>
      </w:r>
      <w:r>
        <w:rPr/>
        <w:t>、宏观经济及行业政策变化风险</w:t>
      </w:r>
      <w:r>
        <w:rPr>
          <w:w w:val="100"/>
        </w:rPr>
        <w:t> </w:t>
      </w:r>
      <w:r>
        <w:rPr>
          <w:spacing w:val="-2"/>
        </w:rPr>
        <w:t>公司从事的军工业务、煤矿安全业务、信息通讯业务，市场需求、产业规模、发展速度与国家宏观经</w:t>
      </w:r>
    </w:p>
    <w:p>
      <w:pPr>
        <w:pStyle w:val="BodyText"/>
        <w:spacing w:line="408" w:lineRule="auto" w:before="65"/>
        <w:ind w:right="1126"/>
        <w:jc w:val="both"/>
      </w:pPr>
      <w:r>
        <w:rPr>
          <w:spacing w:val="-2"/>
        </w:rPr>
        <w:t>济形势及行业政策导向密切相关。尤其是军队采购、煤矿安全与政府的投资力度及国民经济的发展息息相</w:t>
      </w:r>
      <w:r>
        <w:rPr>
          <w:spacing w:val="-44"/>
        </w:rPr>
        <w:t> </w:t>
      </w:r>
      <w:r>
        <w:rPr>
          <w:spacing w:val="-44"/>
        </w:rPr>
      </w:r>
      <w:r>
        <w:rPr>
          <w:spacing w:val="-2"/>
        </w:rPr>
        <w:t>关，当宏观经济波动、行业政策转向时，将对公司的市场环境和发展空间造成诸多不利影响，给公司经营</w:t>
      </w:r>
      <w:r>
        <w:rPr>
          <w:spacing w:val="-47"/>
        </w:rPr>
        <w:t> </w:t>
      </w:r>
      <w:r>
        <w:rPr>
          <w:spacing w:val="-47"/>
        </w:rPr>
      </w:r>
      <w:r>
        <w:rPr/>
        <w:t>发展带来风险。</w:t>
      </w:r>
    </w:p>
    <w:p>
      <w:pPr>
        <w:pStyle w:val="BodyText"/>
        <w:spacing w:line="408" w:lineRule="auto"/>
        <w:ind w:right="1107" w:firstLine="420"/>
        <w:jc w:val="both"/>
      </w:pPr>
      <w:r>
        <w:rPr>
          <w:spacing w:val="-2"/>
        </w:rPr>
        <w:t>应对措施：公司将持续密切关注行业政策变化，提早布局、积极应对，优化产品结构，努力将行业政</w:t>
      </w:r>
      <w:r>
        <w:rPr>
          <w:w w:val="100"/>
        </w:rPr>
        <w:t> </w:t>
      </w:r>
      <w:r>
        <w:rPr>
          <w:spacing w:val="-2"/>
        </w:rPr>
        <w:t>策转向等因素对公司造成的不利影响降到最低；持续推动内部管理升级，不断挖掘内部潜力，紧抓降费增</w:t>
      </w:r>
      <w:r>
        <w:rPr>
          <w:spacing w:val="-45"/>
        </w:rPr>
        <w:t> </w:t>
      </w:r>
      <w:r>
        <w:rPr>
          <w:spacing w:val="-45"/>
        </w:rPr>
      </w:r>
      <w:r>
        <w:rPr>
          <w:spacing w:val="-2"/>
        </w:rPr>
        <w:t>效，提高公司抵御风险的能力；积极探索新业务、新产品，寻求更多盈利增长点，促进公司可持续发展。</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3" w:right="992"/>
        <w:jc w:val="left"/>
      </w:pPr>
      <w:r>
        <w:rPr>
          <w:rFonts w:ascii="Times New Roman" w:hAnsi="Times New Roman" w:cs="Times New Roman" w:eastAsia="Times New Roman" w:hint="default"/>
        </w:rPr>
        <w:t>5</w:t>
      </w:r>
      <w:r>
        <w:rPr/>
        <w:t>、人才短缺或流失的风险</w:t>
      </w:r>
      <w:r>
        <w:rPr>
          <w:w w:val="100"/>
        </w:rPr>
        <w:t> </w:t>
      </w:r>
      <w:r>
        <w:rPr>
          <w:spacing w:val="-2"/>
        </w:rPr>
        <w:t>随着公司业务的发展、规模的扩大，公司在集团化管理模式下，经营军工业务、煤矿安全业务、信息</w:t>
      </w:r>
    </w:p>
    <w:p>
      <w:pPr>
        <w:pStyle w:val="BodyText"/>
        <w:spacing w:line="408" w:lineRule="auto" w:before="65"/>
        <w:ind w:right="1126"/>
        <w:jc w:val="both"/>
      </w:pPr>
      <w:r>
        <w:rPr>
          <w:spacing w:val="-2"/>
        </w:rPr>
        <w:t>通讯业务三大板块，业务的多元化及专业化导致公司在运营管理、技术研发、市场营销、内部控制等各环</w:t>
      </w:r>
      <w:r>
        <w:rPr>
          <w:spacing w:val="-47"/>
        </w:rPr>
        <w:t> </w:t>
      </w:r>
      <w:r>
        <w:rPr>
          <w:spacing w:val="-47"/>
        </w:rPr>
      </w:r>
      <w:r>
        <w:rPr>
          <w:spacing w:val="-2"/>
        </w:rPr>
        <w:t>节对专业人才的要求高、需求大，拥有稳定、高素质的优秀专业人才对公司的发展壮大至关重要。公司现</w:t>
      </w:r>
      <w:r>
        <w:rPr>
          <w:spacing w:val="-47"/>
        </w:rPr>
        <w:t> </w:t>
      </w:r>
      <w:r>
        <w:rPr>
          <w:spacing w:val="-47"/>
        </w:rPr>
      </w:r>
      <w:r>
        <w:rPr>
          <w:spacing w:val="-2"/>
        </w:rPr>
        <w:t>面临人才短缺的现象，亟需大量专业的高素质人才加入。随着行业内人才竞争的日益激烈，尽管公司建立</w:t>
      </w:r>
      <w:r>
        <w:rPr>
          <w:spacing w:val="-45"/>
        </w:rPr>
        <w:t> </w:t>
      </w:r>
      <w:r>
        <w:rPr>
          <w:spacing w:val="-45"/>
        </w:rPr>
      </w:r>
      <w:r>
        <w:rPr>
          <w:spacing w:val="-2"/>
        </w:rPr>
        <w:t>了较为完善的人才激励机制，吸引、培养和留住人才，但仍然存在人才流失风险。若公司不能维持人才队</w:t>
      </w:r>
      <w:r>
        <w:rPr>
          <w:spacing w:val="-47"/>
        </w:rPr>
        <w:t> </w:t>
      </w:r>
      <w:r>
        <w:rPr>
          <w:spacing w:val="-47"/>
        </w:rPr>
      </w:r>
      <w:r>
        <w:rPr/>
        <w:t>伍的稳定，并不断吸引优秀专业人才加盟，将对公司经营的稳定性和持续盈利能力造成不利影响。</w:t>
      </w:r>
    </w:p>
    <w:p>
      <w:pPr>
        <w:pStyle w:val="BodyText"/>
        <w:spacing w:line="408" w:lineRule="auto"/>
        <w:ind w:right="1126" w:firstLine="420"/>
        <w:jc w:val="both"/>
      </w:pPr>
      <w:r>
        <w:rPr>
          <w:spacing w:val="-2"/>
        </w:rPr>
        <w:t>应对措施：公司将采用市场化模式，通过不同渠道，引进各类优秀专业人才，并通过内部培养、选拔</w:t>
      </w:r>
      <w:r>
        <w:rPr>
          <w:w w:val="100"/>
        </w:rPr>
        <w:t> </w:t>
      </w:r>
      <w:r>
        <w:rPr>
          <w:spacing w:val="-2"/>
        </w:rPr>
        <w:t>具有开拓创新精神和团队凝聚力的领导人才，有效补充公司对各环节人才的需求。同时，不断完善各种激</w:t>
      </w:r>
      <w:r>
        <w:rPr>
          <w:spacing w:val="-43"/>
        </w:rPr>
        <w:t> </w:t>
      </w:r>
      <w:r>
        <w:rPr>
          <w:spacing w:val="-43"/>
        </w:rPr>
      </w:r>
      <w:r>
        <w:rPr>
          <w:spacing w:val="-2"/>
        </w:rPr>
        <w:t>励方式，打造有利于人才长期发展的平台，激发核心人员的工作热情和归属感。另外，公司将加强企业文</w:t>
      </w:r>
      <w:r>
        <w:rPr>
          <w:spacing w:val="-47"/>
        </w:rPr>
        <w:t> </w:t>
      </w:r>
      <w:r>
        <w:rPr>
          <w:spacing w:val="-47"/>
        </w:rPr>
      </w:r>
      <w:r>
        <w:rPr/>
        <w:t>化建设，提高公司员工的团队意识和凝聚力，在最大程度内保持并发展壮大公司现有的核心人才团队。</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spacing w:line="568" w:lineRule="auto" w:before="0"/>
        <w:ind w:left="573" w:right="460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公司报告期内未发生接待调研、沟通、采访等活动。</w:t>
      </w:r>
    </w:p>
    <w:p>
      <w:pPr>
        <w:spacing w:after="0" w:line="568"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78.820007pt;width:290.95pt;height:20.8pt;mso-position-horizontal-relative:page;mso-position-vertical-relative:page;z-index:-882088" coordorigin="4856,13576" coordsize="5819,416">
            <v:group style="position:absolute;left:4868;top:13588;width:2;height:392" coordorigin="4868,13588" coordsize="2,392">
              <v:shape style="position:absolute;left:4868;top:13588;width:2;height:392" coordorigin="4868,13588" coordsize="0,392" path="m4868,13588l4868,13980e" filled="false" stroked="true" strokeweight="1.2pt" strokecolor="#ffffff">
                <v:path arrowok="t"/>
              </v:shape>
            </v:group>
            <v:group style="position:absolute;left:4880;top:13588;width:5795;height:392" coordorigin="4880,13588" coordsize="5795,392">
              <v:shape style="position:absolute;left:4880;top:13588;width:5795;height:392" coordorigin="4880,13588" coordsize="5795,392" path="m4880,13980l10675,13980,10675,13588,4880,13588,4880,1398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111"/>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573" w:right="992"/>
        <w:jc w:val="left"/>
      </w:pPr>
      <w:r>
        <w:rPr/>
        <w:t>报告期内普通股利润分配政策，特别是现金分红政策的制定、执行或调整情况：</w:t>
      </w:r>
      <w:r>
        <w:rPr>
          <w:w w:val="100"/>
        </w:rPr>
        <w:t> </w:t>
      </w:r>
      <w:r>
        <w:rPr>
          <w:spacing w:val="-2"/>
        </w:rPr>
        <w:t>报告期内，公司严格按照《公司章程》中相关利润分配政策和审议程序实施利润分配方案，分红标准</w:t>
      </w:r>
    </w:p>
    <w:p>
      <w:pPr>
        <w:pStyle w:val="BodyText"/>
        <w:spacing w:line="408" w:lineRule="auto" w:before="14"/>
        <w:ind w:right="1126"/>
        <w:jc w:val="both"/>
      </w:pPr>
      <w:r>
        <w:rPr>
          <w:spacing w:val="-2"/>
        </w:rPr>
        <w:t>和分红比例明确清晰，相关的决策程序和机制完备，相关的议案经董事会、监事会审议通过后提交股东大</w:t>
      </w:r>
      <w:r>
        <w:rPr>
          <w:spacing w:val="-44"/>
        </w:rPr>
        <w:t> </w:t>
      </w:r>
      <w:r>
        <w:rPr>
          <w:spacing w:val="-44"/>
        </w:rPr>
      </w:r>
      <w:r>
        <w:rPr>
          <w:spacing w:val="-2"/>
        </w:rPr>
        <w:t>会审议，独立董事尽责履职发表了独立意见。公司股东大会以公告形式向全体股东发出通知，并采取现场</w:t>
      </w:r>
      <w:r>
        <w:rPr>
          <w:spacing w:val="-46"/>
        </w:rPr>
        <w:t> </w:t>
      </w:r>
      <w:r>
        <w:rPr>
          <w:spacing w:val="-46"/>
        </w:rPr>
      </w:r>
      <w:r>
        <w:rPr>
          <w:spacing w:val="-2"/>
        </w:rPr>
        <w:t>投票和网络投票相结合的方式召开，中小股东有充分表达意见和诉求的机会，充分保护中小股东的合法权</w:t>
      </w:r>
      <w:r>
        <w:rPr>
          <w:spacing w:val="-43"/>
        </w:rPr>
        <w:t> </w:t>
      </w:r>
      <w:r>
        <w:rPr>
          <w:spacing w:val="-43"/>
        </w:rPr>
      </w:r>
      <w:r>
        <w:rPr/>
        <w:t>益。股东大会审议通过利润分配方案后，公司在规定时间内进行实施，切实保证了全体股东的利益。</w:t>
      </w:r>
    </w:p>
    <w:p>
      <w:pPr>
        <w:spacing w:line="240" w:lineRule="auto" w:before="6"/>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5"/>
          <w:szCs w:val="5"/>
        </w:rPr>
      </w:pPr>
    </w:p>
    <w:p>
      <w:pPr>
        <w:pStyle w:val="BodyText"/>
        <w:spacing w:line="408" w:lineRule="auto" w:before="36"/>
        <w:ind w:right="992" w:firstLine="420"/>
        <w:jc w:val="left"/>
      </w:pPr>
      <w:r>
        <w:rPr>
          <w:spacing w:val="-2"/>
        </w:rPr>
        <w:t>公司报告期利润分配预案及资本公积金转增股本预案与公司章程和分红管理办法等的相关规定一致：</w:t>
      </w:r>
      <w:r>
        <w:rPr>
          <w:w w:val="100"/>
        </w:rPr>
        <w:t> </w:t>
      </w:r>
      <w:r>
        <w:rPr/>
        <w:t>公司报告期利润分配预案及资本公积金转增股本预案符合公司章程等的相关规定。</w:t>
      </w:r>
    </w:p>
    <w:p>
      <w:pPr>
        <w:pStyle w:val="BodyText"/>
        <w:spacing w:line="240" w:lineRule="auto" w:before="87"/>
        <w:ind w:left="2975" w:right="992"/>
        <w:jc w:val="left"/>
      </w:pPr>
      <w:r>
        <w:rPr/>
        <w:t>本年度利润分配及资本公积金转增股本情况</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667,335,255</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100,100,288.25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100,100,288.25</w:t>
            </w:r>
          </w:p>
        </w:tc>
      </w:tr>
      <w:tr>
        <w:trPr>
          <w:trHeight w:val="41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105,548,336.16</w:t>
            </w:r>
          </w:p>
        </w:tc>
      </w:tr>
      <w:tr>
        <w:trPr>
          <w:trHeight w:val="38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41" w:firstLine="0"/>
        <w:jc w:val="right"/>
        <w:rPr>
          <w:rFonts w:ascii="宋体" w:hAnsi="宋体" w:cs="宋体" w:eastAsia="宋体" w:hint="default"/>
          <w:sz w:val="18"/>
          <w:szCs w:val="18"/>
        </w:rPr>
      </w:pPr>
      <w:r>
        <w:rPr/>
        <w:pict>
          <v:shape style="position:absolute;margin-left:56.400002pt;margin-top:-127.948273pt;width:479.3pt;height:212.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36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63" w:type="dxa"/>
                        <w:tcBorders>
                          <w:top w:val="single" w:sz="4" w:space="0" w:color="000000"/>
                          <w:left w:val="single" w:sz="9" w:space="0" w:color="D2D2D2"/>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6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年年度报告披露前一交易日，公司总股本为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669,050,255 </w:t>
                        </w:r>
                        <w:r>
                          <w:rPr>
                            <w:rFonts w:ascii="宋体" w:hAnsi="宋体" w:cs="宋体" w:eastAsia="宋体" w:hint="default"/>
                            <w:sz w:val="18"/>
                            <w:szCs w:val="18"/>
                          </w:rPr>
                          <w:t>股，其中本次拟回购注销的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1,715,000 </w:t>
                        </w:r>
                        <w:r>
                          <w:rPr>
                            <w:rFonts w:ascii="宋体" w:hAnsi="宋体" w:cs="宋体" w:eastAsia="宋体" w:hint="default"/>
                            <w:sz w:val="18"/>
                            <w:szCs w:val="18"/>
                          </w:rPr>
                          <w:t>股限制性股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票不参与公司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年度利润分配，扣除上述限制性股票后，公司总股本为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667,335,255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年度利润分配预案为：以扣除拟回购注销限制性股票后的总股本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667,335,255</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股为基数，向全体股东每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股派发</w:t>
                        </w:r>
                      </w:p>
                      <w:p>
                        <w:pPr>
                          <w:pStyle w:val="TableParagraph"/>
                          <w:spacing w:line="300" w:lineRule="auto" w:before="63"/>
                          <w:ind w:left="24" w:right="114"/>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1.50</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元人民币（含税），合计派发现金股利</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100,100,288.25</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元（含税），本年度不进行送红股，亦不进行转增股本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剩余未分配利润结转以后年度。</w:t>
                        </w:r>
                      </w:p>
                      <w:p>
                        <w:pPr>
                          <w:pStyle w:val="TableParagraph"/>
                          <w:spacing w:line="316" w:lineRule="auto" w:before="70"/>
                          <w:ind w:left="24" w:right="22" w:firstLine="360"/>
                          <w:jc w:val="both"/>
                          <w:rPr>
                            <w:rFonts w:ascii="宋体" w:hAnsi="宋体" w:cs="宋体" w:eastAsia="宋体" w:hint="default"/>
                            <w:sz w:val="18"/>
                            <w:szCs w:val="18"/>
                          </w:rPr>
                        </w:pPr>
                        <w:r>
                          <w:rPr>
                            <w:rFonts w:ascii="宋体" w:hAnsi="宋体" w:cs="宋体" w:eastAsia="宋体" w:hint="default"/>
                            <w:spacing w:val="-1"/>
                            <w:sz w:val="18"/>
                            <w:szCs w:val="18"/>
                          </w:rPr>
                          <w:t>上述利润分配预案符合《公司章程》及审议程序的规定，已经董事会、监事会审议通过，独立董事发表意见，尚需股</w:t>
                        </w:r>
                        <w:r>
                          <w:rPr>
                            <w:rFonts w:ascii="宋体" w:hAnsi="宋体" w:cs="宋体" w:eastAsia="宋体" w:hint="default"/>
                            <w:sz w:val="18"/>
                            <w:szCs w:val="18"/>
                          </w:rPr>
                          <w:t> </w:t>
                        </w:r>
                        <w:r>
                          <w:rPr>
                            <w:rFonts w:ascii="宋体" w:hAnsi="宋体" w:cs="宋体" w:eastAsia="宋体" w:hint="default"/>
                            <w:spacing w:val="-1"/>
                            <w:sz w:val="18"/>
                            <w:szCs w:val="18"/>
                          </w:rPr>
                          <w:t>东大会审议通过。公司股东大会以公告形式向全体股东发出通知，并采取现场投票和网络投票相结合的方式召开，中小股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东有充分表达意见和诉求的机会，充分保护中小股东的合法权益。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left="573" w:right="992"/>
        <w:jc w:val="left"/>
      </w:pPr>
      <w:r>
        <w:rPr>
          <w:w w:val="100"/>
        </w:rPr>
        <w:t>公</w:t>
      </w:r>
      <w:r>
        <w:rPr>
          <w:spacing w:val="-3"/>
          <w:w w:val="100"/>
        </w:rPr>
        <w:t>司</w:t>
      </w:r>
      <w:r>
        <w:rPr>
          <w:w w:val="100"/>
        </w:rPr>
        <w:t>近</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w:t>
      </w:r>
    </w:p>
    <w:p>
      <w:pPr>
        <w:spacing w:line="240" w:lineRule="auto" w:before="10"/>
        <w:rPr>
          <w:rFonts w:ascii="宋体" w:hAnsi="宋体" w:cs="宋体" w:eastAsia="宋体" w:hint="default"/>
          <w:sz w:val="10"/>
          <w:szCs w:val="10"/>
        </w:rPr>
      </w:pPr>
    </w:p>
    <w:p>
      <w:pPr>
        <w:pStyle w:val="BodyText"/>
        <w:spacing w:line="240" w:lineRule="auto" w:before="36"/>
        <w:ind w:right="992"/>
        <w:jc w:val="left"/>
      </w:pPr>
      <w:r>
        <w:rPr>
          <w:w w:val="100"/>
        </w:rPr>
        <w:t>况</w:t>
      </w:r>
    </w:p>
    <w:p>
      <w:pPr>
        <w:spacing w:line="240" w:lineRule="auto" w:before="1"/>
        <w:rPr>
          <w:rFonts w:ascii="宋体" w:hAnsi="宋体" w:cs="宋体" w:eastAsia="宋体" w:hint="default"/>
          <w:sz w:val="15"/>
          <w:szCs w:val="15"/>
        </w:rPr>
      </w:pPr>
    </w:p>
    <w:p>
      <w:pPr>
        <w:pStyle w:val="BodyText"/>
        <w:spacing w:line="386" w:lineRule="auto" w:before="36"/>
        <w:ind w:right="1160"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年度利润分配方案为：以截至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669,279,255</w:t>
      </w:r>
      <w:r>
        <w:rPr>
          <w:spacing w:val="-2"/>
        </w:rPr>
        <w:t>股为基数，向全体股东</w:t>
      </w:r>
      <w:r>
        <w:rPr>
          <w:w w:val="100"/>
        </w:rPr>
        <w:t> </w:t>
      </w:r>
      <w:r>
        <w:rPr>
          <w:spacing w:val="-2"/>
        </w:rPr>
        <w:t>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元人民币（含税），合计派发现金股利</w:t>
      </w:r>
      <w:r>
        <w:rPr>
          <w:rFonts w:ascii="Times New Roman" w:hAnsi="Times New Roman" w:cs="Times New Roman" w:eastAsia="Times New Roman" w:hint="default"/>
          <w:spacing w:val="-2"/>
        </w:rPr>
        <w:t>66,927,925.5</w:t>
      </w:r>
      <w:r>
        <w:rPr>
          <w:spacing w:val="-2"/>
        </w:rPr>
        <w:t>元（含税），本年度不进行送红</w:t>
      </w:r>
      <w:r>
        <w:rPr>
          <w:spacing w:val="-9"/>
        </w:rPr>
        <w:t> </w:t>
      </w:r>
      <w:r>
        <w:rPr>
          <w:spacing w:val="-9"/>
        </w:rPr>
      </w:r>
      <w:r>
        <w:rPr/>
        <w:t>股，亦不进行转增股本，剩余未分配利润结转以后年度。已实施完毕。</w:t>
      </w:r>
    </w:p>
    <w:p>
      <w:pPr>
        <w:pStyle w:val="BodyText"/>
        <w:spacing w:line="240" w:lineRule="auto" w:before="65"/>
        <w:ind w:left="573" w:right="99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年度利润分配方案为：以截至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日公司总股本</w:t>
      </w:r>
      <w:r>
        <w:rPr>
          <w:rFonts w:ascii="Times New Roman" w:hAnsi="Times New Roman" w:cs="Times New Roman" w:eastAsia="Times New Roman" w:hint="default"/>
        </w:rPr>
        <w:t>669,164,255</w:t>
      </w:r>
      <w:r>
        <w:rPr/>
        <w:t>股为基数，向全体股东每</w:t>
      </w:r>
    </w:p>
    <w:p>
      <w:pPr>
        <w:pStyle w:val="BodyText"/>
        <w:spacing w:line="386" w:lineRule="auto" w:before="177"/>
        <w:ind w:right="992"/>
        <w:jc w:val="left"/>
      </w:pP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w:t>
      </w:r>
      <w:r>
        <w:rPr>
          <w:spacing w:val="-3"/>
        </w:rPr>
        <w:t>元人民币（含税），合计派发现金股利</w:t>
      </w:r>
      <w:r>
        <w:rPr>
          <w:rFonts w:ascii="Times New Roman" w:hAnsi="Times New Roman" w:cs="Times New Roman" w:eastAsia="Times New Roman" w:hint="default"/>
          <w:spacing w:val="-3"/>
        </w:rPr>
        <w:t>66,916,425.5</w:t>
      </w:r>
      <w:r>
        <w:rPr>
          <w:spacing w:val="-3"/>
        </w:rPr>
        <w:t>元（含税），本年度不进行送红股，</w:t>
      </w:r>
      <w:r>
        <w:rPr>
          <w:spacing w:val="-33"/>
        </w:rPr>
        <w:t> </w:t>
      </w:r>
      <w:r>
        <w:rPr>
          <w:spacing w:val="-33"/>
        </w:rPr>
      </w:r>
      <w:r>
        <w:rPr/>
        <w:t>亦不进行转增股本，剩余未分配利润结转以后年度。已实施完毕。</w:t>
      </w:r>
    </w:p>
    <w:p>
      <w:pPr>
        <w:pStyle w:val="BodyText"/>
        <w:spacing w:line="386" w:lineRule="auto" w:before="65"/>
        <w:ind w:right="992"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年度利润分配预案为：以扣除拟回购注销限制性股票后的总股本</w:t>
      </w:r>
      <w:r>
        <w:rPr>
          <w:rFonts w:ascii="Times New Roman" w:hAnsi="Times New Roman" w:cs="Times New Roman" w:eastAsia="Times New Roman" w:hint="default"/>
        </w:rPr>
        <w:t>667,335,255</w:t>
      </w:r>
      <w:r>
        <w:rPr/>
        <w:t>股为基数，向全</w:t>
      </w:r>
      <w:r>
        <w:rPr>
          <w:w w:val="100"/>
        </w:rPr>
        <w:t> </w:t>
      </w:r>
      <w:r>
        <w:rPr>
          <w:spacing w:val="-2"/>
        </w:rPr>
        <w:t>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1.50</w:t>
      </w:r>
      <w:r>
        <w:rPr>
          <w:spacing w:val="-2"/>
        </w:rPr>
        <w:t>元人民币（含税），合计派发现金股利</w:t>
      </w:r>
      <w:r>
        <w:rPr>
          <w:rFonts w:ascii="Times New Roman" w:hAnsi="Times New Roman" w:cs="Times New Roman" w:eastAsia="Times New Roman" w:hint="default"/>
          <w:spacing w:val="-2"/>
        </w:rPr>
        <w:t>100,100,288.25</w:t>
      </w:r>
      <w:r>
        <w:rPr>
          <w:spacing w:val="-2"/>
        </w:rPr>
        <w:t>元（含税），本年度</w:t>
      </w:r>
      <w:r>
        <w:rPr>
          <w:spacing w:val="-21"/>
        </w:rPr>
        <w:t> </w:t>
      </w:r>
      <w:r>
        <w:rPr>
          <w:spacing w:val="-21"/>
        </w:rPr>
      </w:r>
      <w:r>
        <w:rPr/>
        <w:t>不进行送红股，亦不进行转增股本，剩余未分配利润结转以后年度。经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日第四届董事会</w:t>
      </w:r>
      <w:r>
        <w:rPr>
          <w:rFonts w:ascii="Times New Roman" w:hAnsi="Times New Roman" w:cs="Times New Roman" w:eastAsia="Times New Roman" w:hint="default"/>
        </w:rPr>
        <w:t>2020</w:t>
      </w:r>
      <w:r>
        <w:rPr>
          <w:rFonts w:ascii="Times New Roman" w:hAnsi="Times New Roman" w:cs="Times New Roman" w:eastAsia="Times New Roman" w:hint="default"/>
          <w:w w:val="100"/>
        </w:rPr>
        <w:t> </w:t>
      </w:r>
      <w:r>
        <w:rPr/>
        <w:t>年第二次会议审议通过，尚需</w:t>
      </w:r>
      <w:r>
        <w:rPr>
          <w:rFonts w:ascii="Times New Roman" w:hAnsi="Times New Roman" w:cs="Times New Roman" w:eastAsia="Times New Roman" w:hint="default"/>
        </w:rPr>
        <w:t>2019</w:t>
      </w:r>
      <w:r>
        <w:rPr/>
        <w:t>年年度股东大会审议通过。</w:t>
      </w:r>
    </w:p>
    <w:p>
      <w:pPr>
        <w:pStyle w:val="BodyText"/>
        <w:spacing w:line="240" w:lineRule="auto" w:before="76"/>
        <w:ind w:left="2555" w:right="992"/>
        <w:jc w:val="left"/>
      </w:pPr>
      <w:r>
        <w:rPr/>
        <w:t>公司近三年（包括本报告期）普通股现金分红情况表</w:t>
      </w:r>
    </w:p>
    <w:p>
      <w:pPr>
        <w:spacing w:before="17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207"/>
        <w:gridCol w:w="1185"/>
        <w:gridCol w:w="1195"/>
        <w:gridCol w:w="1197"/>
        <w:gridCol w:w="1184"/>
        <w:gridCol w:w="1208"/>
        <w:gridCol w:w="118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5"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11"/>
              <w:jc w:val="center"/>
              <w:rPr>
                <w:rFonts w:ascii="宋体" w:hAnsi="宋体" w:cs="宋体" w:eastAsia="宋体" w:hint="default"/>
                <w:sz w:val="18"/>
                <w:szCs w:val="18"/>
              </w:rPr>
            </w:pPr>
            <w:r>
              <w:rPr>
                <w:rFonts w:ascii="宋体" w:hAnsi="宋体" w:cs="宋体" w:eastAsia="宋体" w:hint="default"/>
                <w:sz w:val="18"/>
                <w:szCs w:val="18"/>
              </w:rPr>
              <w:t>（含税）</w:t>
            </w: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100,100,288.25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64,087,356.05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100,100,288.25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156.19%</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66,916,425.50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97,453,208.28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66,916,425.50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68.67%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shape style="position:absolute;margin-left:426.549988pt;margin-top:715.175964pt;width:48.15pt;height:53.65pt;mso-position-horizontal-relative:page;mso-position-vertical-relative:page;z-index:-882016" type="#_x0000_t202" filled="false" stroked="false">
            <v:textbox inset="0,0,0,0">
              <w:txbxContent>
                <w:p>
                  <w:pPr>
                    <w:spacing w:before="14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66,927,925.50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101,644,074.39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65.85%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66,927,925.50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65.85%</w:t>
            </w:r>
          </w:p>
        </w:tc>
      </w:tr>
    </w:tbl>
    <w:p>
      <w:pPr>
        <w:spacing w:line="240" w:lineRule="auto" w:before="4"/>
        <w:rPr>
          <w:rFonts w:ascii="宋体" w:hAnsi="宋体" w:cs="宋体" w:eastAsia="宋体" w:hint="default"/>
          <w:sz w:val="5"/>
          <w:szCs w:val="5"/>
        </w:rPr>
      </w:pPr>
    </w:p>
    <w:p>
      <w:pPr>
        <w:pStyle w:val="BodyText"/>
        <w:spacing w:line="240" w:lineRule="auto" w:before="36"/>
        <w:ind w:left="573" w:right="992"/>
        <w:jc w:val="left"/>
      </w:pPr>
      <w:r>
        <w:rPr>
          <w:spacing w:val="-3"/>
        </w:rPr>
        <w:t>公司报告期内盈利且母公司可供普通股股东分配利润为正但未提出普通股现金红利分配预案：</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9"/>
        </w:rPr>
        <w:t> </w:t>
      </w:r>
      <w:r>
        <w:rPr>
          <w:spacing w:val="-3"/>
        </w:rPr>
        <w:t>适用</w:t>
      </w:r>
      <w:r>
        <w:rPr/>
      </w:r>
    </w:p>
    <w:p>
      <w:pPr>
        <w:pStyle w:val="BodyText"/>
        <w:spacing w:line="240" w:lineRule="auto" w:before="175"/>
        <w:ind w:right="992"/>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99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850"/>
        <w:gridCol w:w="3968"/>
        <w:gridCol w:w="853"/>
        <w:gridCol w:w="708"/>
        <w:gridCol w:w="494"/>
      </w:tblGrid>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135"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田斌、季宗 生、冯钊、卢 存方、康剑、 孙慧、康瑞鑫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同业竞争 的承诺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在本次非公开发行股份购买资产完成后，本人、本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人控股和实际控制的企业在任何时间不会直接或 </w:t>
            </w:r>
            <w:r>
              <w:rPr>
                <w:rFonts w:ascii="宋体" w:hAnsi="宋体" w:cs="宋体" w:eastAsia="宋体" w:hint="default"/>
                <w:spacing w:val="-3"/>
                <w:sz w:val="18"/>
                <w:szCs w:val="18"/>
              </w:rPr>
              <w:t>间接地以任何方式（包括但不限于自营、合资或联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营）参与或进行任何与尤洛卡及其控股子公司实际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从事的业务存在竞争的任何业务活动。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482"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7" w:right="19"/>
              <w:jc w:val="left"/>
              <w:rPr>
                <w:rFonts w:ascii="宋体" w:hAnsi="宋体" w:cs="宋体" w:eastAsia="宋体" w:hint="default"/>
                <w:sz w:val="18"/>
                <w:szCs w:val="18"/>
              </w:rPr>
            </w:pPr>
            <w:r>
              <w:rPr>
                <w:rFonts w:ascii="宋体" w:hAnsi="宋体" w:cs="宋体" w:eastAsia="宋体" w:hint="default"/>
                <w:sz w:val="18"/>
                <w:szCs w:val="18"/>
              </w:rPr>
              <w:t>田斌、季宗 生、冯钊、卢 存方、康剑、 孙慧、康瑞鑫</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关联交 易、资金 占用的承 诺</w:t>
            </w:r>
          </w:p>
        </w:tc>
        <w:tc>
          <w:tcPr>
            <w:tcW w:w="3968"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、本次重组完成后，将严格按照《公司法》等有 </w:t>
            </w:r>
            <w:r>
              <w:rPr>
                <w:rFonts w:ascii="宋体" w:hAnsi="宋体" w:cs="宋体" w:eastAsia="宋体" w:hint="default"/>
                <w:spacing w:val="-3"/>
                <w:sz w:val="18"/>
                <w:szCs w:val="18"/>
              </w:rPr>
              <w:t>关法律、法规以及尤洛卡《公司章程》的规定行使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股东权利或者董事权利，在股东大会以及董事会对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有关涉及承诺人的关联交易事项进行表决时，履行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、本次重组完成后，本人与尤 </w:t>
            </w:r>
            <w:r>
              <w:rPr>
                <w:rFonts w:ascii="宋体" w:hAnsi="宋体" w:cs="宋体" w:eastAsia="宋体" w:hint="default"/>
                <w:spacing w:val="-3"/>
                <w:sz w:val="18"/>
                <w:szCs w:val="18"/>
              </w:rPr>
              <w:t>洛卡之间将尽量减少和避免关联交易。在进行确有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必要且无法规避的关联交易时，保证按市场化原则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和公允价格进行公平操作，并按相关法律、法规以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及规范性文件的规定履行交易程序及信息披露义 </w:t>
            </w:r>
            <w:r>
              <w:rPr>
                <w:rFonts w:ascii="宋体" w:hAnsi="宋体" w:cs="宋体" w:eastAsia="宋体" w:hint="default"/>
                <w:spacing w:val="-3"/>
                <w:sz w:val="18"/>
                <w:szCs w:val="18"/>
              </w:rPr>
              <w:t>务。保证不通过关联交易损害尤洛卡及其他股东的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合法权益。本人和尤洛卡就相互间关联事务及交易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所做出的任何约定及安排，均不妨碍对方为其自身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利益、在市场同等竞争条件下与任何第三方进行业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务往来或交易。</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706"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135"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3968"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1272"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968"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285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田斌、季宗 生、冯钊、卢 存方、康剑、 孙慧、康瑞鑫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、保证为本次重组所提供的有关信息均为真实、 </w:t>
            </w:r>
            <w:r>
              <w:rPr>
                <w:rFonts w:ascii="宋体" w:hAnsi="宋体" w:cs="宋体" w:eastAsia="宋体" w:hint="default"/>
                <w:spacing w:val="-3"/>
                <w:sz w:val="18"/>
                <w:szCs w:val="18"/>
              </w:rPr>
              <w:t>准确和完整的，不存在虚假记载、误导性陈述或者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、保证向参与本次重组的各中介机构 </w:t>
            </w:r>
            <w:r>
              <w:rPr>
                <w:rFonts w:ascii="宋体" w:hAnsi="宋体" w:cs="宋体" w:eastAsia="宋体" w:hint="default"/>
                <w:spacing w:val="-3"/>
                <w:sz w:val="18"/>
                <w:szCs w:val="18"/>
              </w:rPr>
              <w:t>所提供的资料均为真实、准确、完整的原始书面资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料或副本资料，资料副本或复印件与其原始资料或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原件一致；所有文件的签名、印章均是真实的，不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存在任何虚假记载、误导性陈述或者重大遗漏；</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保证为本次重组所出具的说明及确认均为真实、准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确和完整的，不存在任何虚假记载、误导性陈述或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1072" w:lineRule="exact"/>
              <w:ind w:left="2" w:right="-51"/>
              <w:jc w:val="left"/>
              <w:rPr>
                <w:rFonts w:ascii="宋体" w:hAnsi="宋体" w:cs="宋体" w:eastAsia="宋体" w:hint="default"/>
                <w:sz w:val="20"/>
                <w:szCs w:val="20"/>
              </w:rPr>
            </w:pPr>
            <w:r>
              <w:rPr>
                <w:rFonts w:ascii="宋体" w:hAnsi="宋体" w:cs="宋体" w:eastAsia="宋体" w:hint="default"/>
                <w:position w:val="-20"/>
                <w:sz w:val="20"/>
                <w:szCs w:val="20"/>
              </w:rPr>
              <w:pict>
                <v:group style="width:42.05pt;height:53.65pt;mso-position-horizontal-relative:char;mso-position-vertical-relative:line" coordorigin="0,0" coordsize="841,1073">
                  <v:group style="position:absolute;left:0;top:0;width:841;height:1073" coordorigin="0,0" coordsize="841,1073">
                    <v:shape style="position:absolute;left:0;top:0;width:841;height:1073" coordorigin="0,0" coordsize="841,1073" path="m0,1073l840,1073,840,0,0,0,0,1073xe" filled="true" fillcolor="#ffffff" stroked="false">
                      <v:path arrowok="t"/>
                      <v:fill type="solid"/>
                    </v:shape>
                  </v:group>
                </v:group>
              </w:pict>
            </w:r>
            <w:r>
              <w:rPr>
                <w:rFonts w:ascii="宋体" w:hAnsi="宋体" w:cs="宋体" w:eastAsia="宋体" w:hint="default"/>
                <w:position w:val="-20"/>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bl>
    <w:p>
      <w:pPr>
        <w:spacing w:after="0" w:line="314"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08.549988pt;margin-top:106.219986pt;width:66.150pt;height:78pt;mso-position-horizontal-relative:page;mso-position-vertical-relative:page;z-index:-881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股权，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59"/>
        <w:gridCol w:w="1135"/>
        <w:gridCol w:w="850"/>
        <w:gridCol w:w="3968"/>
        <w:gridCol w:w="853"/>
        <w:gridCol w:w="708"/>
        <w:gridCol w:w="494"/>
      </w:tblGrid>
      <w:tr>
        <w:trPr>
          <w:trHeight w:val="675"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、承诺，如违反上述保证，将承担 个别和连带的法律责任。</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田斌、季宗 生、冯钊、卢 存方、康剑、 孙慧、康瑞鑫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、已知悉并同意尤洛卡矿业安全工程股份有限公 </w:t>
            </w:r>
            <w:r>
              <w:rPr>
                <w:rFonts w:ascii="宋体" w:hAnsi="宋体" w:cs="宋体" w:eastAsia="宋体" w:hint="default"/>
                <w:spacing w:val="-3"/>
                <w:sz w:val="18"/>
                <w:szCs w:val="18"/>
              </w:rPr>
              <w:t>司以非公开发行股份及支付现金方式购买田斌、季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宗生、冯钊、卢存方、康剑、孙慧和康瑞鑫等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w:t>
            </w:r>
          </w:p>
          <w:p>
            <w:pPr>
              <w:pStyle w:val="TableParagraph"/>
              <w:spacing w:line="304"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自然人股东合法持有的富华宇祺合计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53.21% </w:t>
            </w:r>
            <w:r>
              <w:rPr>
                <w:rFonts w:ascii="宋体" w:hAnsi="宋体" w:cs="宋体" w:eastAsia="宋体" w:hint="default"/>
                <w:sz w:val="18"/>
                <w:szCs w:val="18"/>
              </w:rPr>
              <w:t>其中：田斌转让持有的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17.7%</w:t>
            </w:r>
            <w:r>
              <w:rPr>
                <w:rFonts w:ascii="宋体" w:hAnsi="宋体" w:cs="宋体" w:eastAsia="宋体" w:hint="default"/>
                <w:sz w:val="18"/>
                <w:szCs w:val="18"/>
              </w:rPr>
              <w:t>股权、季宗生转让持 有的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11.68%</w:t>
            </w:r>
            <w:r>
              <w:rPr>
                <w:rFonts w:ascii="宋体" w:hAnsi="宋体" w:cs="宋体" w:eastAsia="宋体" w:hint="default"/>
                <w:spacing w:val="-3"/>
                <w:sz w:val="18"/>
                <w:szCs w:val="18"/>
              </w:rPr>
              <w:t>股权、冯钊转让持有的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9.64%</w:t>
            </w:r>
            <w:r>
              <w:rPr>
                <w:rFonts w:ascii="宋体" w:hAnsi="宋体" w:cs="宋体" w:eastAsia="宋体" w:hint="default"/>
                <w:spacing w:val="-5"/>
                <w:sz w:val="18"/>
                <w:szCs w:val="18"/>
              </w:rPr>
              <w:t>股权、卢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存方转让持有的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w:t>
            </w:r>
            <w:r>
              <w:rPr>
                <w:rFonts w:ascii="宋体" w:hAnsi="宋体" w:cs="宋体" w:eastAsia="宋体" w:hint="default"/>
                <w:sz w:val="18"/>
                <w:szCs w:val="18"/>
              </w:rPr>
              <w:t>股权、康剑转让持有的 </w:t>
            </w:r>
            <w:r>
              <w:rPr>
                <w:rFonts w:ascii="Times New Roman" w:hAnsi="Times New Roman" w:cs="Times New Roman" w:eastAsia="Times New Roman" w:hint="default"/>
                <w:sz w:val="18"/>
                <w:szCs w:val="18"/>
              </w:rPr>
              <w:t>2.55%</w:t>
            </w:r>
            <w:r>
              <w:rPr>
                <w:rFonts w:ascii="宋体" w:hAnsi="宋体" w:cs="宋体" w:eastAsia="宋体" w:hint="default"/>
                <w:sz w:val="18"/>
                <w:szCs w:val="18"/>
              </w:rPr>
              <w:t>股权、孙慧转让持有的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股权、康瑞鑫抓 让持有的</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股权。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、自愿放弃依据《中华人民共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和国公司法》及《北京富华宇祺信息技术有限公司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公司章程》对上述转让之股权所享有的优先购买 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05pt;height:78pt;mso-position-horizontal-relative:char;mso-position-vertical-relative:line" coordorigin="0,0" coordsize="841,1560">
                  <v:group style="position:absolute;left:0;top:0;width:841;height:1560" coordorigin="0,0" coordsize="841,1560">
                    <v:shape style="position:absolute;left:0;top:0;width:841;height:1560" coordorigin="0,0" coordsize="841,1560" path="m0,1560l840,1560,84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899"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田斌、季宗 生、冯钊、卢 存方、康剑、 孙慧、康瑞鑫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、已经依法对富华宇祺履行出资义务，不存在任 </w:t>
            </w:r>
            <w:r>
              <w:rPr>
                <w:rFonts w:ascii="宋体" w:hAnsi="宋体" w:cs="宋体" w:eastAsia="宋体" w:hint="default"/>
                <w:spacing w:val="-3"/>
                <w:sz w:val="18"/>
                <w:szCs w:val="18"/>
              </w:rPr>
              <w:t>何虚假出资、延期出资、抽逃出资等违反其作为股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东所应当承担的义务及责任的行为。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、持有的富 </w:t>
            </w:r>
            <w:r>
              <w:rPr>
                <w:rFonts w:ascii="宋体" w:hAnsi="宋体" w:cs="宋体" w:eastAsia="宋体" w:hint="default"/>
                <w:spacing w:val="-3"/>
                <w:sz w:val="18"/>
                <w:szCs w:val="18"/>
              </w:rPr>
              <w:t>华宇祺股权不存在信托安排、不存在股份代持，不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代表其他方的利益，且该股权未设定任何抵押、质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押等他项权利，亦未被执法部门实施扣押、查封、 司法冻结等使其权利受到限制的任何约束；同时， 本人保证此种状况持续至该股权登记至尤洛卡矿 业安全工程股份有限公司名下。</w:t>
            </w:r>
          </w:p>
        </w:tc>
        <w:tc>
          <w:tcPr>
            <w:tcW w:w="8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897"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李继昌、李巍 峰、李巍岩、 李巍屹、王敬 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本次交易完成后，李巍屹、李继昌、李巍岩、王敬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芝、李巍峰认购的尤洛卡股份自新增股份登记之日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个月内不得上市交易或转让。基于本次交易 所取得尤洛卡定向发行的股份因尤洛卡分配股票 </w:t>
            </w:r>
            <w:r>
              <w:rPr>
                <w:rFonts w:ascii="宋体" w:hAnsi="宋体" w:cs="宋体" w:eastAsia="宋体" w:hint="default"/>
                <w:spacing w:val="-3"/>
                <w:sz w:val="18"/>
                <w:szCs w:val="18"/>
              </w:rPr>
              <w:t>股利、资本公积转增等情形所衍生取得的股份亦应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遵守上述股份锁定安排，在锁定期届满后减持还需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8"/>
                <w:sz w:val="18"/>
                <w:szCs w:val="18"/>
              </w:rPr>
              <w:t>遵守《公司法》、《证券法》、《股票上市规则》等法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律、法规、规章规范性文件、交易所相关规则以及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尤洛卡《公司章程》的相关规定。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4" w:right="84"/>
              <w:jc w:val="both"/>
              <w:rPr>
                <w:rFonts w:ascii="宋体" w:hAnsi="宋体" w:cs="宋体" w:eastAsia="宋体" w:hint="default"/>
                <w:sz w:val="18"/>
                <w:szCs w:val="18"/>
              </w:rPr>
            </w:pPr>
            <w:r>
              <w:rPr>
                <w:rFonts w:ascii="宋体" w:hAnsi="宋体" w:cs="宋体" w:eastAsia="宋体" w:hint="default"/>
                <w:sz w:val="18"/>
                <w:szCs w:val="18"/>
              </w:rPr>
              <w:t>承诺自 本次新 增股份 上市之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483"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3" w:right="19"/>
              <w:jc w:val="both"/>
              <w:rPr>
                <w:rFonts w:ascii="宋体" w:hAnsi="宋体" w:cs="宋体" w:eastAsia="宋体" w:hint="default"/>
                <w:sz w:val="18"/>
                <w:szCs w:val="18"/>
              </w:rPr>
            </w:pPr>
            <w:r>
              <w:rPr>
                <w:rFonts w:ascii="宋体" w:hAnsi="宋体" w:cs="宋体" w:eastAsia="宋体" w:hint="default"/>
                <w:sz w:val="18"/>
                <w:szCs w:val="18"/>
              </w:rPr>
              <w:t>李继昌、李巍 峰、李巍岩、 李巍屹、王敬 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8"/>
              <w:ind w:left="23" w:right="95"/>
              <w:jc w:val="left"/>
              <w:rPr>
                <w:rFonts w:ascii="宋体" w:hAnsi="宋体" w:cs="宋体" w:eastAsia="宋体" w:hint="default"/>
                <w:sz w:val="18"/>
                <w:szCs w:val="18"/>
              </w:rPr>
            </w:pPr>
            <w:r>
              <w:rPr>
                <w:rFonts w:ascii="宋体" w:hAnsi="宋体" w:cs="宋体" w:eastAsia="宋体" w:hint="default"/>
                <w:sz w:val="18"/>
                <w:szCs w:val="18"/>
              </w:rPr>
              <w:t>同业竞 争、关联 交易、资 金占用方 面的承诺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本人在持有尤洛卡股票期间，本人及本人控制的企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业不会直接或间接经营任何与尤洛卡及其下属公 </w:t>
            </w:r>
            <w:r>
              <w:rPr>
                <w:rFonts w:ascii="宋体" w:hAnsi="宋体" w:cs="宋体" w:eastAsia="宋体" w:hint="default"/>
                <w:spacing w:val="-3"/>
                <w:sz w:val="18"/>
                <w:szCs w:val="18"/>
              </w:rPr>
              <w:t>司经营的业务构成竞争或可能构成竞争的业务，亦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不会投资任何与尤洛卡及其下属公司经营的业务 </w:t>
            </w:r>
            <w:r>
              <w:rPr>
                <w:rFonts w:ascii="宋体" w:hAnsi="宋体" w:cs="宋体" w:eastAsia="宋体" w:hint="default"/>
                <w:spacing w:val="-3"/>
                <w:sz w:val="18"/>
                <w:szCs w:val="18"/>
              </w:rPr>
              <w:t>构成竞争或可能构成竞争的其他企业。如本人及本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人控制的企业的现有业务或该等企业为进一步拓 </w:t>
            </w:r>
            <w:r>
              <w:rPr>
                <w:rFonts w:ascii="宋体" w:hAnsi="宋体" w:cs="宋体" w:eastAsia="宋体" w:hint="default"/>
                <w:spacing w:val="-3"/>
                <w:sz w:val="18"/>
                <w:szCs w:val="18"/>
              </w:rPr>
              <w:t>展业务范围，与尤洛卡及其下属公司经营的业务产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生竞争，则本人及本人控制的企业将采取停止经营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产生竞争业务的方式，或者采取将产生竞争业务纳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入尤洛卡的方式，或者采取将产生竞争的业务转让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给无关联关系第三方等合法方式，使本人及本人控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45.539001pt;margin-top:489.669983pt;width:129.2pt;height:116.05pt;mso-position-horizontal-relative:page;mso-position-vertical-relative:page;z-index:-881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托管等限制转让情形；</w:t>
                  </w:r>
                </w:p>
              </w:txbxContent>
            </v:textbox>
            <w10:wrap type="none"/>
          </v:shape>
        </w:pict>
      </w:r>
      <w:r>
        <w:rPr/>
        <w:pict>
          <v:shape style="position:absolute;margin-left:426.549988pt;margin-top:640.875977pt;width:48.15pt;height:116.1pt;mso-position-horizontal-relative:page;mso-position-vertical-relative:page;z-index:-881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32.670013pt;margin-top:489.669983pt;width:42.05pt;height:116.05pt;mso-position-horizontal-relative:page;mso-position-vertical-relative:page;z-index:-881896" coordorigin="8653,9793" coordsize="841,2321">
            <v:shape style="position:absolute;left:8653;top:9793;width:841;height:2321" coordorigin="8653,9793" coordsize="841,2321" path="m8653,12114l9494,12114,9494,9793,8653,9793,8653,12114xe" filled="true" fillcolor="#ffffff" stroked="false">
              <v:path arrowok="t"/>
              <v:fill type="solid"/>
            </v:shape>
            <w10:wrap type="none"/>
          </v:group>
        </w:pict>
      </w:r>
      <w:r>
        <w:rPr/>
        <w:pict>
          <v:group style="position:absolute;margin-left:432.670013pt;margin-top:640.875977pt;width:42.05pt;height:116.1pt;mso-position-horizontal-relative:page;mso-position-vertical-relative:page;z-index:-881872" coordorigin="8653,12818" coordsize="841,2322">
            <v:shape style="position:absolute;left:8653;top:12818;width:841;height:2322" coordorigin="8653,12818" coordsize="841,2322" path="m8653,15139l9494,15139,9494,12818,8653,12818,8653,1513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59"/>
        <w:gridCol w:w="1135"/>
        <w:gridCol w:w="850"/>
        <w:gridCol w:w="3968"/>
        <w:gridCol w:w="853"/>
        <w:gridCol w:w="708"/>
        <w:gridCol w:w="494"/>
      </w:tblGrid>
      <w:tr>
        <w:trPr>
          <w:trHeight w:val="315"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制的企业不再从事与尤洛卡主营业务相同或类似</w:t>
            </w:r>
          </w:p>
        </w:tc>
        <w:tc>
          <w:tcPr>
            <w:tcW w:w="853"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的业务。本人若违反上述承诺，将承担因此而给尤</w:t>
            </w:r>
          </w:p>
        </w:tc>
        <w:tc>
          <w:tcPr>
            <w:tcW w:w="853"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60" w:hRule="exact"/>
        </w:trPr>
        <w:tc>
          <w:tcPr>
            <w:tcW w:w="155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洛卡及其下属公司造成的一切损失。</w:t>
            </w: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55"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李巍屹、李继昌、李巍岩、王敬芝、李巍峰关于不</w:t>
            </w:r>
          </w:p>
        </w:tc>
        <w:tc>
          <w:tcPr>
            <w:tcW w:w="85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存在内幕交易的承诺：本人不存在泄露本次发行股</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份及支付现金购买资产事宜的相关内幕信息及利</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用该内幕信息进行内幕交易的情形，不存在因涉嫌</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李继昌、李巍</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本次发行股份及支付现金购买资产事宜的内幕交</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峰、李巍岩、 李巍屹、王敬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易被立案调查或者立案侦查的情形，不存在因涉嫌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本次发行股份及支付现金购买资产事宜的内幕交</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芝</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易被中国证监会作出行政处罚或者被司法机关依</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法追究刑事责任的情形，不存在《关于加强与上市</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公司重大资产重组相关股票异常交易监管的暂行</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规定》第十三条规定的不得参与上市公司重大资产</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重组的情形。</w:t>
            </w:r>
          </w:p>
        </w:tc>
        <w:tc>
          <w:tcPr>
            <w:tcW w:w="85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李巍屹、李继昌、李巍岩、王敬芝、李巍峰提供信</w:t>
            </w:r>
          </w:p>
        </w:tc>
        <w:tc>
          <w:tcPr>
            <w:tcW w:w="85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息真实、准确、完整的承诺：保证所提供的信息的</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真实性、准确性和完整性，不存在虚假记载、误导</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李继昌、李巍 峰、李巍岩、 李巍屹、王敬 芝</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3"/>
                <w:sz w:val="18"/>
                <w:szCs w:val="18"/>
              </w:rPr>
              <w:t>性陈述或重大遗漏；其对所提供信息的真实性、准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确性和完整性承担个别和连带的法律责任。如因提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供的信息存在虚假记载、误导性陈述或者重大遗 </w:t>
            </w:r>
            <w:r>
              <w:rPr>
                <w:rFonts w:ascii="宋体" w:hAnsi="宋体" w:cs="宋体" w:eastAsia="宋体" w:hint="default"/>
                <w:spacing w:val="-3"/>
                <w:sz w:val="18"/>
                <w:szCs w:val="18"/>
              </w:rPr>
              <w:t>漏，其将依法承担赔偿责任。如本次重组因涉嫌所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提供或者披露的信息存在虚假记载、误导性陈述或</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者重大遗漏，被司法机关立案侦查或者被中国证监</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会立案调查的，在案件调查结论明确之前，将暂停</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转让在上市公司拥有权益的股份。</w:t>
            </w:r>
          </w:p>
        </w:tc>
        <w:tc>
          <w:tcPr>
            <w:tcW w:w="85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李巍屹、李继昌、李巍岩、王敬芝、李巍峰主体资</w:t>
            </w:r>
          </w:p>
        </w:tc>
        <w:tc>
          <w:tcPr>
            <w:tcW w:w="85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格和权属承诺：本人合法持有师凯科技股权，对该</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股权拥有合法、完整的处置权利，不存在代他人持</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有师凯科技股权的情形，也不存在委托他人代为持</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有师凯科技股权的情形；本人持有的师凯科技股权</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不存在质押、担保或其他第三方权利等限制性情</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
              <w:jc w:val="both"/>
              <w:rPr>
                <w:rFonts w:ascii="宋体" w:hAnsi="宋体" w:cs="宋体" w:eastAsia="宋体" w:hint="default"/>
                <w:sz w:val="18"/>
                <w:szCs w:val="18"/>
              </w:rPr>
            </w:pPr>
            <w:r>
              <w:rPr>
                <w:rFonts w:ascii="宋体" w:hAnsi="宋体" w:cs="宋体" w:eastAsia="宋体" w:hint="default"/>
                <w:sz w:val="18"/>
                <w:szCs w:val="18"/>
              </w:rPr>
              <w:t>李继昌、李巍 峰、李巍岩、 李巍屹、王敬</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芝</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宋体" w:hAnsi="宋体" w:cs="宋体" w:eastAsia="宋体" w:hint="default"/>
                <w:spacing w:val="-8"/>
                <w:sz w:val="18"/>
                <w:szCs w:val="18"/>
              </w:rPr>
              <w:t>形，亦不存在被查封、冻结、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本人持有的师凯科技股权权属清晰，不存在任何权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属纠纷，过户或转移不存在任何法律障碍。</w:t>
            </w:r>
            <w:r>
              <w:rPr>
                <w:rFonts w:ascii="Times New Roman" w:hAnsi="Times New Roman" w:cs="Times New Roman" w:eastAsia="Times New Roman" w:hint="default"/>
                <w:sz w:val="18"/>
                <w:szCs w:val="18"/>
              </w:rPr>
              <w:t>1</w:t>
            </w:r>
            <w:r>
              <w:rPr>
                <w:rFonts w:ascii="宋体" w:hAnsi="宋体" w:cs="宋体" w:eastAsia="宋体" w:hint="default"/>
                <w:sz w:val="18"/>
                <w:szCs w:val="18"/>
              </w:rPr>
              <w:t>、本 人为具有完全民事行为能力的中华人民共和国公</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50"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民；</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、本人不存在负有数额较大债务、到期未清</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偿且处于持续状态的情形；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、本人最近五年内未</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受过行政处罚（与证券市场明显无关的除外）或刑</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事处罚，也不存在尚未了结的可能严重影响本人偿</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债能力的涉及与经济纠纷有关的诉讼或者仲裁；</w:t>
            </w:r>
            <w:r>
              <w:rPr>
                <w:rFonts w:ascii="Times New Roman" w:hAnsi="Times New Roman" w:cs="Times New Roman" w:eastAsia="Times New Roman" w:hint="default"/>
                <w:spacing w:val="-3"/>
                <w:sz w:val="18"/>
                <w:szCs w:val="18"/>
              </w:rPr>
              <w:t>4</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本人目前不存在因涉嫌犯罪正被司法机关立案侦</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查或涉嫌违法违规正被中国证监会立案调查的情</w:t>
            </w:r>
          </w:p>
        </w:tc>
        <w:tc>
          <w:tcPr>
            <w:tcW w:w="85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26.670013pt;margin-top:72.475983pt;width:48.05pt;height:64.5pt;mso-position-horizontal-relative:page;mso-position-vertical-relative:page;z-index:-88184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45.539001pt;margin-top:137.429977pt;width:129.2pt;height:226.25pt;mso-position-horizontal-relative:page;mso-position-vertical-relative:page;z-index:-881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本报告书的内容真实、</w:t>
                  </w:r>
                </w:p>
              </w:txbxContent>
            </v:textbox>
            <w10:wrap type="none"/>
          </v:shape>
        </w:pict>
      </w:r>
      <w:r>
        <w:rPr/>
        <w:pict>
          <v:group style="position:absolute;margin-left:432.670013pt;margin-top:72.475983pt;width:42.05pt;height:291.2pt;mso-position-horizontal-relative:page;mso-position-vertical-relative:page;z-index:-881800" coordorigin="8653,1450" coordsize="841,5824">
            <v:group style="position:absolute;left:8653;top:1450;width:841;height:1290" coordorigin="8653,1450" coordsize="841,1290">
              <v:shape style="position:absolute;left:8653;top:1450;width:841;height:1290" coordorigin="8653,1450" coordsize="841,1290" path="m8653,2739l9494,2739,9494,1450,8653,1450,8653,2739xe" filled="true" fillcolor="#ffffff" stroked="false">
                <v:path arrowok="t"/>
                <v:fill type="solid"/>
              </v:shape>
            </v:group>
            <v:group style="position:absolute;left:8653;top:2749;width:841;height:4525" coordorigin="8653,2749" coordsize="841,4525">
              <v:shape style="position:absolute;left:8653;top:2749;width:841;height:4525" coordorigin="8653,2749" coordsize="841,4525" path="m8653,7273l9494,7273,9494,2749,8653,2749,8653,727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59"/>
        <w:gridCol w:w="1135"/>
        <w:gridCol w:w="850"/>
        <w:gridCol w:w="3968"/>
        <w:gridCol w:w="853"/>
        <w:gridCol w:w="708"/>
        <w:gridCol w:w="494"/>
      </w:tblGrid>
      <w:tr>
        <w:trPr>
          <w:trHeight w:val="320"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形；</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、本人最近五年内没有证券市场失信行为；</w:t>
            </w:r>
            <w:r>
              <w:rPr>
                <w:rFonts w:ascii="Times New Roman" w:hAnsi="Times New Roman" w:cs="Times New Roman" w:eastAsia="Times New Roman" w:hint="default"/>
                <w:spacing w:val="-6"/>
                <w:sz w:val="18"/>
                <w:szCs w:val="18"/>
              </w:rPr>
              <w:t>6</w:t>
            </w:r>
          </w:p>
        </w:tc>
        <w:tc>
          <w:tcPr>
            <w:tcW w:w="853"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本人不存在《上市公司收购管理办法》第六条所规</w:t>
            </w:r>
          </w:p>
        </w:tc>
        <w:tc>
          <w:tcPr>
            <w:tcW w:w="853"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55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定的任一情形；</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、本人具有参与上市公司本次重</w:t>
            </w:r>
          </w:p>
        </w:tc>
        <w:tc>
          <w:tcPr>
            <w:tcW w:w="853"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5" w:hRule="exact"/>
        </w:trPr>
        <w:tc>
          <w:tcPr>
            <w:tcW w:w="155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大资产重组的主体资格。</w:t>
            </w: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55" w:hRule="exact"/>
        </w:trPr>
        <w:tc>
          <w:tcPr>
            <w:tcW w:w="1559"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上市公司及全体董事、监事和高级管理人员提供信</w:t>
            </w:r>
          </w:p>
        </w:tc>
        <w:tc>
          <w:tcPr>
            <w:tcW w:w="85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息真实、准确、完整的承诺：</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准确和完整，不存在虚假记载、误导性陈述或重大</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遗漏，并对本报告书中的虚假记载、误导性陈述或</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者重大遗漏承担个别及连带的法律责任。如本次交</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易因涉嫌所提供或者披露的信息存在虚假记载、误</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导性陈述或者重大遗漏，被司法机关立案侦查或者</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被中国证监会立案调查的，在案件调查结论明确之</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前，将暂停转让其在上市公司拥有权益的股份，并</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曹洪伟、崔保</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于收到立案稽查通知的两个交易日内将暂停转让</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航、黄屹峰、</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的书面申请和股票账户提交上市公司董事会，由董</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黄自伟、江</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7"/>
              <w:jc w:val="left"/>
              <w:rPr>
                <w:rFonts w:ascii="宋体" w:hAnsi="宋体" w:cs="宋体" w:eastAsia="宋体" w:hint="default"/>
                <w:sz w:val="18"/>
                <w:szCs w:val="18"/>
              </w:rPr>
            </w:pPr>
            <w:r>
              <w:rPr>
                <w:rFonts w:ascii="宋体" w:hAnsi="宋体" w:cs="宋体" w:eastAsia="宋体" w:hint="default"/>
                <w:sz w:val="18"/>
                <w:szCs w:val="18"/>
              </w:rPr>
              <w:t>事会代其向证券交易所和登记结算公司申请锁定；</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霞、李彬、李</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未在两个交易日内提交锁定申请的，授权董事会核</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波、李新安、</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实后直接向证券交易所和登记结算公司报送本人</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马训波、孙兆 华、王道银、 王晶华、杨明</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或本单位的身份信息和账户信息并申请锁定；董事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会未向证券交易所和登记结算公司报送本人或本 </w:t>
            </w:r>
            <w:r>
              <w:rPr>
                <w:rFonts w:ascii="宋体" w:hAnsi="宋体" w:cs="宋体" w:eastAsia="宋体" w:hint="default"/>
                <w:spacing w:val="-3"/>
                <w:sz w:val="18"/>
                <w:szCs w:val="18"/>
              </w:rPr>
              <w:t>单位的身份信息和账户信息的，授权证券交易所和</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明、姚明远、</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登记结算公司直接锁定相关股份。如调查结论发现</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尤洛卡矿业</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存在违法违规情节，本人或本单位承诺锁定股份自</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安全工程股</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愿用于相关投资者赔偿安排。上市公司及全体董</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事、监事和高级管理人员关于不存在内幕交易的承</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诺：本人不存在泄露本次发行股份及支付现金购买</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资产事宜的相关内幕信息及利用该内幕信息进行</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内幕交易的情形，不存在因涉嫌本次发行股份及支</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付现金购买资产事宜的内幕交易被立案调查或者</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立案侦查的情形，不存在因涉嫌本次发行股份及支</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付现金购买资产事宜的内幕交易被中国证监会作</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出行政处罚或者被司法机关依法追究刑事责任的</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情形，不存在《关于加强与上市公司重大资产重组</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相关股票异常交易监管的暂行规定》第十三条规定</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的不得参与上市公司重大资产重组的情形。</w:t>
            </w:r>
          </w:p>
        </w:tc>
        <w:tc>
          <w:tcPr>
            <w:tcW w:w="85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、本人现时及将来均不会以任何方式（包括但不</w:t>
            </w:r>
          </w:p>
        </w:tc>
        <w:tc>
          <w:tcPr>
            <w:tcW w:w="85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298"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限于直接或间接地进行独资经营、合资经营和拥有</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同业竞</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3"/>
                <w:sz w:val="18"/>
                <w:szCs w:val="18"/>
              </w:rPr>
              <w:t>在其他公司或企业的股票或权益）从事与尤洛卡矿</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57"/>
              <w:ind w:left="22"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21"/>
              <w:jc w:val="left"/>
              <w:rPr>
                <w:rFonts w:ascii="宋体" w:hAnsi="宋体" w:cs="宋体" w:eastAsia="宋体" w:hint="default"/>
                <w:sz w:val="18"/>
                <w:szCs w:val="18"/>
              </w:rPr>
            </w:pPr>
            <w:r>
              <w:rPr>
                <w:rFonts w:ascii="宋体" w:hAnsi="宋体" w:cs="宋体" w:eastAsia="宋体" w:hint="default"/>
                <w:sz w:val="18"/>
                <w:szCs w:val="18"/>
              </w:rPr>
              <w:t>黄自伟、王晶 华、闫相宏</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4"/>
              <w:jc w:val="both"/>
              <w:rPr>
                <w:rFonts w:ascii="宋体" w:hAnsi="宋体" w:cs="宋体" w:eastAsia="宋体" w:hint="default"/>
                <w:sz w:val="18"/>
                <w:szCs w:val="18"/>
              </w:rPr>
            </w:pPr>
            <w:r>
              <w:rPr>
                <w:rFonts w:ascii="宋体" w:hAnsi="宋体" w:cs="宋体" w:eastAsia="宋体" w:hint="default"/>
                <w:sz w:val="18"/>
                <w:szCs w:val="18"/>
              </w:rPr>
              <w:t>争、关联 交易、资 金占用方</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业安全工程股份有限公司的业务有竞争或可能构 </w:t>
            </w:r>
            <w:r>
              <w:rPr>
                <w:rFonts w:ascii="宋体" w:hAnsi="宋体" w:cs="宋体" w:eastAsia="宋体" w:hint="default"/>
                <w:spacing w:val="-3"/>
                <w:sz w:val="18"/>
                <w:szCs w:val="18"/>
              </w:rPr>
              <w:t>成竞争的业务或活动，若因本人违背了上述承诺致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使尤洛卡矿业安全工程股份有限公司产生的一切</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26"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面的承诺</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经济损失，均由本人承担。</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、本人将尽可能的避</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免和减少关联交易；对无法避免或者有合理原因而</w:t>
            </w:r>
          </w:p>
        </w:tc>
        <w:tc>
          <w:tcPr>
            <w:tcW w:w="853"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发生的关联交易，将遵循市场公证、公平、公开的</w:t>
            </w:r>
          </w:p>
        </w:tc>
        <w:tc>
          <w:tcPr>
            <w:tcW w:w="85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59"/>
        <w:gridCol w:w="1135"/>
        <w:gridCol w:w="850"/>
        <w:gridCol w:w="3968"/>
        <w:gridCol w:w="853"/>
        <w:gridCol w:w="708"/>
        <w:gridCol w:w="494"/>
      </w:tblGrid>
      <w:tr>
        <w:trPr>
          <w:trHeight w:val="1299"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原则，并依法签订协议，按有关规定履行关联交易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审批程序并履行信息披露义务，保证不通过关联交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易损害尤洛卡矿业安全工程股份有限公司及其股 东的合法权益。</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自愿承担尤洛卡发行上市前的全部税收风险，并承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担相关法律责任，保证不因尤洛卡发行上市前的行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为损害尤洛卡及其他股东的合法权益。自愿承担尤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洛卡发行上市前的关联交易可能对尤洛卡造成的 </w:t>
            </w:r>
            <w:r>
              <w:rPr>
                <w:rFonts w:ascii="宋体" w:hAnsi="宋体" w:cs="宋体" w:eastAsia="宋体" w:hint="default"/>
                <w:spacing w:val="-3"/>
                <w:sz w:val="18"/>
                <w:szCs w:val="18"/>
              </w:rPr>
              <w:t>任何未来的风险及相关法律责任，包括但不限于经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营、技术、质量、税务等，保证不因此损害尤洛卡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公司及公司其他股东的合法权益。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99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1"/>
        </w:rPr>
        <w:t> </w:t>
      </w:r>
      <w:r>
        <w:rPr>
          <w:spacing w:val="-61"/>
        </w:rPr>
      </w:r>
      <w:r>
        <w:rPr/>
        <w:t>其原因做出说明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8"/>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992"/>
        <w:jc w:val="left"/>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公司报告期不存在控股股东及其关联方对上市公司的非经营性占用资金。</w:t>
      </w:r>
    </w:p>
    <w:p>
      <w:pPr>
        <w:spacing w:line="240" w:lineRule="auto" w:before="11"/>
        <w:rPr>
          <w:rFonts w:ascii="宋体" w:hAnsi="宋体" w:cs="宋体" w:eastAsia="宋体" w:hint="default"/>
          <w:sz w:val="29"/>
          <w:szCs w:val="29"/>
        </w:rPr>
      </w:pPr>
    </w:p>
    <w:p>
      <w:pPr>
        <w:pStyle w:val="Heading2"/>
        <w:spacing w:line="240" w:lineRule="auto"/>
        <w:ind w:right="99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99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宋体" w:hAnsi="宋体" w:cs="宋体" w:eastAsia="宋体" w:hint="default"/>
          <w:b/>
          <w:bCs/>
          <w:sz w:val="29"/>
          <w:szCs w:val="29"/>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六、董事会关于报告期会计政策、会计估计变更或重大会计差错更正的说明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日召开的第四届董事会</w:t>
      </w:r>
      <w:r>
        <w:rPr>
          <w:rFonts w:ascii="Times New Roman" w:hAnsi="Times New Roman" w:cs="Times New Roman" w:eastAsia="Times New Roman" w:hint="default"/>
        </w:rPr>
        <w:t>2019</w:t>
      </w:r>
      <w:r>
        <w:rPr/>
        <w:t>年第一次会议、第四届监事会</w:t>
      </w:r>
      <w:r>
        <w:rPr>
          <w:rFonts w:ascii="Times New Roman" w:hAnsi="Times New Roman" w:cs="Times New Roman" w:eastAsia="Times New Roman" w:hint="default"/>
        </w:rPr>
        <w:t>2019</w:t>
      </w:r>
      <w:r>
        <w:rPr/>
        <w:t>年第一次会议审议通过</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92" w:hanging="421"/>
        <w:jc w:val="left"/>
      </w:pPr>
      <w:r>
        <w:rPr/>
        <w:t>了《关于会计政策变更的议案》，具体情况如下：</w:t>
      </w:r>
      <w:r>
        <w:rPr>
          <w:w w:val="100"/>
        </w:rPr>
        <w:t> </w:t>
      </w:r>
      <w:r>
        <w:rPr>
          <w:spacing w:val="-4"/>
        </w:rPr>
        <w:t>财政部于</w:t>
      </w:r>
      <w:r>
        <w:rPr>
          <w:rFonts w:ascii="Times New Roman" w:hAnsi="Times New Roman" w:cs="Times New Roman" w:eastAsia="Times New Roman" w:hint="default"/>
          <w:spacing w:val="-4"/>
        </w:rPr>
        <w:t>2017</w:t>
      </w:r>
      <w:r>
        <w:rPr>
          <w:spacing w:val="-4"/>
        </w:rPr>
        <w:t>年陆续发布了修订后的《企业会计准则第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金融工具确认和计量》（财会〔</w:t>
      </w:r>
      <w:r>
        <w:rPr>
          <w:rFonts w:ascii="Times New Roman" w:hAnsi="Times New Roman" w:cs="Times New Roman" w:eastAsia="Times New Roman" w:hint="default"/>
          <w:spacing w:val="-4"/>
        </w:rPr>
        <w:t>2017</w:t>
      </w:r>
      <w:r>
        <w:rPr>
          <w:spacing w:val="-4"/>
        </w:rPr>
        <w:t>〕</w:t>
      </w:r>
    </w:p>
    <w:p>
      <w:pPr>
        <w:pStyle w:val="BodyText"/>
        <w:spacing w:line="386" w:lineRule="auto" w:before="14"/>
        <w:ind w:right="992"/>
        <w:jc w:val="left"/>
      </w:pPr>
      <w:r>
        <w:rPr>
          <w:rFonts w:ascii="Times New Roman" w:hAnsi="Times New Roman" w:cs="Times New Roman" w:eastAsia="Times New Roman" w:hint="default"/>
          <w:spacing w:val="-2"/>
        </w:rPr>
        <w:t>7</w:t>
      </w:r>
      <w:r>
        <w:rPr>
          <w:spacing w:val="-2"/>
        </w:rPr>
        <w:t>号）、《企业会计准则第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w:t>
      </w:r>
      <w:r>
        <w:rPr>
          <w:spacing w:val="-2"/>
        </w:rPr>
        <w:t>号）、《企业会计准则第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w:t>
      </w:r>
      <w:r>
        <w:rPr>
          <w:spacing w:val="-35"/>
        </w:rPr>
        <w:t> </w:t>
      </w:r>
      <w:r>
        <w:rPr/>
        <w:t>期会计》（财会〔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号）（上</w:t>
      </w:r>
      <w:r>
        <w:rPr>
          <w:w w:val="100"/>
        </w:rPr>
        <w:t> </w:t>
      </w:r>
      <w:r>
        <w:rPr>
          <w:spacing w:val="-2"/>
        </w:rPr>
        <w:t>述准则统称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），要求境内上市公司自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日起施行新金融工具相关会计准则。根</w:t>
      </w:r>
      <w:r>
        <w:rPr>
          <w:spacing w:val="-19"/>
        </w:rPr>
        <w:t> </w:t>
      </w:r>
      <w:r>
        <w:rPr>
          <w:spacing w:val="-19"/>
        </w:rPr>
      </w:r>
      <w:r>
        <w:rPr/>
        <w:t>据上述文件要求，公司需对原采用的相关会计政策进行相应调整。</w:t>
      </w:r>
    </w:p>
    <w:p>
      <w:pPr>
        <w:pStyle w:val="BodyText"/>
        <w:spacing w:line="393" w:lineRule="auto" w:before="65"/>
        <w:ind w:right="992" w:firstLine="420"/>
        <w:jc w:val="left"/>
      </w:pP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日起执行新金融工具准则。根据新旧准则衔接规定，公司无需对</w:t>
      </w:r>
      <w:r>
        <w:rPr>
          <w:rFonts w:ascii="Times New Roman" w:hAnsi="Times New Roman" w:cs="Times New Roman" w:eastAsia="Times New Roman" w:hint="default"/>
        </w:rPr>
        <w:t>2018</w:t>
      </w:r>
      <w:r>
        <w:rPr/>
        <w:t>年度以及可比</w:t>
      </w:r>
      <w:r>
        <w:rPr>
          <w:w w:val="100"/>
        </w:rPr>
        <w:t> </w:t>
      </w:r>
      <w:r>
        <w:rPr>
          <w:spacing w:val="-2"/>
        </w:rPr>
        <w:t>期间的财务报表进行追溯调整，仅需于</w:t>
      </w:r>
      <w:r>
        <w:rPr>
          <w:rFonts w:ascii="Times New Roman" w:hAnsi="Times New Roman" w:cs="Times New Roman" w:eastAsia="Times New Roman" w:hint="default"/>
          <w:spacing w:val="-2"/>
        </w:rPr>
        <w:t>2019</w:t>
      </w:r>
      <w:r>
        <w:rPr>
          <w:spacing w:val="-2"/>
        </w:rPr>
        <w:t>年年初对公司持有的新金融工具准则规定的金融资产和金融负</w:t>
      </w:r>
      <w:r>
        <w:rPr>
          <w:spacing w:val="-39"/>
        </w:rPr>
        <w:t> </w:t>
      </w:r>
      <w:r>
        <w:rPr>
          <w:spacing w:val="-39"/>
        </w:rPr>
      </w:r>
      <w:r>
        <w:rPr>
          <w:spacing w:val="-5"/>
        </w:rPr>
        <w:t>债进行重新分类和计量，并对留存收益或其他综合收益年初数进行相应调整，上述重新分类、计量和调整，</w:t>
      </w:r>
      <w:r>
        <w:rPr>
          <w:spacing w:val="-4"/>
        </w:rPr>
        <w:t> </w:t>
      </w:r>
      <w:r>
        <w:rPr>
          <w:spacing w:val="-4"/>
        </w:rPr>
      </w:r>
      <w:r>
        <w:rPr/>
        <w:t>不会对公司财务报表产生重大影响。</w:t>
      </w:r>
    </w:p>
    <w:p>
      <w:pPr>
        <w:pStyle w:val="BodyText"/>
        <w:spacing w:line="386" w:lineRule="auto" w:before="58"/>
        <w:ind w:right="992"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日召开的第四届董事会</w:t>
      </w:r>
      <w:r>
        <w:rPr>
          <w:rFonts w:ascii="Times New Roman" w:hAnsi="Times New Roman" w:cs="Times New Roman" w:eastAsia="Times New Roman" w:hint="default"/>
          <w:spacing w:val="-2"/>
        </w:rPr>
        <w:t>2019</w:t>
      </w:r>
      <w:r>
        <w:rPr>
          <w:spacing w:val="-2"/>
        </w:rPr>
        <w:t>年第三次会议、第四届监事会</w:t>
      </w:r>
      <w:r>
        <w:rPr>
          <w:rFonts w:ascii="Times New Roman" w:hAnsi="Times New Roman" w:cs="Times New Roman" w:eastAsia="Times New Roman" w:hint="default"/>
          <w:spacing w:val="-2"/>
        </w:rPr>
        <w:t>2019</w:t>
      </w:r>
      <w:r>
        <w:rPr>
          <w:spacing w:val="-2"/>
        </w:rPr>
        <w:t>年第三次会议审议通过</w:t>
      </w:r>
      <w:r>
        <w:rPr>
          <w:w w:val="100"/>
        </w:rPr>
        <w:t> </w:t>
      </w:r>
      <w:r>
        <w:rPr/>
        <w:t>了《关于会计政策变更的议案》，具体情况如下：</w:t>
      </w:r>
    </w:p>
    <w:p>
      <w:pPr>
        <w:pStyle w:val="BodyText"/>
        <w:spacing w:line="240" w:lineRule="auto" w:before="65"/>
        <w:ind w:left="573" w:right="992"/>
        <w:jc w:val="left"/>
      </w:pPr>
      <w:r>
        <w:rPr/>
        <w:t>（</w:t>
      </w:r>
      <w:r>
        <w:rPr>
          <w:rFonts w:ascii="Times New Roman" w:hAnsi="Times New Roman" w:cs="Times New Roman" w:eastAsia="Times New Roman" w:hint="default"/>
        </w:rPr>
        <w:t>1</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日发布了《关于修订印发</w:t>
      </w:r>
      <w:r>
        <w:rPr>
          <w:rFonts w:ascii="Times New Roman" w:hAnsi="Times New Roman" w:cs="Times New Roman" w:eastAsia="Times New Roman" w:hint="default"/>
        </w:rPr>
        <w:t>2019</w:t>
      </w:r>
      <w:r>
        <w:rPr/>
        <w:t>年度一般企业财务报表格式的通知》（财会</w:t>
      </w:r>
    </w:p>
    <w:p>
      <w:pPr>
        <w:pStyle w:val="BodyText"/>
        <w:spacing w:line="386" w:lineRule="auto" w:before="177"/>
        <w:ind w:right="992"/>
        <w:jc w:val="left"/>
      </w:pPr>
      <w:r>
        <w:rPr>
          <w:spacing w:val="-2"/>
        </w:rPr>
        <w:t>〔</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号）（以下简称</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w:t>
      </w:r>
      <w:r>
        <w:rPr>
          <w:rFonts w:ascii="Times New Roman" w:hAnsi="Times New Roman" w:cs="Times New Roman" w:eastAsia="Times New Roman" w:hint="default"/>
          <w:spacing w:val="-2"/>
        </w:rPr>
        <w:t>”</w:t>
      </w:r>
      <w:r>
        <w:rPr>
          <w:spacing w:val="-2"/>
        </w:rPr>
        <w:t>）的通知，要求执行企业会计准则的非金融企业按照企业会</w:t>
      </w:r>
      <w:r>
        <w:rPr>
          <w:spacing w:val="-11"/>
        </w:rPr>
        <w:t> </w:t>
      </w:r>
      <w:r>
        <w:rPr>
          <w:spacing w:val="-11"/>
        </w:rPr>
      </w:r>
      <w:r>
        <w:rPr/>
        <w:t>计准则和财会〔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号的要求编制财务报表，企业</w:t>
      </w:r>
      <w:r>
        <w:rPr>
          <w:rFonts w:ascii="Times New Roman" w:hAnsi="Times New Roman" w:cs="Times New Roman" w:eastAsia="Times New Roman" w:hint="default"/>
        </w:rPr>
        <w:t>2019</w:t>
      </w:r>
      <w:r>
        <w:rPr/>
        <w:t>年度中期财务报表和年度财务报表及以后期间</w:t>
      </w:r>
      <w:r>
        <w:rPr>
          <w:w w:val="100"/>
        </w:rPr>
        <w:t> </w:t>
      </w:r>
      <w:r>
        <w:rPr/>
        <w:t>的财务报表均按财会〔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号要求编制执行。</w:t>
      </w:r>
    </w:p>
    <w:p>
      <w:pPr>
        <w:pStyle w:val="BodyText"/>
        <w:spacing w:line="408" w:lineRule="auto" w:before="35"/>
        <w:ind w:right="992" w:firstLine="420"/>
        <w:jc w:val="left"/>
      </w:pPr>
      <w:r>
        <w:rPr>
          <w:spacing w:val="-2"/>
        </w:rPr>
        <w:t>上述会计政策变更仅对财务报表格式和部分科目列示产生影响，不影响公司净资产、净利润等相关财</w:t>
      </w:r>
      <w:r>
        <w:rPr>
          <w:w w:val="100"/>
        </w:rPr>
        <w:t> </w:t>
      </w:r>
      <w:r>
        <w:rPr/>
        <w:t>务指标。</w:t>
      </w:r>
    </w:p>
    <w:p>
      <w:pPr>
        <w:pStyle w:val="BodyText"/>
        <w:spacing w:line="240" w:lineRule="auto"/>
        <w:ind w:left="573" w:right="992"/>
        <w:jc w:val="left"/>
      </w:pPr>
      <w:r>
        <w:rPr/>
        <w:t>（</w:t>
      </w: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日发布关于印发修订《企业会计准则第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非货币性资产交换》（财会</w:t>
      </w:r>
    </w:p>
    <w:p>
      <w:pPr>
        <w:pStyle w:val="BodyText"/>
        <w:spacing w:line="386" w:lineRule="auto" w:before="177"/>
        <w:ind w:left="573" w:right="992" w:hanging="421"/>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t>号），根据上述文件要求，公司需对原采用的相关会计政策进行相应调整。</w:t>
      </w:r>
      <w:r>
        <w:rPr>
          <w:w w:val="100"/>
        </w:rPr>
        <w:t> </w:t>
      </w:r>
      <w:r>
        <w:rPr>
          <w:spacing w:val="-2"/>
        </w:rPr>
        <w:t>至新准则执行日，公司未发生过非货币性资产交换，无需进行追溯调整。以后公司将执行新的准则。</w:t>
      </w:r>
    </w:p>
    <w:p>
      <w:pPr>
        <w:pStyle w:val="BodyText"/>
        <w:spacing w:line="240" w:lineRule="auto" w:before="65"/>
        <w:ind w:left="573" w:right="992"/>
        <w:jc w:val="left"/>
      </w:pPr>
      <w:r>
        <w:rPr/>
        <w:t>（</w:t>
      </w:r>
      <w:r>
        <w:rPr>
          <w:rFonts w:ascii="Times New Roman" w:hAnsi="Times New Roman" w:cs="Times New Roman" w:eastAsia="Times New Roman" w:hint="default"/>
        </w:rPr>
        <w:t>3</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日发布关于印发修订《企业会计准则第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债务重组》（财会【</w:t>
      </w:r>
      <w:r>
        <w:rPr>
          <w:rFonts w:ascii="Times New Roman" w:hAnsi="Times New Roman" w:cs="Times New Roman" w:eastAsia="Times New Roman" w:hint="default"/>
        </w:rPr>
        <w:t>2019</w:t>
      </w:r>
      <w:r>
        <w:rPr/>
        <w:t>】</w:t>
      </w:r>
    </w:p>
    <w:p>
      <w:pPr>
        <w:pStyle w:val="BodyText"/>
        <w:spacing w:line="240" w:lineRule="auto" w:before="177"/>
        <w:ind w:right="992"/>
        <w:jc w:val="left"/>
      </w:pPr>
      <w:r>
        <w:rPr>
          <w:rFonts w:ascii="Times New Roman" w:hAnsi="Times New Roman" w:cs="Times New Roman" w:eastAsia="Times New Roman" w:hint="default"/>
        </w:rPr>
        <w:t>9</w:t>
      </w:r>
      <w:r>
        <w:rPr/>
        <w:t>号），根据上述文件要求，公司需对原采用的相关会计政策进行相应调整。</w:t>
      </w:r>
    </w:p>
    <w:p>
      <w:pPr>
        <w:pStyle w:val="BodyText"/>
        <w:spacing w:line="386" w:lineRule="auto" w:before="177"/>
        <w:ind w:right="992"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日至执行日之间发生的债务重组，根据本准则进行调整，对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日之前发生的债务</w:t>
      </w:r>
      <w:r>
        <w:rPr>
          <w:w w:val="100"/>
        </w:rPr>
        <w:t> </w:t>
      </w:r>
      <w:r>
        <w:rPr/>
        <w:t>重组不进行追溯调整。</w:t>
      </w:r>
    </w:p>
    <w:p>
      <w:pPr>
        <w:pStyle w:val="BodyText"/>
        <w:spacing w:line="408" w:lineRule="auto" w:before="65"/>
        <w:ind w:right="992" w:firstLine="420"/>
        <w:jc w:val="left"/>
      </w:pPr>
      <w:r>
        <w:rPr>
          <w:spacing w:val="-2"/>
        </w:rPr>
        <w:t>报告期内，公司更换了会计师事务所，已就上述会计政策变更事项与前任会计师事务所瑞华会计师事</w:t>
      </w:r>
      <w:r>
        <w:rPr>
          <w:w w:val="100"/>
        </w:rPr>
        <w:t> </w:t>
      </w:r>
      <w:r>
        <w:rPr/>
        <w:t>务所（特殊普通合伙）进行了充分沟通，该所明确知悉本事项并确认无异议。</w:t>
      </w:r>
    </w:p>
    <w:p>
      <w:pPr>
        <w:spacing w:line="240" w:lineRule="auto" w:before="8"/>
        <w:rPr>
          <w:rFonts w:ascii="宋体" w:hAnsi="宋体" w:cs="宋体" w:eastAsia="宋体" w:hint="default"/>
          <w:sz w:val="18"/>
          <w:szCs w:val="18"/>
        </w:rPr>
      </w:pPr>
    </w:p>
    <w:p>
      <w:pPr>
        <w:pStyle w:val="Heading2"/>
        <w:spacing w:line="240" w:lineRule="auto"/>
        <w:ind w:right="992"/>
        <w:jc w:val="left"/>
        <w:rPr>
          <w:b w:val="0"/>
          <w:bCs w:val="0"/>
        </w:rPr>
      </w:pPr>
      <w:r>
        <w:rPr/>
        <w:t>七、与上年度财务报告相比，合并报表范围发生变化的情况说明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公司报告期内增加</w:t>
      </w:r>
      <w:r>
        <w:rPr>
          <w:rFonts w:ascii="Times New Roman" w:hAnsi="Times New Roman" w:cs="Times New Roman" w:eastAsia="Times New Roman" w:hint="default"/>
        </w:rPr>
        <w:t>3</w:t>
      </w:r>
      <w:r>
        <w:rPr/>
        <w:t>个二级子公司，分别为泰安市新达信息技术有限公司、山东安冷新材料科技有限</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公司、成都速达尔信息技术有限公司。</w:t>
      </w:r>
    </w:p>
    <w:p>
      <w:pPr>
        <w:spacing w:line="240" w:lineRule="auto" w:before="12"/>
        <w:rPr>
          <w:rFonts w:ascii="宋体" w:hAnsi="宋体" w:cs="宋体" w:eastAsia="宋体" w:hint="default"/>
          <w:sz w:val="29"/>
          <w:szCs w:val="29"/>
        </w:rPr>
      </w:pPr>
    </w:p>
    <w:p>
      <w:pPr>
        <w:pStyle w:val="Heading2"/>
        <w:spacing w:line="240" w:lineRule="auto"/>
        <w:ind w:right="992"/>
        <w:jc w:val="left"/>
        <w:rPr>
          <w:b w:val="0"/>
          <w:bCs w:val="0"/>
        </w:rPr>
      </w:pPr>
      <w:r>
        <w:rPr/>
        <w:t>八、聘任、解聘会计师事务所情况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现聘任的会计事务所</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王宗佩、沈晓玮</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王宗佩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年、沈晓玮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4"/>
        <w:rPr>
          <w:rFonts w:ascii="宋体" w:hAnsi="宋体" w:cs="宋体" w:eastAsia="宋体" w:hint="default"/>
          <w:sz w:val="5"/>
          <w:szCs w:val="5"/>
        </w:rPr>
      </w:pPr>
    </w:p>
    <w:p>
      <w:pPr>
        <w:pStyle w:val="BodyText"/>
        <w:spacing w:line="420" w:lineRule="auto" w:before="36"/>
        <w:ind w:left="573" w:right="4608"/>
        <w:jc w:val="left"/>
      </w:pPr>
      <w:r>
        <w:rPr/>
        <w:t>是否改聘会计师事务所：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t>是否在审计期间改聘会计师事务所：</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更换会计师事务所是否履行审批程序：</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w w:val="100"/>
        </w:rPr>
        <w:t> </w:t>
      </w:r>
      <w:r>
        <w:rPr/>
        <w:t>聘任、解聘会计师事务所情况说明</w:t>
      </w:r>
    </w:p>
    <w:p>
      <w:pPr>
        <w:pStyle w:val="BodyText"/>
        <w:spacing w:line="240" w:lineRule="auto" w:before="74"/>
        <w:ind w:left="573" w:right="99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日召开的第四届董事会</w:t>
      </w:r>
      <w:r>
        <w:rPr>
          <w:rFonts w:ascii="Times New Roman" w:hAnsi="Times New Roman" w:cs="Times New Roman" w:eastAsia="Times New Roman" w:hint="default"/>
        </w:rPr>
        <w:t>2019</w:t>
      </w:r>
      <w:r>
        <w:rPr/>
        <w:t>年第三次会议、第四届监事会</w:t>
      </w:r>
      <w:r>
        <w:rPr>
          <w:rFonts w:ascii="Times New Roman" w:hAnsi="Times New Roman" w:cs="Times New Roman" w:eastAsia="Times New Roman" w:hint="default"/>
        </w:rPr>
        <w:t>2019</w:t>
      </w:r>
      <w:r>
        <w:rPr/>
        <w:t>年第三次会议审议通过了</w:t>
      </w:r>
    </w:p>
    <w:p>
      <w:pPr>
        <w:pStyle w:val="BodyText"/>
        <w:spacing w:line="386" w:lineRule="auto" w:before="177"/>
        <w:ind w:right="992"/>
        <w:jc w:val="left"/>
      </w:pPr>
      <w:r>
        <w:rPr>
          <w:spacing w:val="-4"/>
        </w:rPr>
        <w:t>《关于变更会计师事务所的议案》，该议案经</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日召开的</w:t>
      </w:r>
      <w:r>
        <w:rPr>
          <w:rFonts w:ascii="Times New Roman" w:hAnsi="Times New Roman" w:cs="Times New Roman" w:eastAsia="Times New Roman" w:hint="default"/>
          <w:spacing w:val="-4"/>
        </w:rPr>
        <w:t>2019</w:t>
      </w:r>
      <w:r>
        <w:rPr>
          <w:spacing w:val="-4"/>
        </w:rPr>
        <w:t>年第一次临时股东大会审议通过，</w:t>
      </w:r>
      <w:r>
        <w:rPr>
          <w:spacing w:val="-26"/>
        </w:rPr>
        <w:t> </w:t>
      </w:r>
      <w:r>
        <w:rPr>
          <w:spacing w:val="-26"/>
        </w:rPr>
      </w:r>
      <w:r>
        <w:rPr>
          <w:spacing w:val="-2"/>
        </w:rPr>
        <w:t>公司</w:t>
      </w:r>
      <w:r>
        <w:rPr>
          <w:rFonts w:ascii="Times New Roman" w:hAnsi="Times New Roman" w:cs="Times New Roman" w:eastAsia="Times New Roman" w:hint="default"/>
          <w:spacing w:val="-2"/>
        </w:rPr>
        <w:t>2019</w:t>
      </w:r>
      <w:r>
        <w:rPr>
          <w:spacing w:val="-2"/>
        </w:rPr>
        <w:t>年度财务报告审计机构由瑞华会计师事务所（特殊普通合伙）变更为致同会计师事务所（特殊普</w:t>
      </w:r>
      <w:r>
        <w:rPr>
          <w:spacing w:val="-41"/>
        </w:rPr>
        <w:t> </w:t>
      </w:r>
      <w:r>
        <w:rPr>
          <w:spacing w:val="-41"/>
        </w:rPr>
      </w:r>
      <w:r>
        <w:rPr/>
        <w:t>通合伙）。具体内容详见公司披露在巨潮资讯网上的相关公告。</w:t>
      </w:r>
    </w:p>
    <w:p>
      <w:pPr>
        <w:pStyle w:val="BodyText"/>
        <w:spacing w:line="240" w:lineRule="auto" w:before="106"/>
        <w:ind w:left="573" w:right="992"/>
        <w:jc w:val="left"/>
      </w:pPr>
      <w:r>
        <w:rPr/>
        <w:t>聘请内部控制审计会计师事务所、财务顾问或保荐人情况：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九、年度报告披露后面临暂停上市和终止上市情况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十、破产重整相关事项</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公司报告期未发生破产重整相关事项。</w:t>
      </w:r>
    </w:p>
    <w:p>
      <w:pPr>
        <w:spacing w:line="240" w:lineRule="auto" w:before="11"/>
        <w:rPr>
          <w:rFonts w:ascii="宋体" w:hAnsi="宋体" w:cs="宋体" w:eastAsia="宋体" w:hint="default"/>
          <w:sz w:val="29"/>
          <w:szCs w:val="29"/>
        </w:rPr>
      </w:pPr>
    </w:p>
    <w:p>
      <w:pPr>
        <w:pStyle w:val="Heading2"/>
        <w:spacing w:line="240" w:lineRule="auto"/>
        <w:ind w:right="992"/>
        <w:jc w:val="left"/>
        <w:rPr>
          <w:b w:val="0"/>
          <w:bCs w:val="0"/>
        </w:rPr>
      </w:pPr>
      <w:r>
        <w:rPr/>
        <w:t>十一、重大诉讼、仲裁事项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本年度公司无重大诉讼、仲裁事项。</w:t>
      </w:r>
    </w:p>
    <w:p>
      <w:pPr>
        <w:spacing w:line="240" w:lineRule="auto" w:before="11"/>
        <w:rPr>
          <w:rFonts w:ascii="宋体" w:hAnsi="宋体" w:cs="宋体" w:eastAsia="宋体" w:hint="default"/>
          <w:sz w:val="29"/>
          <w:szCs w:val="29"/>
        </w:rPr>
      </w:pPr>
    </w:p>
    <w:p>
      <w:pPr>
        <w:pStyle w:val="Heading2"/>
        <w:spacing w:line="240" w:lineRule="auto"/>
        <w:ind w:right="992"/>
        <w:jc w:val="left"/>
        <w:rPr>
          <w:b w:val="0"/>
          <w:bCs w:val="0"/>
        </w:rPr>
      </w:pPr>
      <w:r>
        <w:rPr/>
        <w:t>十二、处罚及整改情况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公司报告期不存在处罚及整改情况。</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92"/>
        <w:jc w:val="left"/>
        <w:rPr>
          <w:b w:val="0"/>
          <w:bCs w:val="0"/>
        </w:rPr>
      </w:pPr>
      <w:r>
        <w:rPr/>
        <w:t>十三、公司及其控股股东、实际控制人的诚信状况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992"/>
        <w:jc w:val="left"/>
        <w:rPr>
          <w:b w:val="0"/>
          <w:bCs w:val="0"/>
        </w:rPr>
      </w:pPr>
      <w:r>
        <w:rPr/>
        <w:t>十四、公司股权激励计划、员工持股计划或其他员工激励措施的实施情况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right="1126" w:firstLine="420"/>
        <w:jc w:val="both"/>
      </w:pPr>
      <w:r>
        <w:rPr>
          <w:spacing w:val="-3"/>
        </w:rPr>
        <w:t>公司限制性股票激励计划（</w:t>
      </w:r>
      <w:r>
        <w:rPr>
          <w:rFonts w:ascii="Times New Roman" w:hAnsi="Times New Roman" w:cs="Times New Roman" w:eastAsia="Times New Roman" w:hint="default"/>
          <w:spacing w:val="-3"/>
        </w:rPr>
        <w:t>2017-2019</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日向符合条件的</w:t>
      </w:r>
      <w:r>
        <w:rPr>
          <w:rFonts w:ascii="Times New Roman" w:hAnsi="Times New Roman" w:cs="Times New Roman" w:eastAsia="Times New Roman" w:hint="default"/>
          <w:spacing w:val="-3"/>
        </w:rPr>
        <w:t>174</w:t>
      </w:r>
      <w:r>
        <w:rPr>
          <w:spacing w:val="-3"/>
        </w:rPr>
        <w:t>名激励对象授予</w:t>
      </w:r>
      <w:r>
        <w:rPr>
          <w:rFonts w:ascii="Times New Roman" w:hAnsi="Times New Roman" w:cs="Times New Roman" w:eastAsia="Times New Roman" w:hint="default"/>
          <w:spacing w:val="-3"/>
        </w:rPr>
        <w:t>888</w:t>
      </w:r>
      <w:r>
        <w:rPr>
          <w:spacing w:val="-3"/>
        </w:rPr>
        <w:t>万股限</w:t>
      </w:r>
      <w:r>
        <w:rPr>
          <w:w w:val="100"/>
        </w:rPr>
        <w:t> </w:t>
      </w:r>
      <w:r>
        <w:rPr>
          <w:spacing w:val="-2"/>
        </w:rPr>
        <w:t>制性股票，本次限制性股票激励计划</w:t>
      </w:r>
      <w:r>
        <w:rPr>
          <w:rFonts w:ascii="Times New Roman" w:hAnsi="Times New Roman" w:cs="Times New Roman" w:eastAsia="Times New Roman" w:hint="default"/>
          <w:spacing w:val="-2"/>
        </w:rPr>
        <w:t>2017</w:t>
      </w:r>
      <w:r>
        <w:rPr>
          <w:spacing w:val="-2"/>
        </w:rPr>
        <w:t>年及</w:t>
      </w:r>
      <w:r>
        <w:rPr>
          <w:rFonts w:ascii="Times New Roman" w:hAnsi="Times New Roman" w:cs="Times New Roman" w:eastAsia="Times New Roman" w:hint="default"/>
          <w:spacing w:val="-2"/>
        </w:rPr>
        <w:t>2018</w:t>
      </w:r>
      <w:r>
        <w:rPr>
          <w:spacing w:val="-2"/>
        </w:rPr>
        <w:t>年的实施情况已经披露，具体内容详见公司披露在巨潮</w:t>
      </w:r>
      <w:r>
        <w:rPr>
          <w:spacing w:val="-33"/>
        </w:rPr>
        <w:t> </w:t>
      </w:r>
      <w:r>
        <w:rPr>
          <w:spacing w:val="-33"/>
        </w:rPr>
      </w:r>
      <w:r>
        <w:rPr/>
        <w:t>资讯网上的相关公告。本报告期的具体实施情况如下：</w:t>
      </w:r>
    </w:p>
    <w:p>
      <w:pPr>
        <w:pStyle w:val="BodyText"/>
        <w:spacing w:line="386" w:lineRule="auto" w:before="65"/>
        <w:ind w:right="1140"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日，根据公司《限制性股票激励计划（</w:t>
      </w:r>
      <w:r>
        <w:rPr>
          <w:rFonts w:ascii="Times New Roman" w:hAnsi="Times New Roman" w:cs="Times New Roman" w:eastAsia="Times New Roman" w:hint="default"/>
          <w:spacing w:val="-2"/>
        </w:rPr>
        <w:t>2017-2019</w:t>
      </w:r>
      <w:r>
        <w:rPr>
          <w:spacing w:val="-2"/>
        </w:rPr>
        <w:t>）（草案）》等的相关规定，公司完</w:t>
      </w:r>
      <w:r>
        <w:rPr>
          <w:w w:val="100"/>
        </w:rPr>
        <w:t> </w:t>
      </w:r>
      <w:r>
        <w:rPr/>
        <w:t>成了对</w:t>
      </w:r>
      <w:r>
        <w:rPr>
          <w:rFonts w:ascii="Times New Roman" w:hAnsi="Times New Roman" w:cs="Times New Roman" w:eastAsia="Times New Roman" w:hint="default"/>
        </w:rPr>
        <w:t>2</w:t>
      </w:r>
      <w:r>
        <w:rPr/>
        <w:t>名已离职激励对象所持已获授但尚未解除限售的</w:t>
      </w:r>
      <w:r>
        <w:rPr>
          <w:rFonts w:ascii="Times New Roman" w:hAnsi="Times New Roman" w:cs="Times New Roman" w:eastAsia="Times New Roman" w:hint="default"/>
        </w:rPr>
        <w:t>115,000</w:t>
      </w:r>
      <w:r>
        <w:rPr/>
        <w:t>股限制性股票的回购注销工作。</w:t>
      </w:r>
    </w:p>
    <w:p>
      <w:pPr>
        <w:pStyle w:val="BodyText"/>
        <w:spacing w:line="386" w:lineRule="auto" w:before="36"/>
        <w:ind w:right="1129"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日，公司第四届董事会</w:t>
      </w:r>
      <w:r>
        <w:rPr>
          <w:rFonts w:ascii="Times New Roman" w:hAnsi="Times New Roman" w:cs="Times New Roman" w:eastAsia="Times New Roman" w:hint="default"/>
          <w:spacing w:val="-2"/>
        </w:rPr>
        <w:t>2019</w:t>
      </w:r>
      <w:r>
        <w:rPr>
          <w:spacing w:val="-2"/>
        </w:rPr>
        <w:t>年第四次会议、第四届监事会</w:t>
      </w:r>
      <w:r>
        <w:rPr>
          <w:rFonts w:ascii="Times New Roman" w:hAnsi="Times New Roman" w:cs="Times New Roman" w:eastAsia="Times New Roman" w:hint="default"/>
          <w:spacing w:val="-2"/>
        </w:rPr>
        <w:t>2019</w:t>
      </w:r>
      <w:r>
        <w:rPr>
          <w:spacing w:val="-2"/>
        </w:rPr>
        <w:t>年第四次会议审议通过</w:t>
      </w:r>
      <w:r>
        <w:rPr>
          <w:w w:val="100"/>
        </w:rPr>
        <w:t> </w:t>
      </w:r>
      <w:r>
        <w:rPr>
          <w:spacing w:val="-4"/>
        </w:rPr>
        <w:t>了《关于调整公司限制性股票激励计划（</w:t>
      </w:r>
      <w:r>
        <w:rPr>
          <w:rFonts w:ascii="Times New Roman" w:hAnsi="Times New Roman" w:cs="Times New Roman" w:eastAsia="Times New Roman" w:hint="default"/>
          <w:spacing w:val="-4"/>
        </w:rPr>
        <w:t>2017-2019</w:t>
      </w:r>
      <w:r>
        <w:rPr>
          <w:spacing w:val="-4"/>
        </w:rPr>
        <w:t>）回购价格的议案》、《关于回购注销部分激励对象已</w:t>
      </w:r>
      <w:r>
        <w:rPr>
          <w:spacing w:val="-7"/>
        </w:rPr>
        <w:t> </w:t>
      </w:r>
      <w:r>
        <w:rPr>
          <w:spacing w:val="-7"/>
        </w:rPr>
      </w:r>
      <w:r>
        <w:rPr>
          <w:spacing w:val="-2"/>
        </w:rPr>
        <w:t>获授但尚未解除限售的限制性股票的议案》，回购价格由</w:t>
      </w:r>
      <w:r>
        <w:rPr>
          <w:rFonts w:ascii="Times New Roman" w:hAnsi="Times New Roman" w:cs="Times New Roman" w:eastAsia="Times New Roman" w:hint="default"/>
          <w:spacing w:val="-2"/>
        </w:rPr>
        <w:t>3.93</w:t>
      </w:r>
      <w:r>
        <w:rPr>
          <w:spacing w:val="-2"/>
        </w:rPr>
        <w:t>元</w:t>
      </w:r>
      <w:r>
        <w:rPr>
          <w:rFonts w:ascii="Times New Roman" w:hAnsi="Times New Roman" w:cs="Times New Roman" w:eastAsia="Times New Roman" w:hint="default"/>
          <w:spacing w:val="-2"/>
        </w:rPr>
        <w:t>/</w:t>
      </w:r>
      <w:r>
        <w:rPr>
          <w:spacing w:val="-2"/>
        </w:rPr>
        <w:t>股调整为</w:t>
      </w:r>
      <w:r>
        <w:rPr>
          <w:rFonts w:ascii="Times New Roman" w:hAnsi="Times New Roman" w:cs="Times New Roman" w:eastAsia="Times New Roman" w:hint="default"/>
          <w:spacing w:val="-2"/>
        </w:rPr>
        <w:t>3.83</w:t>
      </w:r>
      <w:r>
        <w:rPr>
          <w:spacing w:val="-2"/>
        </w:rPr>
        <w:t>元</w:t>
      </w:r>
      <w:r>
        <w:rPr>
          <w:rFonts w:ascii="Times New Roman" w:hAnsi="Times New Roman" w:cs="Times New Roman" w:eastAsia="Times New Roman" w:hint="default"/>
          <w:spacing w:val="-2"/>
        </w:rPr>
        <w:t>/</w:t>
      </w:r>
      <w:r>
        <w:rPr>
          <w:spacing w:val="-2"/>
        </w:rPr>
        <w:t>股，同意回购注销</w:t>
      </w:r>
      <w:r>
        <w:rPr>
          <w:rFonts w:ascii="Times New Roman" w:hAnsi="Times New Roman" w:cs="Times New Roman" w:eastAsia="Times New Roman" w:hint="default"/>
          <w:spacing w:val="-2"/>
        </w:rPr>
        <w:t>6</w:t>
      </w:r>
      <w:r>
        <w:rPr>
          <w:spacing w:val="-2"/>
        </w:rPr>
        <w:t>名离</w:t>
      </w:r>
      <w:r>
        <w:rPr>
          <w:spacing w:val="-14"/>
        </w:rPr>
        <w:t> </w:t>
      </w:r>
      <w:r>
        <w:rPr/>
        <w:t>职激励对象已获授但尚未解除限售的</w:t>
      </w:r>
      <w:r>
        <w:rPr>
          <w:rFonts w:ascii="Times New Roman" w:hAnsi="Times New Roman" w:cs="Times New Roman" w:eastAsia="Times New Roman" w:hint="default"/>
        </w:rPr>
        <w:t>114,000</w:t>
      </w:r>
      <w:r>
        <w:rPr/>
        <w:t>股限制性股票。</w:t>
      </w:r>
    </w:p>
    <w:p>
      <w:pPr>
        <w:pStyle w:val="BodyText"/>
        <w:spacing w:line="386" w:lineRule="auto" w:before="35"/>
        <w:ind w:right="1021"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日，公司第四届董事会</w:t>
      </w:r>
      <w:r>
        <w:rPr>
          <w:rFonts w:ascii="Times New Roman" w:hAnsi="Times New Roman" w:cs="Times New Roman" w:eastAsia="Times New Roman" w:hint="default"/>
        </w:rPr>
        <w:t>2019</w:t>
      </w:r>
      <w:r>
        <w:rPr/>
        <w:t>年第七次会议、第四届监事会</w:t>
      </w:r>
      <w:r>
        <w:rPr>
          <w:rFonts w:ascii="Times New Roman" w:hAnsi="Times New Roman" w:cs="Times New Roman" w:eastAsia="Times New Roman" w:hint="default"/>
        </w:rPr>
        <w:t>2019</w:t>
      </w:r>
      <w:r>
        <w:rPr/>
        <w:t>年第七次会议审议通</w:t>
      </w:r>
      <w:r>
        <w:rPr>
          <w:w w:val="100"/>
        </w:rPr>
        <w:t> </w:t>
      </w:r>
      <w:r>
        <w:rPr>
          <w:spacing w:val="-5"/>
        </w:rPr>
        <w:t>过了《关于限制性股票激励计划（</w:t>
      </w:r>
      <w:r>
        <w:rPr>
          <w:rFonts w:ascii="Times New Roman" w:hAnsi="Times New Roman" w:cs="Times New Roman" w:eastAsia="Times New Roman" w:hint="default"/>
          <w:spacing w:val="-5"/>
        </w:rPr>
        <w:t>2017-2019</w:t>
      </w:r>
      <w:r>
        <w:rPr>
          <w:spacing w:val="-5"/>
        </w:rPr>
        <w:t>）首次授予部分第二个解除限售期解除限售条件成就的议案》，</w:t>
      </w:r>
      <w:r>
        <w:rPr>
          <w:spacing w:val="-48"/>
        </w:rPr>
        <w:t> </w:t>
      </w:r>
      <w:r>
        <w:rPr>
          <w:spacing w:val="-48"/>
        </w:rPr>
      </w:r>
      <w:r>
        <w:rPr/>
        <w:t>同意为第二个解除限售期符合解除限售条件的</w:t>
      </w:r>
      <w:r>
        <w:rPr>
          <w:rFonts w:ascii="Times New Roman" w:hAnsi="Times New Roman" w:cs="Times New Roman" w:eastAsia="Times New Roman" w:hint="default"/>
        </w:rPr>
        <w:t>166</w:t>
      </w:r>
      <w:r>
        <w:rPr/>
        <w:t>名激励对象持有的</w:t>
      </w:r>
      <w:r>
        <w:rPr>
          <w:rFonts w:ascii="Times New Roman" w:hAnsi="Times New Roman" w:cs="Times New Roman" w:eastAsia="Times New Roman" w:hint="default"/>
        </w:rPr>
        <w:t>3,430,000</w:t>
      </w:r>
      <w:r>
        <w:rPr/>
        <w:t>股限制性股票办理解除限售</w:t>
      </w:r>
      <w:r>
        <w:rPr>
          <w:w w:val="100"/>
        </w:rPr>
        <w:t> </w:t>
      </w:r>
      <w:r>
        <w:rPr/>
        <w:t>相关事宜。</w:t>
      </w:r>
    </w:p>
    <w:p>
      <w:pPr>
        <w:pStyle w:val="BodyText"/>
        <w:spacing w:line="386" w:lineRule="auto" w:before="65"/>
        <w:ind w:left="573" w:right="992"/>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日，符合解除限售条件的</w:t>
      </w:r>
      <w:r>
        <w:rPr>
          <w:rFonts w:ascii="Times New Roman" w:hAnsi="Times New Roman" w:cs="Times New Roman" w:eastAsia="Times New Roman" w:hint="default"/>
          <w:spacing w:val="-2"/>
        </w:rPr>
        <w:t>166</w:t>
      </w:r>
      <w:r>
        <w:rPr>
          <w:spacing w:val="-2"/>
        </w:rPr>
        <w:t>名激励对象持有的</w:t>
      </w:r>
      <w:r>
        <w:rPr>
          <w:rFonts w:ascii="Times New Roman" w:hAnsi="Times New Roman" w:cs="Times New Roman" w:eastAsia="Times New Roman" w:hint="default"/>
          <w:spacing w:val="-2"/>
        </w:rPr>
        <w:t>3,430,000</w:t>
      </w:r>
      <w:r>
        <w:rPr>
          <w:spacing w:val="-2"/>
        </w:rPr>
        <w:t>股限制性股票上市流通。</w:t>
      </w:r>
      <w:r>
        <w:rPr>
          <w:spacing w:val="-7"/>
        </w:rPr>
        <w:t> </w:t>
      </w:r>
      <w:r>
        <w:rPr>
          <w:spacing w:val="-7"/>
        </w:rPr>
      </w:r>
      <w:r>
        <w:rPr/>
        <w:t>上述实施情况公司业已在临时报告中披露，具体内容详见公司披露在巨潮资讯网上的相关公告。</w:t>
      </w:r>
    </w:p>
    <w:p>
      <w:pPr>
        <w:spacing w:line="240" w:lineRule="auto" w:before="1"/>
        <w:rPr>
          <w:rFonts w:ascii="宋体" w:hAnsi="宋体" w:cs="宋体" w:eastAsia="宋体" w:hint="default"/>
          <w:sz w:val="20"/>
          <w:szCs w:val="20"/>
        </w:rPr>
      </w:pPr>
    </w:p>
    <w:p>
      <w:pPr>
        <w:pStyle w:val="Heading2"/>
        <w:spacing w:line="240" w:lineRule="auto"/>
        <w:ind w:right="992"/>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spacing w:line="568" w:lineRule="auto" w:before="0"/>
        <w:ind w:left="573" w:right="460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公司报告期未发生与日常经营相关的关联交易。</w:t>
      </w:r>
    </w:p>
    <w:p>
      <w:pPr>
        <w:spacing w:line="571" w:lineRule="auto" w:before="128"/>
        <w:ind w:left="573" w:right="460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公司报告期未发生资产或股权收购、出售的关联交易。</w:t>
      </w:r>
    </w:p>
    <w:p>
      <w:pPr>
        <w:spacing w:line="571" w:lineRule="auto" w:before="124"/>
        <w:ind w:left="573" w:right="460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公司报告期未发生共同对外投资的关联交易。</w:t>
      </w:r>
    </w:p>
    <w:p>
      <w:pPr>
        <w:spacing w:after="0" w:line="571"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571" w:lineRule="auto" w:before="36"/>
        <w:ind w:left="573" w:right="63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公司报告期不存在关联债权债务往来。</w:t>
      </w:r>
    </w:p>
    <w:p>
      <w:pPr>
        <w:spacing w:line="571" w:lineRule="auto" w:before="124"/>
        <w:ind w:left="573" w:right="63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公司报告期无其他重大关联交易。</w:t>
      </w:r>
    </w:p>
    <w:p>
      <w:pPr>
        <w:pStyle w:val="Heading2"/>
        <w:spacing w:line="240" w:lineRule="auto" w:before="101"/>
        <w:ind w:right="992"/>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公司报告期不存在托管情况。</w:t>
      </w:r>
    </w:p>
    <w:p>
      <w:pPr>
        <w:spacing w:line="240" w:lineRule="auto" w:before="0"/>
        <w:rPr>
          <w:rFonts w:ascii="宋体" w:hAnsi="宋体" w:cs="宋体" w:eastAsia="宋体" w:hint="default"/>
          <w:sz w:val="20"/>
          <w:szCs w:val="20"/>
        </w:rPr>
      </w:pPr>
    </w:p>
    <w:p>
      <w:pPr>
        <w:pStyle w:val="Heading4"/>
        <w:spacing w:line="240" w:lineRule="auto" w:before="152"/>
        <w:ind w:right="99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公司报告期不存在承包情况。</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公司报告期不存在租赁情况。</w:t>
      </w:r>
    </w:p>
    <w:p>
      <w:pPr>
        <w:spacing w:line="240" w:lineRule="auto" w:before="0"/>
        <w:rPr>
          <w:rFonts w:ascii="宋体" w:hAnsi="宋体" w:cs="宋体" w:eastAsia="宋体" w:hint="default"/>
          <w:sz w:val="20"/>
          <w:szCs w:val="20"/>
        </w:rPr>
      </w:pPr>
    </w:p>
    <w:p>
      <w:pPr>
        <w:pStyle w:val="Heading4"/>
        <w:spacing w:line="240" w:lineRule="auto" w:before="152"/>
        <w:ind w:right="99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4"/>
        <w:gridCol w:w="1034"/>
        <w:gridCol w:w="1049"/>
        <w:gridCol w:w="793"/>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7"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29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2,101.93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2,101.93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自《技术开 发</w:t>
            </w:r>
            <w:r>
              <w:rPr>
                <w:rFonts w:ascii="Times New Roman" w:hAnsi="Times New Roman" w:cs="Times New Roman" w:eastAsia="Times New Roman" w:hint="default"/>
                <w:sz w:val="18"/>
                <w:szCs w:val="18"/>
              </w:rPr>
              <w:t>(</w:t>
            </w: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合 同》签署生 效日起至富</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10"/>
        <w:gridCol w:w="917"/>
        <w:gridCol w:w="925"/>
        <w:gridCol w:w="1305"/>
        <w:gridCol w:w="1048"/>
        <w:gridCol w:w="1046"/>
        <w:gridCol w:w="1050"/>
        <w:gridCol w:w="791"/>
        <w:gridCol w:w="784"/>
      </w:tblGrid>
      <w:tr>
        <w:trPr>
          <w:trHeight w:val="1923" w:hRule="exact"/>
        </w:trPr>
        <w:tc>
          <w:tcPr>
            <w:tcW w:w="17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华宇祺在</w:t>
            </w:r>
          </w:p>
          <w:p>
            <w:pPr>
              <w:pStyle w:val="TableParagraph"/>
              <w:spacing w:line="314" w:lineRule="auto" w:before="77"/>
              <w:ind w:left="27" w:right="-8"/>
              <w:jc w:val="left"/>
              <w:rPr>
                <w:rFonts w:ascii="宋体" w:hAnsi="宋体" w:cs="宋体" w:eastAsia="宋体" w:hint="default"/>
                <w:sz w:val="18"/>
                <w:szCs w:val="18"/>
              </w:rPr>
            </w:pPr>
            <w:r>
              <w:rPr>
                <w:rFonts w:ascii="宋体" w:hAnsi="宋体" w:cs="宋体" w:eastAsia="宋体" w:hint="default"/>
                <w:sz w:val="18"/>
                <w:szCs w:val="18"/>
              </w:rPr>
              <w:t>《技术开发 </w:t>
            </w:r>
            <w:r>
              <w:rPr>
                <w:rFonts w:ascii="Times New Roman" w:hAnsi="Times New Roman" w:cs="Times New Roman" w:eastAsia="Times New Roman" w:hint="default"/>
                <w:sz w:val="18"/>
                <w:szCs w:val="18"/>
              </w:rPr>
              <w:t>(</w:t>
            </w: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合同》 项下的义务 履行完毕之 日止。</w:t>
            </w:r>
          </w:p>
        </w:tc>
        <w:tc>
          <w:tcPr>
            <w:tcW w:w="79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2,101.93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0"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26"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08"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0"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2,101.93</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采用复合方式担保的具体情况说明：不适用</w:t>
      </w:r>
    </w:p>
    <w:p>
      <w:pPr>
        <w:spacing w:line="240" w:lineRule="auto" w:before="0"/>
        <w:rPr>
          <w:rFonts w:ascii="宋体" w:hAnsi="宋体" w:cs="宋体" w:eastAsia="宋体" w:hint="default"/>
          <w:sz w:val="20"/>
          <w:szCs w:val="20"/>
        </w:rPr>
      </w:pPr>
    </w:p>
    <w:p>
      <w:pPr>
        <w:spacing w:line="571" w:lineRule="auto" w:before="154"/>
        <w:ind w:left="573" w:right="637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公司报告期无违规对外担保情况。</w:t>
      </w:r>
    </w:p>
    <w:p>
      <w:pPr>
        <w:spacing w:after="0" w:line="571"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688" w:lineRule="exact" w:before="19"/>
        <w:ind w:left="573" w:right="705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报告期内委托理财概况</w:t>
      </w:r>
    </w:p>
    <w:p>
      <w:pPr>
        <w:spacing w:before="6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5"/>
          <w:szCs w:val="5"/>
        </w:rPr>
      </w:pPr>
    </w:p>
    <w:p>
      <w:pPr>
        <w:pStyle w:val="BodyText"/>
        <w:spacing w:line="417" w:lineRule="auto" w:before="36"/>
        <w:ind w:left="573" w:right="992"/>
        <w:jc w:val="left"/>
      </w:pPr>
      <w:r>
        <w:rPr/>
        <w:t>单项金额重大或安全性较低、流动性较差、不保本的高风险委托理财具体情况：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r>
        <w:rPr>
          <w:w w:val="100"/>
        </w:rPr>
        <w:t> </w:t>
      </w:r>
      <w:r>
        <w:rPr/>
        <w:t>委托理财出现预期无法收回本金或存在其他可能导致减值的情形：</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17"/>
          <w:szCs w:val="17"/>
        </w:rPr>
      </w:pPr>
    </w:p>
    <w:p>
      <w:pPr>
        <w:spacing w:line="568" w:lineRule="auto" w:before="0"/>
        <w:ind w:left="573" w:right="637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公司报告期不存在委托贷款。</w:t>
      </w:r>
    </w:p>
    <w:p>
      <w:pPr>
        <w:spacing w:line="571" w:lineRule="auto" w:before="128"/>
        <w:ind w:left="573" w:right="63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公司报告期不存在其他重大合同。</w:t>
      </w:r>
    </w:p>
    <w:p>
      <w:pPr>
        <w:pStyle w:val="Heading2"/>
        <w:spacing w:line="240" w:lineRule="auto" w:before="101"/>
        <w:ind w:right="992"/>
        <w:jc w:val="left"/>
        <w:rPr>
          <w:b w:val="0"/>
          <w:bCs w:val="0"/>
        </w:rPr>
      </w:pPr>
      <w:r>
        <w:rPr/>
        <w:t>十七、社会责任情况</w:t>
      </w:r>
      <w:r>
        <w:rPr>
          <w:b w:val="0"/>
          <w:bCs w:val="0"/>
        </w:rPr>
      </w:r>
    </w:p>
    <w:p>
      <w:pPr>
        <w:pStyle w:val="BodyText"/>
        <w:spacing w:line="688" w:lineRule="exact" w:before="20"/>
        <w:ind w:left="573" w:right="992"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公司将</w:t>
      </w:r>
      <w:r>
        <w:rPr>
          <w:rFonts w:ascii="Times New Roman" w:hAnsi="Times New Roman" w:cs="Times New Roman" w:eastAsia="Times New Roman" w:hint="default"/>
          <w:spacing w:val="-2"/>
        </w:rPr>
        <w:t>“</w:t>
      </w:r>
      <w:r>
        <w:rPr>
          <w:spacing w:val="-2"/>
        </w:rPr>
        <w:t>承担社会责任</w:t>
      </w:r>
      <w:r>
        <w:rPr>
          <w:rFonts w:ascii="Times New Roman" w:hAnsi="Times New Roman" w:cs="Times New Roman" w:eastAsia="Times New Roman" w:hint="default"/>
          <w:spacing w:val="-2"/>
        </w:rPr>
        <w:t>”</w:t>
      </w:r>
      <w:r>
        <w:rPr>
          <w:spacing w:val="-2"/>
        </w:rPr>
        <w:t>理念积极贯彻落实到日常经营活动中，具体融入到对股东、员工、供应商、客</w:t>
      </w:r>
    </w:p>
    <w:p>
      <w:pPr>
        <w:pStyle w:val="BodyText"/>
        <w:spacing w:line="408" w:lineRule="auto" w:before="85"/>
        <w:ind w:left="573" w:right="992" w:hanging="421"/>
        <w:jc w:val="left"/>
      </w:pPr>
      <w:r>
        <w:rPr/>
        <w:t>户等方方面面利益相关者的责任承担。</w:t>
      </w:r>
      <w:r>
        <w:rPr>
          <w:w w:val="100"/>
        </w:rPr>
        <w:t> </w:t>
      </w:r>
      <w:r>
        <w:rPr>
          <w:spacing w:val="-7"/>
        </w:rPr>
        <w:t>对股东方面：公司严格按照《公司法》、《证券法》、《深圳证券交易所创业板股票上市规则》、《上</w:t>
      </w:r>
    </w:p>
    <w:p>
      <w:pPr>
        <w:pStyle w:val="BodyText"/>
        <w:spacing w:line="408" w:lineRule="auto"/>
        <w:ind w:right="1023"/>
        <w:jc w:val="both"/>
      </w:pPr>
      <w:r>
        <w:rPr>
          <w:spacing w:val="-2"/>
        </w:rPr>
        <w:t>市公司信息披露管理办法》等有关规定，严格履行信息披露义务，真实、准确、完整、及时、公平地进行</w:t>
      </w:r>
      <w:r>
        <w:rPr>
          <w:spacing w:val="-45"/>
        </w:rPr>
        <w:t> </w:t>
      </w:r>
      <w:r>
        <w:rPr>
          <w:spacing w:val="-45"/>
        </w:rPr>
      </w:r>
      <w:r>
        <w:rPr>
          <w:spacing w:val="-2"/>
        </w:rPr>
        <w:t>信息披露；依法召开股东大会，采用网络投票等方式提升股东参与度；通过投资者电话、电子邮箱、公司</w:t>
      </w:r>
      <w:r>
        <w:rPr>
          <w:spacing w:val="-43"/>
        </w:rPr>
        <w:t> </w:t>
      </w:r>
      <w:r>
        <w:rPr>
          <w:spacing w:val="-43"/>
        </w:rPr>
      </w:r>
      <w:r>
        <w:rPr>
          <w:spacing w:val="-2"/>
        </w:rPr>
        <w:t>网站和投资者关系互动平台等多种方式与投资者进行沟通交流，建立良好的互动平台，提高了公司的透明</w:t>
      </w:r>
      <w:r>
        <w:rPr>
          <w:spacing w:val="-43"/>
        </w:rPr>
        <w:t> </w:t>
      </w:r>
      <w:r>
        <w:rPr>
          <w:spacing w:val="-43"/>
        </w:rPr>
      </w:r>
      <w:r>
        <w:rPr>
          <w:spacing w:val="-5"/>
        </w:rPr>
        <w:t>度和诚信度；公司非常重视对投资者的合理回报，制定了相对稳定的利润分配政策和分红方案以回报股东。</w:t>
      </w:r>
    </w:p>
    <w:p>
      <w:pPr>
        <w:pStyle w:val="BodyText"/>
        <w:spacing w:line="398" w:lineRule="auto"/>
        <w:ind w:right="1126" w:firstLine="420"/>
        <w:jc w:val="both"/>
      </w:pPr>
      <w:r>
        <w:rPr>
          <w:spacing w:val="-2"/>
        </w:rPr>
        <w:t>对员工方面：公司始终坚持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的人才发展理念，实施企业人才战略，依据《公司法》和《公</w:t>
      </w:r>
      <w:r>
        <w:rPr>
          <w:w w:val="100"/>
        </w:rPr>
        <w:t> </w:t>
      </w:r>
      <w:r>
        <w:rPr>
          <w:spacing w:val="-2"/>
        </w:rPr>
        <w:t>司章程》等有关规定，选举了职工代表监事，确保公司员工在公司治理中享有应有的权利；严格遵守《劳</w:t>
      </w:r>
      <w:r>
        <w:rPr>
          <w:spacing w:val="-42"/>
        </w:rPr>
        <w:t> </w:t>
      </w:r>
      <w:r>
        <w:rPr>
          <w:spacing w:val="-42"/>
        </w:rPr>
      </w:r>
      <w:r>
        <w:rPr>
          <w:spacing w:val="-2"/>
        </w:rPr>
        <w:t>动法》、《劳动合同法》等相关法律法规，尊重和维护员工的个人权益，切实关注员工健康、安全和满意</w:t>
      </w:r>
    </w:p>
    <w:p>
      <w:pPr>
        <w:spacing w:after="0" w:line="39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0" w:right="1104"/>
        <w:jc w:val="right"/>
      </w:pPr>
      <w:r>
        <w:rPr>
          <w:spacing w:val="-2"/>
        </w:rPr>
        <w:t>度；不定期组织各种专业技能培训，通过理论知识及实践操作等方式的培训提升职工技能，让员工获得成</w:t>
      </w:r>
      <w:r>
        <w:rPr>
          <w:spacing w:val="-89"/>
        </w:rPr>
        <w:t> </w:t>
      </w:r>
      <w:r>
        <w:rPr>
          <w:spacing w:val="-89"/>
        </w:rPr>
      </w:r>
      <w:r>
        <w:rPr>
          <w:spacing w:val="-2"/>
        </w:rPr>
        <w:t>就感的同时有更好的发展；持续优化员工关怀体系，努力为员工提供更好的工作环境及更多的人文关怀。</w:t>
      </w:r>
      <w:r>
        <w:rPr>
          <w:spacing w:val="-49"/>
        </w:rPr>
        <w:t> </w:t>
      </w:r>
      <w:r>
        <w:rPr>
          <w:spacing w:val="-49"/>
        </w:rPr>
      </w:r>
      <w:r>
        <w:rPr>
          <w:spacing w:val="-2"/>
        </w:rPr>
        <w:t>对供应商、客户方面：公司注重与供应商、客户之间的良性互动，将诚实守信作为企业发展的基石，</w:t>
      </w:r>
      <w:r>
        <w:rPr>
          <w:w w:val="100"/>
        </w:rPr>
        <w:t> </w:t>
      </w:r>
      <w:r>
        <w:rPr>
          <w:spacing w:val="-2"/>
        </w:rPr>
        <w:t>与供应商和客户建立合作共赢的战略合作伙伴关系，充分尊重并保护供应商、客户的合法权益，与之保持</w:t>
      </w:r>
    </w:p>
    <w:p>
      <w:pPr>
        <w:pStyle w:val="BodyText"/>
        <w:spacing w:line="408" w:lineRule="auto"/>
        <w:ind w:left="573" w:right="992" w:hanging="421"/>
        <w:jc w:val="left"/>
      </w:pPr>
      <w:r>
        <w:rPr/>
        <w:t>长期良好的合作关系。</w:t>
      </w:r>
      <w:r>
        <w:rPr>
          <w:w w:val="100"/>
        </w:rPr>
        <w:t> </w:t>
      </w:r>
      <w:r>
        <w:rPr>
          <w:spacing w:val="-2"/>
        </w:rPr>
        <w:t>在社会责任方面，公司始终将依法经营作为公司运行的基本原则，注重企业经济效益与社会效益的同</w:t>
      </w:r>
    </w:p>
    <w:p>
      <w:pPr>
        <w:pStyle w:val="BodyText"/>
        <w:spacing w:line="408" w:lineRule="auto"/>
        <w:ind w:right="992"/>
        <w:jc w:val="left"/>
      </w:pPr>
      <w:r>
        <w:rPr>
          <w:spacing w:val="-2"/>
        </w:rPr>
        <w:t>步共赢。公司严格遵守国家法律、法规、政策的规定，始终依法经营，积极纳税，发展就业岗位，支持地</w:t>
      </w:r>
      <w:r>
        <w:rPr>
          <w:spacing w:val="-46"/>
        </w:rPr>
        <w:t> </w:t>
      </w:r>
      <w:r>
        <w:rPr>
          <w:spacing w:val="-46"/>
        </w:rPr>
      </w:r>
      <w:r>
        <w:rPr/>
        <w:t>方经济的发展。</w:t>
      </w:r>
    </w:p>
    <w:p>
      <w:pPr>
        <w:pStyle w:val="BodyText"/>
        <w:spacing w:line="408" w:lineRule="auto"/>
        <w:ind w:right="1107" w:firstLine="420"/>
        <w:jc w:val="both"/>
      </w:pPr>
      <w:r>
        <w:rPr>
          <w:spacing w:val="-2"/>
        </w:rPr>
        <w:t>公司在承担起对股东、员工、供应商、客户等责任的同时，深刻地意识到公司的发展是社会认可的结</w:t>
      </w:r>
      <w:r>
        <w:rPr>
          <w:w w:val="100"/>
        </w:rPr>
        <w:t> </w:t>
      </w:r>
      <w:r>
        <w:rPr>
          <w:spacing w:val="-2"/>
        </w:rPr>
        <w:t>果，回馈社会是公司不可推卸的责任。新型冠状病毒肺炎疫情爆发以来，公司高度关注疫情发展，心系疫</w:t>
      </w:r>
      <w:r>
        <w:rPr>
          <w:spacing w:val="-50"/>
        </w:rPr>
        <w:t> </w:t>
      </w:r>
      <w:r>
        <w:rPr>
          <w:spacing w:val="-50"/>
        </w:rPr>
      </w:r>
      <w:r>
        <w:rPr>
          <w:spacing w:val="-2"/>
        </w:rPr>
        <w:t>情抗击工作，通过向社会捐赠现金及物资等多种形式支持抗击疫情工作，积极履行上市公司的社会责任。</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spacing w:line="568" w:lineRule="auto" w:before="0"/>
        <w:ind w:left="573" w:right="389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公司报告内暂未开展精准扶贫工作，也暂无后续精准扶贫计划。</w:t>
      </w:r>
    </w:p>
    <w:p>
      <w:pPr>
        <w:pStyle w:val="Heading4"/>
        <w:spacing w:line="571" w:lineRule="auto" w:before="128"/>
        <w:ind w:left="573" w:right="8541" w:hanging="42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）年度精准扶贫概要</w:t>
      </w:r>
      <w:r>
        <w:rPr>
          <w:w w:val="100"/>
        </w:rPr>
        <w:t> </w:t>
      </w:r>
      <w:r>
        <w:rPr>
          <w:rFonts w:ascii="宋体" w:hAnsi="宋体" w:cs="宋体" w:eastAsia="宋体" w:hint="default"/>
          <w:b w:val="0"/>
          <w:bCs w:val="0"/>
        </w:rPr>
        <w:t>不适用</w:t>
      </w:r>
    </w:p>
    <w:p>
      <w:pPr>
        <w:spacing w:line="568" w:lineRule="auto" w:before="126"/>
        <w:ind w:left="573" w:right="896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pStyle w:val="Heading4"/>
        <w:spacing w:line="571" w:lineRule="auto" w:before="128"/>
        <w:ind w:left="573" w:right="8541" w:hanging="42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）后续精准扶贫计划</w:t>
      </w:r>
      <w:r>
        <w:rPr>
          <w:w w:val="100"/>
        </w:rPr>
        <w:t> </w:t>
      </w:r>
      <w:r>
        <w:rPr>
          <w:rFonts w:ascii="宋体" w:hAnsi="宋体" w:cs="宋体" w:eastAsia="宋体" w:hint="default"/>
          <w:b w:val="0"/>
          <w:bCs w:val="0"/>
        </w:rPr>
        <w:t>不适用</w:t>
      </w:r>
    </w:p>
    <w:p>
      <w:pPr>
        <w:pStyle w:val="Heading4"/>
        <w:spacing w:line="240" w:lineRule="auto" w:before="127"/>
        <w:ind w:right="992"/>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30"/>
          <w:szCs w:val="30"/>
        </w:rPr>
      </w:pPr>
    </w:p>
    <w:p>
      <w:pPr>
        <w:pStyle w:val="BodyText"/>
        <w:spacing w:line="444" w:lineRule="auto" w:before="0"/>
        <w:ind w:left="573" w:right="992"/>
        <w:jc w:val="left"/>
      </w:pPr>
      <w:r>
        <w:rPr/>
        <w:t>上市公司及其子公司是否属于环境保护部门公布的重点排污单位：否</w:t>
      </w:r>
      <w:r>
        <w:rPr>
          <w:w w:val="100"/>
        </w:rPr>
        <w:t> </w:t>
      </w:r>
      <w:r>
        <w:rPr>
          <w:spacing w:val="-2"/>
        </w:rPr>
        <w:t>公司及其控股子公司在日常生产经营中认真执行《中华人民共和国环境保护法》、《中华人民共和国</w:t>
      </w:r>
    </w:p>
    <w:p>
      <w:pPr>
        <w:pStyle w:val="BodyText"/>
        <w:spacing w:line="240" w:lineRule="auto" w:before="14"/>
        <w:ind w:right="992"/>
        <w:jc w:val="left"/>
      </w:pPr>
      <w:r>
        <w:rPr/>
        <w:t>水污染防治法》、《中华人民共和国大气污染防治法》、《中华人民共和国环境噪声污染防治法》、《中</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2"/>
        <w:jc w:val="left"/>
      </w:pPr>
      <w:r>
        <w:rPr>
          <w:spacing w:val="-2"/>
        </w:rPr>
        <w:t>华人民共和国固体废物污染防治法》等环保方面的法律法规。报告期内，公司未出现因环保违法违规而受</w:t>
      </w:r>
      <w:r>
        <w:rPr>
          <w:spacing w:val="-44"/>
        </w:rPr>
        <w:t> </w:t>
      </w:r>
      <w:r>
        <w:rPr>
          <w:spacing w:val="-44"/>
        </w:rPr>
      </w:r>
      <w:r>
        <w:rPr/>
        <w:t>到处罚的情况。</w:t>
      </w:r>
    </w:p>
    <w:p>
      <w:pPr>
        <w:spacing w:line="240" w:lineRule="auto" w:before="8"/>
        <w:rPr>
          <w:rFonts w:ascii="宋体" w:hAnsi="宋体" w:cs="宋体" w:eastAsia="宋体" w:hint="default"/>
          <w:sz w:val="18"/>
          <w:szCs w:val="18"/>
        </w:rPr>
      </w:pPr>
    </w:p>
    <w:p>
      <w:pPr>
        <w:pStyle w:val="Heading2"/>
        <w:spacing w:line="240" w:lineRule="auto"/>
        <w:ind w:right="992"/>
        <w:jc w:val="left"/>
        <w:rPr>
          <w:b w:val="0"/>
          <w:bCs w:val="0"/>
        </w:rPr>
      </w:pPr>
      <w:r>
        <w:rPr/>
        <w:t>十八、其他重大事项的说明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公司报告期不存在需要说明的其他重大事项。</w:t>
      </w:r>
    </w:p>
    <w:p>
      <w:pPr>
        <w:spacing w:line="240" w:lineRule="auto" w:before="9"/>
        <w:rPr>
          <w:rFonts w:ascii="宋体" w:hAnsi="宋体" w:cs="宋体" w:eastAsia="宋体" w:hint="default"/>
          <w:sz w:val="29"/>
          <w:szCs w:val="29"/>
        </w:rPr>
      </w:pPr>
    </w:p>
    <w:p>
      <w:pPr>
        <w:pStyle w:val="Heading2"/>
        <w:spacing w:line="240" w:lineRule="auto"/>
        <w:ind w:right="992"/>
        <w:jc w:val="left"/>
        <w:rPr>
          <w:b w:val="0"/>
          <w:bCs w:val="0"/>
        </w:rPr>
      </w:pPr>
      <w:r>
        <w:rPr/>
        <w:t>十九、公司子公司重大事项</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992"/>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9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778"/>
        <w:gridCol w:w="425"/>
        <w:gridCol w:w="425"/>
        <w:gridCol w:w="710"/>
        <w:gridCol w:w="1133"/>
        <w:gridCol w:w="1135"/>
        <w:gridCol w:w="1124"/>
        <w:gridCol w:w="792"/>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277,604,347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-56,879,000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-56,879,000</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220,725,347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32.99%</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277,604,347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-56,879,000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-56,879,000</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220,725,347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32.99%</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277,604,347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-56,879,000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-56,879,000</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220,725,347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32.99%</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391,674,908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58.52%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56,764,000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448,438,908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67.01%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391,674,908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58.52%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56,764,000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448,438,908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67.01%</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669,279,255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-115,000</w:t>
            </w:r>
            <w:r>
              <w:rPr>
                <w:rFonts w:ascii="Times New Roman"/>
                <w:spacing w:val="-1"/>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-115,000</w:t>
            </w:r>
            <w:r>
              <w:rPr>
                <w:rFonts w:ascii="Times New Roman"/>
                <w:spacing w:val="-1"/>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669,164,255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股份变动的原因：</w:t>
      </w:r>
    </w:p>
    <w:p>
      <w:pPr>
        <w:spacing w:line="240" w:lineRule="auto" w:before="12"/>
        <w:rPr>
          <w:rFonts w:ascii="宋体" w:hAnsi="宋体" w:cs="宋体" w:eastAsia="宋体" w:hint="default"/>
          <w:sz w:val="17"/>
          <w:szCs w:val="17"/>
        </w:rPr>
      </w:pPr>
    </w:p>
    <w:p>
      <w:pPr>
        <w:pStyle w:val="BodyText"/>
        <w:spacing w:line="386" w:lineRule="auto" w:before="0"/>
        <w:ind w:right="992"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日，根据公司《限制性股票激励计划（</w:t>
      </w:r>
      <w:r>
        <w:rPr>
          <w:rFonts w:ascii="宋体" w:hAnsi="宋体" w:cs="宋体" w:eastAsia="宋体" w:hint="default"/>
          <w:spacing w:val="-2"/>
        </w:rPr>
        <w:t>2017-2019</w:t>
      </w:r>
      <w:r>
        <w:rPr>
          <w:spacing w:val="-2"/>
        </w:rPr>
        <w:t>）（草案）》等的相关规定，公司完</w:t>
      </w:r>
      <w:r>
        <w:rPr>
          <w:w w:val="100"/>
        </w:rPr>
        <w:t> </w:t>
      </w:r>
      <w:r>
        <w:rPr/>
        <w:t>成了对</w:t>
      </w:r>
      <w:r>
        <w:rPr>
          <w:rFonts w:ascii="宋体" w:hAnsi="宋体" w:cs="宋体" w:eastAsia="宋体" w:hint="default"/>
        </w:rPr>
        <w:t>2</w:t>
      </w:r>
      <w:r>
        <w:rPr/>
        <w:t>名已离职激励对象所持已获授但尚未解除限售的</w:t>
      </w:r>
      <w:r>
        <w:rPr>
          <w:rFonts w:ascii="宋体" w:hAnsi="宋体" w:cs="宋体" w:eastAsia="宋体" w:hint="default"/>
        </w:rPr>
        <w:t>115,000</w:t>
      </w:r>
      <w:r>
        <w:rPr/>
        <w:t>股限制性股票的回购注销工作。</w:t>
      </w:r>
    </w:p>
    <w:p>
      <w:pPr>
        <w:pStyle w:val="BodyText"/>
        <w:spacing w:line="386" w:lineRule="auto" w:before="65"/>
        <w:ind w:right="992"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日，李巍屹、李继昌、李巍岩、王敬芝、李巍峰持有的</w:t>
      </w:r>
      <w:r>
        <w:rPr>
          <w:rFonts w:ascii="Times New Roman" w:hAnsi="Times New Roman" w:cs="Times New Roman" w:eastAsia="Times New Roman" w:hint="default"/>
          <w:spacing w:val="-2"/>
        </w:rPr>
        <w:t>101,895,734</w:t>
      </w:r>
      <w:r>
        <w:rPr>
          <w:spacing w:val="-2"/>
        </w:rPr>
        <w:t>股限制性股票解除</w:t>
      </w:r>
      <w:r>
        <w:rPr>
          <w:w w:val="100"/>
        </w:rPr>
        <w:t> </w:t>
      </w:r>
      <w:r>
        <w:rPr/>
        <w:t>限售，实际可上市流通的股票数量为</w:t>
      </w:r>
      <w:r>
        <w:rPr>
          <w:rFonts w:ascii="Times New Roman" w:hAnsi="Times New Roman" w:cs="Times New Roman" w:eastAsia="Times New Roman" w:hint="default"/>
        </w:rPr>
        <w:t>53,750,000</w:t>
      </w:r>
      <w:r>
        <w:rPr/>
        <w:t>股。</w:t>
      </w:r>
    </w:p>
    <w:p>
      <w:pPr>
        <w:pStyle w:val="BodyText"/>
        <w:spacing w:line="386" w:lineRule="auto" w:before="35"/>
        <w:ind w:right="992"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日，公司限制性股票激励计划（</w:t>
      </w:r>
      <w:r>
        <w:rPr>
          <w:rFonts w:ascii="Times New Roman" w:hAnsi="Times New Roman" w:cs="Times New Roman" w:eastAsia="Times New Roman" w:hint="default"/>
          <w:spacing w:val="-2"/>
        </w:rPr>
        <w:t>2017-2019</w:t>
      </w:r>
      <w:r>
        <w:rPr>
          <w:spacing w:val="-2"/>
        </w:rPr>
        <w:t>）首次授予部分第二个解除限售期符合解</w:t>
      </w:r>
      <w:r>
        <w:rPr>
          <w:w w:val="100"/>
        </w:rPr>
        <w:t> </w:t>
      </w:r>
      <w:r>
        <w:rPr/>
        <w:t>除限售条件的</w:t>
      </w:r>
      <w:r>
        <w:rPr>
          <w:rFonts w:ascii="Times New Roman" w:hAnsi="Times New Roman" w:cs="Times New Roman" w:eastAsia="Times New Roman" w:hint="default"/>
        </w:rPr>
        <w:t>166</w:t>
      </w:r>
      <w:r>
        <w:rPr/>
        <w:t>名激励对象持有的</w:t>
      </w:r>
      <w:r>
        <w:rPr>
          <w:rFonts w:ascii="Times New Roman" w:hAnsi="Times New Roman" w:cs="Times New Roman" w:eastAsia="Times New Roman" w:hint="default"/>
        </w:rPr>
        <w:t>3,430,000</w:t>
      </w:r>
      <w:r>
        <w:rPr/>
        <w:t>股限制性股票解除限售，实际可上市流通的股票数量为</w:t>
      </w:r>
      <w:r>
        <w:rPr>
          <w:w w:val="100"/>
        </w:rPr>
        <w:t> </w:t>
      </w:r>
      <w:r>
        <w:rPr>
          <w:rFonts w:ascii="Times New Roman" w:hAnsi="Times New Roman" w:cs="Times New Roman" w:eastAsia="Times New Roman" w:hint="default"/>
        </w:rPr>
        <w:t>3,014,000</w:t>
      </w:r>
      <w:r>
        <w:rPr/>
        <w:t>股。</w:t>
      </w:r>
    </w:p>
    <w:p>
      <w:pPr>
        <w:pStyle w:val="BodyText"/>
        <w:spacing w:line="240" w:lineRule="auto" w:before="76"/>
        <w:ind w:left="573" w:right="992"/>
        <w:jc w:val="left"/>
      </w:pPr>
      <w:r>
        <w:rPr/>
        <w:t>股份变动的批准情况：</w:t>
      </w:r>
    </w:p>
    <w:p>
      <w:pPr>
        <w:spacing w:line="240" w:lineRule="auto" w:before="9"/>
        <w:rPr>
          <w:rFonts w:ascii="宋体" w:hAnsi="宋体" w:cs="宋体" w:eastAsia="宋体" w:hint="default"/>
          <w:sz w:val="17"/>
          <w:szCs w:val="17"/>
        </w:rPr>
      </w:pPr>
    </w:p>
    <w:p>
      <w:pPr>
        <w:pStyle w:val="BodyText"/>
        <w:spacing w:line="386" w:lineRule="auto" w:before="0"/>
        <w:ind w:right="992"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日，公司第四届董事会</w:t>
      </w:r>
      <w:r>
        <w:rPr>
          <w:rFonts w:ascii="Times New Roman" w:hAnsi="Times New Roman" w:cs="Times New Roman" w:eastAsia="Times New Roman" w:hint="default"/>
        </w:rPr>
        <w:t>2018</w:t>
      </w:r>
      <w:r>
        <w:rPr/>
        <w:t>年第五次会议、第四届监事会</w:t>
      </w:r>
      <w:r>
        <w:rPr>
          <w:rFonts w:ascii="Times New Roman" w:hAnsi="Times New Roman" w:cs="Times New Roman" w:eastAsia="Times New Roman" w:hint="default"/>
        </w:rPr>
        <w:t>2018</w:t>
      </w:r>
      <w:r>
        <w:rPr/>
        <w:t>年第五次会议审议通</w:t>
      </w:r>
      <w:r>
        <w:rPr>
          <w:w w:val="100"/>
        </w:rPr>
        <w:t> </w:t>
      </w:r>
      <w:r>
        <w:rPr/>
        <w:t>过了《关于回购注销部分激励对象已获授但尚未解除限售的限制性股票的议案》，同意回购注销</w:t>
      </w:r>
      <w:r>
        <w:rPr>
          <w:rFonts w:ascii="Times New Roman" w:hAnsi="Times New Roman" w:cs="Times New Roman" w:eastAsia="Times New Roman" w:hint="default"/>
        </w:rPr>
        <w:t>2</w:t>
      </w:r>
      <w:r>
        <w:rPr/>
        <w:t>名离职</w:t>
      </w:r>
      <w:r>
        <w:rPr>
          <w:spacing w:val="-3"/>
          <w:w w:val="100"/>
        </w:rPr>
        <w:t> </w:t>
      </w:r>
      <w:r>
        <w:rPr>
          <w:spacing w:val="-3"/>
        </w:rPr>
        <w:t>激励对象已获授但尚未解除限售的</w:t>
      </w:r>
      <w:r>
        <w:rPr>
          <w:rFonts w:ascii="Times New Roman" w:hAnsi="Times New Roman" w:cs="Times New Roman" w:eastAsia="Times New Roman" w:hint="default"/>
          <w:spacing w:val="-3"/>
        </w:rPr>
        <w:t>115,000</w:t>
      </w:r>
      <w:r>
        <w:rPr>
          <w:spacing w:val="-3"/>
        </w:rPr>
        <w:t>股限制性股票，根据公司</w:t>
      </w:r>
      <w:r>
        <w:rPr>
          <w:rFonts w:ascii="Times New Roman" w:hAnsi="Times New Roman" w:cs="Times New Roman" w:eastAsia="Times New Roman" w:hint="default"/>
          <w:spacing w:val="-3"/>
        </w:rPr>
        <w:t>2017</w:t>
      </w:r>
      <w:r>
        <w:rPr>
          <w:spacing w:val="-3"/>
        </w:rPr>
        <w:t>年第二次临时股东大会的授权，该</w:t>
      </w:r>
      <w:r>
        <w:rPr>
          <w:spacing w:val="-37"/>
        </w:rPr>
        <w:t> </w:t>
      </w:r>
      <w:r>
        <w:rPr>
          <w:spacing w:val="-37"/>
        </w:rPr>
      </w:r>
      <w:r>
        <w:rPr>
          <w:spacing w:val="-2"/>
        </w:rPr>
        <w:t>议案无需提交股东大会审议。公司于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日在中国证券登记结算有限责任公司深圳分公司完成回购</w:t>
      </w:r>
      <w:r>
        <w:rPr>
          <w:spacing w:val="-38"/>
        </w:rPr>
        <w:t> </w:t>
      </w:r>
      <w:r>
        <w:rPr>
          <w:spacing w:val="-38"/>
        </w:rPr>
      </w:r>
      <w:r>
        <w:rPr/>
        <w:t>注销事宜。</w:t>
      </w:r>
    </w:p>
    <w:p>
      <w:pPr>
        <w:pStyle w:val="BodyText"/>
        <w:spacing w:line="240" w:lineRule="auto" w:before="65"/>
        <w:ind w:left="573" w:right="992"/>
        <w:jc w:val="left"/>
      </w:pPr>
      <w:r>
        <w:rPr>
          <w:rFonts w:ascii="Times New Roman" w:hAnsi="Times New Roman" w:cs="Times New Roman" w:eastAsia="Times New Roman" w:hint="default"/>
        </w:rPr>
        <w:t>2</w:t>
      </w:r>
      <w:r>
        <w:rPr/>
        <w:t>、限售股东李巍屹、李继昌、李巍岩、王敬芝、李巍峰锁定期内严格履行做出的承诺，锁定期届满</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98" w:lineRule="auto" w:before="36"/>
        <w:ind w:left="172" w:right="1021"/>
        <w:jc w:val="left"/>
      </w:pPr>
      <w:r>
        <w:rPr>
          <w:spacing w:val="-2"/>
        </w:rPr>
        <w:t>后向公司申请为其办理限售股份上市流通事宜，独立财务顾问东兴证券股份有限公司对解除限售事项无异</w:t>
      </w:r>
      <w:r>
        <w:rPr>
          <w:spacing w:val="-42"/>
        </w:rPr>
        <w:t> </w:t>
      </w:r>
      <w:r>
        <w:rPr>
          <w:spacing w:val="-42"/>
        </w:rPr>
      </w:r>
      <w:r>
        <w:rPr/>
        <w:t>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5</w:t>
      </w:r>
      <w:r>
        <w:rPr/>
        <w:t>名股东持有的</w:t>
      </w:r>
      <w:r>
        <w:rPr>
          <w:rFonts w:ascii="Times New Roman" w:hAnsi="Times New Roman" w:cs="Times New Roman" w:eastAsia="Times New Roman" w:hint="default"/>
        </w:rPr>
        <w:t>101,895,734</w:t>
      </w:r>
      <w:r>
        <w:rPr/>
        <w:t>股限制性股票解除限售，实际可上市流通的股票数量为</w:t>
      </w:r>
      <w:r>
        <w:rPr>
          <w:w w:val="100"/>
        </w:rPr>
        <w:t> </w:t>
      </w:r>
      <w:r>
        <w:rPr>
          <w:rFonts w:ascii="Times New Roman" w:hAnsi="Times New Roman" w:cs="Times New Roman" w:eastAsia="Times New Roman" w:hint="default"/>
        </w:rPr>
        <w:t>53,750,000</w:t>
      </w:r>
      <w:r>
        <w:rPr/>
        <w:t>股。</w:t>
      </w:r>
    </w:p>
    <w:p>
      <w:pPr>
        <w:pStyle w:val="BodyText"/>
        <w:spacing w:line="391" w:lineRule="auto" w:before="24"/>
        <w:ind w:left="172" w:right="1021"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日，公司第四届董事会</w:t>
      </w:r>
      <w:r>
        <w:rPr>
          <w:rFonts w:ascii="Times New Roman" w:hAnsi="Times New Roman" w:cs="Times New Roman" w:eastAsia="Times New Roman" w:hint="default"/>
        </w:rPr>
        <w:t>2019</w:t>
      </w:r>
      <w:r>
        <w:rPr/>
        <w:t>年第七次会议、第四届监事会</w:t>
      </w:r>
      <w:r>
        <w:rPr>
          <w:rFonts w:ascii="Times New Roman" w:hAnsi="Times New Roman" w:cs="Times New Roman" w:eastAsia="Times New Roman" w:hint="default"/>
        </w:rPr>
        <w:t>2019</w:t>
      </w:r>
      <w:r>
        <w:rPr/>
        <w:t>年第七次会议审议通</w:t>
      </w:r>
      <w:r>
        <w:rPr>
          <w:w w:val="100"/>
        </w:rPr>
        <w:t> </w:t>
      </w:r>
      <w:r>
        <w:rPr>
          <w:spacing w:val="-5"/>
        </w:rPr>
        <w:t>过了《关于限制性股票激励计划（</w:t>
      </w:r>
      <w:r>
        <w:rPr>
          <w:rFonts w:ascii="Times New Roman" w:hAnsi="Times New Roman" w:cs="Times New Roman" w:eastAsia="Times New Roman" w:hint="default"/>
          <w:spacing w:val="-5"/>
        </w:rPr>
        <w:t>2017-2019</w:t>
      </w:r>
      <w:r>
        <w:rPr>
          <w:spacing w:val="-5"/>
        </w:rPr>
        <w:t>）首次授予部分第二个解除限售期解除限售条件成就的议案》，</w:t>
      </w:r>
      <w:r>
        <w:rPr>
          <w:spacing w:val="-48"/>
        </w:rPr>
        <w:t> </w:t>
      </w:r>
      <w:r>
        <w:rPr>
          <w:spacing w:val="-48"/>
        </w:rPr>
      </w:r>
      <w:r>
        <w:rPr>
          <w:spacing w:val="-2"/>
        </w:rPr>
        <w:t>认为公司首次授予部分的限制性股票第二个解除限售期解除限售条件已经成就，同意为符合解除限售条件</w:t>
      </w:r>
      <w:r>
        <w:rPr>
          <w:spacing w:val="-43"/>
        </w:rPr>
        <w:t> </w:t>
      </w:r>
      <w:r>
        <w:rPr>
          <w:spacing w:val="-43"/>
        </w:rPr>
      </w:r>
      <w:r>
        <w:rPr/>
        <w:t>的</w:t>
      </w:r>
      <w:r>
        <w:rPr>
          <w:rFonts w:ascii="Times New Roman" w:hAnsi="Times New Roman" w:cs="Times New Roman" w:eastAsia="Times New Roman" w:hint="default"/>
        </w:rPr>
        <w:t>166</w:t>
      </w:r>
      <w:r>
        <w:rPr/>
        <w:t>名激励对象办理第二个解除限售期解除限售的相关事宜，根据公司</w:t>
      </w:r>
      <w:r>
        <w:rPr>
          <w:rFonts w:ascii="Times New Roman" w:hAnsi="Times New Roman" w:cs="Times New Roman" w:eastAsia="Times New Roman" w:hint="default"/>
        </w:rPr>
        <w:t>2017</w:t>
      </w:r>
      <w:r>
        <w:rPr/>
        <w:t>年第二次临时股东大会的授</w:t>
      </w:r>
      <w:r>
        <w:rPr>
          <w:w w:val="100"/>
        </w:rPr>
        <w:t> </w:t>
      </w:r>
      <w:r>
        <w:rPr>
          <w:spacing w:val="-2"/>
        </w:rPr>
        <w:t>权，该议案无需提交股东大会审议。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日，第二个解除限售期的</w:t>
      </w:r>
      <w:r>
        <w:rPr>
          <w:rFonts w:ascii="Times New Roman" w:hAnsi="Times New Roman" w:cs="Times New Roman" w:eastAsia="Times New Roman" w:hint="default"/>
          <w:spacing w:val="-2"/>
        </w:rPr>
        <w:t>3,430,000</w:t>
      </w:r>
      <w:r>
        <w:rPr>
          <w:spacing w:val="-2"/>
        </w:rPr>
        <w:t>股限制性股票解除限</w:t>
      </w:r>
      <w:r>
        <w:rPr>
          <w:spacing w:val="-29"/>
        </w:rPr>
        <w:t> </w:t>
      </w:r>
      <w:r>
        <w:rPr>
          <w:spacing w:val="-29"/>
        </w:rPr>
      </w:r>
      <w:r>
        <w:rPr/>
        <w:t>售，实际可上市流通的股票数量为</w:t>
      </w:r>
      <w:r>
        <w:rPr>
          <w:rFonts w:ascii="Times New Roman" w:hAnsi="Times New Roman" w:cs="Times New Roman" w:eastAsia="Times New Roman" w:hint="default"/>
        </w:rPr>
        <w:t>3,014,000</w:t>
      </w:r>
      <w:r>
        <w:rPr/>
        <w:t>股。</w:t>
      </w:r>
    </w:p>
    <w:p>
      <w:pPr>
        <w:pStyle w:val="BodyText"/>
        <w:spacing w:line="420" w:lineRule="auto" w:before="72"/>
        <w:ind w:left="593" w:right="4111"/>
        <w:jc w:val="left"/>
      </w:pPr>
      <w:r>
        <w:rPr/>
        <w:t>股份变动的过户情况：</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适用</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t>股份回购的实施进展情况：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采用集中竞价方式减持回购股份的实施进展情况：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BodyText"/>
        <w:spacing w:line="408" w:lineRule="auto" w:before="43"/>
        <w:ind w:left="172" w:right="1021" w:firstLine="420"/>
        <w:jc w:val="left"/>
      </w:pPr>
      <w:r>
        <w:rPr>
          <w:spacing w:val="-2"/>
        </w:rPr>
        <w:t>股份变动对最近一年和最近一期基本每股收益和稀释每股收益、归属于公司普通股股东的每股净资产</w:t>
      </w:r>
      <w:r>
        <w:rPr>
          <w:w w:val="100"/>
        </w:rPr>
        <w:t> </w:t>
      </w:r>
      <w:r>
        <w:rPr/>
        <w:t>等财务指标的影响：</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spacing w:line="240" w:lineRule="auto" w:before="53"/>
        <w:ind w:left="593" w:right="1021"/>
        <w:jc w:val="left"/>
      </w:pPr>
      <w:r>
        <w:rPr/>
        <w:t>公司认为必要或证券监管机构要求披露的其他内容：</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4"/>
        <w:spacing w:line="240" w:lineRule="auto"/>
        <w:ind w:left="172" w:right="102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886"/>
        <w:gridCol w:w="1277"/>
        <w:gridCol w:w="850"/>
        <w:gridCol w:w="1013"/>
        <w:gridCol w:w="1255"/>
        <w:gridCol w:w="1702"/>
        <w:gridCol w:w="2765"/>
      </w:tblGrid>
      <w:tr>
        <w:trPr>
          <w:trHeight w:val="714" w:hRule="exact"/>
        </w:trPr>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 w:right="58"/>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5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152,820,610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152,820,610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任职期间每年减持股份的数量不超 过其所持股份总数的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10,575,815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10,575,815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任期内离职</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任职期间离职每年减持股份的数量 不超过其所持股份总数的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任职期间每年减持股份的数量不超 过其所持股份总数的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6"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2,563,104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任职期间每年减持股份的数量不超 过其所持股份总数的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股权激励限售股、董 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
              <w:jc w:val="both"/>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注销。任职期间每年减持股份的数 量不超过其所持股份总数的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股权激励限售股、任 期内离职</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9"/>
              <w:jc w:val="left"/>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注销。任职期间离职每年减持股份</w:t>
            </w:r>
          </w:p>
        </w:tc>
      </w:tr>
    </w:tbl>
    <w:p>
      <w:pPr>
        <w:spacing w:after="0" w:line="316" w:lineRule="auto"/>
        <w:jc w:val="left"/>
        <w:rPr>
          <w:rFonts w:ascii="宋体" w:hAnsi="宋体" w:cs="宋体" w:eastAsia="宋体" w:hint="default"/>
          <w:sz w:val="18"/>
          <w:szCs w:val="18"/>
        </w:rPr>
        <w:sectPr>
          <w:pgSz w:w="11910" w:h="16840"/>
          <w:pgMar w:header="877" w:footer="980" w:top="1100" w:bottom="1160" w:left="9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886"/>
        <w:gridCol w:w="1277"/>
        <w:gridCol w:w="850"/>
        <w:gridCol w:w="1013"/>
        <w:gridCol w:w="1255"/>
        <w:gridCol w:w="1702"/>
        <w:gridCol w:w="2765"/>
      </w:tblGrid>
      <w:tr>
        <w:trPr>
          <w:trHeight w:val="675" w:hRule="exact"/>
        </w:trPr>
        <w:tc>
          <w:tcPr>
            <w:tcW w:w="8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的数量不超过其所持股份总数的</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337"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股权激励限售股、任 期内离职</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注销。任职期间离职每年减持股份 的数量不超过其所持股份总数的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339"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股权激励限售股、任 期内离职</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注销。任职期间离职每年减持股份 的数量不超过其所持股份总数的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337"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股权激励限售股、任 期内离职</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注销。任职期间离职每年减持股份 的数量不超过其所持股份总数的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7"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股权激励限售股、董 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
              <w:jc w:val="both"/>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注销。任职期间每年减持股份的数 量不超过其所持股份总数的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股权激励限售股、董 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
              <w:jc w:val="both"/>
              <w:rPr>
                <w:rFonts w:ascii="宋体" w:hAnsi="宋体" w:cs="宋体" w:eastAsia="宋体" w:hint="default"/>
                <w:sz w:val="18"/>
                <w:szCs w:val="18"/>
              </w:rPr>
            </w:pPr>
            <w:r>
              <w:rPr>
                <w:rFonts w:ascii="宋体" w:hAnsi="宋体" w:cs="宋体" w:eastAsia="宋体" w:hint="default"/>
                <w:sz w:val="18"/>
                <w:szCs w:val="18"/>
              </w:rPr>
              <w:t>第三个解除限售期股份将予以回购 注销。任职期间每年减持股份的数 量不超过其所持股份总数的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3,937,086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3,937,086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任职期间每年减持股份的数量不超 过其所持股份总数的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牛涛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日完成回购注销</w:t>
            </w:r>
          </w:p>
        </w:tc>
      </w:tr>
      <w:tr>
        <w:trPr>
          <w:trHeight w:val="404"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邵永超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日完成回购注销</w:t>
            </w:r>
          </w:p>
        </w:tc>
      </w:tr>
      <w:tr>
        <w:trPr>
          <w:trHeight w:val="102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28"/>
              <w:jc w:val="both"/>
              <w:rPr>
                <w:rFonts w:ascii="宋体" w:hAnsi="宋体" w:cs="宋体" w:eastAsia="宋体" w:hint="default"/>
                <w:sz w:val="18"/>
                <w:szCs w:val="18"/>
              </w:rPr>
            </w:pPr>
            <w:r>
              <w:rPr>
                <w:rFonts w:ascii="宋体" w:hAnsi="宋体" w:cs="宋体" w:eastAsia="宋体" w:hint="default"/>
                <w:sz w:val="18"/>
                <w:szCs w:val="18"/>
              </w:rPr>
              <w:t>陈焕超等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 对象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日完成回购注销</w:t>
            </w:r>
          </w:p>
        </w:tc>
      </w:tr>
      <w:tr>
        <w:trPr>
          <w:trHeight w:val="1027"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28"/>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 </w:t>
            </w:r>
            <w:r>
              <w:rPr>
                <w:rFonts w:ascii="宋体" w:hAnsi="宋体" w:cs="宋体" w:eastAsia="宋体" w:hint="default"/>
                <w:sz w:val="18"/>
                <w:szCs w:val="18"/>
              </w:rPr>
              <w:t>名激励对 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第三个解除限售期股份将予以回购 注销。</w:t>
            </w:r>
          </w:p>
        </w:tc>
      </w:tr>
      <w:tr>
        <w:trPr>
          <w:trHeight w:val="71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47,381,516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11,845,379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35,536,137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任职期间每年减持股份的数量不超 过其所持股份总数的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李继昌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16,812,796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16,812,796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日解除限售并上 市流通</w:t>
            </w:r>
          </w:p>
        </w:tc>
      </w:tr>
      <w:tr>
        <w:trPr>
          <w:trHeight w:val="71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16,812,796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4,203,199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12,609,597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任职期间每年减持股份的数量不超 过其所持股份总数的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王敬之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15,284,360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15,284,360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日解除限售并上 市流通</w:t>
            </w:r>
          </w:p>
        </w:tc>
      </w:tr>
      <w:tr>
        <w:trPr>
          <w:trHeight w:val="71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李巍峰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5,604,266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5,604,266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日解除限售并上 市流通</w:t>
            </w:r>
          </w:p>
        </w:tc>
      </w:tr>
    </w:tbl>
    <w:p>
      <w:pPr>
        <w:spacing w:after="0" w:line="300" w:lineRule="auto"/>
        <w:jc w:val="left"/>
        <w:rPr>
          <w:rFonts w:ascii="宋体" w:hAnsi="宋体" w:cs="宋体" w:eastAsia="宋体" w:hint="default"/>
          <w:sz w:val="18"/>
          <w:szCs w:val="18"/>
        </w:rPr>
        <w:sectPr>
          <w:pgSz w:w="11910" w:h="16840"/>
          <w:pgMar w:header="877" w:footer="980" w:top="1100" w:bottom="1160" w:left="9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888"/>
        <w:gridCol w:w="1277"/>
        <w:gridCol w:w="850"/>
        <w:gridCol w:w="1013"/>
        <w:gridCol w:w="1256"/>
        <w:gridCol w:w="1701"/>
        <w:gridCol w:w="2754"/>
      </w:tblGrid>
      <w:tr>
        <w:trPr>
          <w:trHeight w:val="403"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277,604,347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53,865,000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sz w:val="18"/>
              </w:rPr>
              <w:t>220,725,347</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72" w:right="1021"/>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72" w:right="102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5" w:right="872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30"/>
          <w:szCs w:val="30"/>
        </w:rPr>
      </w:pPr>
    </w:p>
    <w:p>
      <w:pPr>
        <w:pStyle w:val="Heading4"/>
        <w:spacing w:line="240" w:lineRule="auto"/>
        <w:ind w:left="172" w:right="102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5" w:right="872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30"/>
          <w:szCs w:val="30"/>
        </w:rPr>
      </w:pPr>
    </w:p>
    <w:p>
      <w:pPr>
        <w:pStyle w:val="Heading4"/>
        <w:spacing w:line="240" w:lineRule="auto"/>
        <w:ind w:left="172" w:right="102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5" w:right="872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left="172" w:right="1021"/>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72" w:right="102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329.690002pt;margin-top:70.691711pt;width:52.6pt;height:31.2pt;mso-position-horizontal-relative:page;mso-position-vertical-relative:paragraph;z-index:-881776" coordorigin="6594,1414" coordsize="1052,624">
            <v:shape style="position:absolute;left:6594;top:1414;width:1052;height:624" coordorigin="6594,1414" coordsize="1052,624" path="m6594,2038l7645,2038,7645,1414,6594,1414,6594,2038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42,029</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38,164</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1"/>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39"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30.45%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203,760,813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152,820,610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50,940,203</w:t>
            </w:r>
          </w:p>
        </w:tc>
        <w:tc>
          <w:tcPr>
            <w:tcW w:w="1063" w:type="dxa"/>
            <w:tcBorders>
              <w:top w:val="single" w:sz="44" w:space="0" w:color="D2D2D2"/>
              <w:left w:val="single" w:sz="4" w:space="0" w:color="000000"/>
              <w:bottom w:val="single" w:sz="4" w:space="0" w:color="000000"/>
              <w:right w:val="single" w:sz="4" w:space="0" w:color="000000"/>
            </w:tcBorders>
          </w:tcPr>
          <w:p>
            <w:pPr/>
          </w:p>
        </w:tc>
        <w:tc>
          <w:tcPr>
            <w:tcW w:w="1064" w:type="dxa"/>
            <w:tcBorders>
              <w:top w:val="single" w:sz="44" w:space="0" w:color="D2D2D2"/>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47,381,516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35,536,137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11,845,379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35,408,522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-3,300,000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35,408,522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16,812,796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12,609,597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4,203,199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李继昌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16,812,796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16,812,796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15,284,360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15,284,360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11,301,087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-2,800,000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10,575,815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725,272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5,604,266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5,604,266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0.71%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4,728,748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-520,700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3,937,086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2,624,724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6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1192"/>
        <w:gridCol w:w="935"/>
        <w:gridCol w:w="1063"/>
        <w:gridCol w:w="1063"/>
        <w:gridCol w:w="1064"/>
        <w:gridCol w:w="715"/>
        <w:gridCol w:w="211"/>
        <w:gridCol w:w="1069"/>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3,686,040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3,686,040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0" w:hRule="exact"/>
        </w:trPr>
        <w:tc>
          <w:tcPr>
            <w:tcW w:w="23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8"/>
            <w:vMerge w:val="restart"/>
            <w:tcBorders>
              <w:top w:val="single" w:sz="4" w:space="0" w:color="000000"/>
              <w:left w:val="single" w:sz="9" w:space="0" w:color="D2D2D2"/>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、股东闫相宏与股东王静是夫妻关系；</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、股东李新安是股东王晶华的丈夫的妹夫；</w:t>
            </w:r>
          </w:p>
          <w:p>
            <w:pPr>
              <w:pStyle w:val="TableParagraph"/>
              <w:spacing w:line="312" w:lineRule="auto" w:before="10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、股东李继昌与股东王敬芝是夫妻关系，股东李巍屹与股东李巍岩、股东李巍峰为兄弟关 </w:t>
            </w:r>
            <w:r>
              <w:rPr>
                <w:rFonts w:ascii="宋体" w:hAnsi="宋体" w:cs="宋体" w:eastAsia="宋体" w:hint="default"/>
                <w:spacing w:val="-3"/>
                <w:sz w:val="18"/>
                <w:szCs w:val="18"/>
              </w:rPr>
              <w:t>系，股东李继昌与股东李巍屹、股东李巍岩和股东李巍峰为父子关系，股东王敬芝与股东李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巍屹、股东李巍岩和股东李巍峰为母子关系，按照《上市公司收购管理办法》，构成一致行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动人；</w:t>
            </w:r>
          </w:p>
          <w:p>
            <w:pPr>
              <w:pStyle w:val="TableParagraph"/>
              <w:spacing w:line="297" w:lineRule="auto" w:before="104"/>
              <w:ind w:left="23" w:right="2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、除此之外，公司未知其他股东之间是否存在关联关系，也未知其他股东之间是否属于《上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市公司收购管理办法》规定的一致行动人。</w:t>
            </w:r>
          </w:p>
        </w:tc>
      </w:tr>
      <w:tr>
        <w:trPr>
          <w:trHeight w:val="706" w:hRule="exact"/>
        </w:trPr>
        <w:tc>
          <w:tcPr>
            <w:tcW w:w="23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8" w:type="dxa"/>
            <w:gridSpan w:val="8"/>
            <w:vMerge/>
            <w:tcBorders>
              <w:left w:val="single" w:sz="9" w:space="0" w:color="D2D2D2"/>
              <w:right w:val="single" w:sz="4" w:space="0" w:color="000000"/>
            </w:tcBorders>
          </w:tcPr>
          <w:p>
            <w:pPr/>
          </w:p>
        </w:tc>
      </w:tr>
      <w:tr>
        <w:trPr>
          <w:trHeight w:val="1020" w:hRule="exact"/>
        </w:trPr>
        <w:tc>
          <w:tcPr>
            <w:tcW w:w="23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8" w:type="dxa"/>
            <w:gridSpan w:val="8"/>
            <w:vMerge/>
            <w:tcBorders>
              <w:left w:val="single" w:sz="9" w:space="0" w:color="D2D2D2"/>
              <w:bottom w:val="single" w:sz="4" w:space="0" w:color="000000"/>
              <w:right w:val="single" w:sz="4" w:space="0" w:color="000000"/>
            </w:tcBorders>
          </w:tcPr>
          <w:p>
            <w:pPr/>
          </w:p>
        </w:tc>
      </w:tr>
      <w:tr>
        <w:trPr>
          <w:trHeight w:val="40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84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4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6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3" w:type="dxa"/>
            <w:gridSpan w:val="2"/>
            <w:vMerge/>
            <w:tcBorders>
              <w:left w:val="single" w:sz="4" w:space="0" w:color="000000"/>
              <w:bottom w:val="nil" w:sz="6" w:space="0" w:color="auto"/>
              <w:right w:val="single" w:sz="4" w:space="0" w:color="000000"/>
            </w:tcBorders>
            <w:shd w:val="clear" w:color="auto" w:fill="D2D2D2"/>
          </w:tcPr>
          <w:p>
            <w:pPr/>
          </w:p>
        </w:tc>
        <w:tc>
          <w:tcPr>
            <w:tcW w:w="4840" w:type="dxa"/>
            <w:gridSpan w:val="5"/>
            <w:vMerge/>
            <w:tcBorders>
              <w:left w:val="single" w:sz="4" w:space="0" w:color="000000"/>
              <w:bottom w:val="nil" w:sz="6" w:space="0" w:color="auto"/>
              <w:right w:val="single" w:sz="4" w:space="0" w:color="000000"/>
            </w:tcBorders>
            <w:shd w:val="clear" w:color="auto" w:fill="D2D2D2"/>
          </w:tcPr>
          <w:p>
            <w:pPr/>
          </w:p>
        </w:tc>
        <w:tc>
          <w:tcPr>
            <w:tcW w:w="12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84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gridSpan w:val="2"/>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50,940,203</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50,940,203</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35,408,522</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35,408,522</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李继昌</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16,812,796</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16,812,796</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王敬芝</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15,284,360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15,284,360</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11,845,379</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11,845,379</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李巍峰</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5,604,266</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5,604,266</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4,203,199</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4,203,199</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3,686,040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3,686,040</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黄博文</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3,159,242</w:t>
            </w:r>
            <w:r>
              <w:rPr>
                <w:rFonts w:ascii="Times New Roman"/>
                <w:sz w:val="18"/>
              </w:rPr>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3,159,242</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4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2,691,500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2,691,500</w:t>
            </w:r>
          </w:p>
        </w:tc>
      </w:tr>
      <w:tr>
        <w:trPr>
          <w:trHeight w:val="2746"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4"/>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、股东闫相宏与股东王静是夫妻关系；</w:t>
            </w:r>
          </w:p>
          <w:p>
            <w:pPr>
              <w:pStyle w:val="TableParagraph"/>
              <w:spacing w:line="240" w:lineRule="auto" w:before="101"/>
              <w:ind w:left="2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、股东李新安是股东王晶华的丈夫的妹夫；</w:t>
            </w:r>
          </w:p>
          <w:p>
            <w:pPr>
              <w:pStyle w:val="TableParagraph"/>
              <w:spacing w:line="312" w:lineRule="auto" w:before="103"/>
              <w:ind w:left="29"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、股东李继昌与股东王敬芝是夫妻关系，股东李巍屹与股东李巍岩、股东李巍峰为兄弟关 </w:t>
            </w:r>
            <w:r>
              <w:rPr>
                <w:rFonts w:ascii="宋体" w:hAnsi="宋体" w:cs="宋体" w:eastAsia="宋体" w:hint="default"/>
                <w:spacing w:val="-3"/>
                <w:sz w:val="18"/>
                <w:szCs w:val="18"/>
              </w:rPr>
              <w:t>系，股东李继昌与股东李巍屹、股东李巍岩和股东李巍峰为父子关系，股东王敬芝与股东李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巍屹、股东李巍岩和股东李巍峰为母子关系，按照《上市公司收购管理办法》，构成一致行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动人；</w:t>
            </w:r>
          </w:p>
          <w:p>
            <w:pPr>
              <w:pStyle w:val="TableParagraph"/>
              <w:spacing w:line="300" w:lineRule="auto" w:before="101"/>
              <w:ind w:left="29" w:right="2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、除此之外，公司未知其他股东之间是否存在关联关系，也未知其他股东之间是否属于《上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市公司收购管理办法》规定的一致行动人。</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rPr>
          <w:rFonts w:ascii="Times New Roman" w:hAnsi="Times New Roman" w:cs="Times New Roman" w:eastAsia="Times New Roman" w:hint="default"/>
        </w:rPr>
      </w:pPr>
      <w:r>
        <w:rPr/>
        <w:t>公司前 </w:t>
      </w:r>
      <w:r>
        <w:rPr>
          <w:rFonts w:ascii="Times New Roman" w:hAnsi="Times New Roman" w:cs="Times New Roman" w:eastAsia="Times New Roman" w:hint="default"/>
        </w:rPr>
        <w:t>10 </w:t>
      </w:r>
      <w:r>
        <w:rPr>
          <w:spacing w:val="-5"/>
        </w:rPr>
        <w:t>名普通股股东、前 </w:t>
      </w:r>
      <w:r>
        <w:rPr>
          <w:rFonts w:ascii="Times New Roman" w:hAnsi="Times New Roman" w:cs="Times New Roman" w:eastAsia="Times New Roman" w:hint="default"/>
        </w:rPr>
        <w:t>10 </w:t>
      </w:r>
      <w:r>
        <w:rPr>
          <w:spacing w:val="-3"/>
        </w:rPr>
        <w:t>名无限售条件普通股股东在报告期内是否进行约定购回交易：</w:t>
      </w:r>
      <w:r>
        <w:rPr>
          <w:rFonts w:ascii="Times New Roman" w:hAnsi="Times New Roman" w:cs="Times New Roman" w:eastAsia="Times New Roman" w:hint="default"/>
          <w:spacing w:val="-3"/>
        </w:rPr>
        <w:t>□  </w:t>
      </w:r>
      <w:r>
        <w:rPr/>
        <w:t>是</w:t>
      </w:r>
      <w:r>
        <w:rPr>
          <w:spacing w:val="-36"/>
        </w:rPr>
        <w:t> </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2"/>
          <w:szCs w:val="12"/>
        </w:rPr>
      </w:pPr>
    </w:p>
    <w:p>
      <w:pPr>
        <w:pStyle w:val="BodyText"/>
        <w:spacing w:line="240" w:lineRule="auto" w:before="36"/>
        <w:ind w:right="992"/>
        <w:jc w:val="left"/>
      </w:pPr>
      <w:r>
        <w:rPr>
          <w:w w:val="100"/>
        </w:rPr>
        <w:t>否</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left="573" w:right="6375"/>
        <w:jc w:val="left"/>
      </w:pPr>
      <w:r>
        <w:rPr>
          <w:spacing w:val="-2"/>
        </w:rPr>
        <w:t>控股股东性质：自然人控股</w:t>
      </w:r>
      <w:r>
        <w:rPr>
          <w:spacing w:val="-82"/>
        </w:rPr>
        <w:t> </w:t>
      </w:r>
      <w:r>
        <w:rPr>
          <w:spacing w:val="-82"/>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精准信息董事</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宋体" w:hAnsi="宋体" w:cs="宋体" w:eastAsia="宋体" w:hint="default"/>
          <w:sz w:val="4"/>
          <w:szCs w:val="4"/>
        </w:rPr>
      </w:pPr>
    </w:p>
    <w:p>
      <w:pPr>
        <w:pStyle w:val="BodyText"/>
        <w:spacing w:line="417" w:lineRule="auto" w:before="36"/>
        <w:ind w:left="573" w:right="4608"/>
        <w:jc w:val="left"/>
      </w:pPr>
      <w:r>
        <w:rPr/>
        <w:t>控股股东报告期内变更：</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公司报告期控股股东未发生变更。</w:t>
      </w:r>
    </w:p>
    <w:p>
      <w:pPr>
        <w:spacing w:line="240" w:lineRule="auto" w:before="12"/>
        <w:rPr>
          <w:rFonts w:ascii="宋体" w:hAnsi="宋体" w:cs="宋体" w:eastAsia="宋体" w:hint="default"/>
          <w:sz w:val="19"/>
          <w:szCs w:val="19"/>
        </w:rPr>
      </w:pPr>
    </w:p>
    <w:p>
      <w:pPr>
        <w:pStyle w:val="Heading4"/>
        <w:spacing w:line="240" w:lineRule="auto"/>
        <w:ind w:right="992"/>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573" w:right="6375"/>
        <w:jc w:val="left"/>
      </w:pPr>
      <w:r>
        <w:rPr>
          <w:spacing w:val="-2"/>
        </w:rPr>
        <w:t>实际控制人性质：境内自然人</w:t>
      </w:r>
      <w:r>
        <w:rPr>
          <w:spacing w:val="-79"/>
        </w:rPr>
        <w:t> </w:t>
      </w:r>
      <w:r>
        <w:rPr>
          <w:spacing w:val="-79"/>
        </w:rPr>
      </w:r>
      <w:r>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3421"/>
        <w:gridCol w:w="991"/>
        <w:gridCol w:w="2765"/>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王晶华</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黄自伟</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3" w:right="0"/>
              <w:jc w:val="left"/>
              <w:rPr>
                <w:rFonts w:ascii="宋体" w:hAnsi="宋体" w:cs="宋体" w:eastAsia="宋体" w:hint="default"/>
                <w:sz w:val="18"/>
                <w:szCs w:val="18"/>
              </w:rPr>
            </w:pPr>
            <w:r>
              <w:rPr>
                <w:rFonts w:ascii="宋体" w:hAnsi="宋体" w:cs="宋体" w:eastAsia="宋体" w:hint="default"/>
                <w:sz w:val="18"/>
                <w:szCs w:val="18"/>
              </w:rPr>
              <w:t>王晶华担任精准信息董事，黄自伟担任精准信息董事长、总经理</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37"/>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432" w:lineRule="auto" w:before="94"/>
        <w:ind w:left="573" w:right="4608"/>
        <w:jc w:val="left"/>
      </w:pPr>
      <w:r>
        <w:rPr/>
        <w:t>实际控制人报告期内变更：</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公司报告期实际控制人未发生变更。</w:t>
      </w:r>
      <w:r>
        <w:rPr>
          <w:w w:val="100"/>
        </w:rPr>
        <w:t> </w:t>
      </w:r>
      <w:r>
        <w:rPr>
          <w:spacing w:val="-2"/>
        </w:rPr>
        <w:t>公司与实际控制人之间的产权及控制关系的方框图</w:t>
      </w:r>
    </w:p>
    <w:p>
      <w:pPr>
        <w:spacing w:after="0" w:line="432"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2591" w:lineRule="exact"/>
        <w:ind w:left="1125"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904044" cy="164572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904044" cy="1645729"/>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7"/>
        <w:rPr>
          <w:rFonts w:ascii="宋体" w:hAnsi="宋体" w:cs="宋体" w:eastAsia="宋体" w:hint="default"/>
          <w:sz w:val="25"/>
          <w:szCs w:val="25"/>
        </w:rPr>
      </w:pPr>
    </w:p>
    <w:p>
      <w:pPr>
        <w:pStyle w:val="BodyText"/>
        <w:spacing w:line="240" w:lineRule="auto" w:before="36"/>
        <w:ind w:left="573" w:right="992"/>
        <w:jc w:val="left"/>
      </w:pPr>
      <w:r>
        <w:rPr/>
        <w:t>实际控制人通过信托或其他资产管理方式控制公司：</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992"/>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17" w:lineRule="auto" w:before="36"/>
        <w:ind w:left="573" w:right="63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41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992"/>
        <w:jc w:val="left"/>
        <w:rPr>
          <w:b w:val="0"/>
          <w:bCs w:val="0"/>
        </w:rPr>
      </w:pPr>
      <w:bookmarkStart w:name="_bookmark7" w:id="8"/>
      <w:bookmarkEnd w:id="8"/>
      <w:r>
        <w:rPr>
          <w:b w:val="0"/>
          <w:bCs w:val="0"/>
        </w:rPr>
      </w:r>
      <w:r>
        <w:rPr/>
        <w:t>第八节</w:t>
      </w:r>
      <w:r>
        <w:rPr>
          <w:spacing w:val="-5"/>
        </w:rPr>
        <w:t> </w:t>
      </w:r>
      <w:r>
        <w:rPr/>
        <w:t>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17" w:lineRule="auto" w:before="36"/>
        <w:ind w:left="573" w:right="63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报告期公司不存在可转换公司债券。</w:t>
      </w:r>
    </w:p>
    <w:p>
      <w:pPr>
        <w:spacing w:after="0" w:line="41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992"/>
        <w:jc w:val="left"/>
        <w:rPr>
          <w:b w:val="0"/>
          <w:bCs w:val="0"/>
        </w:rPr>
      </w:pPr>
      <w:bookmarkStart w:name="_bookmark8" w:id="9"/>
      <w:bookmarkEnd w:id="9"/>
      <w:r>
        <w:rPr>
          <w:b w:val="0"/>
          <w:bCs w:val="0"/>
        </w:rPr>
      </w:r>
      <w:r>
        <w:rPr/>
        <w:t>第九节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92"/>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425"/>
        <w:gridCol w:w="425"/>
        <w:gridCol w:w="994"/>
        <w:gridCol w:w="994"/>
        <w:gridCol w:w="1133"/>
        <w:gridCol w:w="850"/>
        <w:gridCol w:w="852"/>
        <w:gridCol w:w="709"/>
        <w:gridCol w:w="1066"/>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3"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黄自伟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3,417,472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3,417,472</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王晶华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203,760,813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203,760,813</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黄屹峰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李巍屹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47,381,516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47,381,516</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李巍岩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16,812,796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16,812,796</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王同孝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马训波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王道银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孙兆华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375,997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375,997</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曹洪伟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崔保航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田斌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5,249,448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4,728,748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425"/>
        <w:gridCol w:w="425"/>
        <w:gridCol w:w="994"/>
        <w:gridCol w:w="994"/>
        <w:gridCol w:w="1133"/>
        <w:gridCol w:w="850"/>
        <w:gridCol w:w="852"/>
        <w:gridCol w:w="709"/>
        <w:gridCol w:w="1066"/>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277,478,042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565,700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276,912,342</w:t>
            </w:r>
          </w:p>
        </w:tc>
      </w:tr>
    </w:tbl>
    <w:p>
      <w:pPr>
        <w:spacing w:line="240" w:lineRule="auto" w:before="1"/>
        <w:rPr>
          <w:rFonts w:ascii="宋体" w:hAnsi="宋体" w:cs="宋体" w:eastAsia="宋体" w:hint="default"/>
          <w:b/>
          <w:bCs/>
          <w:sz w:val="18"/>
          <w:szCs w:val="18"/>
        </w:rPr>
      </w:pPr>
    </w:p>
    <w:p>
      <w:pPr>
        <w:pStyle w:val="Heading2"/>
        <w:spacing w:line="240" w:lineRule="auto" w:before="26"/>
        <w:ind w:right="992"/>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三、任职情况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公司现任董事、监事、高级管理人员专业背景、主要工作经历以及目前在公司的主要职责</w:t>
      </w:r>
    </w:p>
    <w:p>
      <w:pPr>
        <w:spacing w:line="240" w:lineRule="auto" w:before="9"/>
        <w:rPr>
          <w:rFonts w:ascii="宋体" w:hAnsi="宋体" w:cs="宋体" w:eastAsia="宋体" w:hint="default"/>
          <w:sz w:val="17"/>
          <w:szCs w:val="17"/>
        </w:rPr>
      </w:pPr>
    </w:p>
    <w:p>
      <w:pPr>
        <w:pStyle w:val="BodyText"/>
        <w:spacing w:line="386" w:lineRule="auto" w:before="0"/>
        <w:ind w:left="573" w:right="992"/>
        <w:jc w:val="left"/>
      </w:pPr>
      <w:r>
        <w:rPr>
          <w:rFonts w:ascii="Times New Roman" w:hAnsi="Times New Roman" w:cs="Times New Roman" w:eastAsia="Times New Roman" w:hint="default"/>
        </w:rPr>
        <w:t>1</w:t>
      </w:r>
      <w:r>
        <w:rPr/>
        <w:t>、董事</w:t>
      </w:r>
      <w:r>
        <w:rPr>
          <w:w w:val="100"/>
        </w:rPr>
        <w:t> </w:t>
      </w:r>
      <w:r>
        <w:rPr>
          <w:spacing w:val="-2"/>
        </w:rPr>
        <w:t>黄自伟，男，</w:t>
      </w:r>
      <w:r>
        <w:rPr>
          <w:rFonts w:ascii="Times New Roman" w:hAnsi="Times New Roman" w:cs="Times New Roman" w:eastAsia="Times New Roman" w:hint="default"/>
          <w:spacing w:val="-2"/>
        </w:rPr>
        <w:t>1946</w:t>
      </w:r>
      <w:r>
        <w:rPr>
          <w:spacing w:val="-2"/>
        </w:rPr>
        <w:t>年</w:t>
      </w:r>
      <w:r>
        <w:rPr>
          <w:rFonts w:ascii="Times New Roman" w:hAnsi="Times New Roman" w:cs="Times New Roman" w:eastAsia="Times New Roman" w:hint="default"/>
          <w:spacing w:val="-2"/>
        </w:rPr>
        <w:t>10</w:t>
      </w:r>
      <w:r>
        <w:rPr>
          <w:spacing w:val="-2"/>
        </w:rPr>
        <w:t>月出生，中国国籍，硕士，教授级高级工程师。未有任何国家和地区的永久境</w:t>
      </w:r>
    </w:p>
    <w:p>
      <w:pPr>
        <w:pStyle w:val="BodyText"/>
        <w:spacing w:line="386" w:lineRule="auto" w:before="35"/>
        <w:ind w:right="992"/>
        <w:jc w:val="left"/>
      </w:pPr>
      <w:r>
        <w:rPr>
          <w:spacing w:val="-2"/>
        </w:rPr>
        <w:t>外居留权。</w:t>
      </w:r>
      <w:r>
        <w:rPr>
          <w:rFonts w:ascii="Times New Roman" w:hAnsi="Times New Roman" w:cs="Times New Roman" w:eastAsia="Times New Roman" w:hint="default"/>
          <w:spacing w:val="-2"/>
        </w:rPr>
        <w:t>1982</w:t>
      </w:r>
      <w:r>
        <w:rPr>
          <w:spacing w:val="-2"/>
        </w:rPr>
        <w:t>年毕业于同济大学。</w:t>
      </w:r>
      <w:r>
        <w:rPr>
          <w:rFonts w:ascii="Times New Roman" w:hAnsi="Times New Roman" w:cs="Times New Roman" w:eastAsia="Times New Roman" w:hint="default"/>
          <w:spacing w:val="-2"/>
        </w:rPr>
        <w:t>1982</w:t>
      </w:r>
      <w:r>
        <w:rPr>
          <w:spacing w:val="-2"/>
        </w:rPr>
        <w:t>年起在山东矿业学院矿压研究所任助教，</w:t>
      </w:r>
      <w:r>
        <w:rPr>
          <w:rFonts w:ascii="Times New Roman" w:hAnsi="Times New Roman" w:cs="Times New Roman" w:eastAsia="Times New Roman" w:hint="default"/>
          <w:spacing w:val="-2"/>
        </w:rPr>
        <w:t>1987</w:t>
      </w:r>
      <w:r>
        <w:rPr>
          <w:spacing w:val="-2"/>
        </w:rPr>
        <w:t>年起历任山东矿业</w:t>
      </w:r>
      <w:r>
        <w:rPr>
          <w:spacing w:val="-34"/>
        </w:rPr>
        <w:t> </w:t>
      </w:r>
      <w:r>
        <w:rPr>
          <w:spacing w:val="-34"/>
        </w:rPr>
      </w:r>
      <w:r>
        <w:rPr/>
        <w:t>学院矿压研究所工程师兼副所长、山东矿业学院智能研究所所长兼高级工程师。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月任精</w:t>
      </w:r>
      <w:r>
        <w:rPr>
          <w:spacing w:val="-3"/>
          <w:w w:val="100"/>
        </w:rPr>
        <w:t> </w:t>
      </w:r>
      <w:r>
        <w:rPr/>
        <w:t>准信息总经理，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月至今任精准信息董事、董事长，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月至今任精准信息总经理。</w:t>
      </w:r>
    </w:p>
    <w:p>
      <w:pPr>
        <w:pStyle w:val="BodyText"/>
        <w:spacing w:line="386" w:lineRule="auto" w:before="35"/>
        <w:ind w:right="992" w:firstLine="420"/>
        <w:jc w:val="left"/>
      </w:pPr>
      <w:r>
        <w:rPr/>
        <w:t>王晶华，女，</w:t>
      </w:r>
      <w:r>
        <w:rPr>
          <w:rFonts w:ascii="Times New Roman" w:hAnsi="Times New Roman" w:cs="Times New Roman" w:eastAsia="Times New Roman" w:hint="default"/>
        </w:rPr>
        <w:t>1948</w:t>
      </w:r>
      <w:r>
        <w:rPr/>
        <w:t>年</w:t>
      </w:r>
      <w:r>
        <w:rPr>
          <w:rFonts w:ascii="Times New Roman" w:hAnsi="Times New Roman" w:cs="Times New Roman" w:eastAsia="Times New Roman" w:hint="default"/>
        </w:rPr>
        <w:t>2</w:t>
      </w:r>
      <w:r>
        <w:rPr/>
        <w:t>月出生，中国国籍，大专，会计师职称。未有任何国家和地区的永久境外居留</w:t>
      </w:r>
      <w:r>
        <w:rPr>
          <w:w w:val="100"/>
        </w:rPr>
        <w:t> </w:t>
      </w:r>
      <w:r>
        <w:rPr/>
        <w:t>权。</w:t>
      </w:r>
      <w:r>
        <w:rPr>
          <w:rFonts w:ascii="Times New Roman" w:hAnsi="Times New Roman" w:cs="Times New Roman" w:eastAsia="Times New Roman" w:hint="default"/>
        </w:rPr>
        <w:t>1987</w:t>
      </w:r>
      <w:r>
        <w:rPr/>
        <w:t>年毕业于山东经济学院。</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6</w:t>
      </w:r>
      <w:r>
        <w:rPr/>
        <w:t>月起任山东矿业学院财务处会计、山东矿业科技开发公司财务</w:t>
      </w:r>
      <w:r>
        <w:rPr>
          <w:w w:val="100"/>
        </w:rPr>
        <w:t> </w:t>
      </w:r>
      <w:r>
        <w:rPr>
          <w:spacing w:val="-6"/>
        </w:rPr>
        <w:t>科长，</w:t>
      </w:r>
      <w:r>
        <w:rPr>
          <w:rFonts w:ascii="Times New Roman" w:hAnsi="Times New Roman" w:cs="Times New Roman" w:eastAsia="Times New Roman" w:hint="default"/>
          <w:spacing w:val="-6"/>
        </w:rPr>
        <w:t>1994</w:t>
      </w:r>
      <w:r>
        <w:rPr>
          <w:spacing w:val="-6"/>
        </w:rPr>
        <w:t>年</w:t>
      </w:r>
      <w:r>
        <w:rPr>
          <w:rFonts w:ascii="Times New Roman" w:hAnsi="Times New Roman" w:cs="Times New Roman" w:eastAsia="Times New Roman" w:hint="default"/>
          <w:spacing w:val="-6"/>
        </w:rPr>
        <w:t>7</w:t>
      </w:r>
      <w:r>
        <w:rPr>
          <w:spacing w:val="-6"/>
        </w:rPr>
        <w:t>月起任泰安市煤矿供应中心经理，</w:t>
      </w:r>
      <w:r>
        <w:rPr>
          <w:rFonts w:ascii="Times New Roman" w:hAnsi="Times New Roman" w:cs="Times New Roman" w:eastAsia="Times New Roman" w:hint="default"/>
          <w:spacing w:val="-6"/>
        </w:rPr>
        <w:t>2003</w:t>
      </w:r>
      <w:r>
        <w:rPr>
          <w:spacing w:val="-6"/>
        </w:rPr>
        <w:t>年</w:t>
      </w:r>
      <w:r>
        <w:rPr>
          <w:rFonts w:ascii="Times New Roman" w:hAnsi="Times New Roman" w:cs="Times New Roman" w:eastAsia="Times New Roman" w:hint="default"/>
          <w:spacing w:val="-6"/>
        </w:rPr>
        <w:t>2</w:t>
      </w:r>
      <w:r>
        <w:rPr>
          <w:spacing w:val="-6"/>
        </w:rPr>
        <w:t>月起在泰安尤洛卡有限公司工作任执行董事。</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1</w:t>
      </w:r>
      <w:r>
        <w:rPr/>
        <w:t>月起历任精准信息董事、副总经理、董事会秘书，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月至今任精准信息董事。</w:t>
      </w:r>
    </w:p>
    <w:p>
      <w:pPr>
        <w:pStyle w:val="BodyText"/>
        <w:spacing w:line="408" w:lineRule="auto" w:before="36"/>
        <w:ind w:right="992" w:firstLine="420"/>
        <w:jc w:val="left"/>
      </w:pPr>
      <w:r>
        <w:rPr>
          <w:spacing w:val="-2"/>
        </w:rPr>
        <w:t>黄屹峰，男，</w:t>
      </w:r>
      <w:r>
        <w:rPr>
          <w:rFonts w:ascii="宋体" w:hAnsi="宋体" w:cs="宋体" w:eastAsia="宋体" w:hint="default"/>
          <w:spacing w:val="-2"/>
        </w:rPr>
        <w:t>1973</w:t>
      </w:r>
      <w:r>
        <w:rPr>
          <w:spacing w:val="-2"/>
        </w:rPr>
        <w:t>年</w:t>
      </w:r>
      <w:r>
        <w:rPr>
          <w:rFonts w:ascii="宋体" w:hAnsi="宋体" w:cs="宋体" w:eastAsia="宋体" w:hint="default"/>
          <w:spacing w:val="-2"/>
        </w:rPr>
        <w:t>9</w:t>
      </w:r>
      <w:r>
        <w:rPr>
          <w:spacing w:val="-2"/>
        </w:rPr>
        <w:t>月出生，中国国籍，硕士研究生学历。未有任何国家和地区的永久境外居留权。</w:t>
      </w:r>
      <w:r>
        <w:rPr>
          <w:w w:val="100"/>
        </w:rPr>
        <w:t> </w:t>
      </w:r>
      <w:r>
        <w:rPr>
          <w:rFonts w:ascii="宋体" w:hAnsi="宋体" w:cs="宋体" w:eastAsia="宋体" w:hint="default"/>
        </w:rPr>
        <w:t>2010</w:t>
      </w:r>
      <w:r>
        <w:rPr/>
        <w:t>年毕业于山东科技大学安全技术及工程专业。</w:t>
      </w:r>
      <w:r>
        <w:rPr>
          <w:rFonts w:ascii="宋体" w:hAnsi="宋体" w:cs="宋体" w:eastAsia="宋体" w:hint="default"/>
        </w:rPr>
        <w:t>2008</w:t>
      </w:r>
      <w:r>
        <w:rPr/>
        <w:t>年</w:t>
      </w:r>
      <w:r>
        <w:rPr>
          <w:rFonts w:ascii="宋体" w:hAnsi="宋体" w:cs="宋体" w:eastAsia="宋体" w:hint="default"/>
        </w:rPr>
        <w:t>2</w:t>
      </w:r>
      <w:r>
        <w:rPr/>
        <w:t>月至</w:t>
      </w:r>
      <w:r>
        <w:rPr>
          <w:rFonts w:ascii="宋体" w:hAnsi="宋体" w:cs="宋体" w:eastAsia="宋体" w:hint="default"/>
        </w:rPr>
        <w:t>2015</w:t>
      </w:r>
      <w:r>
        <w:rPr/>
        <w:t>年</w:t>
      </w:r>
      <w:r>
        <w:rPr>
          <w:rFonts w:ascii="宋体" w:hAnsi="宋体" w:cs="宋体" w:eastAsia="宋体" w:hint="default"/>
        </w:rPr>
        <w:t>1</w:t>
      </w:r>
      <w:r>
        <w:rPr/>
        <w:t>月任精准信息副总经理，</w:t>
      </w:r>
      <w:r>
        <w:rPr>
          <w:rFonts w:ascii="宋体" w:hAnsi="宋体" w:cs="宋体" w:eastAsia="宋体" w:hint="default"/>
        </w:rPr>
        <w:t>2011</w:t>
      </w:r>
      <w:r>
        <w:rPr/>
        <w:t>年</w:t>
      </w:r>
      <w:r>
        <w:rPr>
          <w:rFonts w:ascii="宋体" w:hAnsi="宋体" w:cs="宋体" w:eastAsia="宋体" w:hint="default"/>
        </w:rPr>
        <w:t>3</w:t>
      </w:r>
      <w:r>
        <w:rPr>
          <w:rFonts w:ascii="宋体" w:hAnsi="宋体" w:cs="宋体" w:eastAsia="宋体" w:hint="default"/>
          <w:w w:val="100"/>
        </w:rPr>
        <w:t> </w:t>
      </w:r>
      <w:r>
        <w:rPr/>
        <w:t>月至今任精准信息董事，</w:t>
      </w:r>
      <w:r>
        <w:rPr>
          <w:rFonts w:ascii="宋体" w:hAnsi="宋体" w:cs="宋体" w:eastAsia="宋体" w:hint="default"/>
        </w:rPr>
        <w:t>2015</w:t>
      </w:r>
      <w:r>
        <w:rPr/>
        <w:t>年</w:t>
      </w:r>
      <w:r>
        <w:rPr>
          <w:rFonts w:ascii="宋体" w:hAnsi="宋体" w:cs="宋体" w:eastAsia="宋体" w:hint="default"/>
        </w:rPr>
        <w:t>8</w:t>
      </w:r>
      <w:r>
        <w:rPr/>
        <w:t>月至今任精准信息副董事长。</w:t>
      </w:r>
    </w:p>
    <w:p>
      <w:pPr>
        <w:pStyle w:val="BodyText"/>
        <w:spacing w:line="386" w:lineRule="auto"/>
        <w:ind w:right="992" w:firstLine="420"/>
        <w:jc w:val="left"/>
      </w:pPr>
      <w:r>
        <w:rPr/>
        <w:t>李巍屹，男，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5</w:t>
      </w:r>
      <w:r>
        <w:rPr/>
        <w:t>月出生，中国国籍，大学学历。未有任何国家和地区的永久境外居留权。</w:t>
      </w:r>
      <w:r>
        <w:rPr>
          <w:rFonts w:ascii="Times New Roman" w:hAnsi="Times New Roman" w:cs="Times New Roman" w:eastAsia="Times New Roman" w:hint="default"/>
        </w:rPr>
        <w:t>1998</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月任长春师凯科技产业有限责任公司副总经理，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月至今任长春师凯科技产业有限</w:t>
      </w:r>
      <w:r>
        <w:rPr>
          <w:spacing w:val="-35"/>
        </w:rPr>
        <w:t> </w:t>
      </w:r>
      <w:r>
        <w:rPr>
          <w:spacing w:val="-35"/>
        </w:rPr>
      </w:r>
      <w:r>
        <w:rPr>
          <w:spacing w:val="-2"/>
        </w:rPr>
        <w:t>责任公司总经理，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月至今任吉林省吉商智龙文化交流有限公司执行董事，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月至今任吉林省</w:t>
      </w:r>
      <w:r>
        <w:rPr>
          <w:spacing w:val="-37"/>
        </w:rPr>
        <w:t> </w:t>
      </w:r>
      <w:r>
        <w:rPr>
          <w:spacing w:val="-37"/>
        </w:rPr>
      </w:r>
      <w:r>
        <w:rPr>
          <w:spacing w:val="-2"/>
        </w:rPr>
        <w:t>玖壹咖啡餐饮管理有限公司、吉林省玖壹创业投资管理有限公司监事，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月至今任吉林省浦生泰生</w:t>
      </w:r>
      <w:r>
        <w:rPr>
          <w:spacing w:val="-37"/>
        </w:rPr>
        <w:t> </w:t>
      </w:r>
      <w:r>
        <w:rPr>
          <w:spacing w:val="-37"/>
        </w:rPr>
      </w:r>
      <w:r>
        <w:rPr/>
        <w:t>物技术有限责任公司董事。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月至今任精准信息董事，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月至今任精准信息副总经理。</w:t>
      </w:r>
    </w:p>
    <w:p>
      <w:pPr>
        <w:pStyle w:val="BodyText"/>
        <w:spacing w:line="386" w:lineRule="auto" w:before="36"/>
        <w:ind w:right="1210" w:firstLine="420"/>
        <w:jc w:val="both"/>
      </w:pPr>
      <w:r>
        <w:rPr>
          <w:spacing w:val="-2"/>
        </w:rPr>
        <w:t>李巍岩，男，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2</w:t>
      </w:r>
      <w:r>
        <w:rPr>
          <w:spacing w:val="-2"/>
        </w:rPr>
        <w:t>月出生，中国国籍，大学学历。未有任何国家和地区的永久境外居留权。</w:t>
      </w:r>
      <w:r>
        <w:rPr>
          <w:rFonts w:ascii="Times New Roman" w:hAnsi="Times New Roman" w:cs="Times New Roman" w:eastAsia="Times New Roman" w:hint="default"/>
          <w:spacing w:val="-2"/>
        </w:rPr>
        <w:t>1997</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w:t>
      </w:r>
      <w:r>
        <w:rPr>
          <w:spacing w:val="-2"/>
        </w:rPr>
        <w:t>月至今任长春师凯科技产业有限责任公司副总经理，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月至今任吉林省浦生泰生物技术有限责</w:t>
      </w:r>
      <w:r>
        <w:rPr>
          <w:spacing w:val="-17"/>
        </w:rPr>
        <w:t> </w:t>
      </w:r>
      <w:r>
        <w:rPr>
          <w:spacing w:val="-17"/>
        </w:rPr>
      </w:r>
      <w:r>
        <w:rPr/>
        <w:t>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月至今任精准信息董事。</w:t>
      </w:r>
    </w:p>
    <w:p>
      <w:pPr>
        <w:pStyle w:val="BodyText"/>
        <w:spacing w:line="386" w:lineRule="auto" w:before="35"/>
        <w:ind w:right="992" w:firstLine="420"/>
        <w:jc w:val="left"/>
      </w:pPr>
      <w:r>
        <w:rPr/>
        <w:t>赵志刚，男，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月出生，中国国籍，中专学历（财务会计专业）。未有任何国家和地区的永久</w:t>
      </w:r>
      <w:r>
        <w:rPr>
          <w:w w:val="100"/>
        </w:rPr>
        <w:t> </w:t>
      </w:r>
      <w:r>
        <w:rPr>
          <w:spacing w:val="-4"/>
        </w:rPr>
        <w:t>境外居留权。</w:t>
      </w:r>
      <w:r>
        <w:rPr>
          <w:rFonts w:ascii="Times New Roman" w:hAnsi="Times New Roman" w:cs="Times New Roman" w:eastAsia="Times New Roman" w:hint="default"/>
          <w:spacing w:val="-4"/>
        </w:rPr>
        <w:t>1991</w:t>
      </w:r>
      <w:r>
        <w:rPr>
          <w:spacing w:val="-4"/>
        </w:rPr>
        <w:t>年起任泰安华侨大厦职员，</w:t>
      </w:r>
      <w:r>
        <w:rPr>
          <w:rFonts w:ascii="Times New Roman" w:hAnsi="Times New Roman" w:cs="Times New Roman" w:eastAsia="Times New Roman" w:hint="default"/>
          <w:spacing w:val="-4"/>
        </w:rPr>
        <w:t>1994</w:t>
      </w:r>
      <w:r>
        <w:rPr>
          <w:spacing w:val="-4"/>
        </w:rPr>
        <w:t>年起任泰安市经济委员会（泰安华能煤矿设备供应中心）</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1129"/>
        <w:jc w:val="both"/>
      </w:pPr>
      <w:r>
        <w:rPr>
          <w:spacing w:val="-6"/>
        </w:rPr>
        <w:t>职员，</w:t>
      </w:r>
      <w:r>
        <w:rPr>
          <w:rFonts w:ascii="Times New Roman" w:hAnsi="Times New Roman" w:cs="Times New Roman" w:eastAsia="Times New Roman" w:hint="default"/>
          <w:spacing w:val="-6"/>
        </w:rPr>
        <w:t>1999</w:t>
      </w:r>
      <w:r>
        <w:rPr>
          <w:spacing w:val="-6"/>
        </w:rPr>
        <w:t>年起任深圳欣航油漆厂（台资）销售主管，</w:t>
      </w:r>
      <w:r>
        <w:rPr>
          <w:rFonts w:ascii="Times New Roman" w:hAnsi="Times New Roman" w:cs="Times New Roman" w:eastAsia="Times New Roman" w:hint="default"/>
          <w:spacing w:val="-6"/>
        </w:rPr>
        <w:t>2003</w:t>
      </w:r>
      <w:r>
        <w:rPr>
          <w:spacing w:val="-6"/>
        </w:rPr>
        <w:t>年起任上海中卡智能卡有限公司销售经理。</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6"/>
        </w:rPr>
        <w:t>年起任精准信息采购员、物资供应部部长、总经理助理，</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8</w:t>
      </w:r>
      <w:r>
        <w:rPr>
          <w:spacing w:val="-6"/>
        </w:rPr>
        <w:t>月至</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w:t>
      </w:r>
      <w:r>
        <w:rPr>
          <w:spacing w:val="-6"/>
        </w:rPr>
        <w:t>月任精准信息副总经理，</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26"/>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月任精准信息总经理，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月至今任精准信息副总经理，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月至今任精准信息董</w:t>
      </w:r>
      <w:r>
        <w:rPr>
          <w:spacing w:val="-32"/>
        </w:rPr>
        <w:t> </w:t>
      </w:r>
      <w:r>
        <w:rPr>
          <w:spacing w:val="-32"/>
        </w:rPr>
      </w:r>
      <w:r>
        <w:rPr/>
        <w:t>事。同时</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月至今任尤洛卡（上海）国际贸易有限公司监事。</w:t>
      </w:r>
    </w:p>
    <w:p>
      <w:pPr>
        <w:pStyle w:val="BodyText"/>
        <w:spacing w:line="386" w:lineRule="auto" w:before="35"/>
        <w:ind w:right="992" w:firstLine="420"/>
        <w:jc w:val="left"/>
      </w:pPr>
      <w:r>
        <w:rPr/>
        <w:t>王同孝，男，</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3</w:t>
      </w:r>
      <w:r>
        <w:rPr/>
        <w:t>月出生，中国国籍，研究生学历，教授，博士生导师。未有任何国家和地区的</w:t>
      </w:r>
      <w:r>
        <w:rPr>
          <w:w w:val="100"/>
        </w:rPr>
        <w:t> </w:t>
      </w:r>
      <w:r>
        <w:rPr/>
        <w:t>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10</w:t>
      </w:r>
      <w:r>
        <w:rPr/>
        <w:t>月历任山东矿业学院教师、地科系团总支书记、电气工程系党总</w:t>
      </w:r>
      <w:r>
        <w:rPr>
          <w:w w:val="100"/>
        </w:rPr>
        <w:t> </w:t>
      </w:r>
      <w:r>
        <w:rPr/>
        <w:t>支副书记、院长办公室副主任，</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月在山东矿业学院科技开发公司、科技产业总公司</w:t>
      </w:r>
      <w:r>
        <w:rPr>
          <w:w w:val="100"/>
        </w:rPr>
        <w:t> </w:t>
      </w:r>
      <w:r>
        <w:rPr/>
        <w:t>历任产业处经理、总经理、处长、书记等职。</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04</w:t>
      </w:r>
      <w:r>
        <w:rPr/>
        <w:t>月任山东科技大学财务处处长、总会</w:t>
      </w:r>
      <w:r>
        <w:rPr>
          <w:w w:val="100"/>
        </w:rPr>
        <w:t> </w:t>
      </w:r>
      <w:r>
        <w:rPr>
          <w:spacing w:val="-2"/>
        </w:rPr>
        <w:t>计师。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月任澳柯玛股份有限公司独立董事，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月任精准信息独立董</w:t>
      </w:r>
      <w:r>
        <w:rPr>
          <w:spacing w:val="-27"/>
        </w:rPr>
        <w:t> </w:t>
      </w:r>
      <w:r>
        <w:rPr>
          <w:spacing w:val="-27"/>
        </w:rPr>
      </w:r>
      <w:r>
        <w:rPr/>
        <w:t>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月至今任中国教育会计学会副会长职务。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月至今任精准信息独立董事。</w:t>
      </w:r>
    </w:p>
    <w:p>
      <w:pPr>
        <w:pStyle w:val="BodyText"/>
        <w:spacing w:line="386" w:lineRule="auto" w:before="35"/>
        <w:ind w:right="992" w:firstLine="420"/>
        <w:jc w:val="left"/>
      </w:pPr>
      <w:r>
        <w:rPr/>
        <w:t>江霞，女，</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7</w:t>
      </w:r>
      <w:r>
        <w:rPr/>
        <w:t>月出生，中国国籍，本科学历，工程硕士学位，副教授，硕士生导师，证券相关</w:t>
      </w:r>
      <w:r>
        <w:rPr>
          <w:w w:val="100"/>
        </w:rPr>
        <w:t> </w:t>
      </w:r>
      <w:r>
        <w:rPr/>
        <w:t>业务资格注册会计师、注册税务师。未有任何国家和地区的永久境外居留权。</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月任教于山东省财</w:t>
      </w:r>
      <w:r>
        <w:rPr>
          <w:w w:val="100"/>
        </w:rPr>
        <w:t> </w:t>
      </w:r>
      <w:r>
        <w:rPr>
          <w:spacing w:val="-2"/>
        </w:rPr>
        <w:t>政学校；</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月至今任教于山东科技大学，从事会计学教学；同时，</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月兼职山东</w:t>
      </w:r>
      <w:r>
        <w:rPr>
          <w:spacing w:val="-33"/>
        </w:rPr>
        <w:t> </w:t>
      </w:r>
      <w:r>
        <w:rPr>
          <w:spacing w:val="-33"/>
        </w:rPr>
      </w:r>
      <w:r>
        <w:rPr/>
        <w:t>泰山会计师事务所；</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月任泰安鲁润股份有限公司独立董事。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月至今任精准信</w:t>
      </w:r>
      <w:r>
        <w:rPr>
          <w:w w:val="100"/>
        </w:rPr>
        <w:t> </w:t>
      </w:r>
      <w:r>
        <w:rPr/>
        <w:t>息独立董事。</w:t>
      </w:r>
    </w:p>
    <w:p>
      <w:pPr>
        <w:pStyle w:val="BodyText"/>
        <w:spacing w:line="386" w:lineRule="auto" w:before="65"/>
        <w:ind w:right="992" w:firstLine="420"/>
        <w:jc w:val="left"/>
      </w:pPr>
      <w:r>
        <w:rPr/>
        <w:t>马训波，男，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w:t>
      </w:r>
      <w:r>
        <w:rPr/>
        <w:t>月出生，中国国籍，大专学历。未有任何国家和地区的永久境外居留权。</w:t>
      </w:r>
      <w:r>
        <w:rPr>
          <w:rFonts w:ascii="Times New Roman" w:hAnsi="Times New Roman" w:cs="Times New Roman" w:eastAsia="Times New Roman" w:hint="default"/>
        </w:rPr>
        <w:t>1988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7</w:t>
      </w:r>
      <w:r>
        <w:rPr/>
        <w:t>月毕业于山东煤炭教育学院物理专业，</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10</w:t>
      </w:r>
      <w:r>
        <w:rPr/>
        <w:t>月毕业于山东大学法律专业。</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w w:val="100"/>
        </w:rPr>
        <w:t> </w:t>
      </w:r>
      <w:r>
        <w:rPr>
          <w:spacing w:val="-2"/>
        </w:rPr>
        <w:t>任山东华林律师事务所律师、合伙人，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月任山东纵观律师事务所副主任、合伙人、执</w:t>
      </w:r>
      <w:r>
        <w:rPr>
          <w:spacing w:val="-38"/>
        </w:rPr>
        <w:t> </w:t>
      </w:r>
      <w:r>
        <w:rPr>
          <w:spacing w:val="-38"/>
        </w:rPr>
      </w:r>
      <w:r>
        <w:rPr/>
        <w:t>业律师，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月至今任山东成顺律师事务所主任、合伙人。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月至今任精准信息独立董事。</w:t>
      </w:r>
    </w:p>
    <w:p>
      <w:pPr>
        <w:pStyle w:val="BodyText"/>
        <w:spacing w:line="386" w:lineRule="auto" w:before="35"/>
        <w:ind w:left="573" w:right="99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、监事</w:t>
      </w:r>
      <w:r>
        <w:rPr>
          <w:w w:val="100"/>
        </w:rPr>
        <w:t> </w:t>
      </w:r>
      <w:r>
        <w:rPr>
          <w:spacing w:val="-2"/>
        </w:rPr>
        <w:t>王道银，男，</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8</w:t>
      </w:r>
      <w:r>
        <w:rPr>
          <w:spacing w:val="-2"/>
        </w:rPr>
        <w:t>月出生，中国国籍，初中学历。未有任何国家和地区的永久境外居留权。</w:t>
      </w:r>
      <w:r>
        <w:rPr>
          <w:rFonts w:ascii="Times New Roman" w:hAnsi="Times New Roman" w:cs="Times New Roman" w:eastAsia="Times New Roman" w:hint="default"/>
          <w:spacing w:val="-2"/>
        </w:rPr>
        <w:t>1994</w:t>
      </w:r>
    </w:p>
    <w:p>
      <w:pPr>
        <w:pStyle w:val="BodyText"/>
        <w:spacing w:line="386" w:lineRule="auto" w:before="35"/>
        <w:ind w:right="992"/>
        <w:jc w:val="left"/>
      </w:pPr>
      <w:r>
        <w:rPr>
          <w:spacing w:val="-2"/>
        </w:rPr>
        <w:t>年至</w:t>
      </w:r>
      <w:r>
        <w:rPr>
          <w:rFonts w:ascii="Times New Roman" w:hAnsi="Times New Roman" w:cs="Times New Roman" w:eastAsia="Times New Roman" w:hint="default"/>
          <w:spacing w:val="-2"/>
        </w:rPr>
        <w:t>1996</w:t>
      </w:r>
      <w:r>
        <w:rPr>
          <w:spacing w:val="-2"/>
        </w:rPr>
        <w:t>年在青岛学习室内外装修，</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1998</w:t>
      </w:r>
      <w:r>
        <w:rPr>
          <w:spacing w:val="-2"/>
        </w:rPr>
        <w:t>年任个体装修公司员工，</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1999</w:t>
      </w:r>
      <w:r>
        <w:rPr>
          <w:spacing w:val="-2"/>
        </w:rPr>
        <w:t>年任个体公司员</w:t>
      </w:r>
      <w:r>
        <w:rPr>
          <w:spacing w:val="-29"/>
        </w:rPr>
        <w:t> </w:t>
      </w:r>
      <w:r>
        <w:rPr>
          <w:spacing w:val="-29"/>
        </w:rPr>
      </w:r>
      <w:r>
        <w:rPr>
          <w:spacing w:val="-2"/>
        </w:rPr>
        <w:t>工，</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2002</w:t>
      </w:r>
      <w:r>
        <w:rPr>
          <w:spacing w:val="-2"/>
        </w:rPr>
        <w:t>年任海南省晶桐生物有限公司机修工，</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2004</w:t>
      </w:r>
      <w:r>
        <w:rPr>
          <w:spacing w:val="-2"/>
        </w:rPr>
        <w:t>年任新城冷食厂司机。</w:t>
      </w:r>
      <w:r>
        <w:rPr>
          <w:rFonts w:ascii="Times New Roman" w:hAnsi="Times New Roman" w:cs="Times New Roman" w:eastAsia="Times New Roman" w:hint="default"/>
          <w:spacing w:val="-2"/>
        </w:rPr>
        <w:t>2005</w:t>
      </w:r>
      <w:r>
        <w:rPr>
          <w:spacing w:val="-2"/>
        </w:rPr>
        <w:t>年至今</w:t>
      </w:r>
      <w:r>
        <w:rPr>
          <w:spacing w:val="-29"/>
        </w:rPr>
        <w:t> </w:t>
      </w:r>
      <w:r>
        <w:rPr/>
        <w:t>任精准信息供应部副部长，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月任精准信息职工代表监事，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月至今任精准信息</w:t>
      </w:r>
      <w:r>
        <w:rPr>
          <w:w w:val="100"/>
        </w:rPr>
        <w:t> </w:t>
      </w:r>
      <w:r>
        <w:rPr/>
        <w:t>股东代表监事、监事会主席。</w:t>
      </w:r>
    </w:p>
    <w:p>
      <w:pPr>
        <w:pStyle w:val="BodyText"/>
        <w:spacing w:line="386" w:lineRule="auto" w:before="65"/>
        <w:ind w:right="992" w:firstLine="420"/>
        <w:jc w:val="left"/>
      </w:pPr>
      <w:r>
        <w:rPr/>
        <w:t>孙兆华，女，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2</w:t>
      </w:r>
      <w:r>
        <w:rPr/>
        <w:t>月出生，中国国籍，中专学历。未有任何国家和地区的永久境外居留权。</w:t>
      </w:r>
      <w:r>
        <w:rPr>
          <w:rFonts w:ascii="Times New Roman" w:hAnsi="Times New Roman" w:cs="Times New Roman" w:eastAsia="Times New Roman" w:hint="default"/>
        </w:rPr>
        <w:t>1996</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4</w:t>
      </w:r>
      <w:r>
        <w:rPr>
          <w:spacing w:val="-2"/>
        </w:rPr>
        <w:t>月起任山东矿业学院职能工程研究所职工，</w:t>
      </w:r>
      <w:r>
        <w:rPr>
          <w:rFonts w:ascii="Times New Roman" w:hAnsi="Times New Roman" w:cs="Times New Roman" w:eastAsia="Times New Roman" w:hint="default"/>
          <w:spacing w:val="-2"/>
        </w:rPr>
        <w:t>1999</w:t>
      </w:r>
      <w:r>
        <w:rPr>
          <w:spacing w:val="-2"/>
        </w:rPr>
        <w:t>年至今任精准信息电子仪表车间主任，</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w:t>
      </w:r>
      <w:r>
        <w:rPr>
          <w:spacing w:val="-37"/>
        </w:rPr>
        <w:t> </w:t>
      </w:r>
      <w:r>
        <w:rPr>
          <w:spacing w:val="-37"/>
        </w:rPr>
      </w:r>
      <w:r>
        <w:rPr/>
        <w:t>任精准信息股东代表监事。</w:t>
      </w:r>
    </w:p>
    <w:p>
      <w:pPr>
        <w:pStyle w:val="BodyText"/>
        <w:spacing w:line="386" w:lineRule="auto" w:before="65"/>
        <w:ind w:right="992" w:firstLine="420"/>
        <w:jc w:val="left"/>
      </w:pPr>
      <w:r>
        <w:rPr>
          <w:spacing w:val="-2"/>
        </w:rPr>
        <w:t>李霞，女，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w:t>
      </w:r>
      <w:r>
        <w:rPr>
          <w:spacing w:val="-2"/>
        </w:rPr>
        <w:t>月出生，中国国籍，大专学历。未有任何国家和地区的永久境外居留权。</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w w:val="100"/>
        </w:rPr>
        <w:t> </w:t>
      </w:r>
      <w:r>
        <w:rPr>
          <w:spacing w:val="-2"/>
        </w:rPr>
        <w:t>月毕业于济宁学院。</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月在泰安市岱岳区祝阳二中执教。</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月至今任精准信息内</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3" w:right="5311" w:hanging="421"/>
        <w:jc w:val="left"/>
      </w:pPr>
      <w:r>
        <w:rPr>
          <w:spacing w:val="-2"/>
        </w:rPr>
        <w:t>审部职员，</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月至今任精准信息职工代表监事。</w:t>
      </w:r>
      <w:r>
        <w:rPr>
          <w:spacing w:val="-58"/>
        </w:rPr>
        <w:t> </w:t>
      </w:r>
      <w:r>
        <w:rPr>
          <w:spacing w:val="-58"/>
        </w:rPr>
      </w:r>
      <w:r>
        <w:rPr>
          <w:rFonts w:ascii="Times New Roman" w:hAnsi="Times New Roman" w:cs="Times New Roman" w:eastAsia="Times New Roman" w:hint="default"/>
        </w:rPr>
        <w:t>3</w:t>
      </w:r>
      <w:r>
        <w:rPr/>
        <w:t>、高级管理人员</w:t>
      </w:r>
      <w:r>
        <w:rPr>
          <w:w w:val="100"/>
        </w:rPr>
        <w:t> </w:t>
      </w:r>
      <w:r>
        <w:rPr/>
        <w:t>黄自伟，总经理，参见本节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r>
        <w:rPr>
          <w:w w:val="100"/>
        </w:rPr>
        <w:t> </w:t>
      </w:r>
      <w:r>
        <w:rPr/>
        <w:t>李巍屹，副总经理，参见本节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r>
        <w:rPr>
          <w:w w:val="100"/>
        </w:rPr>
        <w:t> </w:t>
      </w:r>
      <w:r>
        <w:rPr/>
        <w:t>赵志刚，副总经理，参见本节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386" w:lineRule="auto" w:before="35"/>
        <w:ind w:right="1126" w:firstLine="420"/>
        <w:jc w:val="both"/>
      </w:pPr>
      <w:r>
        <w:rPr>
          <w:spacing w:val="-2"/>
        </w:rPr>
        <w:t>曹洪伟，男，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11</w:t>
      </w:r>
      <w:r>
        <w:rPr>
          <w:spacing w:val="-2"/>
        </w:rPr>
        <w:t>月出生，中国国籍，研究生学历，高级经济师。未有任何国家和地区的永久境</w:t>
      </w:r>
      <w:r>
        <w:rPr>
          <w:w w:val="100"/>
        </w:rPr>
        <w:t> </w:t>
      </w:r>
      <w:r>
        <w:rPr>
          <w:spacing w:val="-2"/>
        </w:rPr>
        <w:t>外居留权。</w:t>
      </w:r>
      <w:r>
        <w:rPr>
          <w:rFonts w:ascii="Times New Roman" w:hAnsi="Times New Roman" w:cs="Times New Roman" w:eastAsia="Times New Roman" w:hint="default"/>
          <w:spacing w:val="-2"/>
        </w:rPr>
        <w:t>2001</w:t>
      </w:r>
      <w:r>
        <w:rPr>
          <w:spacing w:val="-2"/>
        </w:rPr>
        <w:t>年毕业于河南大学政治经济学专业在职研究生。</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spacing w:val="-2"/>
        </w:rPr>
        <w:t>年任泰安市中小企业局外经</w:t>
      </w:r>
      <w:r>
        <w:rPr>
          <w:spacing w:val="-35"/>
        </w:rPr>
        <w:t> </w:t>
      </w:r>
      <w:r>
        <w:rPr>
          <w:spacing w:val="-35"/>
        </w:rPr>
      </w:r>
      <w:r>
        <w:rPr>
          <w:spacing w:val="-2"/>
        </w:rPr>
        <w:t>贸业务科长，</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年任中国石化山东泰山石油股份有限公司证券投资策划科长，</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2008</w:t>
      </w:r>
      <w:r>
        <w:rPr>
          <w:spacing w:val="-2"/>
        </w:rPr>
        <w:t>年</w:t>
      </w:r>
      <w:r>
        <w:rPr>
          <w:spacing w:val="-30"/>
        </w:rPr>
        <w:t> </w:t>
      </w:r>
      <w:r>
        <w:rPr>
          <w:spacing w:val="-2"/>
        </w:rPr>
        <w:t>任泰安鲁润股份有限公司董办主任、企发部部长、副总经理，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2010</w:t>
      </w:r>
      <w:r>
        <w:rPr>
          <w:spacing w:val="-2"/>
        </w:rPr>
        <w:t>年任山东兴盛矿业股份有限公</w:t>
      </w:r>
      <w:r>
        <w:rPr>
          <w:spacing w:val="-36"/>
        </w:rPr>
        <w:t> </w:t>
      </w:r>
      <w:r>
        <w:rPr>
          <w:spacing w:val="-36"/>
        </w:rPr>
      </w:r>
      <w:r>
        <w:rPr>
          <w:spacing w:val="-2"/>
        </w:rPr>
        <w:t>司常务副总、董事会秘书。</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月任精准信息证券事务代表，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月至今任精准信息</w:t>
      </w:r>
      <w:r>
        <w:rPr>
          <w:spacing w:val="-32"/>
        </w:rPr>
        <w:t> </w:t>
      </w:r>
      <w:r>
        <w:rPr>
          <w:spacing w:val="-32"/>
        </w:rPr>
      </w:r>
      <w:r>
        <w:rPr/>
        <w:t>副总经理兼董事会秘书。曹洪伟先生已经取得董事会秘书资格证书。</w:t>
      </w:r>
    </w:p>
    <w:p>
      <w:pPr>
        <w:pStyle w:val="BodyText"/>
        <w:spacing w:line="386" w:lineRule="auto" w:before="65"/>
        <w:ind w:right="1210" w:firstLine="420"/>
        <w:jc w:val="both"/>
      </w:pPr>
      <w:r>
        <w:rPr>
          <w:spacing w:val="-2"/>
        </w:rPr>
        <w:t>崔保航，男，</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9</w:t>
      </w:r>
      <w:r>
        <w:rPr>
          <w:spacing w:val="-2"/>
        </w:rPr>
        <w:t>月出生，中国国籍，本科学历，会计师职称。未有任何国家和地区的永久境外</w:t>
      </w:r>
      <w:r>
        <w:rPr>
          <w:w w:val="100"/>
        </w:rPr>
        <w:t> </w:t>
      </w:r>
      <w:r>
        <w:rPr>
          <w:spacing w:val="-2"/>
        </w:rPr>
        <w:t>居留权。</w:t>
      </w:r>
      <w:r>
        <w:rPr>
          <w:rFonts w:ascii="Times New Roman" w:hAnsi="Times New Roman" w:cs="Times New Roman" w:eastAsia="Times New Roman" w:hint="default"/>
          <w:spacing w:val="-2"/>
        </w:rPr>
        <w:t>2006</w:t>
      </w:r>
      <w:r>
        <w:rPr>
          <w:spacing w:val="-2"/>
        </w:rPr>
        <w:t>年毕业于山东科技大学。</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月起在精准信息任会计，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月起任精准信息财务部</w:t>
      </w:r>
      <w:r>
        <w:rPr>
          <w:spacing w:val="-10"/>
        </w:rPr>
        <w:t> </w:t>
      </w:r>
      <w:r>
        <w:rPr>
          <w:spacing w:val="-10"/>
        </w:rPr>
      </w:r>
      <w:r>
        <w:rPr/>
        <w:t>副部长，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月至今任精准信息财务总监。</w:t>
      </w:r>
    </w:p>
    <w:p>
      <w:pPr>
        <w:pStyle w:val="BodyText"/>
        <w:spacing w:line="386" w:lineRule="auto" w:before="35"/>
        <w:ind w:right="992" w:firstLine="420"/>
        <w:jc w:val="left"/>
      </w:pPr>
      <w:r>
        <w:rPr>
          <w:spacing w:val="-4"/>
        </w:rPr>
        <w:t>田斌，男，</w:t>
      </w:r>
      <w:r>
        <w:rPr>
          <w:rFonts w:ascii="Times New Roman" w:hAnsi="Times New Roman" w:cs="Times New Roman" w:eastAsia="Times New Roman" w:hint="default"/>
          <w:spacing w:val="-4"/>
        </w:rPr>
        <w:t>1973</w:t>
      </w:r>
      <w:r>
        <w:rPr>
          <w:spacing w:val="-4"/>
        </w:rPr>
        <w:t>年</w:t>
      </w:r>
      <w:r>
        <w:rPr>
          <w:rFonts w:ascii="Times New Roman" w:hAnsi="Times New Roman" w:cs="Times New Roman" w:eastAsia="Times New Roman" w:hint="default"/>
          <w:spacing w:val="-4"/>
        </w:rPr>
        <w:t>9</w:t>
      </w:r>
      <w:r>
        <w:rPr>
          <w:spacing w:val="-4"/>
        </w:rPr>
        <w:t>月出生，中国国籍，硕士学历，长江商学院</w:t>
      </w:r>
      <w:r>
        <w:rPr>
          <w:rFonts w:ascii="Times New Roman" w:hAnsi="Times New Roman" w:cs="Times New Roman" w:eastAsia="Times New Roman" w:hint="default"/>
          <w:spacing w:val="-4"/>
        </w:rPr>
        <w:t>EMBA</w:t>
      </w:r>
      <w:r>
        <w:rPr>
          <w:spacing w:val="-4"/>
        </w:rPr>
        <w:t>。未有任何国家和地区的永久境</w:t>
      </w:r>
      <w:r>
        <w:rPr>
          <w:w w:val="100"/>
        </w:rPr>
        <w:t> </w:t>
      </w:r>
      <w:r>
        <w:rPr>
          <w:spacing w:val="-2"/>
        </w:rPr>
        <w:t>外居留权。</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月任中兴通讯股份有限公司运营商销售北京分公司总经理、渠道销售北方</w:t>
      </w:r>
      <w:r>
        <w:rPr>
          <w:spacing w:val="-36"/>
        </w:rPr>
        <w:t> </w:t>
      </w:r>
      <w:r>
        <w:rPr>
          <w:spacing w:val="-36"/>
        </w:rPr>
      </w:r>
      <w:r>
        <w:rPr/>
        <w:t>区区总等职务，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月任北京富华宇祺信息技术有限公司董事长，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月至今任北京</w:t>
      </w:r>
      <w:r>
        <w:rPr>
          <w:w w:val="100"/>
        </w:rPr>
        <w:t> </w:t>
      </w:r>
      <w:r>
        <w:rPr/>
        <w:t>富华宇祺信息技术有限公司董事、总经理。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月至今任精准信息副总经理。</w:t>
      </w:r>
    </w:p>
    <w:p>
      <w:pPr>
        <w:pStyle w:val="BodyText"/>
        <w:spacing w:line="240" w:lineRule="auto" w:before="76"/>
        <w:ind w:left="573" w:right="992"/>
        <w:jc w:val="left"/>
      </w:pPr>
      <w:r>
        <w:rPr/>
        <w:t>在股东单位任职情况：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6"/>
        <w:rPr>
          <w:rFonts w:ascii="宋体" w:hAnsi="宋体" w:cs="宋体" w:eastAsia="宋体" w:hint="default"/>
          <w:sz w:val="16"/>
          <w:szCs w:val="16"/>
        </w:rPr>
      </w:pPr>
    </w:p>
    <w:p>
      <w:pPr>
        <w:pStyle w:val="BodyText"/>
        <w:spacing w:line="240" w:lineRule="auto" w:before="0"/>
        <w:ind w:left="135" w:right="1110"/>
        <w:jc w:val="center"/>
      </w:pPr>
      <w:r>
        <w:rPr/>
        <w:t>在其他单位任职情况</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852"/>
        <w:gridCol w:w="3682"/>
        <w:gridCol w:w="1421"/>
        <w:gridCol w:w="1702"/>
        <w:gridCol w:w="709"/>
        <w:gridCol w:w="1346"/>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尤洛卡（山东）矿业科技有限公司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西安鲁信股权投资管理有限公司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尤洛卡（广东）精准信息工程技术研究院有限 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852"/>
        <w:gridCol w:w="3682"/>
        <w:gridCol w:w="1421"/>
        <w:gridCol w:w="1702"/>
        <w:gridCol w:w="709"/>
        <w:gridCol w:w="1346"/>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吉林省浦生泰生物技术有限责任公司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吉林省吉商智龙文化交流有限公司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吉林省玖壹咖啡餐饮管理有限公司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吉林省玖壹创业投资管理有限公司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吉林省浦生泰生物技术有限责任公司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山东成顺律师事务所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西安鲁信股权投资管理有限公司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8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5"/>
          <w:szCs w:val="5"/>
        </w:rPr>
      </w:pPr>
    </w:p>
    <w:p>
      <w:pPr>
        <w:pStyle w:val="BodyText"/>
        <w:spacing w:line="386" w:lineRule="auto" w:before="36"/>
        <w:ind w:right="992" w:firstLine="420"/>
        <w:jc w:val="left"/>
      </w:pPr>
      <w:r>
        <w:rPr/>
        <w:t>公司现任及报告期内离任董事、监事和高级管理人员近三年证券监管机构处罚的情况：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w:t>
      </w:r>
      <w:r>
        <w:rPr>
          <w:w w:val="100"/>
        </w:rPr>
        <w:t> </w:t>
      </w:r>
      <w:r>
        <w:rPr/>
        <w:t>适用</w:t>
      </w:r>
    </w:p>
    <w:p>
      <w:pPr>
        <w:spacing w:line="240" w:lineRule="auto" w:before="12"/>
        <w:rPr>
          <w:rFonts w:ascii="宋体" w:hAnsi="宋体" w:cs="宋体" w:eastAsia="宋体" w:hint="default"/>
          <w:sz w:val="19"/>
          <w:szCs w:val="19"/>
        </w:rPr>
      </w:pPr>
    </w:p>
    <w:p>
      <w:pPr>
        <w:pStyle w:val="Heading2"/>
        <w:spacing w:line="240" w:lineRule="auto"/>
        <w:ind w:right="992"/>
        <w:jc w:val="left"/>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444" w:lineRule="auto" w:before="0"/>
        <w:ind w:left="573" w:right="992"/>
        <w:jc w:val="left"/>
      </w:pPr>
      <w:r>
        <w:rPr/>
        <w:t>董事、监事、高级管理人员报酬的决策程序、确定依据、实际支付情况</w:t>
      </w:r>
      <w:r>
        <w:rPr>
          <w:w w:val="100"/>
        </w:rPr>
        <w:t> </w:t>
      </w:r>
      <w:r>
        <w:rPr>
          <w:spacing w:val="-2"/>
        </w:rPr>
        <w:t>董事、监事和高级管理人员报酬的决策程序：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日，第三届董事会</w:t>
      </w:r>
      <w:r>
        <w:rPr>
          <w:rFonts w:ascii="Times New Roman" w:hAnsi="Times New Roman" w:cs="Times New Roman" w:eastAsia="Times New Roman" w:hint="default"/>
          <w:spacing w:val="-2"/>
        </w:rPr>
        <w:t>2017</w:t>
      </w:r>
      <w:r>
        <w:rPr>
          <w:spacing w:val="-2"/>
        </w:rPr>
        <w:t>年第二次会议审议</w:t>
      </w:r>
    </w:p>
    <w:p>
      <w:pPr>
        <w:pStyle w:val="BodyText"/>
        <w:spacing w:line="270" w:lineRule="exact" w:before="0"/>
        <w:ind w:right="992"/>
        <w:jc w:val="left"/>
      </w:pPr>
      <w:r>
        <w:rPr/>
        <w:t>通过了《关于公司第四届董事会成员薪酬的议案》、第三届监事会</w:t>
      </w:r>
      <w:r>
        <w:rPr>
          <w:rFonts w:ascii="Times New Roman" w:hAnsi="Times New Roman" w:cs="Times New Roman" w:eastAsia="Times New Roman" w:hint="default"/>
        </w:rPr>
        <w:t>2017</w:t>
      </w:r>
      <w:r>
        <w:rPr/>
        <w:t>年第二次会议审议通过了《关于公</w:t>
      </w:r>
    </w:p>
    <w:p>
      <w:pPr>
        <w:pStyle w:val="BodyText"/>
        <w:spacing w:line="386" w:lineRule="auto" w:before="177"/>
        <w:ind w:left="573" w:right="992" w:hanging="421"/>
        <w:jc w:val="left"/>
      </w:pPr>
      <w:r>
        <w:rPr>
          <w:spacing w:val="-2"/>
        </w:rPr>
        <w:t>司第四届监事会成员薪酬的议案》，上述两项议案经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日召开的</w:t>
      </w:r>
      <w:r>
        <w:rPr>
          <w:rFonts w:ascii="Times New Roman" w:hAnsi="Times New Roman" w:cs="Times New Roman" w:eastAsia="Times New Roman" w:hint="default"/>
          <w:spacing w:val="-2"/>
        </w:rPr>
        <w:t>2016</w:t>
      </w:r>
      <w:r>
        <w:rPr>
          <w:spacing w:val="-2"/>
        </w:rPr>
        <w:t>年年度股东大会审议通过。</w:t>
      </w:r>
      <w:r>
        <w:rPr>
          <w:spacing w:val="-36"/>
        </w:rPr>
        <w:t> </w:t>
      </w:r>
      <w:r>
        <w:rPr>
          <w:spacing w:val="-36"/>
        </w:rPr>
      </w:r>
      <w:r>
        <w:rPr>
          <w:spacing w:val="-2"/>
        </w:rPr>
        <w:t>董事、监事和高级管理人员报酬确定依据：董事、监事和高级管理人员的报酬按照公司董事会《薪酬</w:t>
      </w:r>
    </w:p>
    <w:p>
      <w:pPr>
        <w:pStyle w:val="BodyText"/>
        <w:spacing w:line="408" w:lineRule="auto" w:before="65"/>
        <w:ind w:left="573" w:right="992" w:hanging="421"/>
        <w:jc w:val="left"/>
      </w:pPr>
      <w:r>
        <w:rPr>
          <w:spacing w:val="-2"/>
        </w:rPr>
        <w:t>与考核委员会议事规则》等规定，结合其经营绩效、工作能力、岗位职责等考核确定并发放。</w:t>
      </w:r>
      <w:r>
        <w:rPr>
          <w:spacing w:val="-28"/>
        </w:rPr>
        <w:t> </w:t>
      </w:r>
      <w:r>
        <w:rPr>
          <w:spacing w:val="-28"/>
        </w:rPr>
      </w:r>
      <w:r>
        <w:rPr/>
        <w:t>董事、监事和高级管理人员报酬的实际支付情况：</w:t>
      </w:r>
      <w:r>
        <w:rPr>
          <w:rFonts w:ascii="Times New Roman" w:hAnsi="Times New Roman" w:cs="Times New Roman" w:eastAsia="Times New Roman" w:hint="default"/>
        </w:rPr>
        <w:t>2019</w:t>
      </w:r>
      <w:r>
        <w:rPr/>
        <w:t>年实际支付</w:t>
      </w:r>
      <w:r>
        <w:rPr>
          <w:rFonts w:ascii="Times New Roman" w:hAnsi="Times New Roman" w:cs="Times New Roman" w:eastAsia="Times New Roman" w:hint="default"/>
        </w:rPr>
        <w:t>350.55</w:t>
      </w:r>
      <w:r>
        <w:rPr/>
        <w:t>万元。</w:t>
      </w:r>
    </w:p>
    <w:p>
      <w:pPr>
        <w:pStyle w:val="BodyText"/>
        <w:spacing w:line="240" w:lineRule="auto" w:before="55"/>
        <w:ind w:left="135" w:right="1111"/>
        <w:jc w:val="center"/>
      </w:pPr>
      <w:r>
        <w:rPr/>
        <w:t>公司报告期内董事、监事和高级管理人员报酬情况</w:t>
      </w:r>
    </w:p>
    <w:p>
      <w:pPr>
        <w:spacing w:before="17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274"/>
        <w:gridCol w:w="1136"/>
        <w:gridCol w:w="1025"/>
        <w:gridCol w:w="1366"/>
        <w:gridCol w:w="136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274"/>
        <w:gridCol w:w="1136"/>
        <w:gridCol w:w="1025"/>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52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2" w:right="0"/>
              <w:jc w:val="left"/>
              <w:rPr>
                <w:rFonts w:ascii="Times New Roman" w:hAnsi="Times New Roman" w:cs="Times New Roman" w:eastAsia="Times New Roman" w:hint="default"/>
                <w:sz w:val="18"/>
                <w:szCs w:val="18"/>
              </w:rPr>
            </w:pPr>
            <w:r>
              <w:rPr>
                <w:rFonts w:ascii="Times New Roman"/>
                <w:sz w:val="18"/>
              </w:rPr>
              <w:t>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66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2" w:right="0"/>
              <w:jc w:val="left"/>
              <w:rPr>
                <w:rFonts w:ascii="Times New Roman" w:hAnsi="Times New Roman" w:cs="Times New Roman" w:eastAsia="Times New Roman" w:hint="default"/>
                <w:sz w:val="18"/>
                <w:szCs w:val="18"/>
              </w:rPr>
            </w:pPr>
            <w:r>
              <w:rPr>
                <w:rFonts w:ascii="Times New Roman"/>
                <w:sz w:val="18"/>
              </w:rPr>
              <w:t>54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51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2" w:right="0"/>
              <w:jc w:val="left"/>
              <w:rPr>
                <w:rFonts w:ascii="Times New Roman" w:hAnsi="Times New Roman" w:cs="Times New Roman" w:eastAsia="Times New Roman" w:hint="default"/>
                <w:sz w:val="18"/>
                <w:szCs w:val="18"/>
              </w:rPr>
            </w:pPr>
            <w:r>
              <w:rPr>
                <w:rFonts w:ascii="Times New Roman"/>
                <w:sz w:val="18"/>
              </w:rPr>
              <w:t>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43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2" w:right="0"/>
              <w:jc w:val="left"/>
              <w:rPr>
                <w:rFonts w:ascii="Times New Roman" w:hAnsi="Times New Roman" w:cs="Times New Roman" w:eastAsia="Times New Roman" w:hint="default"/>
                <w:sz w:val="18"/>
                <w:szCs w:val="18"/>
              </w:rPr>
            </w:pPr>
            <w:r>
              <w:rPr>
                <w:rFonts w:ascii="Times New Roman"/>
                <w:sz w:val="18"/>
              </w:rPr>
              <w:t>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52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2" w:right="0"/>
              <w:jc w:val="left"/>
              <w:rPr>
                <w:rFonts w:ascii="Times New Roman" w:hAnsi="Times New Roman" w:cs="Times New Roman" w:eastAsia="Times New Roman" w:hint="default"/>
                <w:sz w:val="18"/>
                <w:szCs w:val="18"/>
              </w:rPr>
            </w:pPr>
            <w:r>
              <w:rPr>
                <w:rFonts w:ascii="Times New Roman"/>
                <w:sz w:val="18"/>
              </w:rPr>
              <w:t>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73" w:right="0"/>
              <w:jc w:val="lef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01" w:right="0"/>
              <w:jc w:val="lef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pacing w:val="-1"/>
                <w:sz w:val="18"/>
              </w:rPr>
              <w:t>350.55</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left="2344" w:right="992"/>
        <w:jc w:val="left"/>
      </w:pPr>
      <w:r>
        <w:rPr/>
        <w:t>公司董事、高级管理人员报告期内被授予的股权激励情况</w:t>
      </w:r>
    </w:p>
    <w:p>
      <w:pPr>
        <w:spacing w:line="240" w:lineRule="auto" w:before="0"/>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135" w:right="1735" w:firstLine="0"/>
        <w:jc w:val="center"/>
        <w:rPr>
          <w:rFonts w:ascii="宋体" w:hAnsi="宋体" w:cs="宋体" w:eastAsia="宋体" w:hint="default"/>
          <w:sz w:val="18"/>
          <w:szCs w:val="18"/>
        </w:rPr>
      </w:pPr>
      <w:r>
        <w:rPr/>
        <w:pict>
          <v:shape style="position:absolute;margin-left:56.400002pt;margin-top:-47.528278pt;width:479.05pt;height:163.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1560"/>
                    <w:gridCol w:w="709"/>
                    <w:gridCol w:w="710"/>
                    <w:gridCol w:w="850"/>
                    <w:gridCol w:w="66"/>
                    <w:gridCol w:w="611"/>
                    <w:gridCol w:w="872"/>
                    <w:gridCol w:w="869"/>
                    <w:gridCol w:w="871"/>
                    <w:gridCol w:w="869"/>
                    <w:gridCol w:w="871"/>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7"/>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9" w:firstLine="3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4"/>
                            <w:sz w:val="18"/>
                            <w:szCs w:val="18"/>
                          </w:rPr>
                          <w:t>格（元</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股</w:t>
                        </w:r>
                      </w:p>
                    </w:tc>
                    <w:tc>
                      <w:tcPr>
                        <w:tcW w:w="66" w:type="dxa"/>
                        <w:tcBorders>
                          <w:top w:val="single" w:sz="4" w:space="0" w:color="000000"/>
                          <w:left w:val="single" w:sz="4" w:space="0" w:color="000000"/>
                          <w:bottom w:val="single" w:sz="4" w:space="0" w:color="000000"/>
                          <w:right w:val="nil" w:sz="6" w:space="0" w:color="auto"/>
                        </w:tcBorders>
                        <w:shd w:val="clear" w:color="auto" w:fill="D2D2D2"/>
                      </w:tcPr>
                      <w:p>
                        <w:pPr/>
                      </w:p>
                    </w:tc>
                    <w:tc>
                      <w:tcPr>
                        <w:tcW w:w="6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3" w:right="60"/>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92" w:right="125"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77" w:type="dxa"/>
                        <w:gridSpan w:val="2"/>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81"/>
                          <w:jc w:val="left"/>
                          <w:rPr>
                            <w:rFonts w:ascii="宋体" w:hAnsi="宋体" w:cs="宋体" w:eastAsia="宋体" w:hint="default"/>
                            <w:sz w:val="18"/>
                            <w:szCs w:val="18"/>
                          </w:rPr>
                        </w:pPr>
                        <w:r>
                          <w:rPr>
                            <w:rFonts w:ascii="宋体" w:hAnsi="宋体" w:cs="宋体" w:eastAsia="宋体" w:hint="default"/>
                            <w:sz w:val="18"/>
                            <w:szCs w:val="18"/>
                          </w:rPr>
                          <w:t>副总经理、董事会 秘书</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77" w:type="dxa"/>
                        <w:gridSpan w:val="2"/>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77" w:type="dxa"/>
                        <w:gridSpan w:val="2"/>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26"/>
        <w:ind w:right="992"/>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505</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505</w:t>
            </w:r>
          </w:p>
        </w:tc>
      </w:tr>
    </w:tbl>
    <w:p>
      <w:pPr>
        <w:spacing w:line="240" w:lineRule="auto" w:before="3"/>
        <w:rPr>
          <w:rFonts w:ascii="宋体" w:hAnsi="宋体" w:cs="宋体" w:eastAsia="宋体" w:hint="default"/>
          <w:b/>
          <w:bCs/>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92" w:firstLine="420"/>
        <w:jc w:val="left"/>
      </w:pPr>
      <w:r>
        <w:rPr>
          <w:spacing w:val="-2"/>
        </w:rPr>
        <w:t>公司根据同行业薪酬情况，结合市场调研结果设定合理的薪酬方案。薪酬方案兼顾竞争性和公平性，</w:t>
      </w:r>
      <w:r>
        <w:rPr>
          <w:w w:val="100"/>
        </w:rPr>
        <w:t> </w:t>
      </w:r>
      <w:r>
        <w:rPr/>
        <w:t>针对不同岗位制订了不同的绩效考核方案，并将员工工作目标与个人业绩表现以及公司业绩有效结合起</w:t>
      </w:r>
      <w:r>
        <w:rPr>
          <w:w w:val="100"/>
        </w:rPr>
        <w:t> </w:t>
      </w:r>
      <w:r>
        <w:rPr>
          <w:spacing w:val="-2"/>
        </w:rPr>
        <w:t>来，在强化员工激励考核作用的同时，充分激发员工的积极性和创造性，使公司整体的薪酬水平在行业内</w:t>
      </w:r>
      <w:r>
        <w:rPr>
          <w:spacing w:val="-43"/>
        </w:rPr>
        <w:t> </w:t>
      </w:r>
      <w:r>
        <w:rPr>
          <w:spacing w:val="-43"/>
        </w:rPr>
      </w:r>
      <w:r>
        <w:rPr/>
        <w:t>保持足够竞争力，形成吸引人才、留住人才的机制，最终实现员工与公司共同发展的目标。</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公司建立了完善的培训体系，打造学习型、创新型企业，以持续保持公司的核心竞争力。公司每年制</w:t>
      </w:r>
      <w:r>
        <w:rPr>
          <w:w w:val="100"/>
        </w:rPr>
        <w:t> </w:t>
      </w:r>
      <w:r>
        <w:rPr>
          <w:spacing w:val="-2"/>
        </w:rPr>
        <w:t>定科学可行的年度培训计划，并积极寻求各种有效的培训资源，保证员工有充分的学习和成长机会，提升</w:t>
      </w:r>
      <w:r>
        <w:rPr>
          <w:spacing w:val="-42"/>
        </w:rPr>
        <w:t> </w:t>
      </w:r>
      <w:r>
        <w:rPr>
          <w:spacing w:val="-42"/>
        </w:rPr>
      </w:r>
      <w:r>
        <w:rPr/>
        <w:t>员工专业技能与素质，推动建设规模化、结构化、专业化、层次化的高素质人才梯队。</w:t>
      </w:r>
    </w:p>
    <w:p>
      <w:pPr>
        <w:pStyle w:val="BodyText"/>
        <w:spacing w:line="408" w:lineRule="auto"/>
        <w:ind w:right="1126" w:firstLine="420"/>
        <w:jc w:val="both"/>
      </w:pPr>
      <w:r>
        <w:rPr>
          <w:spacing w:val="-2"/>
        </w:rPr>
        <w:t>公司培训方式包括内训、拓展等，培训内容包括入职培训、技能培训、素质培训等。公司针对不同的</w:t>
      </w:r>
      <w:r>
        <w:rPr>
          <w:w w:val="100"/>
        </w:rPr>
        <w:t> </w:t>
      </w:r>
      <w:r>
        <w:rPr>
          <w:spacing w:val="-2"/>
        </w:rPr>
        <w:t>岗位群体做出有针对性的培训计划，将人员分成综合管理类、生产质量类、财务类、销售类四大类，有针</w:t>
      </w:r>
      <w:r>
        <w:rPr>
          <w:spacing w:val="-43"/>
        </w:rPr>
        <w:t> </w:t>
      </w:r>
      <w:r>
        <w:rPr>
          <w:spacing w:val="-43"/>
        </w:rPr>
      </w:r>
      <w:r>
        <w:rPr>
          <w:spacing w:val="-2"/>
        </w:rPr>
        <w:t>对性地制定并安排适合的培训方式及内容。公司同专业技术院校合作培养专业技术人才，拓展公司人才培</w:t>
      </w:r>
      <w:r>
        <w:rPr>
          <w:spacing w:val="-43"/>
        </w:rPr>
        <w:t> </w:t>
      </w:r>
      <w:r>
        <w:rPr>
          <w:spacing w:val="-43"/>
        </w:rPr>
      </w:r>
      <w:r>
        <w:rPr/>
        <w:t>养通道，积极提升人才结构。</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111"/>
        <w:jc w:val="center"/>
        <w:rPr>
          <w:b w:val="0"/>
          <w:bCs w:val="0"/>
        </w:rPr>
      </w:pPr>
      <w:bookmarkStart w:name="_bookmark9" w:id="10"/>
      <w:bookmarkEnd w:id="10"/>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7"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板股票上市规则》、《深圳证券交易所创业板上市公司规范运作指引》和其它相关法律、法规、规范性文</w:t>
      </w:r>
      <w:r>
        <w:rPr>
          <w:spacing w:val="-42"/>
        </w:rPr>
        <w:t> </w:t>
      </w:r>
      <w:r>
        <w:rPr>
          <w:spacing w:val="-42"/>
        </w:rPr>
      </w:r>
      <w:r>
        <w:rPr>
          <w:spacing w:val="-2"/>
        </w:rPr>
        <w:t>件的要求，不断完善公司法人治理结构，建立健全公司内部控制制度，促进公司规范运作，提高公司治理</w:t>
      </w:r>
      <w:r>
        <w:rPr>
          <w:spacing w:val="-50"/>
        </w:rPr>
        <w:t> </w:t>
      </w:r>
      <w:r>
        <w:rPr>
          <w:spacing w:val="-50"/>
        </w:rPr>
      </w:r>
      <w:r>
        <w:rPr>
          <w:spacing w:val="-2"/>
        </w:rPr>
        <w:t>水平。截至报告期末，公司治理的实际状况符合中国证监会、深圳证券交易所等发布的法律、法规和规范</w:t>
      </w:r>
      <w:r>
        <w:rPr>
          <w:spacing w:val="-47"/>
        </w:rPr>
        <w:t> </w:t>
      </w:r>
      <w:r>
        <w:rPr>
          <w:spacing w:val="-47"/>
        </w:rPr>
      </w:r>
      <w:r>
        <w:rPr/>
        <w:t>性文件的要求。</w:t>
      </w:r>
    </w:p>
    <w:p>
      <w:pPr>
        <w:pStyle w:val="BodyText"/>
        <w:spacing w:line="408" w:lineRule="auto"/>
        <w:ind w:left="573" w:right="992"/>
        <w:jc w:val="left"/>
      </w:pPr>
      <w:r>
        <w:rPr/>
        <w:t>（一）股东与股东大会</w:t>
      </w:r>
      <w:r>
        <w:rPr>
          <w:w w:val="100"/>
        </w:rPr>
        <w:t> </w:t>
      </w:r>
      <w:r>
        <w:rPr>
          <w:spacing w:val="-2"/>
        </w:rPr>
        <w:t>公司股东大会严格按照《公司法》、《上市公司股东大会规则》、《深圳证券交易所创业板上市公司</w:t>
      </w:r>
    </w:p>
    <w:p>
      <w:pPr>
        <w:pStyle w:val="BodyText"/>
        <w:spacing w:line="408" w:lineRule="auto"/>
        <w:ind w:right="1126"/>
        <w:jc w:val="both"/>
      </w:pPr>
      <w:r>
        <w:rPr>
          <w:spacing w:val="-2"/>
        </w:rPr>
        <w:t>规范运作指引》和《公司章程》、《股东大会议事规则》等的规定和要求召集、召开和表决，股东大会采</w:t>
      </w:r>
      <w:r>
        <w:rPr>
          <w:spacing w:val="-50"/>
        </w:rPr>
        <w:t> </w:t>
      </w:r>
      <w:r>
        <w:rPr>
          <w:spacing w:val="-50"/>
        </w:rPr>
      </w:r>
      <w:r>
        <w:rPr>
          <w:spacing w:val="-2"/>
        </w:rPr>
        <w:t>用现场投票与网络投票相结合的方式，并聘请见证律师对股东大会的合法性出具法律意见，能够确保全体</w:t>
      </w:r>
      <w:r>
        <w:rPr>
          <w:spacing w:val="-43"/>
        </w:rPr>
        <w:t> </w:t>
      </w:r>
      <w:r>
        <w:rPr>
          <w:spacing w:val="-43"/>
        </w:rPr>
      </w:r>
      <w:r>
        <w:rPr>
          <w:spacing w:val="-2"/>
        </w:rPr>
        <w:t>股东特别是中小股东享有平等地位。公司与股东建立了多种有效的沟通渠道，充分保障股东对公司重大事</w:t>
      </w:r>
      <w:r>
        <w:rPr>
          <w:spacing w:val="-43"/>
        </w:rPr>
        <w:t> </w:t>
      </w:r>
      <w:r>
        <w:rPr>
          <w:spacing w:val="-43"/>
        </w:rPr>
      </w:r>
      <w:r>
        <w:rPr>
          <w:spacing w:val="-2"/>
        </w:rPr>
        <w:t>项的知情、参与决策和监督等权利。自上市以来，公司积极回报股东，在《公司章程》中明确了利润分配</w:t>
      </w:r>
      <w:r>
        <w:rPr>
          <w:spacing w:val="-42"/>
        </w:rPr>
        <w:t> </w:t>
      </w:r>
      <w:r>
        <w:rPr>
          <w:spacing w:val="-42"/>
        </w:rPr>
      </w:r>
      <w:r>
        <w:rPr>
          <w:spacing w:val="-2"/>
        </w:rPr>
        <w:t>办法，并每年按规定的利润分配办法进行现金分红等。报告期内，公司共召开了三次股东大会，会议均由</w:t>
      </w:r>
      <w:r>
        <w:rPr>
          <w:spacing w:val="-47"/>
        </w:rPr>
        <w:t> </w:t>
      </w:r>
      <w:r>
        <w:rPr>
          <w:spacing w:val="-47"/>
        </w:rPr>
      </w:r>
      <w:r>
        <w:rPr/>
        <w:t>董事会召集。</w:t>
      </w:r>
    </w:p>
    <w:p>
      <w:pPr>
        <w:pStyle w:val="BodyText"/>
        <w:spacing w:line="408" w:lineRule="auto"/>
        <w:ind w:left="573" w:right="992"/>
        <w:jc w:val="left"/>
      </w:pPr>
      <w:r>
        <w:rPr/>
        <w:t>（二）董事与董事会</w:t>
      </w:r>
      <w:r>
        <w:rPr>
          <w:w w:val="100"/>
        </w:rPr>
        <w:t> </w:t>
      </w:r>
      <w:r>
        <w:rPr>
          <w:spacing w:val="-7"/>
        </w:rPr>
        <w:t>公司董事会由九名董事组成，其中独立董事三名，董事会的人数及人员构成符合有关法律、法规和《公</w:t>
      </w:r>
    </w:p>
    <w:p>
      <w:pPr>
        <w:pStyle w:val="BodyText"/>
        <w:spacing w:line="408" w:lineRule="auto"/>
        <w:ind w:right="992"/>
        <w:jc w:val="left"/>
      </w:pPr>
      <w:r>
        <w:rPr>
          <w:spacing w:val="-5"/>
        </w:rPr>
        <w:t>司章程》等的要求。董事会成员包含业内专家和其它专业人士，具有履行职务所必需的知识、技能和素质，</w:t>
      </w:r>
      <w:r>
        <w:rPr>
          <w:spacing w:val="-8"/>
        </w:rPr>
        <w:t> </w:t>
      </w:r>
      <w:r>
        <w:rPr>
          <w:spacing w:val="-8"/>
        </w:rPr>
      </w:r>
      <w:r>
        <w:rPr>
          <w:spacing w:val="-2"/>
        </w:rPr>
        <w:t>全体董事均能够保证有足够的时间和精力开展工作，忠实、勤勉、谨慎履职，并履行作出的承诺。公司董</w:t>
      </w:r>
      <w:r>
        <w:rPr>
          <w:spacing w:val="-43"/>
        </w:rPr>
        <w:t> </w:t>
      </w:r>
      <w:r>
        <w:rPr>
          <w:spacing w:val="-43"/>
        </w:rPr>
      </w:r>
      <w:r>
        <w:rPr>
          <w:spacing w:val="-2"/>
        </w:rPr>
        <w:t>事会下设有战略委员会、审计委员会、薪酬与考核委员会、提名委员会四个专门委员会，各专业委员会认</w:t>
      </w:r>
      <w:r>
        <w:rPr>
          <w:spacing w:val="-50"/>
        </w:rPr>
        <w:t> </w:t>
      </w:r>
      <w:r>
        <w:rPr>
          <w:spacing w:val="-50"/>
        </w:rPr>
      </w:r>
      <w:r>
        <w:rPr>
          <w:spacing w:val="-2"/>
        </w:rPr>
        <w:t>真履职，充分发挥其职能。报告期内，董事会共召开七次董事会会议，会议严格按照公司《董事会议事规</w:t>
      </w:r>
      <w:r>
        <w:rPr>
          <w:spacing w:val="-43"/>
        </w:rPr>
        <w:t> </w:t>
      </w:r>
      <w:r>
        <w:rPr>
          <w:spacing w:val="-43"/>
        </w:rPr>
      </w:r>
      <w:r>
        <w:rPr/>
        <w:t>则》召集、召开。</w:t>
      </w:r>
    </w:p>
    <w:p>
      <w:pPr>
        <w:pStyle w:val="BodyText"/>
        <w:spacing w:line="410" w:lineRule="auto"/>
        <w:ind w:left="573" w:right="992"/>
        <w:jc w:val="left"/>
      </w:pPr>
      <w:r>
        <w:rPr/>
        <w:t>（三）监事与监事会</w:t>
      </w:r>
      <w:r>
        <w:rPr>
          <w:w w:val="100"/>
        </w:rPr>
        <w:t> </w:t>
      </w:r>
      <w:r>
        <w:rPr>
          <w:spacing w:val="-2"/>
        </w:rPr>
        <w:t>公司监事会由三名监事组成，其中职工代表监事一名，公司董事、高级管理人员没有兼任监事，监事</w:t>
      </w:r>
    </w:p>
    <w:p>
      <w:pPr>
        <w:pStyle w:val="BodyText"/>
        <w:spacing w:line="408" w:lineRule="auto" w:before="44"/>
        <w:ind w:right="1126"/>
        <w:jc w:val="both"/>
      </w:pPr>
      <w:r>
        <w:rPr>
          <w:spacing w:val="-2"/>
        </w:rPr>
        <w:t>会的人数及人员构成符合有关法律、法规和《公司章程》等的要求，并有效保证了监事会能独立、有效地</w:t>
      </w:r>
      <w:r>
        <w:rPr>
          <w:spacing w:val="-43"/>
        </w:rPr>
        <w:t> </w:t>
      </w:r>
      <w:r>
        <w:rPr>
          <w:spacing w:val="-43"/>
        </w:rPr>
      </w:r>
      <w:r>
        <w:rPr>
          <w:spacing w:val="-2"/>
        </w:rPr>
        <w:t>履行职责。公司采取了有效措施保障监事的知情权。监事会对公司财务以及董事、经理及其他高级管理人</w:t>
      </w:r>
      <w:r>
        <w:rPr>
          <w:spacing w:val="-45"/>
        </w:rPr>
        <w:t> </w:t>
      </w:r>
      <w:r>
        <w:rPr>
          <w:spacing w:val="-45"/>
        </w:rPr>
      </w:r>
      <w:r>
        <w:rPr>
          <w:spacing w:val="-2"/>
        </w:rPr>
        <w:t>员履职的合法合规性进行有效监督，维护公司及股东的合法权益，不断推动公司的规范运作和持续、健康</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9"/>
        <w:jc w:val="both"/>
      </w:pPr>
      <w:r>
        <w:rPr>
          <w:spacing w:val="-2"/>
        </w:rPr>
        <w:t>发展。报告期内，监事会共召开七次监事会会议，会议严格按照公司《监事会议事规则》召集、召开，监</w:t>
      </w:r>
      <w:r>
        <w:rPr>
          <w:spacing w:val="-47"/>
        </w:rPr>
        <w:t> </w:t>
      </w:r>
      <w:r>
        <w:rPr>
          <w:spacing w:val="-47"/>
        </w:rPr>
      </w:r>
      <w:r>
        <w:rPr/>
        <w:t>事会成员均出席或列席了报告期内所有的监事会、董事会和股东大会。</w:t>
      </w:r>
    </w:p>
    <w:p>
      <w:pPr>
        <w:pStyle w:val="BodyText"/>
        <w:spacing w:line="408" w:lineRule="auto"/>
        <w:ind w:left="573" w:right="992"/>
        <w:jc w:val="left"/>
      </w:pPr>
      <w:r>
        <w:rPr/>
        <w:t>（四）绩效考核与激励约束机制</w:t>
      </w:r>
      <w:r>
        <w:rPr>
          <w:w w:val="100"/>
        </w:rPr>
        <w:t> </w:t>
      </w:r>
      <w:r>
        <w:rPr>
          <w:spacing w:val="-2"/>
        </w:rPr>
        <w:t>公司建立并完善了公正、透明的绩效考核与激励约束机制，董事会下设的薪酬和考核委员会负责对公</w:t>
      </w:r>
    </w:p>
    <w:p>
      <w:pPr>
        <w:pStyle w:val="BodyText"/>
        <w:spacing w:line="240" w:lineRule="auto"/>
        <w:ind w:right="0"/>
        <w:jc w:val="both"/>
      </w:pPr>
      <w:r>
        <w:rPr>
          <w:spacing w:val="-5"/>
        </w:rPr>
        <w:t>司的董事、监事、高级管理人员进行绩效考核，公司现有的考核及激励约束机制基本符合公司的发展现状。</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（五）信息披露与透明度</w:t>
      </w:r>
      <w:r>
        <w:rPr>
          <w:w w:val="100"/>
        </w:rPr>
        <w:t> </w:t>
      </w:r>
      <w:r>
        <w:rPr>
          <w:spacing w:val="-2"/>
        </w:rPr>
        <w:t>公司严格贯彻执行法律法规以及监管机构各项规定，定期组织董事、监事、高级管理人员以及相关工</w:t>
      </w:r>
    </w:p>
    <w:p>
      <w:pPr>
        <w:pStyle w:val="BodyText"/>
        <w:spacing w:line="408" w:lineRule="auto"/>
        <w:ind w:right="1107"/>
        <w:jc w:val="both"/>
      </w:pPr>
      <w:r>
        <w:rPr>
          <w:spacing w:val="-2"/>
        </w:rPr>
        <w:t>作人员开展学习，建立并不断完善信息披露管理制度及流程，加强信息披露事务管理，切实履行信息披露</w:t>
      </w:r>
      <w:r>
        <w:rPr>
          <w:spacing w:val="-45"/>
        </w:rPr>
        <w:t> </w:t>
      </w:r>
      <w:r>
        <w:rPr>
          <w:spacing w:val="-45"/>
        </w:rPr>
      </w:r>
      <w:r>
        <w:rPr>
          <w:spacing w:val="-2"/>
        </w:rPr>
        <w:t>义务。公司指定董事会秘书负责协调和组织信息披露事务，董事会及总经理班子积极支持董事会秘书的工</w:t>
      </w:r>
      <w:r>
        <w:rPr>
          <w:spacing w:val="-43"/>
        </w:rPr>
        <w:t> </w:t>
      </w:r>
      <w:r>
        <w:rPr>
          <w:spacing w:val="-43"/>
        </w:rPr>
      </w:r>
      <w:r>
        <w:rPr>
          <w:spacing w:val="-2"/>
        </w:rPr>
        <w:t>作，确保真实、准确、完整、及时、公平地披露有关信息，公司所有股东以平等的机会获取公司信息。报</w:t>
      </w:r>
      <w:r>
        <w:rPr>
          <w:spacing w:val="-43"/>
        </w:rPr>
        <w:t> </w:t>
      </w:r>
      <w:r>
        <w:rPr>
          <w:spacing w:val="-43"/>
        </w:rPr>
      </w:r>
      <w:r>
        <w:rPr>
          <w:spacing w:val="-2"/>
        </w:rPr>
        <w:t>告期内，公司指定巨潮资讯网作为公司信息披露的网站和《证券时报》、《证券日报》作为公司信息披露</w:t>
      </w:r>
      <w:r>
        <w:rPr>
          <w:spacing w:val="-45"/>
        </w:rPr>
        <w:t> </w:t>
      </w:r>
      <w:r>
        <w:rPr>
          <w:spacing w:val="-45"/>
        </w:rPr>
      </w:r>
      <w:r>
        <w:rPr>
          <w:spacing w:val="-2"/>
        </w:rPr>
        <w:t>的报纸，并通过多种方式加强与投资者的沟通，有效提升公司透明度，促进投资者对公司的了解和认同。</w:t>
      </w:r>
    </w:p>
    <w:p>
      <w:pPr>
        <w:pStyle w:val="BodyText"/>
        <w:spacing w:line="408" w:lineRule="auto"/>
        <w:ind w:left="573" w:right="992"/>
        <w:jc w:val="left"/>
      </w:pPr>
      <w:r>
        <w:rPr/>
        <w:t>（六）利益相关者</w:t>
      </w:r>
      <w:r>
        <w:rPr>
          <w:w w:val="100"/>
        </w:rPr>
        <w:t> </w:t>
      </w:r>
      <w:r>
        <w:rPr>
          <w:spacing w:val="-2"/>
        </w:rPr>
        <w:t>公司充分尊重和维护利益相关者的合法权益，积极与利益相关者保持有效地交流与合作，追求相互平</w:t>
      </w:r>
    </w:p>
    <w:p>
      <w:pPr>
        <w:pStyle w:val="BodyText"/>
        <w:spacing w:line="408" w:lineRule="auto"/>
        <w:ind w:right="1129"/>
        <w:jc w:val="both"/>
      </w:pPr>
      <w:r>
        <w:rPr>
          <w:spacing w:val="-2"/>
        </w:rPr>
        <w:t>等的合作地位，努力实现股东、公司、客户、供应商、员工等社会各方利益的协调平衡，实现与利益相关</w:t>
      </w:r>
      <w:r>
        <w:rPr>
          <w:spacing w:val="-45"/>
        </w:rPr>
        <w:t> </w:t>
      </w:r>
      <w:r>
        <w:rPr>
          <w:spacing w:val="-45"/>
        </w:rPr>
      </w:r>
      <w:r>
        <w:rPr/>
        <w:t>者的协作共赢。</w:t>
      </w:r>
    </w:p>
    <w:p>
      <w:pPr>
        <w:pStyle w:val="BodyText"/>
        <w:spacing w:line="408" w:lineRule="auto" w:before="87"/>
        <w:ind w:right="1126" w:firstLine="420"/>
        <w:jc w:val="both"/>
      </w:pPr>
      <w:r>
        <w:rPr>
          <w:spacing w:val="-2"/>
        </w:rPr>
        <w:t>公司治理的实际状况与中国证监会发布的有关上市公司治理的规范性文件是否存在重大差异：公司治</w:t>
      </w:r>
      <w:r>
        <w:rPr>
          <w:w w:val="100"/>
        </w:rPr>
        <w:t> </w:t>
      </w:r>
      <w:r>
        <w:rPr/>
        <w:t>理的实际状况与中国证监会发布的有关上市公司治理的规范性文件不存在重大差异。</w:t>
      </w: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05" w:firstLine="420"/>
        <w:jc w:val="both"/>
      </w:pPr>
      <w:r>
        <w:rPr>
          <w:spacing w:val="-2"/>
        </w:rPr>
        <w:t>公司具有独立完整的业务体系和自主经营能力，在业务、人员、资产、机构、财务等方面独立于控股</w:t>
      </w:r>
      <w:r>
        <w:rPr>
          <w:w w:val="100"/>
        </w:rPr>
        <w:t> </w:t>
      </w:r>
      <w:r>
        <w:rPr>
          <w:spacing w:val="-2"/>
        </w:rPr>
        <w:t>股东和实际控制人。公司控股股东和实际控制人严格规范自身行为，依法行使其权利并承担相应的义务，</w:t>
      </w:r>
      <w:r>
        <w:rPr>
          <w:spacing w:val="-21"/>
        </w:rPr>
        <w:t> </w:t>
      </w:r>
      <w:r>
        <w:rPr>
          <w:spacing w:val="-21"/>
        </w:rPr>
      </w:r>
      <w:r>
        <w:rPr/>
        <w:t>未发生直接或间接干预公司决策和经营活动及利用其它控制地位侵害其它股东利益的行为。</w:t>
      </w:r>
    </w:p>
    <w:p>
      <w:pPr>
        <w:pStyle w:val="BodyText"/>
        <w:spacing w:line="386" w:lineRule="auto"/>
        <w:ind w:left="573" w:right="992"/>
        <w:jc w:val="left"/>
      </w:pPr>
      <w:r>
        <w:rPr>
          <w:rFonts w:ascii="Times New Roman" w:hAnsi="Times New Roman" w:cs="Times New Roman" w:eastAsia="Times New Roman" w:hint="default"/>
        </w:rPr>
        <w:t>1</w:t>
      </w:r>
      <w:r>
        <w:rPr/>
        <w:t>、业务独立</w:t>
      </w:r>
      <w:r>
        <w:rPr>
          <w:w w:val="100"/>
        </w:rPr>
        <w:t> </w:t>
      </w:r>
      <w:r>
        <w:rPr>
          <w:spacing w:val="-2"/>
        </w:rPr>
        <w:t>公司拥有独立的生产经营场所及研发、生产、供应、销售体系，具有面向市场自主经营的能力，独立</w:t>
      </w:r>
    </w:p>
    <w:p>
      <w:pPr>
        <w:pStyle w:val="BodyText"/>
        <w:spacing w:line="408" w:lineRule="auto" w:before="65"/>
        <w:ind w:right="1105"/>
        <w:jc w:val="both"/>
      </w:pPr>
      <w:r>
        <w:rPr>
          <w:spacing w:val="-2"/>
        </w:rPr>
        <w:t>开展各项业务、对外签订各项合同，不依赖于控股股东、实际控制人及其控制的其他企业或其他关联方，</w:t>
      </w:r>
      <w:r>
        <w:rPr>
          <w:spacing w:val="-21"/>
        </w:rPr>
        <w:t> </w:t>
      </w:r>
      <w:r>
        <w:rPr>
          <w:spacing w:val="-21"/>
        </w:rPr>
      </w:r>
      <w:r>
        <w:rPr/>
        <w:t>与控股股东、实际控制人及其控制的其他企业不存在同业竞争。</w:t>
      </w:r>
    </w:p>
    <w:p>
      <w:pPr>
        <w:pStyle w:val="BodyText"/>
        <w:spacing w:line="386" w:lineRule="auto"/>
        <w:ind w:left="573" w:right="992"/>
        <w:jc w:val="left"/>
      </w:pPr>
      <w:r>
        <w:rPr>
          <w:rFonts w:ascii="Times New Roman" w:hAnsi="Times New Roman" w:cs="Times New Roman" w:eastAsia="Times New Roman" w:hint="default"/>
        </w:rPr>
        <w:t>2</w:t>
      </w:r>
      <w:r>
        <w:rPr/>
        <w:t>、人员独立</w:t>
      </w:r>
      <w:r>
        <w:rPr>
          <w:w w:val="100"/>
        </w:rPr>
        <w:t> </w:t>
      </w:r>
      <w:r>
        <w:rPr>
          <w:spacing w:val="-2"/>
        </w:rPr>
        <w:t>公司在劳动、人事及薪酬管理方面已形成独立于控股股东、实际控制人的完整体系，公司拥有独立的</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员工队伍，公司董事、监事和高级管理人员均按照《公司法》、《公司章程》等有关规定合法产生，不存</w:t>
      </w:r>
      <w:r>
        <w:rPr>
          <w:spacing w:val="-47"/>
        </w:rPr>
        <w:t> </w:t>
      </w:r>
      <w:r>
        <w:rPr>
          <w:spacing w:val="-47"/>
        </w:rPr>
      </w:r>
      <w:r>
        <w:rPr>
          <w:spacing w:val="-2"/>
        </w:rPr>
        <w:t>在控股股东、实际控制人及其他关联方干涉公司人事任免的情况。公司高级管理人员均专职在公司工作并</w:t>
      </w:r>
      <w:r>
        <w:rPr>
          <w:spacing w:val="-43"/>
        </w:rPr>
        <w:t> </w:t>
      </w:r>
      <w:r>
        <w:rPr>
          <w:spacing w:val="-43"/>
        </w:rPr>
      </w:r>
      <w:r>
        <w:rPr/>
        <w:t>领取薪酬，未在控股股东、实际控制人及其控制的其他企业担任除董事、监事以外的职务及领取报酬。</w:t>
      </w:r>
    </w:p>
    <w:p>
      <w:pPr>
        <w:pStyle w:val="BodyText"/>
        <w:spacing w:line="386" w:lineRule="auto"/>
        <w:ind w:left="573" w:right="992"/>
        <w:jc w:val="left"/>
      </w:pPr>
      <w:r>
        <w:rPr>
          <w:rFonts w:ascii="Times New Roman" w:hAnsi="Times New Roman" w:cs="Times New Roman" w:eastAsia="Times New Roman" w:hint="default"/>
        </w:rPr>
        <w:t>3</w:t>
      </w:r>
      <w:r>
        <w:rPr/>
        <w:t>、资产独立</w:t>
      </w:r>
      <w:r>
        <w:rPr>
          <w:w w:val="100"/>
        </w:rPr>
        <w:t> </w:t>
      </w:r>
      <w:r>
        <w:rPr>
          <w:spacing w:val="-2"/>
        </w:rPr>
        <w:t>公司与控股股东、实际控制人产权关系明晰，拥有完整独立的法人资产，独立拥有与生产经营有关的</w:t>
      </w:r>
    </w:p>
    <w:p>
      <w:pPr>
        <w:pStyle w:val="BodyText"/>
        <w:spacing w:line="408" w:lineRule="auto" w:before="65"/>
        <w:ind w:right="1126"/>
        <w:jc w:val="both"/>
      </w:pPr>
      <w:r>
        <w:rPr>
          <w:spacing w:val="-2"/>
        </w:rPr>
        <w:t>生产系统、辅助生产系统和配套设施、土地、厂房、机器设备以及商标、专利、非专利技术的所有权或使</w:t>
      </w:r>
      <w:r>
        <w:rPr>
          <w:spacing w:val="-42"/>
        </w:rPr>
        <w:t> </w:t>
      </w:r>
      <w:r>
        <w:rPr>
          <w:spacing w:val="-42"/>
        </w:rPr>
      </w:r>
      <w:r>
        <w:rPr>
          <w:spacing w:val="-2"/>
        </w:rPr>
        <w:t>用权。公司对所有的资产有完全的控制支配权，不存在资产、资金被控股股东和实际控制人占用而损害公</w:t>
      </w:r>
      <w:r>
        <w:rPr>
          <w:spacing w:val="-45"/>
        </w:rPr>
        <w:t> </w:t>
      </w:r>
      <w:r>
        <w:rPr>
          <w:spacing w:val="-45"/>
        </w:rPr>
      </w:r>
      <w:r>
        <w:rPr>
          <w:spacing w:val="-2"/>
        </w:rPr>
        <w:t>司利益的情况，不存在以资产、权益为控股股东和实际控制人担保的情形。公司资产、资金和其他资源不</w:t>
      </w:r>
      <w:r>
        <w:rPr>
          <w:spacing w:val="-50"/>
        </w:rPr>
        <w:t> </w:t>
      </w:r>
      <w:r>
        <w:rPr>
          <w:spacing w:val="-50"/>
        </w:rPr>
      </w:r>
      <w:r>
        <w:rPr/>
        <w:t>存在被控股股东、实际控制人及其他关联方控制和占用的情形。</w:t>
      </w:r>
    </w:p>
    <w:p>
      <w:pPr>
        <w:pStyle w:val="BodyText"/>
        <w:spacing w:line="386" w:lineRule="auto"/>
        <w:ind w:left="573" w:right="992"/>
        <w:jc w:val="left"/>
      </w:pPr>
      <w:r>
        <w:rPr>
          <w:rFonts w:ascii="Times New Roman" w:hAnsi="Times New Roman" w:cs="Times New Roman" w:eastAsia="Times New Roman" w:hint="default"/>
        </w:rPr>
        <w:t>4</w:t>
      </w:r>
      <w:r>
        <w:rPr/>
        <w:t>、机构独立</w:t>
      </w:r>
      <w:r>
        <w:rPr>
          <w:w w:val="100"/>
        </w:rPr>
        <w:t> </w:t>
      </w:r>
      <w:r>
        <w:rPr>
          <w:spacing w:val="-2"/>
        </w:rPr>
        <w:t>公司设立了股东大会、董事会、监事会的法人治理结构，依法行使决策、执行、监督职权，并制定相</w:t>
      </w:r>
    </w:p>
    <w:p>
      <w:pPr>
        <w:pStyle w:val="BodyText"/>
        <w:spacing w:line="408" w:lineRule="auto" w:before="65"/>
        <w:ind w:right="1126"/>
        <w:jc w:val="both"/>
      </w:pPr>
      <w:r>
        <w:rPr>
          <w:spacing w:val="-2"/>
        </w:rPr>
        <w:t>应的会议制度及议事规则，法人治理结构规范有效。公司设置了健全的符合自身生产经营需要的组织机构</w:t>
      </w:r>
      <w:r>
        <w:rPr>
          <w:spacing w:val="-44"/>
        </w:rPr>
        <w:t> </w:t>
      </w:r>
      <w:r>
        <w:rPr>
          <w:spacing w:val="-44"/>
        </w:rPr>
      </w:r>
      <w:r>
        <w:rPr>
          <w:spacing w:val="-2"/>
        </w:rPr>
        <w:t>体系，独立运作且运行良好，不存在与控股股东职能部门之间的从属关系。控股股东、实际控制人及其他</w:t>
      </w:r>
      <w:r>
        <w:rPr>
          <w:spacing w:val="-49"/>
        </w:rPr>
        <w:t> </w:t>
      </w:r>
      <w:r>
        <w:rPr>
          <w:spacing w:val="-49"/>
        </w:rPr>
      </w:r>
      <w:r>
        <w:rPr/>
        <w:t>任何单位或个人均未干预公司的机构设置和生产经营活动。</w:t>
      </w:r>
    </w:p>
    <w:p>
      <w:pPr>
        <w:pStyle w:val="BodyText"/>
        <w:spacing w:line="386" w:lineRule="auto"/>
        <w:ind w:left="573" w:right="992"/>
        <w:jc w:val="left"/>
      </w:pPr>
      <w:r>
        <w:rPr>
          <w:rFonts w:ascii="Times New Roman" w:hAnsi="Times New Roman" w:cs="Times New Roman" w:eastAsia="Times New Roman" w:hint="default"/>
        </w:rPr>
        <w:t>5</w:t>
      </w:r>
      <w:r>
        <w:rPr/>
        <w:t>、财务独立</w:t>
      </w:r>
      <w:r>
        <w:rPr>
          <w:w w:val="100"/>
        </w:rPr>
        <w:t> </w:t>
      </w:r>
      <w:r>
        <w:rPr>
          <w:spacing w:val="-2"/>
        </w:rPr>
        <w:t>公司设有独立的财务部门负责公司的会计核算和财务管理工作，并按照相关法律法规的要求，结合公</w:t>
      </w:r>
    </w:p>
    <w:p>
      <w:pPr>
        <w:pStyle w:val="BodyText"/>
        <w:spacing w:line="408" w:lineRule="auto" w:before="65"/>
        <w:ind w:right="992"/>
        <w:jc w:val="left"/>
      </w:pPr>
      <w:r>
        <w:rPr>
          <w:spacing w:val="-2"/>
        </w:rPr>
        <w:t>司实际情况，建立了符合自身特点的独立的会计核算体系和财务管理制度。公司开设独立的银行账户，独</w:t>
      </w:r>
      <w:r>
        <w:rPr>
          <w:spacing w:val="-42"/>
        </w:rPr>
        <w:t> </w:t>
      </w:r>
      <w:r>
        <w:rPr>
          <w:spacing w:val="-42"/>
        </w:rPr>
      </w:r>
      <w:r>
        <w:rPr>
          <w:spacing w:val="-5"/>
        </w:rPr>
        <w:t>立依法纳税，能够依据《公司章程》和相关财务制度独立作出财务决策，不存在股东干预公司财务的情况。</w:t>
      </w:r>
      <w:r>
        <w:rPr>
          <w:spacing w:val="-8"/>
        </w:rPr>
        <w:t> </w:t>
      </w:r>
      <w:r>
        <w:rPr>
          <w:spacing w:val="-8"/>
        </w:rPr>
      </w:r>
      <w:r>
        <w:rPr/>
        <w:t>公司财务人员均专职在公司工作并领取薪酬，未在控股股东、实际控制人及其控制的其他企业中兼职。</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三、同业竞争情况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850"/>
        <w:gridCol w:w="1702"/>
        <w:gridCol w:w="1735"/>
        <w:gridCol w:w="1594"/>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2019-029</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2019-061</w:t>
            </w:r>
          </w:p>
        </w:tc>
      </w:tr>
    </w:tbl>
    <w:p>
      <w:pPr>
        <w:spacing w:after="0" w:line="314"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850"/>
        <w:gridCol w:w="1702"/>
        <w:gridCol w:w="1735"/>
        <w:gridCol w:w="1594"/>
      </w:tblGrid>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40.71%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2019-074</w:t>
            </w:r>
          </w:p>
        </w:tc>
      </w:tr>
    </w:tbl>
    <w:p>
      <w:pPr>
        <w:spacing w:line="240" w:lineRule="auto" w:before="3"/>
        <w:rPr>
          <w:rFonts w:ascii="宋体" w:hAnsi="宋体" w:cs="宋体" w:eastAsia="宋体" w:hint="default"/>
          <w:b/>
          <w:bCs/>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546"/>
        <w:gridCol w:w="782"/>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王同孝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江霞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马训波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5"/>
          <w:szCs w:val="5"/>
        </w:rPr>
      </w:pPr>
    </w:p>
    <w:p>
      <w:pPr>
        <w:pStyle w:val="BodyText"/>
        <w:spacing w:line="240" w:lineRule="auto" w:before="36"/>
        <w:ind w:left="573" w:right="992"/>
        <w:jc w:val="left"/>
      </w:pPr>
      <w:r>
        <w:rPr/>
        <w:t>连续两次未亲自出席董事会的说明：不适用</w:t>
      </w:r>
    </w:p>
    <w:p>
      <w:pPr>
        <w:spacing w:line="240" w:lineRule="auto" w:before="0"/>
        <w:rPr>
          <w:rFonts w:ascii="宋体" w:hAnsi="宋体" w:cs="宋体" w:eastAsia="宋体" w:hint="default"/>
          <w:sz w:val="20"/>
          <w:szCs w:val="20"/>
        </w:rPr>
      </w:pPr>
    </w:p>
    <w:p>
      <w:pPr>
        <w:spacing w:line="571" w:lineRule="auto" w:before="152"/>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独立董事对公司有关事项是否提出异议：报告期内独立董事对公司有关事项未提出异议。</w:t>
      </w:r>
    </w:p>
    <w:p>
      <w:pPr>
        <w:pStyle w:val="Heading4"/>
        <w:spacing w:line="240" w:lineRule="auto" w:before="127"/>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0"/>
          <w:szCs w:val="30"/>
        </w:rPr>
      </w:pPr>
    </w:p>
    <w:p>
      <w:pPr>
        <w:pStyle w:val="BodyText"/>
        <w:spacing w:line="432" w:lineRule="auto" w:before="0"/>
        <w:ind w:left="573" w:right="1115"/>
        <w:jc w:val="left"/>
      </w:pPr>
      <w:r>
        <w:rPr/>
        <w:t>独立董事对公司有关建议是否被采纳：</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t>独立董事对公司有关建议被采纳或未被采纳的说明：</w:t>
      </w:r>
      <w:r>
        <w:rPr>
          <w:w w:val="100"/>
        </w:rPr>
        <w:t> </w:t>
      </w:r>
      <w:r>
        <w:rPr>
          <w:spacing w:val="-2"/>
        </w:rPr>
        <w:t>报告期内，公司独立董事按照《关于在上市公司建立独立董事制度的指导意见》、《深圳证券交易所</w:t>
      </w:r>
    </w:p>
    <w:p>
      <w:pPr>
        <w:pStyle w:val="BodyText"/>
        <w:spacing w:line="408" w:lineRule="auto" w:before="25"/>
        <w:ind w:right="1126"/>
        <w:jc w:val="both"/>
      </w:pPr>
      <w:r>
        <w:rPr>
          <w:spacing w:val="-2"/>
        </w:rPr>
        <w:t>创业板股票上市规则》、《深圳证券交易所创业板上市公司规范运作指引》及《公司章程》、《独立董事</w:t>
      </w:r>
      <w:r>
        <w:rPr>
          <w:spacing w:val="-50"/>
        </w:rPr>
        <w:t> </w:t>
      </w:r>
      <w:r>
        <w:rPr>
          <w:spacing w:val="-50"/>
        </w:rPr>
      </w:r>
      <w:r>
        <w:rPr>
          <w:spacing w:val="-2"/>
        </w:rPr>
        <w:t>工作制度》等有关规定，认真勤勉、积极有效地履行独立董事职责，审慎地审议各项董事会议案，及时参</w:t>
      </w:r>
      <w:r>
        <w:rPr>
          <w:spacing w:val="-43"/>
        </w:rPr>
        <w:t> </w:t>
      </w:r>
      <w:r>
        <w:rPr>
          <w:spacing w:val="-43"/>
        </w:rPr>
      </w:r>
      <w:r>
        <w:rPr/>
        <w:t>加董事会会议，客观准确地发表自己的独立观点。</w:t>
      </w:r>
    </w:p>
    <w:p>
      <w:pPr>
        <w:pStyle w:val="BodyText"/>
        <w:spacing w:line="408" w:lineRule="auto"/>
        <w:ind w:right="1105" w:firstLine="420"/>
        <w:jc w:val="both"/>
      </w:pPr>
      <w:r>
        <w:rPr>
          <w:spacing w:val="-2"/>
        </w:rPr>
        <w:t>在报告期内，独立董事积极与公司非独立董事、高级管理人员及其他人员进行沟通，及时掌握公司的</w:t>
      </w:r>
      <w:r>
        <w:rPr>
          <w:w w:val="100"/>
        </w:rPr>
        <w:t> </w:t>
      </w:r>
      <w:r>
        <w:rPr>
          <w:spacing w:val="-2"/>
        </w:rPr>
        <w:t>业务开展情况、生产经营情况和财务状况，并积极运用自己的专业知识，为公司的战略制定、规范运作、</w:t>
      </w:r>
      <w:r>
        <w:rPr>
          <w:spacing w:val="-21"/>
        </w:rPr>
        <w:t> </w:t>
      </w:r>
      <w:r>
        <w:rPr>
          <w:spacing w:val="-21"/>
        </w:rPr>
      </w:r>
      <w:r>
        <w:rPr/>
        <w:t>重大经营决策和资本运作提出了科学合理的建议，公司结合实际情况予以了采纳。</w:t>
      </w:r>
    </w:p>
    <w:p>
      <w:pPr>
        <w:pStyle w:val="BodyText"/>
        <w:spacing w:line="408" w:lineRule="auto"/>
        <w:ind w:right="1126" w:firstLine="420"/>
        <w:jc w:val="both"/>
      </w:pPr>
      <w:r>
        <w:rPr>
          <w:spacing w:val="-2"/>
        </w:rPr>
        <w:t>同时，独立董事按照有关规定，对公司的利润分配预案、聘请年度审计机构、计提资产减值准备、会</w:t>
      </w:r>
      <w:r>
        <w:rPr>
          <w:w w:val="100"/>
        </w:rPr>
        <w:t> </w:t>
      </w:r>
      <w:r>
        <w:rPr>
          <w:spacing w:val="-2"/>
        </w:rPr>
        <w:t>计政策变更、对外投资、限制性股票回购注销、限制性股票解除限售等事项出具了客观、公正、独立的意</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7"/>
        <w:jc w:val="both"/>
      </w:pPr>
      <w:r>
        <w:rPr>
          <w:spacing w:val="-2"/>
        </w:rPr>
        <w:t>见，充分发挥了独立董事的监督和指导作用，为公司决策的科学性、客观性、公正性做出了重要贡献，有</w:t>
      </w:r>
      <w:r>
        <w:rPr>
          <w:spacing w:val="-43"/>
        </w:rPr>
        <w:t> </w:t>
      </w:r>
      <w:r>
        <w:rPr>
          <w:spacing w:val="-43"/>
        </w:rPr>
      </w:r>
      <w:r>
        <w:rPr/>
        <w:t>力地保障了全体股东尤其是中小股东的合法权益，促进了公司的规范运作及健康发展。</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92" w:firstLine="420"/>
        <w:jc w:val="left"/>
      </w:pPr>
      <w:r>
        <w:rPr>
          <w:spacing w:val="-2"/>
        </w:rPr>
        <w:t>公司董事会下设审计委员会、战略委员会、提名委员会及薪酬与考核委员会四个专门委员会，专门委</w:t>
      </w:r>
      <w:r>
        <w:rPr>
          <w:w w:val="100"/>
        </w:rPr>
        <w:t> </w:t>
      </w:r>
      <w:r>
        <w:rPr/>
        <w:t>员会严格按照有关规定履行各项职责，其报告期内的履职情况如下：</w:t>
      </w:r>
    </w:p>
    <w:p>
      <w:pPr>
        <w:pStyle w:val="BodyText"/>
        <w:spacing w:line="386" w:lineRule="auto"/>
        <w:ind w:left="573" w:right="992"/>
        <w:jc w:val="left"/>
      </w:pPr>
      <w:r>
        <w:rPr>
          <w:rFonts w:ascii="Times New Roman" w:hAnsi="Times New Roman" w:cs="Times New Roman" w:eastAsia="Times New Roman" w:hint="default"/>
        </w:rPr>
        <w:t>1</w:t>
      </w:r>
      <w:r>
        <w:rPr/>
        <w:t>、审计委员会</w:t>
      </w:r>
      <w:r>
        <w:rPr>
          <w:w w:val="100"/>
        </w:rPr>
        <w:t> </w:t>
      </w:r>
      <w:r>
        <w:rPr>
          <w:spacing w:val="-2"/>
        </w:rPr>
        <w:t>报告期内，审计委员会依据公司《董事会审计委员会议事规则》，充分发挥了审核与监督作用，顺利</w:t>
      </w:r>
    </w:p>
    <w:p>
      <w:pPr>
        <w:pStyle w:val="BodyText"/>
        <w:spacing w:line="400" w:lineRule="auto" w:before="65"/>
        <w:ind w:right="1126"/>
        <w:jc w:val="both"/>
      </w:pPr>
      <w:r>
        <w:rPr>
          <w:spacing w:val="-2"/>
        </w:rPr>
        <w:t>完成公司财务监督和核查及与外部审计机构的沟通、协调等工作，并对</w:t>
      </w:r>
      <w:r>
        <w:rPr>
          <w:rFonts w:ascii="Times New Roman" w:hAnsi="Times New Roman" w:cs="Times New Roman" w:eastAsia="Times New Roman" w:hint="default"/>
          <w:spacing w:val="-2"/>
        </w:rPr>
        <w:t>2019</w:t>
      </w:r>
      <w:r>
        <w:rPr>
          <w:spacing w:val="-2"/>
        </w:rPr>
        <w:t>年公司内部控制制度的建设及</w:t>
      </w:r>
      <w:r>
        <w:rPr>
          <w:spacing w:val="-40"/>
        </w:rPr>
        <w:t> </w:t>
      </w:r>
      <w:r>
        <w:rPr>
          <w:spacing w:val="-40"/>
        </w:rPr>
      </w:r>
      <w:r>
        <w:rPr>
          <w:spacing w:val="-2"/>
        </w:rPr>
        <w:t>运行情况进行了核查，认为公司内部控制制度符合相关法律法规的要求，能够保证公司各项业务的健康运</w:t>
      </w:r>
      <w:r>
        <w:rPr>
          <w:spacing w:val="-44"/>
        </w:rPr>
        <w:t> </w:t>
      </w:r>
      <w:r>
        <w:rPr>
          <w:spacing w:val="-44"/>
        </w:rPr>
      </w:r>
      <w:r>
        <w:rPr>
          <w:spacing w:val="-2"/>
        </w:rPr>
        <w:t>行及经营风险的控制。审计委员会重点对公司定期报告、聘请审计机构、内部控制、关联交易等进行核查</w:t>
      </w:r>
      <w:r>
        <w:rPr>
          <w:spacing w:val="-47"/>
        </w:rPr>
        <w:t> </w:t>
      </w:r>
      <w:r>
        <w:rPr>
          <w:spacing w:val="-47"/>
        </w:rPr>
      </w:r>
      <w:r>
        <w:rPr/>
        <w:t>和审议，有效促进公司的科学治理。</w:t>
      </w:r>
    </w:p>
    <w:p>
      <w:pPr>
        <w:pStyle w:val="BodyText"/>
        <w:spacing w:line="386" w:lineRule="auto" w:before="52"/>
        <w:ind w:left="573" w:right="992"/>
        <w:jc w:val="left"/>
      </w:pPr>
      <w:r>
        <w:rPr>
          <w:rFonts w:ascii="Times New Roman" w:hAnsi="Times New Roman" w:cs="Times New Roman" w:eastAsia="Times New Roman" w:hint="default"/>
        </w:rPr>
        <w:t>2</w:t>
      </w:r>
      <w:r>
        <w:rPr/>
        <w:t>、战略委员会</w:t>
      </w:r>
      <w:r>
        <w:rPr>
          <w:w w:val="100"/>
        </w:rPr>
        <w:t> </w:t>
      </w:r>
      <w:r>
        <w:rPr>
          <w:spacing w:val="-3"/>
        </w:rPr>
        <w:t>报告期内，战略委员会严格按照公司《董事会战略委员会议事规则》开展工作，积极研判宏观经济发</w:t>
      </w:r>
    </w:p>
    <w:p>
      <w:pPr>
        <w:pStyle w:val="BodyText"/>
        <w:spacing w:line="408" w:lineRule="auto" w:before="65"/>
        <w:ind w:right="1126"/>
        <w:jc w:val="both"/>
      </w:pPr>
      <w:r>
        <w:rPr>
          <w:spacing w:val="-2"/>
        </w:rPr>
        <w:t>展形势，对行业进行深度研究，并结合公司自身情况，为公司中长期战略制定及重大事项的决策提供了科</w:t>
      </w:r>
      <w:r>
        <w:rPr>
          <w:spacing w:val="-43"/>
        </w:rPr>
        <w:t> </w:t>
      </w:r>
      <w:r>
        <w:rPr>
          <w:spacing w:val="-43"/>
        </w:rPr>
      </w:r>
      <w:r>
        <w:rPr>
          <w:spacing w:val="-2"/>
        </w:rPr>
        <w:t>学合理的建议。重点参与公司在战略制定及市场布局、使用自有资金投资新能源动力及控制系统项目的决</w:t>
      </w:r>
      <w:r>
        <w:rPr>
          <w:spacing w:val="-43"/>
        </w:rPr>
        <w:t> </w:t>
      </w:r>
      <w:r>
        <w:rPr>
          <w:spacing w:val="-43"/>
        </w:rPr>
      </w:r>
      <w:r>
        <w:rPr/>
        <w:t>策，为公司战略优化升级、业务延伸等重大决策提供了重要帮助。</w:t>
      </w:r>
    </w:p>
    <w:p>
      <w:pPr>
        <w:pStyle w:val="BodyText"/>
        <w:spacing w:line="386" w:lineRule="auto" w:before="44"/>
        <w:ind w:left="573" w:right="992"/>
        <w:jc w:val="left"/>
      </w:pPr>
      <w:r>
        <w:rPr>
          <w:rFonts w:ascii="Times New Roman" w:hAnsi="Times New Roman" w:cs="Times New Roman" w:eastAsia="Times New Roman" w:hint="default"/>
        </w:rPr>
        <w:t>3</w:t>
      </w:r>
      <w:r>
        <w:rPr/>
        <w:t>、提名委员会</w:t>
      </w:r>
      <w:r>
        <w:rPr>
          <w:w w:val="100"/>
        </w:rPr>
        <w:t> </w:t>
      </w:r>
      <w:r>
        <w:rPr>
          <w:spacing w:val="-2"/>
        </w:rPr>
        <w:t>提名委员会是董事会按照股东大会决议设立的专门工作机构，对董事会负责，其主要职责是按照公司</w:t>
      </w:r>
    </w:p>
    <w:p>
      <w:pPr>
        <w:pStyle w:val="BodyText"/>
        <w:spacing w:line="408" w:lineRule="auto" w:before="65"/>
        <w:ind w:right="1129"/>
        <w:jc w:val="both"/>
      </w:pPr>
      <w:r>
        <w:rPr>
          <w:spacing w:val="-2"/>
        </w:rPr>
        <w:t>董事和经理人员的选拔标准和程序，搜寻人选，进行选择并提出建议。提名委员会严格按照《董事会提名</w:t>
      </w:r>
      <w:r>
        <w:rPr>
          <w:spacing w:val="-47"/>
        </w:rPr>
        <w:t> </w:t>
      </w:r>
      <w:r>
        <w:rPr>
          <w:spacing w:val="-47"/>
        </w:rPr>
      </w:r>
      <w:r>
        <w:rPr/>
        <w:t>委员会议事规则》履行职责，自设立以来有效运作。</w:t>
      </w:r>
    </w:p>
    <w:p>
      <w:pPr>
        <w:pStyle w:val="BodyText"/>
        <w:spacing w:line="386" w:lineRule="auto"/>
        <w:ind w:left="573" w:right="992"/>
        <w:jc w:val="left"/>
      </w:pPr>
      <w:r>
        <w:rPr>
          <w:rFonts w:ascii="Times New Roman" w:hAnsi="Times New Roman" w:cs="Times New Roman" w:eastAsia="Times New Roman" w:hint="default"/>
        </w:rPr>
        <w:t>4</w:t>
      </w:r>
      <w:r>
        <w:rPr/>
        <w:t>、薪酬与考核委员会</w:t>
      </w:r>
      <w:r>
        <w:rPr>
          <w:w w:val="100"/>
        </w:rPr>
        <w:t> </w:t>
      </w:r>
      <w:r>
        <w:rPr>
          <w:spacing w:val="-2"/>
        </w:rPr>
        <w:t>报告期内，薪酬与考核委员会依照公司《董事会薪酬与考核委员会议事规则》的要求，重点对公司董</w:t>
      </w:r>
    </w:p>
    <w:p>
      <w:pPr>
        <w:pStyle w:val="BodyText"/>
        <w:spacing w:line="386" w:lineRule="auto" w:before="65"/>
        <w:ind w:right="992"/>
        <w:jc w:val="left"/>
      </w:pPr>
      <w:r>
        <w:rPr>
          <w:spacing w:val="-4"/>
        </w:rPr>
        <w:t>事、监事及高级管理人员的薪酬政策及执行情况进行审查，并对限制性股票激励计划（</w:t>
      </w:r>
      <w:r>
        <w:rPr>
          <w:rFonts w:ascii="Times New Roman" w:hAnsi="Times New Roman" w:cs="Times New Roman" w:eastAsia="Times New Roman" w:hint="default"/>
          <w:spacing w:val="-4"/>
        </w:rPr>
        <w:t>2017-2019</w:t>
      </w:r>
      <w:r>
        <w:rPr>
          <w:spacing w:val="-4"/>
        </w:rPr>
        <w:t>）首次授 </w:t>
      </w:r>
      <w:r>
        <w:rPr/>
        <w:t>予部分第二个解除限售期拟解除限售的</w:t>
      </w:r>
      <w:r>
        <w:rPr>
          <w:rFonts w:ascii="Times New Roman" w:hAnsi="Times New Roman" w:cs="Times New Roman" w:eastAsia="Times New Roman" w:hint="default"/>
        </w:rPr>
        <w:t>166</w:t>
      </w:r>
      <w:r>
        <w:rPr/>
        <w:t>名激励对象个人层面的绩效进行考核，积极履行了薪酬与考核</w:t>
      </w:r>
      <w:r>
        <w:rPr>
          <w:w w:val="100"/>
        </w:rPr>
        <w:t> </w:t>
      </w:r>
      <w:r>
        <w:rPr/>
        <w:t>委员会的相应职责。</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before="0"/>
        <w:ind w:left="573" w:right="992"/>
        <w:jc w:val="left"/>
      </w:pPr>
      <w:r>
        <w:rPr/>
        <w:t>监事会在报告期内的监督活动中发现公司是否存在风险：</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公司监事会对报告期内的监督事项无异议。</w:t>
      </w:r>
    </w:p>
    <w:p>
      <w:pPr>
        <w:spacing w:after="0" w:line="42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92"/>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3" w:lineRule="auto" w:before="0"/>
        <w:ind w:right="992" w:firstLine="420"/>
        <w:jc w:val="left"/>
      </w:pPr>
      <w:r>
        <w:rPr>
          <w:spacing w:val="-5"/>
        </w:rPr>
        <w:t>根据公司《薪酬管理制度》，在公司任职的高级管理人员的薪酬采用年薪制，年薪与其所承担的责任、</w:t>
      </w:r>
      <w:r>
        <w:rPr>
          <w:w w:val="100"/>
        </w:rPr>
        <w:t> </w:t>
      </w:r>
      <w:r>
        <w:rPr>
          <w:spacing w:val="-3"/>
        </w:rPr>
        <w:t>风险、压力、业绩挂钩。年薪</w:t>
      </w:r>
      <w:r>
        <w:rPr>
          <w:rFonts w:ascii="Times New Roman" w:hAnsi="Times New Roman" w:cs="Times New Roman" w:eastAsia="Times New Roman" w:hint="default"/>
          <w:spacing w:val="-3"/>
        </w:rPr>
        <w:t>=</w:t>
      </w:r>
      <w:r>
        <w:rPr>
          <w:spacing w:val="-3"/>
        </w:rPr>
        <w:t>基本工资</w:t>
      </w:r>
      <w:r>
        <w:rPr>
          <w:rFonts w:ascii="Times New Roman" w:hAnsi="Times New Roman" w:cs="Times New Roman" w:eastAsia="Times New Roman" w:hint="default"/>
          <w:spacing w:val="-3"/>
        </w:rPr>
        <w:t>+</w:t>
      </w:r>
      <w:r>
        <w:rPr>
          <w:spacing w:val="-3"/>
        </w:rPr>
        <w:t>绩效工资。根据公司年度经营目标完成情况以及高级管理人员的</w:t>
      </w:r>
      <w:r>
        <w:rPr>
          <w:spacing w:val="-27"/>
        </w:rPr>
        <w:t> </w:t>
      </w:r>
      <w:r>
        <w:rPr>
          <w:spacing w:val="-27"/>
        </w:rPr>
      </w:r>
      <w:r>
        <w:rPr>
          <w:spacing w:val="-2"/>
        </w:rPr>
        <w:t>工作业绩，由董事会薪酬与考核委员会对高级管理人员进行年度绩效考核，并监督薪酬制度执行情况。公</w:t>
      </w:r>
      <w:r>
        <w:rPr>
          <w:spacing w:val="-43"/>
        </w:rPr>
        <w:t> </w:t>
      </w:r>
      <w:r>
        <w:rPr>
          <w:spacing w:val="-43"/>
        </w:rPr>
      </w:r>
      <w:r>
        <w:rPr>
          <w:spacing w:val="-2"/>
        </w:rPr>
        <w:t>司则根据绩效考核结果进行奖惩并兑现其薪酬。公司董事会薪酬与考核委员会根据实际情况对公司高级管</w:t>
      </w:r>
      <w:r>
        <w:rPr>
          <w:spacing w:val="-43"/>
        </w:rPr>
        <w:t> </w:t>
      </w:r>
      <w:r>
        <w:rPr>
          <w:spacing w:val="-43"/>
        </w:rPr>
      </w:r>
      <w:r>
        <w:rPr/>
        <w:t>理人员进行考核后，一致认为</w:t>
      </w:r>
      <w:r>
        <w:rPr>
          <w:rFonts w:ascii="Times New Roman" w:hAnsi="Times New Roman" w:cs="Times New Roman" w:eastAsia="Times New Roman" w:hint="default"/>
        </w:rPr>
        <w:t>2019</w:t>
      </w:r>
      <w:r>
        <w:rPr/>
        <w:t>年度公司高级管理人员薪酬方案严格执行了公司《薪酬管理制度》。</w:t>
      </w:r>
    </w:p>
    <w:p>
      <w:pPr>
        <w:pStyle w:val="BodyText"/>
        <w:spacing w:line="388" w:lineRule="auto" w:before="19"/>
        <w:ind w:right="1126" w:firstLine="420"/>
        <w:jc w:val="left"/>
      </w:pPr>
      <w:r>
        <w:rPr>
          <w:spacing w:val="-2"/>
        </w:rPr>
        <w:t>公司根据实际经营发展的需要，经董事会、监事会及股东大会审议通过适时推行了限制性股票激励计</w:t>
      </w:r>
      <w:r>
        <w:rPr>
          <w:w w:val="100"/>
        </w:rPr>
        <w:t> </w:t>
      </w:r>
      <w:r>
        <w:rPr/>
        <w:t>划，</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日公司完成了限制性股票授予登记工作，共向高级管理人员、中层以及核心骨干等</w:t>
      </w:r>
      <w:r>
        <w:rPr>
          <w:rFonts w:ascii="Times New Roman" w:hAnsi="Times New Roman" w:cs="Times New Roman" w:eastAsia="Times New Roman" w:hint="default"/>
        </w:rPr>
        <w:t>174</w:t>
      </w:r>
      <w:r>
        <w:rPr>
          <w:rFonts w:ascii="Times New Roman" w:hAnsi="Times New Roman" w:cs="Times New Roman" w:eastAsia="Times New Roman" w:hint="default"/>
          <w:w w:val="100"/>
        </w:rPr>
        <w:t> </w:t>
      </w:r>
      <w:r>
        <w:rPr>
          <w:spacing w:val="-2"/>
        </w:rPr>
        <w:t>名激励对象授予限制性股票</w:t>
      </w:r>
      <w:r>
        <w:rPr>
          <w:rFonts w:ascii="Times New Roman" w:hAnsi="Times New Roman" w:cs="Times New Roman" w:eastAsia="Times New Roman" w:hint="default"/>
          <w:spacing w:val="-2"/>
        </w:rPr>
        <w:t>8,880,000</w:t>
      </w:r>
      <w:r>
        <w:rPr>
          <w:spacing w:val="-2"/>
        </w:rPr>
        <w:t>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日，第四届董事会</w:t>
      </w:r>
      <w:r>
        <w:rPr>
          <w:rFonts w:ascii="Times New Roman" w:hAnsi="Times New Roman" w:cs="Times New Roman" w:eastAsia="Times New Roman" w:hint="default"/>
          <w:spacing w:val="-2"/>
        </w:rPr>
        <w:t>2019</w:t>
      </w:r>
      <w:r>
        <w:rPr>
          <w:spacing w:val="-2"/>
        </w:rPr>
        <w:t>年第七次会议和第四届监事</w:t>
      </w:r>
      <w:r>
        <w:rPr>
          <w:spacing w:val="-24"/>
        </w:rPr>
        <w:t> </w:t>
      </w:r>
      <w:r>
        <w:rPr>
          <w:spacing w:val="-24"/>
        </w:rPr>
      </w:r>
      <w:r>
        <w:rPr>
          <w:spacing w:val="-3"/>
        </w:rPr>
        <w:t>会</w:t>
      </w:r>
      <w:r>
        <w:rPr>
          <w:rFonts w:ascii="Times New Roman" w:hAnsi="Times New Roman" w:cs="Times New Roman" w:eastAsia="Times New Roman" w:hint="default"/>
          <w:spacing w:val="-3"/>
        </w:rPr>
        <w:t>2019</w:t>
      </w:r>
      <w:r>
        <w:rPr>
          <w:spacing w:val="-3"/>
        </w:rPr>
        <w:t>年第七次会议审议通过了《关于限制性股票激励计划（</w:t>
      </w:r>
      <w:r>
        <w:rPr>
          <w:rFonts w:ascii="Times New Roman" w:hAnsi="Times New Roman" w:cs="Times New Roman" w:eastAsia="Times New Roman" w:hint="default"/>
          <w:spacing w:val="-3"/>
        </w:rPr>
        <w:t>2017-2019</w:t>
      </w:r>
      <w:r>
        <w:rPr>
          <w:spacing w:val="-3"/>
        </w:rPr>
        <w:t>）首次授予部分第二个解除限售期</w:t>
      </w:r>
      <w:r>
        <w:rPr>
          <w:spacing w:val="-47"/>
        </w:rPr>
        <w:t> </w:t>
      </w:r>
      <w:r>
        <w:rPr>
          <w:spacing w:val="-47"/>
        </w:rPr>
      </w:r>
      <w:r>
        <w:rPr>
          <w:spacing w:val="-4"/>
        </w:rPr>
        <w:t>解除限售条件成就的议案》，同意按照公司《限制性股票激励计划（</w:t>
      </w:r>
      <w:r>
        <w:rPr>
          <w:rFonts w:ascii="Times New Roman" w:hAnsi="Times New Roman" w:cs="Times New Roman" w:eastAsia="Times New Roman" w:hint="default"/>
          <w:spacing w:val="-4"/>
        </w:rPr>
        <w:t>2017-2019</w:t>
      </w:r>
      <w:r>
        <w:rPr>
          <w:spacing w:val="-4"/>
        </w:rPr>
        <w:t>）（草案）》等相关规定为</w:t>
      </w:r>
      <w:r>
        <w:rPr>
          <w:spacing w:val="-9"/>
        </w:rPr>
        <w:t> </w:t>
      </w:r>
      <w:r>
        <w:rPr>
          <w:spacing w:val="-9"/>
        </w:rPr>
      </w:r>
      <w:r>
        <w:rPr/>
        <w:t>符合解除限售条件的</w:t>
      </w:r>
      <w:r>
        <w:rPr>
          <w:rFonts w:ascii="Times New Roman" w:hAnsi="Times New Roman" w:cs="Times New Roman" w:eastAsia="Times New Roman" w:hint="default"/>
        </w:rPr>
        <w:t>166</w:t>
      </w:r>
      <w:r>
        <w:rPr/>
        <w:t>名激励对象所持的</w:t>
      </w:r>
      <w:r>
        <w:rPr>
          <w:rFonts w:ascii="Times New Roman" w:hAnsi="Times New Roman" w:cs="Times New Roman" w:eastAsia="Times New Roman" w:hint="default"/>
        </w:rPr>
        <w:t>3,430,000</w:t>
      </w:r>
      <w:r>
        <w:rPr/>
        <w:t>股限制性股票办理解除限售，根据公司</w:t>
      </w:r>
      <w:r>
        <w:rPr>
          <w:rFonts w:ascii="Times New Roman" w:hAnsi="Times New Roman" w:cs="Times New Roman" w:eastAsia="Times New Roman" w:hint="default"/>
        </w:rPr>
        <w:t>2017</w:t>
      </w:r>
      <w:r>
        <w:rPr/>
        <w:t>年第二次</w:t>
      </w:r>
      <w:r>
        <w:rPr>
          <w:w w:val="100"/>
        </w:rPr>
        <w:t> </w:t>
      </w:r>
      <w:r>
        <w:rPr>
          <w:spacing w:val="-2"/>
        </w:rPr>
        <w:t>临时股东大会的授权，该议案无需提交股东大会审议。公司已于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日办理完成相关解除限售事</w:t>
      </w:r>
      <w:r>
        <w:rPr>
          <w:spacing w:val="-40"/>
        </w:rPr>
        <w:t> </w:t>
      </w:r>
      <w:r>
        <w:rPr>
          <w:spacing w:val="-40"/>
        </w:rPr>
      </w:r>
      <w:r>
        <w:rPr/>
        <w:t>宜。</w:t>
      </w:r>
    </w:p>
    <w:p>
      <w:pPr>
        <w:spacing w:line="240" w:lineRule="auto" w:before="12"/>
        <w:rPr>
          <w:rFonts w:ascii="宋体" w:hAnsi="宋体" w:cs="宋体" w:eastAsia="宋体" w:hint="default"/>
          <w:sz w:val="19"/>
          <w:szCs w:val="19"/>
        </w:rPr>
      </w:pPr>
    </w:p>
    <w:p>
      <w:pPr>
        <w:pStyle w:val="Heading2"/>
        <w:spacing w:line="240" w:lineRule="auto"/>
        <w:ind w:right="992"/>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41" w:firstLine="0"/>
        <w:jc w:val="right"/>
        <w:rPr>
          <w:rFonts w:ascii="宋体" w:hAnsi="宋体" w:cs="宋体" w:eastAsia="宋体" w:hint="default"/>
          <w:sz w:val="18"/>
          <w:szCs w:val="18"/>
        </w:rPr>
      </w:pPr>
      <w:r>
        <w:rPr/>
        <w:pict>
          <v:shape style="position:absolute;margin-left:57pt;margin-top:-20.888252pt;width:478.7pt;height:217.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7"/>
                    <w:gridCol w:w="3422"/>
                    <w:gridCol w:w="3320"/>
                  </w:tblGrid>
                  <w:tr>
                    <w:trPr>
                      <w:trHeight w:val="403" w:hRule="exact"/>
                    </w:trPr>
                    <w:tc>
                      <w:tcPr>
                        <w:tcW w:w="2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在</w:t>
                        </w:r>
                        <w:r>
                          <w:rPr>
                            <w:rFonts w:ascii="宋体" w:hAnsi="宋体" w:cs="宋体" w:eastAsia="宋体" w:hint="default"/>
                            <w:sz w:val="18"/>
                            <w:szCs w:val="18"/>
                          </w:rPr>
                          <w:t>巨潮资讯网刊登</w:t>
                        </w:r>
                        <w:r>
                          <w:rPr>
                            <w:rFonts w:ascii="宋体" w:hAnsi="宋体" w:cs="宋体" w:eastAsia="宋体" w:hint="default"/>
                            <w:spacing w:val="-92"/>
                            <w:sz w:val="18"/>
                            <w:szCs w:val="18"/>
                          </w:rPr>
                          <w:t>的</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715" w:hRule="exact"/>
                    </w:trPr>
                    <w:tc>
                      <w:tcPr>
                        <w:tcW w:w="2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106.58%</w:t>
                        </w:r>
                      </w:p>
                    </w:tc>
                  </w:tr>
                  <w:tr>
                    <w:trPr>
                      <w:trHeight w:val="713" w:hRule="exact"/>
                    </w:trPr>
                    <w:tc>
                      <w:tcPr>
                        <w:tcW w:w="2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100.51%</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2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422" w:type="dxa"/>
                        <w:vMerge w:val="restart"/>
                        <w:tcBorders>
                          <w:top w:val="single" w:sz="4" w:space="0" w:color="000000"/>
                          <w:left w:val="single" w:sz="10" w:space="0" w:color="D2D2D2"/>
                          <w:right w:val="single" w:sz="10" w:space="0" w:color="FFFFFF"/>
                        </w:tcBorders>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取决于由于该内部控制缺陷的存在可能导 致的财务报告错报的重要程度。重大缺陷： 如果一项内部控制缺陷单独或连同其他缺 陷可能导致不能及时防止或发现并纠正财</w:t>
                        </w:r>
                      </w:p>
                    </w:tc>
                    <w:tc>
                      <w:tcPr>
                        <w:tcW w:w="3320" w:type="dxa"/>
                        <w:vMerge w:val="restart"/>
                        <w:tcBorders>
                          <w:top w:val="single" w:sz="4" w:space="0" w:color="000000"/>
                          <w:left w:val="single" w:sz="10" w:space="0" w:color="FFFFFF"/>
                          <w:right w:val="single" w:sz="4" w:space="0" w:color="000000"/>
                        </w:tcBorders>
                      </w:tcPr>
                      <w:p>
                        <w:pPr>
                          <w:pStyle w:val="TableParagraph"/>
                          <w:spacing w:line="316" w:lineRule="auto" w:before="49"/>
                          <w:ind w:left="4" w:right="56"/>
                          <w:jc w:val="both"/>
                          <w:rPr>
                            <w:rFonts w:ascii="宋体" w:hAnsi="宋体" w:cs="宋体" w:eastAsia="宋体" w:hint="default"/>
                            <w:sz w:val="18"/>
                            <w:szCs w:val="18"/>
                          </w:rPr>
                        </w:pPr>
                        <w:r>
                          <w:rPr>
                            <w:rFonts w:ascii="宋体" w:hAnsi="宋体" w:cs="宋体" w:eastAsia="宋体" w:hint="default"/>
                            <w:sz w:val="18"/>
                            <w:szCs w:val="18"/>
                          </w:rPr>
                          <w:t>取决于缺陷的严重程度，根据其直接或潜 在负面影响的性质、影响的范围等因素确 定。重大缺陷：对存在的问题不采取任何 行动有较大的可能导致严重的偏离控制目</w:t>
                        </w:r>
                      </w:p>
                    </w:tc>
                  </w:tr>
                  <w:tr>
                    <w:trPr>
                      <w:trHeight w:val="391" w:hRule="exact"/>
                    </w:trPr>
                    <w:tc>
                      <w:tcPr>
                        <w:tcW w:w="2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22" w:type="dxa"/>
                        <w:vMerge/>
                        <w:tcBorders>
                          <w:left w:val="single" w:sz="10" w:space="0" w:color="D2D2D2"/>
                          <w:right w:val="single" w:sz="10" w:space="0" w:color="FFFFFF"/>
                        </w:tcBorders>
                      </w:tcPr>
                      <w:p>
                        <w:pPr/>
                      </w:p>
                    </w:tc>
                    <w:tc>
                      <w:tcPr>
                        <w:tcW w:w="3320" w:type="dxa"/>
                        <w:vMerge/>
                        <w:tcBorders>
                          <w:left w:val="single" w:sz="10" w:space="0" w:color="FFFFFF"/>
                          <w:right w:val="single" w:sz="4" w:space="0" w:color="000000"/>
                        </w:tcBorders>
                      </w:tcPr>
                      <w:p>
                        <w:pPr/>
                      </w:p>
                    </w:tc>
                  </w:tr>
                  <w:tr>
                    <w:trPr>
                      <w:trHeight w:val="454" w:hRule="exact"/>
                    </w:trPr>
                    <w:tc>
                      <w:tcPr>
                        <w:tcW w:w="2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422" w:type="dxa"/>
                        <w:vMerge/>
                        <w:tcBorders>
                          <w:left w:val="single" w:sz="10" w:space="0" w:color="D2D2D2"/>
                          <w:bottom w:val="single" w:sz="4" w:space="0" w:color="000000"/>
                          <w:right w:val="single" w:sz="10" w:space="0" w:color="FFFFFF"/>
                        </w:tcBorders>
                      </w:tcPr>
                      <w:p>
                        <w:pPr/>
                      </w:p>
                    </w:tc>
                    <w:tc>
                      <w:tcPr>
                        <w:tcW w:w="3320" w:type="dxa"/>
                        <w:vMerge/>
                        <w:tcBorders>
                          <w:left w:val="single" w:sz="10" w:space="0" w:color="FFFFFF"/>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4"/>
        <w:gridCol w:w="3404"/>
        <w:gridCol w:w="3332"/>
      </w:tblGrid>
      <w:tr>
        <w:trPr>
          <w:trHeight w:val="4419"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2"/>
              <w:jc w:val="left"/>
              <w:rPr>
                <w:rFonts w:ascii="宋体" w:hAnsi="宋体" w:cs="宋体" w:eastAsia="宋体" w:hint="default"/>
                <w:sz w:val="18"/>
                <w:szCs w:val="18"/>
              </w:rPr>
            </w:pPr>
            <w:r>
              <w:rPr>
                <w:rFonts w:ascii="宋体" w:hAnsi="宋体" w:cs="宋体" w:eastAsia="宋体" w:hint="default"/>
                <w:spacing w:val="-4"/>
                <w:sz w:val="18"/>
                <w:szCs w:val="18"/>
              </w:rPr>
              <w:t>务报告中的重大错报，应将该缺陷认定为重</w:t>
            </w:r>
            <w:r>
              <w:rPr>
                <w:rFonts w:ascii="宋体" w:hAnsi="宋体" w:cs="宋体" w:eastAsia="宋体" w:hint="default"/>
                <w:sz w:val="18"/>
                <w:szCs w:val="18"/>
              </w:rPr>
              <w:t> 大缺陷。存在下列情形的</w:t>
            </w:r>
            <w:r>
              <w:rPr>
                <w:rFonts w:ascii="Times New Roman" w:hAnsi="Times New Roman" w:cs="Times New Roman" w:eastAsia="Times New Roman" w:hint="default"/>
                <w:sz w:val="18"/>
                <w:szCs w:val="18"/>
              </w:rPr>
              <w:t>,</w:t>
            </w:r>
            <w:r>
              <w:rPr>
                <w:rFonts w:ascii="宋体" w:hAnsi="宋体" w:cs="宋体" w:eastAsia="宋体" w:hint="default"/>
                <w:sz w:val="18"/>
                <w:szCs w:val="18"/>
              </w:rPr>
              <w:t>表明财务报告内 部控制可能存在重大缺陷：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 和高级管理人员舞弊；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企业更正已上报 或公布的财务报告；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内控评价部门发现 </w:t>
            </w:r>
            <w:r>
              <w:rPr>
                <w:rFonts w:ascii="宋体" w:hAnsi="宋体" w:cs="宋体" w:eastAsia="宋体" w:hint="default"/>
                <w:spacing w:val="-4"/>
                <w:sz w:val="18"/>
                <w:szCs w:val="18"/>
              </w:rPr>
              <w:t>当期财务报告存在重大错报，而被评估单位</w:t>
            </w:r>
            <w:r>
              <w:rPr>
                <w:rFonts w:ascii="宋体" w:hAnsi="宋体" w:cs="宋体" w:eastAsia="宋体" w:hint="default"/>
                <w:sz w:val="18"/>
                <w:szCs w:val="18"/>
              </w:rPr>
              <w:t> 内部控制在运行过程中未能发现该错报；</w:t>
            </w:r>
          </w:p>
          <w:p>
            <w:pPr>
              <w:pStyle w:val="TableParagraph"/>
              <w:spacing w:line="314" w:lineRule="auto" w:before="26"/>
              <w:ind w:left="23" w:right="2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）重大偏离预算；（</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）监管机构处罚。</w:t>
            </w:r>
            <w:r>
              <w:rPr>
                <w:rFonts w:ascii="宋体" w:hAnsi="宋体" w:cs="宋体" w:eastAsia="宋体" w:hint="default"/>
                <w:spacing w:val="-80"/>
                <w:sz w:val="18"/>
                <w:szCs w:val="18"/>
              </w:rPr>
              <w:t> </w:t>
            </w:r>
            <w:r>
              <w:rPr>
                <w:rFonts w:ascii="宋体" w:hAnsi="宋体" w:cs="宋体" w:eastAsia="宋体" w:hint="default"/>
                <w:spacing w:val="-4"/>
                <w:sz w:val="18"/>
                <w:szCs w:val="18"/>
              </w:rPr>
              <w:t>重要缺陷：一项内部控制缺陷单独或连同其</w:t>
            </w:r>
            <w:r>
              <w:rPr>
                <w:rFonts w:ascii="宋体" w:hAnsi="宋体" w:cs="宋体" w:eastAsia="宋体" w:hint="default"/>
                <w:sz w:val="18"/>
                <w:szCs w:val="18"/>
              </w:rPr>
              <w:t> 他缺陷可能导致不能及时防止或发现并纠 正财务报告中虽然未达到和超过重要性水 平，但仍应引起董事会和管理层重视的错 </w:t>
            </w:r>
            <w:r>
              <w:rPr>
                <w:rFonts w:ascii="宋体" w:hAnsi="宋体" w:cs="宋体" w:eastAsia="宋体" w:hint="default"/>
                <w:spacing w:val="-4"/>
                <w:sz w:val="18"/>
                <w:szCs w:val="18"/>
              </w:rPr>
              <w:t>报。一般缺陷：不构成重大缺陷和重要缺陷</w:t>
            </w:r>
            <w:r>
              <w:rPr>
                <w:rFonts w:ascii="宋体" w:hAnsi="宋体" w:cs="宋体" w:eastAsia="宋体" w:hint="default"/>
                <w:sz w:val="18"/>
                <w:szCs w:val="18"/>
              </w:rPr>
              <w:t> 的内部控制缺陷。</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4"/>
              <w:jc w:val="both"/>
              <w:rPr>
                <w:rFonts w:ascii="宋体" w:hAnsi="宋体" w:cs="宋体" w:eastAsia="宋体" w:hint="default"/>
                <w:sz w:val="18"/>
                <w:szCs w:val="18"/>
              </w:rPr>
            </w:pPr>
            <w:r>
              <w:rPr>
                <w:rFonts w:ascii="宋体" w:hAnsi="宋体" w:cs="宋体" w:eastAsia="宋体" w:hint="default"/>
                <w:sz w:val="18"/>
                <w:szCs w:val="18"/>
              </w:rPr>
              <w:t>标的缺陷。存在下列情形的，表明非财务 报告内部控制可能存在重大缺陷：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企业 缺乏重大事项集体决策程序；</w:t>
            </w:r>
            <w:r>
              <w:rPr>
                <w:rFonts w:ascii="Times New Roman" w:hAnsi="Times New Roman" w:cs="Times New Roman" w:eastAsia="Times New Roman" w:hint="default"/>
                <w:sz w:val="18"/>
                <w:szCs w:val="18"/>
              </w:rPr>
              <w:t>(2)</w:t>
            </w:r>
            <w:r>
              <w:rPr>
                <w:rFonts w:ascii="宋体" w:hAnsi="宋体" w:cs="宋体" w:eastAsia="宋体" w:hint="default"/>
                <w:sz w:val="18"/>
                <w:szCs w:val="18"/>
              </w:rPr>
              <w:t>有违犯国 家法律、法规，受到处罚的情形；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管理 人员或技术人员纷纷流失；</w:t>
            </w:r>
            <w:r>
              <w:rPr>
                <w:rFonts w:ascii="Times New Roman" w:hAnsi="Times New Roman" w:cs="Times New Roman" w:eastAsia="Times New Roman" w:hint="default"/>
                <w:sz w:val="18"/>
                <w:szCs w:val="18"/>
              </w:rPr>
              <w:t>(4)</w:t>
            </w:r>
            <w:r>
              <w:rPr>
                <w:rFonts w:ascii="宋体" w:hAnsi="宋体" w:cs="宋体" w:eastAsia="宋体" w:hint="default"/>
                <w:sz w:val="18"/>
                <w:szCs w:val="18"/>
              </w:rPr>
              <w:t>媒体负面新 闻频现，给公司形象造成恶劣影响；</w:t>
            </w:r>
            <w:r>
              <w:rPr>
                <w:rFonts w:ascii="Times New Roman" w:hAnsi="Times New Roman" w:cs="Times New Roman" w:eastAsia="Times New Roman" w:hint="default"/>
                <w:sz w:val="18"/>
                <w:szCs w:val="18"/>
              </w:rPr>
              <w:t>(5)</w:t>
            </w:r>
            <w:r>
              <w:rPr>
                <w:rFonts w:ascii="宋体" w:hAnsi="宋体" w:cs="宋体" w:eastAsia="宋体" w:hint="default"/>
                <w:sz w:val="18"/>
                <w:szCs w:val="18"/>
              </w:rPr>
              <w:t>内 部控制评价的结果特别是重大或重要缺陷 未得到整改；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重要业务缺乏制度控制或 制度系统性失效；</w:t>
            </w:r>
            <w:r>
              <w:rPr>
                <w:rFonts w:ascii="Times New Roman" w:hAnsi="Times New Roman" w:cs="Times New Roman" w:eastAsia="Times New Roman" w:hint="default"/>
                <w:sz w:val="18"/>
                <w:szCs w:val="18"/>
              </w:rPr>
              <w:t>(7)</w:t>
            </w:r>
            <w:r>
              <w:rPr>
                <w:rFonts w:ascii="宋体" w:hAnsi="宋体" w:cs="宋体" w:eastAsia="宋体" w:hint="default"/>
                <w:sz w:val="18"/>
                <w:szCs w:val="18"/>
              </w:rPr>
              <w:t>出现重大产品质量事 故；</w:t>
            </w:r>
            <w:r>
              <w:rPr>
                <w:rFonts w:ascii="Times New Roman" w:hAnsi="Times New Roman" w:cs="Times New Roman" w:eastAsia="Times New Roman" w:hint="default"/>
                <w:sz w:val="18"/>
                <w:szCs w:val="18"/>
              </w:rPr>
              <w:t>(8)</w:t>
            </w:r>
            <w:r>
              <w:rPr>
                <w:rFonts w:ascii="宋体" w:hAnsi="宋体" w:cs="宋体" w:eastAsia="宋体" w:hint="default"/>
                <w:sz w:val="18"/>
                <w:szCs w:val="18"/>
              </w:rPr>
              <w:t>出现重大安全事故。重要缺陷：对 存在的问题不采取任何行动有一定的可能 导致较大的负面影响的缺陷。一般缺陷： 对存在的问题不采取任何行动可能导致较 小范围的目标偏离的缺陷。</w:t>
            </w:r>
          </w:p>
        </w:tc>
      </w:tr>
      <w:tr>
        <w:trPr>
          <w:trHeight w:val="196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4"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53"/>
                <w:sz w:val="18"/>
                <w:szCs w:val="18"/>
              </w:rPr>
              <w:t> </w:t>
            </w: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；错</w:t>
            </w:r>
            <w:r>
              <w:rPr>
                <w:rFonts w:ascii="宋体" w:hAnsi="宋体" w:cs="宋体" w:eastAsia="宋体" w:hint="default"/>
                <w:spacing w:val="-32"/>
                <w:sz w:val="18"/>
                <w:szCs w:val="18"/>
              </w:rPr>
              <w:t> </w:t>
            </w:r>
            <w:r>
              <w:rPr>
                <w:rFonts w:ascii="宋体" w:hAnsi="宋体" w:cs="宋体" w:eastAsia="宋体" w:hint="default"/>
                <w:sz w:val="18"/>
                <w:szCs w:val="18"/>
              </w:rPr>
              <w:t>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、重要缺陷：</w:t>
            </w:r>
            <w:r>
              <w:rPr>
                <w:rFonts w:ascii="宋体" w:hAnsi="宋体" w:cs="宋体" w:eastAsia="宋体" w:hint="default"/>
                <w:spacing w:val="-34"/>
                <w:sz w:val="18"/>
                <w:szCs w:val="18"/>
              </w:rPr>
              <w:t> </w:t>
            </w:r>
            <w:r>
              <w:rPr>
                <w:rFonts w:ascii="宋体" w:hAnsi="宋体" w:cs="宋体" w:eastAsia="宋体" w:hint="default"/>
                <w:sz w:val="18"/>
                <w:szCs w:val="18"/>
              </w:rPr>
              <w:t>资产总额的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62"/>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营业收入总额的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 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332" w:type="dxa"/>
            <w:tcBorders>
              <w:top w:val="single" w:sz="4" w:space="0" w:color="000000"/>
              <w:left w:val="single" w:sz="10" w:space="0" w:color="FFFFFF"/>
              <w:bottom w:val="single" w:sz="4" w:space="0" w:color="000000"/>
              <w:right w:val="single" w:sz="4" w:space="0" w:color="000000"/>
            </w:tcBorders>
          </w:tcPr>
          <w:p>
            <w:pPr>
              <w:pStyle w:val="TableParagraph"/>
              <w:spacing w:line="304" w:lineRule="auto" w:before="49"/>
              <w:ind w:left="16"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、重大缺陷：非财务报告内部控制缺陷导</w:t>
            </w:r>
            <w:r>
              <w:rPr>
                <w:rFonts w:ascii="宋体" w:hAnsi="宋体" w:cs="宋体" w:eastAsia="宋体" w:hint="default"/>
                <w:sz w:val="18"/>
                <w:szCs w:val="18"/>
              </w:rPr>
              <w:t> 致的直接经济损失金额</w:t>
            </w:r>
            <w:r>
              <w:rPr>
                <w:rFonts w:ascii="Times New Roman" w:hAnsi="Times New Roman" w:cs="Times New Roman" w:eastAsia="Times New Roman" w:hint="default"/>
                <w:sz w:val="18"/>
                <w:szCs w:val="18"/>
              </w:rPr>
              <w:t>&gt;100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2</w:t>
            </w:r>
            <w:r>
              <w:rPr>
                <w:rFonts w:ascii="宋体" w:hAnsi="宋体" w:cs="宋体" w:eastAsia="宋体" w:hint="default"/>
                <w:sz w:val="18"/>
                <w:szCs w:val="18"/>
              </w:rPr>
              <w:t>、重要 缺陷：</w:t>
            </w:r>
            <w:r>
              <w:rPr>
                <w:rFonts w:ascii="Times New Roman" w:hAnsi="Times New Roman" w:cs="Times New Roman" w:eastAsia="Times New Roman" w:hint="default"/>
                <w:sz w:val="18"/>
                <w:szCs w:val="18"/>
              </w:rPr>
              <w:t>20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非财务报告内部控制缺陷 导致的直接经济损失</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缺陷：非财务报告内部控制缺陷导致的直 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3"/>
              <w:ind w:right="0"/>
              <w:jc w:val="left"/>
              <w:rPr>
                <w:rFonts w:ascii="宋体" w:hAnsi="宋体" w:cs="宋体" w:eastAsia="宋体" w:hint="default"/>
                <w:sz w:val="26"/>
                <w:szCs w:val="26"/>
              </w:rPr>
            </w:pPr>
          </w:p>
          <w:p>
            <w:pPr>
              <w:pStyle w:val="TableParagraph"/>
              <w:spacing w:line="624" w:lineRule="exact"/>
              <w:ind w:left="16" w:right="-26"/>
              <w:jc w:val="left"/>
              <w:rPr>
                <w:rFonts w:ascii="宋体" w:hAnsi="宋体" w:cs="宋体" w:eastAsia="宋体" w:hint="default"/>
                <w:sz w:val="20"/>
                <w:szCs w:val="20"/>
              </w:rPr>
            </w:pPr>
            <w:r>
              <w:rPr>
                <w:rFonts w:ascii="宋体" w:hAnsi="宋体" w:cs="宋体" w:eastAsia="宋体" w:hint="default"/>
                <w:position w:val="-11"/>
                <w:sz w:val="20"/>
                <w:szCs w:val="20"/>
              </w:rPr>
              <w:pict>
                <v:group style="width:163.7pt;height:31.2pt;mso-position-horizontal-relative:char;mso-position-vertical-relative:line" coordorigin="0,0" coordsize="3274,624">
                  <v:group style="position:absolute;left:0;top:0;width:3274;height:312" coordorigin="0,0" coordsize="3274,312">
                    <v:shape style="position:absolute;left:0;top:0;width:3274;height:312" coordorigin="0,0" coordsize="3274,312" path="m0,312l3274,312,3274,0,0,0,0,312xe" filled="true" fillcolor="#ffffff" stroked="false">
                      <v:path arrowok="t"/>
                      <v:fill type="solid"/>
                    </v:shape>
                  </v:group>
                  <v:group style="position:absolute;left:0;top:312;width:3274;height:312" coordorigin="0,312" coordsize="3274,312">
                    <v:shape style="position:absolute;left:0;top:312;width:3274;height:312" coordorigin="0,312" coordsize="3274,312" path="m0,624l3274,624,3274,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十、内部控制审计报告或鉴证报告</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92"/>
        <w:jc w:val="left"/>
      </w:pP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992"/>
        <w:jc w:val="left"/>
        <w:rPr>
          <w:b w:val="0"/>
          <w:bCs w:val="0"/>
        </w:rPr>
      </w:pPr>
      <w:bookmarkStart w:name="_bookmark10" w:id="11"/>
      <w:bookmarkEnd w:id="11"/>
      <w:r>
        <w:rPr>
          <w:b w:val="0"/>
          <w:bCs w:val="0"/>
        </w:rPr>
      </w:r>
      <w:r>
        <w:rPr/>
        <w:t>第十一节</w:t>
      </w:r>
      <w:r>
        <w:rPr>
          <w:spacing w:val="-5"/>
        </w:rPr>
        <w:t> </w:t>
      </w:r>
      <w:r>
        <w:rPr/>
        <w:t>公司债券相关情况</w:t>
      </w:r>
      <w:r>
        <w:rPr>
          <w:b w:val="0"/>
          <w:bCs w:val="0"/>
        </w:rPr>
      </w:r>
    </w:p>
    <w:p>
      <w:pPr>
        <w:spacing w:line="240" w:lineRule="auto" w:before="13"/>
        <w:rPr>
          <w:rFonts w:ascii="宋体" w:hAnsi="宋体" w:cs="宋体" w:eastAsia="宋体" w:hint="default"/>
          <w:b/>
          <w:bCs/>
          <w:sz w:val="46"/>
          <w:szCs w:val="46"/>
        </w:rPr>
      </w:pPr>
    </w:p>
    <w:p>
      <w:pPr>
        <w:pStyle w:val="BodyText"/>
        <w:spacing w:line="408" w:lineRule="auto" w:before="0"/>
        <w:ind w:right="992" w:firstLine="420"/>
        <w:jc w:val="left"/>
      </w:pPr>
      <w:r>
        <w:rPr>
          <w:spacing w:val="-2"/>
        </w:rPr>
        <w:t>公司是否存在公开发行并在证券交易所上市，且在年度报告批准报出日未到期或到期未能全额兑付的</w:t>
      </w:r>
      <w:r>
        <w:rPr>
          <w:w w:val="100"/>
        </w:rPr>
        <w:t> </w:t>
      </w:r>
      <w:r>
        <w:rPr/>
        <w:t>公司债券</w:t>
      </w:r>
    </w:p>
    <w:p>
      <w:pPr>
        <w:pStyle w:val="BodyText"/>
        <w:spacing w:line="240" w:lineRule="auto" w:before="84"/>
        <w:ind w:left="573" w:right="992"/>
        <w:jc w:val="left"/>
      </w:pPr>
      <w:r>
        <w:rPr>
          <w:w w:val="100"/>
        </w:rPr>
        <w:t>否</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992"/>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9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371ZA8048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王宗佩、沈晓玮</w:t>
            </w:r>
          </w:p>
        </w:tc>
      </w:tr>
    </w:tbl>
    <w:p>
      <w:pPr>
        <w:spacing w:line="240" w:lineRule="auto" w:before="4"/>
        <w:rPr>
          <w:rFonts w:ascii="宋体" w:hAnsi="宋体" w:cs="宋体" w:eastAsia="宋体" w:hint="default"/>
          <w:b/>
          <w:bCs/>
          <w:sz w:val="5"/>
          <w:szCs w:val="5"/>
        </w:rPr>
      </w:pPr>
    </w:p>
    <w:p>
      <w:pPr>
        <w:pStyle w:val="BodyText"/>
        <w:spacing w:line="441" w:lineRule="auto" w:before="36"/>
        <w:ind w:right="5311" w:firstLine="4189"/>
        <w:jc w:val="left"/>
      </w:pPr>
      <w:r>
        <w:rPr>
          <w:spacing w:val="-1"/>
        </w:rPr>
        <w:t>审计报告正文</w:t>
      </w:r>
      <w:r>
        <w:rPr>
          <w:w w:val="100"/>
        </w:rPr>
        <w:t> </w:t>
      </w:r>
      <w:r>
        <w:rPr/>
        <w:t>尤洛卡精准信息工程股份有限公司全体股东：</w:t>
      </w:r>
    </w:p>
    <w:p>
      <w:pPr>
        <w:pStyle w:val="BodyText"/>
        <w:spacing w:line="408" w:lineRule="auto" w:before="16"/>
        <w:ind w:left="573" w:right="992"/>
        <w:jc w:val="left"/>
      </w:pPr>
      <w:r>
        <w:rPr/>
        <w:t>一、审计意见</w:t>
      </w:r>
      <w:r>
        <w:rPr>
          <w:w w:val="100"/>
        </w:rPr>
        <w:t> </w:t>
      </w:r>
      <w:r>
        <w:rPr>
          <w:spacing w:val="-2"/>
        </w:rPr>
        <w:t>我们审计了尤洛卡精准信息工程股份有限公司（以下简称精准信息公司）财务报表，包括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p>
    <w:p>
      <w:pPr>
        <w:pStyle w:val="BodyText"/>
        <w:spacing w:line="386" w:lineRule="auto" w:before="14"/>
        <w:ind w:right="992"/>
        <w:jc w:val="left"/>
      </w:pP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2019</w:t>
      </w:r>
      <w:r>
        <w:rPr>
          <w:spacing w:val="-2"/>
        </w:rPr>
        <w:t>年度的合并及公司利润表、合并及公司现金流量表、合并及公司股东</w:t>
      </w:r>
      <w:r>
        <w:rPr>
          <w:spacing w:val="-38"/>
        </w:rPr>
        <w:t> </w:t>
      </w:r>
      <w:r>
        <w:rPr>
          <w:spacing w:val="-38"/>
        </w:rPr>
      </w:r>
      <w:r>
        <w:rPr/>
        <w:t>权益变动表以及相关财务报表附注。</w:t>
      </w:r>
    </w:p>
    <w:p>
      <w:pPr>
        <w:pStyle w:val="BodyText"/>
        <w:spacing w:line="240" w:lineRule="auto" w:before="65"/>
        <w:ind w:left="573" w:right="992"/>
        <w:jc w:val="left"/>
      </w:pPr>
      <w:r>
        <w:rPr/>
        <w:t>我们认为，后附的财务报表在所有重大方面按照企业会计准则的规定编制，公允反映了精准信息公司</w:t>
      </w:r>
    </w:p>
    <w:p>
      <w:pPr>
        <w:spacing w:line="240" w:lineRule="auto" w:before="10"/>
        <w:rPr>
          <w:rFonts w:ascii="宋体" w:hAnsi="宋体" w:cs="宋体" w:eastAsia="宋体" w:hint="default"/>
          <w:sz w:val="14"/>
          <w:szCs w:val="14"/>
        </w:rPr>
      </w:pPr>
    </w:p>
    <w:p>
      <w:pPr>
        <w:pStyle w:val="BodyText"/>
        <w:spacing w:line="398" w:lineRule="auto" w:before="0"/>
        <w:ind w:left="573" w:right="992" w:hanging="42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2019</w:t>
      </w:r>
      <w:r>
        <w:rPr/>
        <w:t>年度的合并及公司的经营成果和现金流量。</w:t>
      </w:r>
      <w:r>
        <w:rPr>
          <w:w w:val="100"/>
        </w:rPr>
        <w:t> </w:t>
      </w:r>
      <w:r>
        <w:rPr/>
        <w:t>二、形成审计意见的基础</w:t>
      </w:r>
      <w:r>
        <w:rPr>
          <w:w w:val="100"/>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w:t>
      </w:r>
    </w:p>
    <w:p>
      <w:pPr>
        <w:pStyle w:val="BodyText"/>
        <w:spacing w:line="398" w:lineRule="auto" w:before="24"/>
        <w:ind w:right="992"/>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部分进一步阐述了我们在这些准则下的责任。按照中国注册会计师职业道德守则，我们独立于精</w:t>
      </w:r>
      <w:r>
        <w:rPr>
          <w:w w:val="100"/>
        </w:rPr>
        <w:t> </w:t>
      </w:r>
      <w:r>
        <w:rPr>
          <w:spacing w:val="-2"/>
        </w:rPr>
        <w:t>准信息公司，并履行了职业道德方面的其他责任。我们相信，我们获取的审计证据是充分、适当的，为发</w:t>
      </w:r>
      <w:r>
        <w:rPr>
          <w:spacing w:val="-43"/>
        </w:rPr>
        <w:t> </w:t>
      </w:r>
      <w:r>
        <w:rPr>
          <w:spacing w:val="-43"/>
        </w:rPr>
      </w:r>
      <w:r>
        <w:rPr/>
        <w:t>表审计意见提供了基础。</w:t>
      </w:r>
    </w:p>
    <w:p>
      <w:pPr>
        <w:pStyle w:val="BodyText"/>
        <w:spacing w:line="408" w:lineRule="auto" w:before="54"/>
        <w:ind w:left="573" w:right="992"/>
        <w:jc w:val="left"/>
      </w:pPr>
      <w:r>
        <w:rPr/>
        <w:t>三、关键审计事项</w:t>
      </w:r>
      <w:r>
        <w:rPr>
          <w:w w:val="100"/>
        </w:rPr>
        <w:t> </w:t>
      </w:r>
      <w:r>
        <w:rPr>
          <w:spacing w:val="-2"/>
        </w:rPr>
        <w:t>关键审计事项是我们根据职业判断，认为对本期财务报表审计最为重要的事项。这些事项的应对以对</w:t>
      </w:r>
    </w:p>
    <w:p>
      <w:pPr>
        <w:pStyle w:val="BodyText"/>
        <w:spacing w:line="240" w:lineRule="auto"/>
        <w:ind w:right="992"/>
        <w:jc w:val="left"/>
      </w:pPr>
      <w:r>
        <w:rPr/>
        <w:t>财务报表整体进行审计并形成审计意见为背景，我们不对这些事项单独发表意见。</w:t>
      </w:r>
    </w:p>
    <w:p>
      <w:pPr>
        <w:spacing w:line="240" w:lineRule="auto" w:before="11"/>
        <w:rPr>
          <w:rFonts w:ascii="宋体" w:hAnsi="宋体" w:cs="宋体" w:eastAsia="宋体" w:hint="default"/>
          <w:sz w:val="14"/>
          <w:szCs w:val="14"/>
        </w:rPr>
      </w:pPr>
    </w:p>
    <w:p>
      <w:pPr>
        <w:pStyle w:val="BodyText"/>
        <w:spacing w:line="398" w:lineRule="auto" w:before="0"/>
        <w:ind w:left="573" w:right="4608"/>
        <w:jc w:val="left"/>
      </w:pPr>
      <w:r>
        <w:rPr/>
        <w:t>（一）收入确认</w:t>
      </w:r>
      <w:r>
        <w:rPr>
          <w:spacing w:val="-103"/>
        </w:rPr>
        <w:t> </w:t>
      </w:r>
      <w:r>
        <w:rPr>
          <w:spacing w:val="-103"/>
        </w:rPr>
      </w:r>
      <w:r>
        <w:rPr>
          <w:spacing w:val="-2"/>
        </w:rPr>
        <w:t>相关信息披露详见财务报表附注五、</w:t>
      </w:r>
      <w:r>
        <w:rPr>
          <w:rFonts w:ascii="Times New Roman" w:hAnsi="Times New Roman" w:cs="Times New Roman" w:eastAsia="Times New Roman" w:hint="default"/>
          <w:spacing w:val="-2"/>
        </w:rPr>
        <w:t>23</w:t>
      </w:r>
      <w:r>
        <w:rPr>
          <w:spacing w:val="-2"/>
        </w:rPr>
        <w:t>及附注七、</w:t>
      </w:r>
      <w:r>
        <w:rPr>
          <w:rFonts w:ascii="Times New Roman" w:hAnsi="Times New Roman" w:cs="Times New Roman" w:eastAsia="Times New Roman" w:hint="default"/>
          <w:spacing w:val="-2"/>
        </w:rPr>
        <w:t>30</w:t>
      </w:r>
      <w:r>
        <w:rPr>
          <w:spacing w:val="-2"/>
        </w:rPr>
        <w:t>。</w:t>
      </w:r>
      <w:r>
        <w:rPr>
          <w:spacing w:val="-58"/>
        </w:rPr>
        <w:t> </w:t>
      </w:r>
      <w:r>
        <w:rPr>
          <w:rFonts w:ascii="Times New Roman" w:hAnsi="Times New Roman" w:cs="Times New Roman" w:eastAsia="Times New Roman" w:hint="default"/>
        </w:rPr>
        <w:t>1</w:t>
      </w:r>
      <w:r>
        <w:rPr/>
        <w:t>、事项描述</w:t>
      </w:r>
    </w:p>
    <w:p>
      <w:pPr>
        <w:pStyle w:val="BodyText"/>
        <w:spacing w:line="386" w:lineRule="auto" w:before="24"/>
        <w:ind w:right="992" w:firstLine="420"/>
        <w:jc w:val="left"/>
      </w:pPr>
      <w:r>
        <w:rPr>
          <w:spacing w:val="-3"/>
        </w:rPr>
        <w:t>于</w:t>
      </w:r>
      <w:r>
        <w:rPr>
          <w:rFonts w:ascii="Times New Roman" w:hAnsi="Times New Roman" w:cs="Times New Roman" w:eastAsia="Times New Roman" w:hint="default"/>
          <w:spacing w:val="-3"/>
        </w:rPr>
        <w:t>2019</w:t>
      </w:r>
      <w:r>
        <w:rPr>
          <w:spacing w:val="-3"/>
        </w:rPr>
        <w:t>年度，精准信息公司实现的营业收入金额为</w:t>
      </w:r>
      <w:r>
        <w:rPr>
          <w:rFonts w:ascii="Times New Roman" w:hAnsi="Times New Roman" w:cs="Times New Roman" w:eastAsia="Times New Roman" w:hint="default"/>
          <w:spacing w:val="-3"/>
        </w:rPr>
        <w:t>471,866,245.30</w:t>
      </w:r>
      <w:r>
        <w:rPr>
          <w:spacing w:val="-3"/>
        </w:rPr>
        <w:t>元。由于收入是精准信息公司的关键</w:t>
      </w:r>
      <w:r>
        <w:rPr>
          <w:w w:val="100"/>
        </w:rPr>
        <w:t> </w:t>
      </w:r>
      <w:r>
        <w:rPr>
          <w:spacing w:val="-2"/>
        </w:rPr>
        <w:t>业绩指标之一，从而存在精准信息管理层（以下简称管理层）为了达到特定目的或期望而操纵收入确认的</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2"/>
        <w:jc w:val="left"/>
      </w:pPr>
      <w:r>
        <w:rPr>
          <w:spacing w:val="-2"/>
        </w:rPr>
        <w:t>固有风险，且收入是否在恰当的财务报表期间确认入账可能存在潜在报错且对财务报表具有重大影响，因</w:t>
      </w:r>
      <w:r>
        <w:rPr>
          <w:spacing w:val="-43"/>
        </w:rPr>
        <w:t> </w:t>
      </w:r>
      <w:r>
        <w:rPr>
          <w:spacing w:val="-43"/>
        </w:rPr>
      </w:r>
      <w:r>
        <w:rPr/>
        <w:t>此我们将收入的确认作为关键审计事项。</w:t>
      </w:r>
    </w:p>
    <w:p>
      <w:pPr>
        <w:pStyle w:val="BodyText"/>
        <w:spacing w:line="386" w:lineRule="auto"/>
        <w:ind w:left="573" w:right="5311"/>
        <w:jc w:val="left"/>
      </w:pPr>
      <w:r>
        <w:rPr>
          <w:rFonts w:ascii="Times New Roman" w:hAnsi="Times New Roman" w:cs="Times New Roman" w:eastAsia="Times New Roman" w:hint="default"/>
        </w:rPr>
        <w:t>2</w:t>
      </w:r>
      <w:r>
        <w:rPr/>
        <w:t>、审计应对</w:t>
      </w:r>
      <w:r>
        <w:rPr>
          <w:w w:val="100"/>
        </w:rPr>
        <w:t> </w:t>
      </w:r>
      <w:r>
        <w:rPr>
          <w:spacing w:val="-2"/>
        </w:rPr>
        <w:t>我们对收入确认主要执行了以下审计程序：</w:t>
      </w:r>
    </w:p>
    <w:p>
      <w:pPr>
        <w:pStyle w:val="BodyText"/>
        <w:spacing w:line="240" w:lineRule="auto" w:before="65"/>
        <w:ind w:left="573" w:right="992"/>
        <w:jc w:val="left"/>
      </w:pPr>
      <w:r>
        <w:rPr/>
        <w:t>（</w:t>
      </w:r>
      <w:r>
        <w:rPr>
          <w:rFonts w:ascii="Times New Roman" w:hAnsi="Times New Roman" w:cs="Times New Roman" w:eastAsia="Times New Roman" w:hint="default"/>
        </w:rPr>
        <w:t>1</w:t>
      </w:r>
      <w:r>
        <w:rPr/>
        <w:t>）了解、评价和测试了管理层与收入确认相关的内部控制设计和运行的有效性；</w:t>
      </w:r>
    </w:p>
    <w:p>
      <w:pPr>
        <w:pStyle w:val="BodyText"/>
        <w:spacing w:line="386" w:lineRule="auto" w:before="177"/>
        <w:ind w:right="992" w:firstLine="420"/>
        <w:jc w:val="left"/>
      </w:pPr>
      <w:r>
        <w:rPr>
          <w:spacing w:val="-2"/>
        </w:rPr>
        <w:t>（</w:t>
      </w:r>
      <w:r>
        <w:rPr>
          <w:rFonts w:ascii="Times New Roman" w:hAnsi="Times New Roman" w:cs="Times New Roman" w:eastAsia="Times New Roman" w:hint="default"/>
          <w:spacing w:val="-2"/>
        </w:rPr>
        <w:t>2</w:t>
      </w:r>
      <w:r>
        <w:rPr>
          <w:spacing w:val="-2"/>
        </w:rPr>
        <w:t>）选取样本检查了销售合同，识别与商品控制权转移相关的合同条款与条件，评价精准信息公司</w:t>
      </w:r>
      <w:r>
        <w:rPr>
          <w:w w:val="100"/>
        </w:rPr>
        <w:t> </w:t>
      </w:r>
      <w:r>
        <w:rPr/>
        <w:t>的销售收入确认时点是否符合企业会计准则的要求；</w:t>
      </w:r>
    </w:p>
    <w:p>
      <w:pPr>
        <w:pStyle w:val="BodyText"/>
        <w:spacing w:line="240" w:lineRule="auto" w:before="65"/>
        <w:ind w:left="573" w:right="0"/>
        <w:jc w:val="left"/>
      </w:pPr>
      <w:r>
        <w:rPr/>
        <w:t>（</w:t>
      </w:r>
      <w:r>
        <w:rPr>
          <w:rFonts w:ascii="Times New Roman" w:hAnsi="Times New Roman" w:cs="Times New Roman" w:eastAsia="Times New Roman" w:hint="default"/>
        </w:rPr>
        <w:t>3</w:t>
      </w:r>
      <w:r>
        <w:rPr/>
        <w:t>）结合产品类型对销售收入以及毛利率情况进行了分析，判断本期收入金额及其波动的是否合理；</w:t>
      </w:r>
    </w:p>
    <w:p>
      <w:pPr>
        <w:pStyle w:val="BodyText"/>
        <w:spacing w:line="240" w:lineRule="auto" w:before="177"/>
        <w:ind w:left="573" w:right="992"/>
        <w:jc w:val="left"/>
      </w:pPr>
      <w:r>
        <w:rPr/>
        <w:t>（</w:t>
      </w:r>
      <w:r>
        <w:rPr>
          <w:rFonts w:ascii="Times New Roman" w:hAnsi="Times New Roman" w:cs="Times New Roman" w:eastAsia="Times New Roman" w:hint="default"/>
        </w:rPr>
        <w:t>4</w:t>
      </w:r>
      <w:r>
        <w:rPr/>
        <w:t>）检查了年末是否存在突击确认销售收入的情况，判断</w:t>
      </w:r>
      <w:r>
        <w:rPr>
          <w:rFonts w:ascii="Times New Roman" w:hAnsi="Times New Roman" w:cs="Times New Roman" w:eastAsia="Times New Roman" w:hint="default"/>
        </w:rPr>
        <w:t>2019</w:t>
      </w:r>
      <w:r>
        <w:rPr/>
        <w:t>年度收入确认的准确性；</w:t>
      </w:r>
    </w:p>
    <w:p>
      <w:pPr>
        <w:pStyle w:val="BodyText"/>
        <w:spacing w:line="386" w:lineRule="auto" w:before="178"/>
        <w:ind w:right="992" w:firstLine="420"/>
        <w:jc w:val="left"/>
      </w:pPr>
      <w:r>
        <w:rPr>
          <w:spacing w:val="-2"/>
        </w:rPr>
        <w:t>（</w:t>
      </w:r>
      <w:r>
        <w:rPr>
          <w:rFonts w:ascii="Times New Roman" w:hAnsi="Times New Roman" w:cs="Times New Roman" w:eastAsia="Times New Roman" w:hint="default"/>
          <w:spacing w:val="-2"/>
        </w:rPr>
        <w:t>5</w:t>
      </w:r>
      <w:r>
        <w:rPr>
          <w:spacing w:val="-2"/>
        </w:rPr>
        <w:t>）对临近资产负债表日前后记录的销售收入，选取样本执进行了截止性测试，核对出库单及其他</w:t>
      </w:r>
      <w:r>
        <w:rPr>
          <w:w w:val="100"/>
        </w:rPr>
        <w:t> </w:t>
      </w:r>
      <w:r>
        <w:rPr/>
        <w:t>支持性文件，以评价销售收入是否被记录于恰当的会计期间；</w:t>
      </w:r>
    </w:p>
    <w:p>
      <w:pPr>
        <w:pStyle w:val="BodyText"/>
        <w:spacing w:line="386" w:lineRule="auto" w:before="65"/>
        <w:ind w:right="992" w:firstLine="420"/>
        <w:jc w:val="left"/>
      </w:pPr>
      <w:r>
        <w:rPr>
          <w:spacing w:val="-2"/>
        </w:rPr>
        <w:t>（</w:t>
      </w:r>
      <w:r>
        <w:rPr>
          <w:rFonts w:ascii="Times New Roman" w:hAnsi="Times New Roman" w:cs="Times New Roman" w:eastAsia="Times New Roman" w:hint="default"/>
          <w:spacing w:val="-2"/>
        </w:rPr>
        <w:t>6</w:t>
      </w:r>
      <w:r>
        <w:rPr>
          <w:spacing w:val="-2"/>
        </w:rPr>
        <w:t>）对</w:t>
      </w:r>
      <w:r>
        <w:rPr>
          <w:rFonts w:ascii="Times New Roman" w:hAnsi="Times New Roman" w:cs="Times New Roman" w:eastAsia="Times New Roman" w:hint="default"/>
          <w:spacing w:val="-2"/>
        </w:rPr>
        <w:t>2019</w:t>
      </w:r>
      <w:r>
        <w:rPr>
          <w:spacing w:val="-2"/>
        </w:rPr>
        <w:t>年度记录的收入交易选取样本，核对销售发票、销售合同、客户验收单及发货单等，评</w:t>
      </w:r>
      <w:r>
        <w:rPr>
          <w:w w:val="100"/>
        </w:rPr>
        <w:t> </w:t>
      </w:r>
      <w:r>
        <w:rPr/>
        <w:t>价相关收入确认是否符合精准信息公司收入确认的具体方法；</w:t>
      </w:r>
    </w:p>
    <w:p>
      <w:pPr>
        <w:pStyle w:val="BodyText"/>
        <w:spacing w:line="240" w:lineRule="auto" w:before="65"/>
        <w:ind w:left="573" w:right="992"/>
        <w:jc w:val="left"/>
      </w:pPr>
      <w:r>
        <w:rPr/>
        <w:t>（</w:t>
      </w:r>
      <w:r>
        <w:rPr>
          <w:rFonts w:ascii="Times New Roman" w:hAnsi="Times New Roman" w:cs="Times New Roman" w:eastAsia="Times New Roman" w:hint="default"/>
        </w:rPr>
        <w:t>7</w:t>
      </w:r>
      <w:r>
        <w:rPr/>
        <w:t>）对</w:t>
      </w:r>
      <w:r>
        <w:rPr>
          <w:rFonts w:ascii="Times New Roman" w:hAnsi="Times New Roman" w:cs="Times New Roman" w:eastAsia="Times New Roman" w:hint="default"/>
        </w:rPr>
        <w:t>2019</w:t>
      </w:r>
      <w:r>
        <w:rPr/>
        <w:t>年度销售金额较大的客户执行了函证程序。</w:t>
      </w:r>
    </w:p>
    <w:p>
      <w:pPr>
        <w:pStyle w:val="BodyText"/>
        <w:spacing w:line="398" w:lineRule="auto" w:before="177"/>
        <w:ind w:left="573" w:right="4608"/>
        <w:jc w:val="left"/>
      </w:pPr>
      <w:r>
        <w:rPr/>
        <w:t>（二）商誉减值测试</w:t>
      </w:r>
      <w:r>
        <w:rPr>
          <w:w w:val="100"/>
        </w:rPr>
        <w:t> </w:t>
      </w:r>
      <w:r>
        <w:rPr>
          <w:spacing w:val="-2"/>
        </w:rPr>
        <w:t>相关信息披露详见财务报表附注五、</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27</w:t>
      </w:r>
      <w:r>
        <w:rPr>
          <w:spacing w:val="-2"/>
        </w:rPr>
        <w:t>及附注七、</w:t>
      </w:r>
      <w:r>
        <w:rPr>
          <w:rFonts w:ascii="Times New Roman" w:hAnsi="Times New Roman" w:cs="Times New Roman" w:eastAsia="Times New Roman" w:hint="default"/>
          <w:spacing w:val="-2"/>
        </w:rPr>
        <w:t>14</w:t>
      </w:r>
      <w:r>
        <w:rPr>
          <w:spacing w:val="-2"/>
        </w:rPr>
        <w:t>。</w:t>
      </w:r>
      <w:r>
        <w:rPr>
          <w:spacing w:val="-50"/>
        </w:rPr>
        <w:t> </w:t>
      </w:r>
      <w:r>
        <w:rPr>
          <w:rFonts w:ascii="Times New Roman" w:hAnsi="Times New Roman" w:cs="Times New Roman" w:eastAsia="Times New Roman" w:hint="default"/>
        </w:rPr>
        <w:t>1</w:t>
      </w:r>
      <w:r>
        <w:rPr/>
        <w:t>、事项描述</w:t>
      </w:r>
    </w:p>
    <w:p>
      <w:pPr>
        <w:pStyle w:val="BodyText"/>
        <w:spacing w:line="393" w:lineRule="auto" w:before="24"/>
        <w:ind w:right="1126" w:firstLine="420"/>
        <w:jc w:val="both"/>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日止，精准信息公司合并财务报表中商誉的期末余额为</w:t>
      </w:r>
      <w:r>
        <w:rPr>
          <w:rFonts w:ascii="Times New Roman" w:hAnsi="Times New Roman" w:cs="Times New Roman" w:eastAsia="Times New Roman" w:hint="default"/>
          <w:spacing w:val="-3"/>
        </w:rPr>
        <w:t>589,318,009.79</w:t>
      </w:r>
      <w:r>
        <w:rPr>
          <w:spacing w:val="-3"/>
        </w:rPr>
        <w:t>元，已计提减</w:t>
      </w:r>
      <w:r>
        <w:rPr>
          <w:w w:val="100"/>
        </w:rPr>
        <w:t> </w:t>
      </w:r>
      <w:r>
        <w:rPr>
          <w:spacing w:val="-2"/>
        </w:rPr>
        <w:t>值准备</w:t>
      </w:r>
      <w:r>
        <w:rPr>
          <w:rFonts w:ascii="Times New Roman" w:hAnsi="Times New Roman" w:cs="Times New Roman" w:eastAsia="Times New Roman" w:hint="default"/>
          <w:spacing w:val="-2"/>
        </w:rPr>
        <w:t>76,333,896.23</w:t>
      </w:r>
      <w:r>
        <w:rPr>
          <w:spacing w:val="-2"/>
        </w:rPr>
        <w:t>元，商誉的账面净值为</w:t>
      </w:r>
      <w:r>
        <w:rPr>
          <w:rFonts w:ascii="Times New Roman" w:hAnsi="Times New Roman" w:cs="Times New Roman" w:eastAsia="Times New Roman" w:hint="default"/>
          <w:spacing w:val="-2"/>
        </w:rPr>
        <w:t>512,984,113.56</w:t>
      </w:r>
      <w:r>
        <w:rPr>
          <w:spacing w:val="-2"/>
        </w:rPr>
        <w:t>元，占资产总额的比例为</w:t>
      </w:r>
      <w:r>
        <w:rPr>
          <w:rFonts w:ascii="Times New Roman" w:hAnsi="Times New Roman" w:cs="Times New Roman" w:eastAsia="Times New Roman" w:hint="default"/>
          <w:spacing w:val="-2"/>
        </w:rPr>
        <w:t>25.35%</w:t>
      </w:r>
      <w:r>
        <w:rPr>
          <w:spacing w:val="-2"/>
        </w:rPr>
        <w:t>。由于精准信息</w:t>
      </w:r>
      <w:r>
        <w:rPr>
          <w:spacing w:val="-30"/>
        </w:rPr>
        <w:t> </w:t>
      </w:r>
      <w:r>
        <w:rPr>
          <w:spacing w:val="-30"/>
        </w:rPr>
      </w:r>
      <w:r>
        <w:rPr>
          <w:spacing w:val="-2"/>
        </w:rPr>
        <w:t>公司商誉的账面价值对财务报表影响重大，且商誉减值测试依赖于对包括预期未来现金流和折现率等关键</w:t>
      </w:r>
      <w:r>
        <w:rPr>
          <w:spacing w:val="-43"/>
        </w:rPr>
        <w:t> </w:t>
      </w:r>
      <w:r>
        <w:rPr>
          <w:spacing w:val="-43"/>
        </w:rPr>
      </w:r>
      <w:r>
        <w:rPr/>
        <w:t>假设所作出的重大判断，故我们将商誉减值测试确定为关键审计事项。</w:t>
      </w:r>
    </w:p>
    <w:p>
      <w:pPr>
        <w:pStyle w:val="BodyText"/>
        <w:spacing w:line="386" w:lineRule="auto" w:before="58"/>
        <w:ind w:left="573" w:right="5311"/>
        <w:jc w:val="left"/>
      </w:pPr>
      <w:r>
        <w:rPr>
          <w:rFonts w:ascii="Times New Roman" w:hAnsi="Times New Roman" w:cs="Times New Roman" w:eastAsia="Times New Roman" w:hint="default"/>
        </w:rPr>
        <w:t>2</w:t>
      </w:r>
      <w:r>
        <w:rPr/>
        <w:t>、审计应对</w:t>
      </w:r>
      <w:r>
        <w:rPr>
          <w:w w:val="100"/>
        </w:rPr>
        <w:t> </w:t>
      </w:r>
      <w:r>
        <w:rPr>
          <w:spacing w:val="-2"/>
        </w:rPr>
        <w:t>我们对商誉减值测试主要执行了以下审计程序：</w:t>
      </w:r>
    </w:p>
    <w:p>
      <w:pPr>
        <w:pStyle w:val="BodyText"/>
        <w:spacing w:line="386" w:lineRule="auto" w:before="65"/>
        <w:ind w:right="992" w:firstLine="420"/>
        <w:jc w:val="left"/>
      </w:pPr>
      <w:r>
        <w:rPr>
          <w:spacing w:val="-2"/>
        </w:rPr>
        <w:t>（</w:t>
      </w:r>
      <w:r>
        <w:rPr>
          <w:rFonts w:ascii="Times New Roman" w:hAnsi="Times New Roman" w:cs="Times New Roman" w:eastAsia="Times New Roman" w:hint="default"/>
          <w:spacing w:val="-2"/>
        </w:rPr>
        <w:t>1</w:t>
      </w:r>
      <w:r>
        <w:rPr>
          <w:spacing w:val="-2"/>
        </w:rPr>
        <w:t>）了解、评价并测试精准信息公司对商誉减值测试相关的内部控制的设计与运行的有效性，包括</w:t>
      </w:r>
      <w:r>
        <w:rPr>
          <w:w w:val="100"/>
        </w:rPr>
        <w:t> </w:t>
      </w:r>
      <w:r>
        <w:rPr/>
        <w:t>关键假设的采用及减值计提金额的复核及审批；</w:t>
      </w:r>
    </w:p>
    <w:p>
      <w:pPr>
        <w:pStyle w:val="BodyText"/>
        <w:spacing w:line="398" w:lineRule="auto" w:before="65"/>
        <w:ind w:right="992" w:firstLine="420"/>
        <w:jc w:val="left"/>
      </w:pPr>
      <w:r>
        <w:rPr/>
        <w:t>（</w:t>
      </w:r>
      <w:r>
        <w:rPr>
          <w:rFonts w:ascii="Times New Roman" w:hAnsi="Times New Roman" w:cs="Times New Roman" w:eastAsia="Times New Roman" w:hint="default"/>
        </w:rPr>
        <w:t>2</w:t>
      </w:r>
      <w:r>
        <w:rPr/>
        <w:t>）获取了管理层分别编制的对北京富华宇祺信息技术有限公司通讯产品资产组及长春师凯科技产</w:t>
      </w:r>
      <w:r>
        <w:rPr>
          <w:w w:val="100"/>
        </w:rPr>
        <w:t> </w:t>
      </w:r>
      <w:r>
        <w:rPr>
          <w:spacing w:val="-2"/>
        </w:rPr>
        <w:t>业有限责任公司军工产品资产组商誉的减值测试表，检查了计算的准确性，复核了商誉是否按照合理的方</w:t>
      </w:r>
      <w:r>
        <w:rPr>
          <w:spacing w:val="-42"/>
        </w:rPr>
        <w:t> </w:t>
      </w:r>
      <w:r>
        <w:rPr>
          <w:spacing w:val="-42"/>
        </w:rPr>
      </w:r>
      <w:r>
        <w:rPr/>
        <w:t>法分摊至相关资产组或资产组组合；</w:t>
      </w:r>
    </w:p>
    <w:p>
      <w:pPr>
        <w:pStyle w:val="BodyText"/>
        <w:spacing w:line="386" w:lineRule="auto" w:before="54"/>
        <w:ind w:right="992" w:firstLine="420"/>
        <w:jc w:val="left"/>
      </w:pPr>
      <w:r>
        <w:rPr>
          <w:spacing w:val="-2"/>
        </w:rPr>
        <w:t>（</w:t>
      </w:r>
      <w:r>
        <w:rPr>
          <w:rFonts w:ascii="Times New Roman" w:hAnsi="Times New Roman" w:cs="Times New Roman" w:eastAsia="Times New Roman" w:hint="default"/>
          <w:spacing w:val="-2"/>
        </w:rPr>
        <w:t>3</w:t>
      </w:r>
      <w:r>
        <w:rPr>
          <w:spacing w:val="-2"/>
        </w:rPr>
        <w:t>）北京富华宇祺信息技术有限公司的商誉减值测试由管理层外聘的评估机构执行，我们对评估专</w:t>
      </w:r>
      <w:r>
        <w:rPr>
          <w:w w:val="100"/>
        </w:rPr>
        <w:t> </w:t>
      </w:r>
      <w:r>
        <w:rPr/>
        <w:t>家的胜任能力、专业素质和客观性进行了评价；</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992" w:firstLine="420"/>
        <w:jc w:val="left"/>
      </w:pPr>
      <w:r>
        <w:rPr>
          <w:spacing w:val="-2"/>
        </w:rPr>
        <w:t>（</w:t>
      </w:r>
      <w:r>
        <w:rPr>
          <w:rFonts w:ascii="Times New Roman" w:hAnsi="Times New Roman" w:cs="Times New Roman" w:eastAsia="Times New Roman" w:hint="default"/>
          <w:spacing w:val="-2"/>
        </w:rPr>
        <w:t>4</w:t>
      </w:r>
      <w:r>
        <w:rPr>
          <w:spacing w:val="-2"/>
        </w:rPr>
        <w:t>）通过与管理层的评估专家沟通，就其工作的性质、范围和目标进行了讨论，并了解其评估方法</w:t>
      </w:r>
      <w:r>
        <w:rPr>
          <w:w w:val="100"/>
        </w:rPr>
        <w:t> </w:t>
      </w:r>
      <w:r>
        <w:rPr/>
        <w:t>及关键假设；</w:t>
      </w:r>
    </w:p>
    <w:p>
      <w:pPr>
        <w:pStyle w:val="BodyText"/>
        <w:spacing w:line="398" w:lineRule="auto" w:before="65"/>
        <w:ind w:right="992" w:firstLine="420"/>
        <w:jc w:val="left"/>
      </w:pPr>
      <w:r>
        <w:rPr/>
        <w:t>（</w:t>
      </w:r>
      <w:r>
        <w:rPr>
          <w:rFonts w:ascii="Times New Roman" w:hAnsi="Times New Roman" w:cs="Times New Roman" w:eastAsia="Times New Roman" w:hint="default"/>
        </w:rPr>
        <w:t>5</w:t>
      </w:r>
      <w:r>
        <w:rPr/>
        <w:t>）对管理层编制的长春师凯科技产业有限责任公司的商誉减值测试报告的未来收入增长率、毛利</w:t>
      </w:r>
      <w:r>
        <w:rPr>
          <w:w w:val="100"/>
        </w:rPr>
        <w:t> </w:t>
      </w:r>
      <w:r>
        <w:rPr>
          <w:spacing w:val="-2"/>
        </w:rPr>
        <w:t>率和费用率假设进行了合理性分析，并对长春师凯科技产业有限责任公司的历史业绩情况、发展规划、宏</w:t>
      </w:r>
      <w:r>
        <w:rPr>
          <w:spacing w:val="-44"/>
        </w:rPr>
        <w:t> </w:t>
      </w:r>
      <w:r>
        <w:rPr>
          <w:spacing w:val="-44"/>
        </w:rPr>
      </w:r>
      <w:r>
        <w:rPr/>
        <w:t>观经济和所属行业的发展趋势进行了分析。</w:t>
      </w:r>
    </w:p>
    <w:p>
      <w:pPr>
        <w:pStyle w:val="BodyText"/>
        <w:spacing w:line="408" w:lineRule="auto" w:before="54"/>
        <w:ind w:left="573" w:right="992"/>
        <w:jc w:val="left"/>
      </w:pPr>
      <w:r>
        <w:rPr/>
        <w:t>四、其他信息</w:t>
      </w:r>
      <w:r>
        <w:rPr>
          <w:w w:val="100"/>
        </w:rPr>
        <w:t> </w:t>
      </w:r>
      <w:r>
        <w:rPr>
          <w:spacing w:val="-2"/>
        </w:rPr>
        <w:t>精准信息公司管理层对其他信息负责。其他信息包括精准信息公司</w:t>
      </w:r>
      <w:r>
        <w:rPr>
          <w:rFonts w:ascii="Times New Roman" w:hAnsi="Times New Roman" w:cs="Times New Roman" w:eastAsia="Times New Roman" w:hint="default"/>
          <w:spacing w:val="-2"/>
        </w:rPr>
        <w:t>2019</w:t>
      </w:r>
      <w:r>
        <w:rPr>
          <w:spacing w:val="-2"/>
        </w:rPr>
        <w:t>年年度报告中涵盖的信息，但</w:t>
      </w:r>
    </w:p>
    <w:p>
      <w:pPr>
        <w:pStyle w:val="BodyText"/>
        <w:spacing w:line="408" w:lineRule="auto" w:before="14"/>
        <w:ind w:left="573" w:right="992" w:hanging="421"/>
        <w:jc w:val="left"/>
      </w:pPr>
      <w:r>
        <w:rPr/>
        <w:t>不包括财务报表和我们的审计报告。</w:t>
      </w:r>
      <w:r>
        <w:rPr>
          <w:w w:val="100"/>
        </w:rPr>
        <w:t> </w:t>
      </w: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408" w:lineRule="auto"/>
        <w:ind w:left="573" w:right="992"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408" w:lineRule="auto"/>
        <w:ind w:left="573" w:right="6375" w:hanging="421"/>
        <w:jc w:val="left"/>
      </w:pPr>
      <w:r>
        <w:rPr/>
        <w:t>们无任何事项需要报告。</w:t>
      </w:r>
      <w:r>
        <w:rPr>
          <w:w w:val="100"/>
        </w:rPr>
        <w:t> </w:t>
      </w:r>
      <w:r>
        <w:rPr>
          <w:spacing w:val="-2"/>
        </w:rPr>
        <w:t>五、管理层和治理层对财务报表的责任</w:t>
      </w:r>
    </w:p>
    <w:p>
      <w:pPr>
        <w:pStyle w:val="BodyText"/>
        <w:spacing w:line="408" w:lineRule="auto"/>
        <w:ind w:right="992" w:firstLine="420"/>
        <w:jc w:val="left"/>
      </w:pPr>
      <w:r>
        <w:rPr>
          <w:spacing w:val="-2"/>
        </w:rPr>
        <w:t>精准信息公司管理层负责按照企业会计准则的规定编制财务报表，使其实现公允反映，并设计、执行</w:t>
      </w:r>
      <w:r>
        <w:rPr>
          <w:w w:val="100"/>
        </w:rPr>
        <w:t> </w:t>
      </w:r>
      <w:r>
        <w:rPr/>
        <w:t>和维护必要的内部控制，以使财务报表不存在由于舞弊或错误导致的重大错报。</w:t>
      </w:r>
    </w:p>
    <w:p>
      <w:pPr>
        <w:pStyle w:val="BodyText"/>
        <w:spacing w:line="408" w:lineRule="auto"/>
        <w:ind w:right="992" w:firstLine="420"/>
        <w:jc w:val="left"/>
      </w:pPr>
      <w:r>
        <w:rPr>
          <w:spacing w:val="-2"/>
        </w:rPr>
        <w:t>在编制财务报表时，管理层负责评估精准信息公司的持续经营能力，披露与持续经营相关的事项（如</w:t>
      </w:r>
      <w:r>
        <w:rPr>
          <w:w w:val="100"/>
        </w:rPr>
        <w:t> </w:t>
      </w:r>
      <w:r>
        <w:rPr/>
        <w:t>适用），并运用持续经营假设，除非管理层计划清算精准信息公司、终止运营或别无其他现实的选择。</w:t>
      </w:r>
    </w:p>
    <w:p>
      <w:pPr>
        <w:pStyle w:val="BodyText"/>
        <w:spacing w:line="408" w:lineRule="auto"/>
        <w:ind w:left="573" w:right="4608"/>
        <w:jc w:val="left"/>
      </w:pPr>
      <w:r>
        <w:rPr>
          <w:spacing w:val="-2"/>
        </w:rPr>
        <w:t>治理层负责监督精准信息公司的财务报告过程。</w:t>
      </w:r>
      <w:r>
        <w:rPr>
          <w:spacing w:val="-65"/>
        </w:rPr>
        <w:t> </w:t>
      </w:r>
      <w:r>
        <w:rPr>
          <w:spacing w:val="-65"/>
        </w:rPr>
      </w:r>
      <w:r>
        <w:rPr/>
        <w:t>六、注册会计师对财务报表审计的责任</w:t>
      </w:r>
    </w:p>
    <w:p>
      <w:pPr>
        <w:pStyle w:val="BodyText"/>
        <w:spacing w:line="408" w:lineRule="auto"/>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10" w:lineRule="auto"/>
        <w:ind w:right="992"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400" w:lineRule="auto" w:before="44"/>
        <w:ind w:right="992"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t>虚假陈述或凌驾于内部控制之上，未能发现由于舞弊导致的重大错报的风险高于未能发现由于错误导致的</w:t>
      </w:r>
      <w:r>
        <w:rPr>
          <w:w w:val="100"/>
        </w:rPr>
        <w:t> </w:t>
      </w:r>
      <w:r>
        <w:rPr/>
        <w:t>重大错报的风险。</w:t>
      </w:r>
    </w:p>
    <w:p>
      <w:pPr>
        <w:spacing w:after="0" w:line="40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992" w:firstLine="420"/>
        <w:jc w:val="left"/>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）了解与审计相关的内部控制，以设计恰当的审计程序，但目的并非对内部控制的有效性发表意</w:t>
      </w:r>
      <w:r>
        <w:rPr>
          <w:w w:val="100"/>
        </w:rPr>
        <w:t> </w:t>
      </w:r>
      <w:r>
        <w:rPr/>
        <w:t>见。</w:t>
      </w:r>
    </w:p>
    <w:p>
      <w:pPr>
        <w:pStyle w:val="BodyText"/>
        <w:spacing w:line="240" w:lineRule="auto" w:before="65"/>
        <w:ind w:left="573" w:right="99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992" w:firstLine="42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）对管理层使用持续经营假设的恰当性得出结论。同时，根据获取的审计证据，就可能导致对精</w:t>
      </w:r>
      <w:r>
        <w:rPr>
          <w:w w:val="100"/>
        </w:rPr>
        <w:t> </w:t>
      </w:r>
      <w:r>
        <w:rPr>
          <w:spacing w:val="-2"/>
        </w:rPr>
        <w:t>准信息公司的持续经营能力产生重大疑虑的事项或情况是否存在重大不确定性得出结论。如果我们得出结</w:t>
      </w:r>
      <w:r>
        <w:rPr>
          <w:spacing w:val="-43"/>
        </w:rPr>
        <w:t> </w:t>
      </w:r>
      <w:r>
        <w:rPr>
          <w:spacing w:val="-43"/>
        </w:rPr>
      </w:r>
      <w:r>
        <w:rPr>
          <w:spacing w:val="-2"/>
        </w:rPr>
        <w:t>论认为存在重大不确定性，审计准则要求我们在审计报告中提请报表使用者注意财务报表中的相关披露；</w:t>
      </w:r>
      <w:r>
        <w:rPr>
          <w:spacing w:val="-21"/>
        </w:rPr>
        <w:t> </w:t>
      </w:r>
      <w:r>
        <w:rPr>
          <w:spacing w:val="-21"/>
        </w:rPr>
      </w:r>
      <w:r>
        <w:rPr>
          <w:spacing w:val="-2"/>
        </w:rPr>
        <w:t>如果披露不充分，我们应当发表非无保留意见。我们的结论基于截至审计报告日可获得的信息。然而，未</w:t>
      </w:r>
      <w:r>
        <w:rPr>
          <w:spacing w:val="-47"/>
        </w:rPr>
        <w:t> </w:t>
      </w:r>
      <w:r>
        <w:rPr>
          <w:spacing w:val="-47"/>
        </w:rPr>
      </w:r>
      <w:r>
        <w:rPr/>
        <w:t>来的事项或情况可能导致精准信息公司不能持续经营。</w:t>
      </w:r>
    </w:p>
    <w:p>
      <w:pPr>
        <w:pStyle w:val="BodyText"/>
        <w:spacing w:line="240" w:lineRule="auto" w:before="50"/>
        <w:ind w:left="573" w:right="992"/>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86" w:lineRule="auto" w:before="178"/>
        <w:ind w:right="992" w:firstLine="420"/>
        <w:jc w:val="left"/>
      </w:pPr>
      <w:r>
        <w:rPr>
          <w:spacing w:val="-2"/>
        </w:rPr>
        <w:t>（</w:t>
      </w:r>
      <w:r>
        <w:rPr>
          <w:rFonts w:ascii="Times New Roman" w:hAnsi="Times New Roman" w:cs="Times New Roman" w:eastAsia="Times New Roman" w:hint="default"/>
          <w:spacing w:val="-2"/>
        </w:rPr>
        <w:t>6</w:t>
      </w:r>
      <w:r>
        <w:rPr>
          <w:spacing w:val="-2"/>
        </w:rPr>
        <w:t>）就精准信息公司中实体或业务活动的财务信息获取充分、适当的审计证据，以对财务报表发表</w:t>
      </w:r>
      <w:r>
        <w:rPr>
          <w:w w:val="100"/>
        </w:rPr>
        <w:t> </w:t>
      </w:r>
      <w:r>
        <w:rPr/>
        <w:t>意见。我们负责指导、监督和执行集团审计，并对审计意见承担全部责任。</w:t>
      </w:r>
    </w:p>
    <w:p>
      <w:pPr>
        <w:pStyle w:val="BodyText"/>
        <w:spacing w:line="408" w:lineRule="auto" w:before="65"/>
        <w:ind w:right="992"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ind w:right="992" w:firstLine="420"/>
        <w:jc w:val="left"/>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5193" w:val="left" w:leader="none"/>
        </w:tabs>
        <w:spacing w:line="240" w:lineRule="auto" w:before="0"/>
        <w:ind w:left="573" w:right="992"/>
        <w:jc w:val="left"/>
      </w:pPr>
      <w:r>
        <w:rPr>
          <w:spacing w:val="-2"/>
        </w:rPr>
        <w:t>致同会计师事务所</w:t>
        <w:tab/>
        <w:t>中国注册会计师：王宗佩</w:t>
      </w:r>
    </w:p>
    <w:p>
      <w:pPr>
        <w:spacing w:line="240" w:lineRule="auto" w:before="10"/>
        <w:rPr>
          <w:rFonts w:ascii="宋体" w:hAnsi="宋体" w:cs="宋体" w:eastAsia="宋体" w:hint="default"/>
          <w:sz w:val="14"/>
          <w:szCs w:val="14"/>
        </w:rPr>
      </w:pPr>
    </w:p>
    <w:p>
      <w:pPr>
        <w:pStyle w:val="BodyText"/>
        <w:tabs>
          <w:tab w:pos="5068" w:val="left" w:leader="none"/>
        </w:tabs>
        <w:spacing w:line="240" w:lineRule="auto" w:before="0"/>
        <w:ind w:left="573" w:right="992"/>
        <w:jc w:val="left"/>
      </w:pPr>
      <w:r>
        <w:rPr>
          <w:spacing w:val="-2"/>
        </w:rPr>
        <w:t>（特殊普通合伙）</w:t>
        <w:tab/>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5179" w:right="992"/>
        <w:jc w:val="left"/>
      </w:pPr>
      <w:r>
        <w:rPr/>
        <w:t>中国注册会计师：沈晓玮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236" w:val="left" w:leader="none"/>
        </w:tabs>
        <w:spacing w:line="240" w:lineRule="auto" w:before="138"/>
        <w:ind w:left="1098" w:right="992"/>
        <w:jc w:val="left"/>
      </w:pPr>
      <w:r>
        <w:rPr>
          <w:spacing w:val="-1"/>
        </w:rPr>
        <w:t>中国</w:t>
      </w:r>
      <w:r>
        <w:rPr>
          <w:rFonts w:ascii="Times New Roman" w:hAnsi="Times New Roman" w:cs="Times New Roman" w:eastAsia="Times New Roman" w:hint="default"/>
          <w:spacing w:val="-1"/>
        </w:rPr>
        <w:t>•</w:t>
      </w:r>
      <w:r>
        <w:rPr>
          <w:spacing w:val="-1"/>
        </w:rPr>
        <w:t>北京</w:t>
        <w:tab/>
      </w:r>
      <w:r>
        <w:rPr>
          <w:spacing w:val="-2"/>
        </w:rPr>
        <w:t>二〇二〇年四月二十四日</w:t>
      </w:r>
    </w:p>
    <w:p>
      <w:pPr>
        <w:spacing w:line="240" w:lineRule="auto" w:before="9"/>
        <w:rPr>
          <w:rFonts w:ascii="宋体" w:hAnsi="宋体" w:cs="宋体" w:eastAsia="宋体" w:hint="default"/>
          <w:sz w:val="28"/>
          <w:szCs w:val="28"/>
        </w:rPr>
      </w:pPr>
    </w:p>
    <w:p>
      <w:pPr>
        <w:pStyle w:val="Heading2"/>
        <w:spacing w:line="240" w:lineRule="auto"/>
        <w:ind w:right="992"/>
        <w:jc w:val="left"/>
        <w:rPr>
          <w:b w:val="0"/>
          <w:bCs w:val="0"/>
        </w:rPr>
      </w:pPr>
      <w:r>
        <w:rPr/>
        <w:t>二、财务报表</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3" w:right="992"/>
        <w:jc w:val="left"/>
      </w:pPr>
      <w:r>
        <w:rPr/>
        <w:t>财务附注中报表的单位为：元</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pStyle w:val="BodyText"/>
        <w:spacing w:line="240" w:lineRule="auto" w:before="36"/>
        <w:ind w:left="573" w:right="0"/>
        <w:jc w:val="left"/>
      </w:pPr>
      <w:r>
        <w:rPr/>
        <w:t>编制单位：尤洛卡精准信息工程股份有限公司</w:t>
      </w:r>
    </w:p>
    <w:p>
      <w:pPr>
        <w:pStyle w:val="BodyText"/>
        <w:spacing w:line="240" w:lineRule="auto" w:before="75"/>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5842" w:space="2658"/>
            <w:col w:w="24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178,881,996.01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147,574,794.14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226,056,829.47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141,905,472.10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206,165,350.84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323,326,530.24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2,361,616.99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11,862,782.31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12,644,573.91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83,461,269.27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86,707,009.00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1,968,560.45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194,636,482.35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111,068,193.03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7,858,109.25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190,610,946.12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1,110,284,436.49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1,013,837,518.54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51,900,235.02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2,060,177.56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pacing w:val="-1"/>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192,306,562.32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197,666,185.67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65,073,696.25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79,039,544.99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512,984,113.56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550,552,727.12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1,719,557.90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1,757,750.58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21,454,068.27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16,987,738.95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1,328,409.63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769,669.82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913,366,642.95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914,433,794.69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2,023,651,079.44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1,928,271,313.23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3,099,741.47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133,417,776.87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68,495,229.35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10,757,372.78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9,812,055.03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10,344,827.26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6,121,341.73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23,001,061.57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27,764,479.63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7,887,644.74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5,847,992.04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37,854,270.00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236,842,953.22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131,140,839.25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891,741.88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1,561,698.76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891,741.88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1,561,698.76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237,734,695.10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132,702,538.01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669,050,255.00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669,279,255.00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784,016,309.86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783,044,279.86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57,379,850.52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50,097,930.35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251,871,949.77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261,982,939.39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1,762,318,365.15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1,764,404,404.60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23,598,019.19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31,164,370.62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1,785,916,384.34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1,795,568,775.22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2,023,651,079.44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1,928,271,313.23</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法定代表人：黄自伟</w:t>
        <w:tab/>
      </w:r>
      <w:r>
        <w:rPr>
          <w:rFonts w:ascii="宋体" w:hAnsi="宋体" w:cs="宋体" w:eastAsia="宋体" w:hint="default"/>
          <w:spacing w:val="-1"/>
          <w:sz w:val="18"/>
          <w:szCs w:val="18"/>
        </w:rPr>
        <w:t>主管会计工作负责人：崔保航</w:t>
        <w:tab/>
      </w:r>
      <w:r>
        <w:rPr>
          <w:rFonts w:ascii="宋体" w:hAnsi="宋体" w:cs="宋体" w:eastAsia="宋体" w:hint="default"/>
          <w:sz w:val="18"/>
          <w:szCs w:val="18"/>
        </w:rPr>
        <w:t>会计机构负责人：曹丽妮</w:t>
      </w:r>
    </w:p>
    <w:p>
      <w:pPr>
        <w:spacing w:line="240" w:lineRule="auto" w:before="0"/>
        <w:rPr>
          <w:rFonts w:ascii="宋体" w:hAnsi="宋体" w:cs="宋体" w:eastAsia="宋体" w:hint="default"/>
          <w:sz w:val="18"/>
          <w:szCs w:val="18"/>
        </w:rPr>
      </w:pPr>
    </w:p>
    <w:p>
      <w:pPr>
        <w:pStyle w:val="Heading4"/>
        <w:spacing w:line="240" w:lineRule="auto" w:before="120"/>
        <w:ind w:right="99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6,569,767.41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23,509,392.07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15,818,571.27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15,694,801.10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56,167,351.00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133,325,304.00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3,796,404.72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93,008,695.56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29,298,354.17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1,968,560.45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5,423,657.05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55,157,900.03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237,025,328.58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418,782,156.09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1,365,088,658.74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959,221,622.96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4,076,906.44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179,889,744.07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59,937,579.56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474,483.58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829,651.54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6,157,069.26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769,669.82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1,434,595,216.72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1,271,050,169.25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1,671,620,545.30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1,689,832,325.34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47,041,558.41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18,582,669.01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4,265,151.89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9,555,393.34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840,042.66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2,784,003.29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11,032,537.10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1,124,677.10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38,477,388.97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55,574,405.51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80,431,991.71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55,574,405.51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80,431,991.71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669,050,255.00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669,279,255.00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784,067,698.11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783,095,668.11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57,379,850.52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50,097,930.35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105,548,336.16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106,927,480.17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1,616,046,139.79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1,609,400,333.63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740.915955pt;width:158.9pt;height:20.65pt;mso-position-horizontal-relative:page;mso-position-vertical-relative:page;z-index:-881680" coordorigin="4220,14818" coordsize="3178,413">
            <v:group style="position:absolute;left:4231;top:14829;width:2;height:392" coordorigin="4231,14829" coordsize="2,392">
              <v:shape style="position:absolute;left:4231;top:14829;width:2;height:392" coordorigin="4231,14829" coordsize="0,392" path="m4231,14829l4231,15220e" filled="false" stroked="true" strokeweight="1.08pt" strokecolor="#ffffff">
                <v:path arrowok="t"/>
              </v:shape>
            </v:group>
            <v:group style="position:absolute;left:4242;top:14829;width:3157;height:392" coordorigin="4242,14829" coordsize="3157,392">
              <v:shape style="position:absolute;left:4242;top:14829;width:3157;height:392" coordorigin="4242,14829" coordsize="3157,392" path="m4242,15220l7398,15220,7398,14829,4242,14829,4242,1522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1,671,620,545.30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1,689,832,325.34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9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471,866,245.30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446,156,028.97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471,866,245.30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446,156,028.97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419,336,381.99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375,353,408.08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250,769,528.53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218,997,546.37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8,995,210.82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11,636,085.90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54,008,079.05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43,722,342.35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64,576,605.25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57,829,736.41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47,834,016.35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47,604,135.93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-6,847,058.01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-4,436,438.88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560,364.04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1,425,890.42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7,489,534.06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5,918,402.12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31,656,045.08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52,011,274.73</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2,021,957.08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6,035,565.85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-1,159,942.54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-672,475.56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-2,706,783.38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310.789978pt;width:158.9pt;height:20.65pt;mso-position-horizontal-relative:page;mso-position-vertical-relative:page;z-index:-881656" coordorigin="4220,6216" coordsize="3178,413">
            <v:group style="position:absolute;left:4231;top:6227;width:2;height:392" coordorigin="4231,6227" coordsize="2,392">
              <v:shape style="position:absolute;left:4231;top:6227;width:2;height:392" coordorigin="4231,6227" coordsize="0,392" path="m4231,6227l4231,6618e" filled="false" stroked="true" strokeweight="1.08pt" strokecolor="#ffffff">
                <v:path arrowok="t"/>
              </v:shape>
            </v:group>
            <v:group style="position:absolute;left:4242;top:6227;width:3157;height:392" coordorigin="4242,6227" coordsize="3157,392">
              <v:shape style="position:absolute;left:4242;top:6227;width:3157;height:392" coordorigin="4242,6227" coordsize="3157,392" path="m4242,6618l7398,6618,7398,6227,4242,6227,4242,661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117"/>
        <w:gridCol w:w="2106"/>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19,364,001.75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6" w:right="0"/>
              <w:jc w:val="left"/>
              <w:rPr>
                <w:rFonts w:ascii="Times New Roman" w:hAnsi="Times New Roman" w:cs="Times New Roman" w:eastAsia="Times New Roman" w:hint="default"/>
                <w:sz w:val="18"/>
                <w:szCs w:val="18"/>
              </w:rPr>
            </w:pPr>
            <w:r>
              <w:rPr>
                <w:rFonts w:ascii="Times New Roman"/>
                <w:sz w:val="18"/>
              </w:rPr>
              <w:t>-37,568,613.56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-26,747,240.69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105,192.75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240,337.41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68,108,446.41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102,342,558.19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404,344.23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1,876,333.74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148,392.06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2,659,825.54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68,364,398.58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101,559,066.39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11,843,393.96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15,138,007.80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56,521,004.62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86,421,058.59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56,521,004.62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86,421,058.59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64,087,356.05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97,453,208.28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-7,566,351.43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-11,032,149.69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56,521,004.62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86,421,058.59</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64,087,356.05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97,453,208.28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-7,566,351.43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-11,032,149.69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0.1456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0.0958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0.1456</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法定代表人：黄自伟</w:t>
        <w:tab/>
      </w:r>
      <w:r>
        <w:rPr>
          <w:rFonts w:ascii="宋体" w:hAnsi="宋体" w:cs="宋体" w:eastAsia="宋体" w:hint="default"/>
          <w:spacing w:val="-1"/>
          <w:sz w:val="18"/>
          <w:szCs w:val="18"/>
        </w:rPr>
        <w:t>主管会计工作负责人：崔保航</w:t>
        <w:tab/>
      </w:r>
      <w:r>
        <w:rPr>
          <w:rFonts w:ascii="宋体" w:hAnsi="宋体" w:cs="宋体" w:eastAsia="宋体" w:hint="default"/>
          <w:sz w:val="18"/>
          <w:szCs w:val="18"/>
        </w:rPr>
        <w:t>会计机构负责人：曹丽妮</w:t>
      </w:r>
    </w:p>
    <w:p>
      <w:pPr>
        <w:spacing w:line="240" w:lineRule="auto" w:before="0"/>
        <w:rPr>
          <w:rFonts w:ascii="宋体" w:hAnsi="宋体" w:cs="宋体" w:eastAsia="宋体" w:hint="default"/>
          <w:sz w:val="18"/>
          <w:szCs w:val="18"/>
        </w:rPr>
      </w:pPr>
    </w:p>
    <w:p>
      <w:pPr>
        <w:pStyle w:val="Heading4"/>
        <w:spacing w:line="240" w:lineRule="auto" w:before="120"/>
        <w:ind w:right="99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114,421,342.43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175,384,905.85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93,673,348.14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79,848,827.61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807,174.75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5,405,339.86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14,614,979.32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25,725,247.53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10,381,643.21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32,093,505.40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9,204,053.16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-1,230,967.75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-1,678,430.08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1,239,110.94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1,689,989.54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1,532,810.50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486,432.79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137,178,433.44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61,354,212.22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9,772.19</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-240,021.53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-3,016,514.87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-20,559,200.64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88,045.49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57,753.44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72,957,939.32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66,125,560.18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3,024.62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250,527.61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1,183,441.56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72,960,963.94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65,192,646.23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141,762.28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3,392,214.03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72,819,201.66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61,800,432.20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72,819,201.66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61,800,432.20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72,819,201.66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61,800,432.20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9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36" w:right="0"/>
              <w:jc w:val="left"/>
              <w:rPr>
                <w:rFonts w:ascii="Times New Roman" w:hAnsi="Times New Roman" w:cs="Times New Roman" w:eastAsia="Times New Roman" w:hint="default"/>
                <w:sz w:val="18"/>
                <w:szCs w:val="18"/>
              </w:rPr>
            </w:pPr>
            <w:r>
              <w:rPr>
                <w:rFonts w:ascii="Times New Roman"/>
                <w:sz w:val="18"/>
              </w:rPr>
              <w:t>551,354,667.97</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398,597,090.17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32,809,425.93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6,170,981.96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35,011,857.49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26,528,626.16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619,175,951.39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431,296,698.29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218,448,559.48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159,778,140.39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72,717,162.61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66,279,342.42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77,953,734.14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93,162,803.62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73,214,122.57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67,259,626.06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442,333,578.80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386,479,912.49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176,842,372.59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44,816,785.80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545,540,000.00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8,038,521.22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4,842,269.26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627,342.55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408,280,521.22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551,009,611.81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10,850,785.18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16,365,672.63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661,440,000.00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474,740,785.18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677,805,672.63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-66,460,263.96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-126,796,060.82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67,557,928.63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70,225,440.78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2,807,400.00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918,550.85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412,411.12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78,476,479.48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75,637,851.90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-78,476,479.48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-65,637,851.90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31,905,629.15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-147,617,126.92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144,005,044.44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291,622,171.36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175,910,673.59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144,005,044.44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9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41,948,313.43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100,026,017.44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69,232,888.61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78,371,978.28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111,181,202.04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178,397,995.72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44,477,291.96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70,626,587.82</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5,233,813.16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23,711,142.59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15,389,006.03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13,490,406.17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178,282,443.96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29,212,840.75</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243,382,555.11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137,040,977.33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-132,201,353.07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41,357,018.39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539,800,000.00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138,405,141.11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60,796,777.85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611,396.36</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431,217,141.11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601,208,174.21</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919,179.76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4,148,872.26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699,200,000.00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249,619,179.76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703,348,872.26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181,597,961.35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-102,140,698.05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67,278,525.50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918,550.85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29,496.59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68,197,076.35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66,957,422.09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-68,197,076.35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-66,957,422.09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-18,800,468.07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-127,741,101.75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22,408,556.90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150,149,658.65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3,608,088.83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22,408,556.90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52"/>
        <w:gridCol w:w="1192"/>
        <w:gridCol w:w="490"/>
        <w:gridCol w:w="425"/>
        <w:gridCol w:w="380"/>
        <w:gridCol w:w="1181"/>
        <w:gridCol w:w="566"/>
        <w:gridCol w:w="487"/>
        <w:gridCol w:w="461"/>
        <w:gridCol w:w="1092"/>
        <w:gridCol w:w="614"/>
        <w:gridCol w:w="1181"/>
        <w:gridCol w:w="312"/>
        <w:gridCol w:w="1318"/>
        <w:gridCol w:w="1109"/>
        <w:gridCol w:w="1318"/>
      </w:tblGrid>
      <w:tr>
        <w:trPr>
          <w:trHeight w:val="402" w:hRule="exact"/>
        </w:trPr>
        <w:tc>
          <w:tcPr>
            <w:tcW w:w="1852" w:type="dxa"/>
            <w:vMerge w:val="restart"/>
            <w:tcBorders>
              <w:top w:val="single" w:sz="4" w:space="0" w:color="000000"/>
              <w:left w:val="single" w:sz="4" w:space="0" w:color="000000"/>
              <w:right w:val="single" w:sz="4" w:space="0" w:color="000000"/>
            </w:tcBorders>
            <w:shd w:val="clear" w:color="auto" w:fill="D2D2D2"/>
          </w:tcPr>
          <w:p>
            <w:pPr/>
          </w:p>
        </w:tc>
        <w:tc>
          <w:tcPr>
            <w:tcW w:w="1212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852" w:type="dxa"/>
            <w:vMerge/>
            <w:tcBorders>
              <w:left w:val="single" w:sz="4" w:space="0" w:color="000000"/>
              <w:bottom w:val="single" w:sz="4" w:space="0" w:color="FFFFFF"/>
              <w:right w:val="single" w:sz="4" w:space="0" w:color="000000"/>
            </w:tcBorders>
            <w:shd w:val="clear" w:color="auto" w:fill="D2D2D2"/>
          </w:tcPr>
          <w:p>
            <w:pPr/>
          </w:p>
        </w:tc>
        <w:tc>
          <w:tcPr>
            <w:tcW w:w="9698"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8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FFFFFF"/>
              <w:left w:val="single" w:sz="4" w:space="0" w:color="000000"/>
              <w:right w:val="single" w:sz="4" w:space="0" w:color="000000"/>
            </w:tcBorders>
            <w:shd w:val="clear" w:color="auto" w:fill="D2D2D2"/>
          </w:tcPr>
          <w:p>
            <w:pPr/>
          </w:p>
        </w:tc>
        <w:tc>
          <w:tcPr>
            <w:tcW w:w="1294"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FFFFFF"/>
              <w:left w:val="single" w:sz="4" w:space="0" w:color="000000"/>
              <w:right w:val="single" w:sz="4" w:space="0" w:color="000000"/>
            </w:tcBorders>
            <w:shd w:val="clear" w:color="auto" w:fill="D2D2D2"/>
          </w:tcPr>
          <w:p>
            <w:pPr/>
          </w:p>
        </w:tc>
        <w:tc>
          <w:tcPr>
            <w:tcW w:w="566" w:type="dxa"/>
            <w:tcBorders>
              <w:top w:val="single" w:sz="4" w:space="0" w:color="FFFFFF"/>
              <w:left w:val="single" w:sz="4" w:space="0" w:color="000000"/>
              <w:bottom w:val="nil" w:sz="6" w:space="0" w:color="auto"/>
              <w:right w:val="single" w:sz="4" w:space="0" w:color="000000"/>
            </w:tcBorders>
            <w:shd w:val="clear" w:color="auto" w:fill="D2D2D2"/>
          </w:tcPr>
          <w:p>
            <w:pPr/>
          </w:p>
        </w:tc>
        <w:tc>
          <w:tcPr>
            <w:tcW w:w="487"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57" w:right="59"/>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61" w:type="dxa"/>
            <w:tcBorders>
              <w:top w:val="single" w:sz="4" w:space="0" w:color="FFFFFF"/>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FFFFFF"/>
              <w:left w:val="single" w:sz="4" w:space="0" w:color="000000"/>
              <w:right w:val="single" w:sz="4" w:space="0" w:color="000000"/>
            </w:tcBorders>
            <w:shd w:val="clear" w:color="auto" w:fill="D2D2D2"/>
          </w:tcPr>
          <w:p>
            <w:pPr/>
          </w:p>
        </w:tc>
        <w:tc>
          <w:tcPr>
            <w:tcW w:w="614" w:type="dxa"/>
            <w:tcBorders>
              <w:top w:val="single" w:sz="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000000"/>
            </w:tcBorders>
            <w:shd w:val="clear" w:color="auto" w:fill="D2D2D2"/>
          </w:tcPr>
          <w:p>
            <w:pPr/>
          </w:p>
        </w:tc>
        <w:tc>
          <w:tcPr>
            <w:tcW w:w="312" w:type="dxa"/>
            <w:tcBorders>
              <w:top w:val="single" w:sz="4" w:space="0" w:color="FFFFFF"/>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FFFFFF"/>
              <w:left w:val="single" w:sz="4" w:space="0" w:color="000000"/>
              <w:right w:val="single" w:sz="4" w:space="0" w:color="000000"/>
            </w:tcBorders>
            <w:shd w:val="clear" w:color="auto" w:fill="D2D2D2"/>
          </w:tcPr>
          <w:p>
            <w:pPr/>
          </w:p>
        </w:tc>
        <w:tc>
          <w:tcPr>
            <w:tcW w:w="1109"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51"/>
              <w:ind w:left="459" w:right="98"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852"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1294" w:type="dxa"/>
            <w:gridSpan w:val="3"/>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95" w:right="23"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487" w:type="dxa"/>
            <w:vMerge/>
            <w:tcBorders>
              <w:left w:val="single" w:sz="4" w:space="0" w:color="000000"/>
              <w:right w:val="single" w:sz="4" w:space="0" w:color="000000"/>
            </w:tcBorders>
            <w:shd w:val="clear" w:color="auto" w:fill="D2D2D2"/>
          </w:tcPr>
          <w:p>
            <w:pPr/>
          </w:p>
        </w:tc>
        <w:tc>
          <w:tcPr>
            <w:tcW w:w="46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45" w:right="4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61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3" w:right="2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31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852"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48" w:right="5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8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93" w:right="94"/>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461"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2"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09"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85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8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46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312"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single" w:sz="18" w:space="0" w:color="FFFFFF"/>
              <w:right w:val="single" w:sz="4" w:space="0" w:color="000000"/>
            </w:tcBorders>
            <w:shd w:val="clear" w:color="auto" w:fill="D2D2D2"/>
          </w:tcPr>
          <w:p>
            <w:pPr/>
          </w:p>
        </w:tc>
        <w:tc>
          <w:tcPr>
            <w:tcW w:w="1109"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7" w:hRule="exact"/>
        </w:trPr>
        <w:tc>
          <w:tcPr>
            <w:tcW w:w="1852"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8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461"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61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312"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single" w:sz="18" w:space="0" w:color="FFFFFF"/>
              <w:left w:val="single" w:sz="4" w:space="0" w:color="000000"/>
              <w:right w:val="single" w:sz="4" w:space="0" w:color="000000"/>
            </w:tcBorders>
            <w:shd w:val="clear" w:color="auto" w:fill="D2D2D2"/>
          </w:tcPr>
          <w:p>
            <w:pPr/>
          </w:p>
        </w:tc>
        <w:tc>
          <w:tcPr>
            <w:tcW w:w="1109"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4" w:hRule="exact"/>
        </w:trPr>
        <w:tc>
          <w:tcPr>
            <w:tcW w:w="1852"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8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c>
          <w:tcPr>
            <w:tcW w:w="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669,279,255.00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783,044,279.86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21" w:space="0" w:color="D2D2D2"/>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261,982,939.39</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1,764,404,404.60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31,164,370.62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1,795,568,775.22</w:t>
            </w:r>
          </w:p>
        </w:tc>
      </w:tr>
      <w:tr>
        <w:trPr>
          <w:trHeight w:val="401"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669,279,255.00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783,044,279.86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261,982,939.39</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1,764,404,404.60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31,164,370.62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1,795,568,775.22</w:t>
            </w:r>
          </w:p>
        </w:tc>
      </w:tr>
      <w:tr>
        <w:trPr>
          <w:trHeight w:val="715"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972,030.00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7,281,920.17</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-10,110,989.62</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-2,086,039.45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-7,566,351.43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-9,652,390.88</w:t>
            </w:r>
          </w:p>
        </w:tc>
      </w:tr>
      <w:tr>
        <w:trPr>
          <w:trHeight w:val="401"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64,087,356.05</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64,087,356.05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-7,566,351.43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56,521,004.62</w:t>
            </w:r>
          </w:p>
        </w:tc>
      </w:tr>
      <w:tr>
        <w:trPr>
          <w:trHeight w:val="715"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28"/>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972,030.00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743,030.00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743,030.00</w:t>
            </w:r>
          </w:p>
        </w:tc>
      </w:tr>
      <w:tr>
        <w:trPr>
          <w:trHeight w:val="401"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所有者投入的普通股</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-659,570.00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-888,570.00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-888,570.00</w:t>
            </w:r>
          </w:p>
        </w:tc>
      </w:tr>
      <w:tr>
        <w:trPr>
          <w:trHeight w:val="716"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投入资本</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1,631,600.00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1,631,600.00</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867" w:footer="980" w:top="1060" w:bottom="1160" w:left="1300" w:right="1280"/>
          <w:pgNumType w:start="88"/>
        </w:sectPr>
      </w:pPr>
    </w:p>
    <w:p>
      <w:pPr>
        <w:spacing w:line="240" w:lineRule="auto" w:before="2"/>
        <w:rPr>
          <w:rFonts w:ascii="Times New Roman" w:hAnsi="Times New Roman" w:cs="Times New Roman" w:eastAsia="Times New Roman" w:hint="default"/>
          <w:sz w:val="3"/>
          <w:szCs w:val="3"/>
        </w:rPr>
      </w:pPr>
      <w:r>
        <w:rPr/>
        <w:pict>
          <v:group style="position:absolute;margin-left:165.979996pt;margin-top:155.660004pt;width:58.6pt;height:7.8pt;mso-position-horizontal-relative:page;mso-position-vertical-relative:page;z-index:-881608" coordorigin="3320,3113" coordsize="1172,156">
            <v:shape style="position:absolute;left:3320;top:3113;width:1172;height:156" coordorigin="3320,3113" coordsize="1172,156" path="m3320,3269l4491,3269,4491,3113,3320,3113,3320,3269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875"/>
        <w:gridCol w:w="1181"/>
        <w:gridCol w:w="490"/>
        <w:gridCol w:w="425"/>
        <w:gridCol w:w="380"/>
        <w:gridCol w:w="1181"/>
        <w:gridCol w:w="566"/>
        <w:gridCol w:w="487"/>
        <w:gridCol w:w="461"/>
        <w:gridCol w:w="1092"/>
        <w:gridCol w:w="614"/>
        <w:gridCol w:w="1181"/>
        <w:gridCol w:w="312"/>
        <w:gridCol w:w="1318"/>
        <w:gridCol w:w="1109"/>
        <w:gridCol w:w="1318"/>
      </w:tblGrid>
      <w:tr>
        <w:trPr>
          <w:trHeight w:val="377" w:hRule="exact"/>
        </w:trPr>
        <w:tc>
          <w:tcPr>
            <w:tcW w:w="18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90"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38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87" w:type="dxa"/>
            <w:tcBorders>
              <w:top w:val="single" w:sz="15" w:space="0" w:color="000000"/>
              <w:left w:val="single" w:sz="4" w:space="0" w:color="000000"/>
              <w:bottom w:val="single" w:sz="4" w:space="0" w:color="000000"/>
              <w:right w:val="single" w:sz="4" w:space="0" w:color="000000"/>
            </w:tcBorders>
          </w:tcPr>
          <w:p>
            <w:pPr/>
          </w:p>
        </w:tc>
        <w:tc>
          <w:tcPr>
            <w:tcW w:w="461"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312"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109"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7,281,920.17</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-74,198,345.67</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-66,916,425.50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7,281,920.17</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-7,281,920.17</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00" w:lineRule="auto" w:before="49"/>
              <w:ind w:left="2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-66,916,425.50</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-66,916,425.50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．设定受益计划变动额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．其他综合收益结转留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669,050,255.00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784,016,309.86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57,379,850.52</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251,871,949.77</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1,762,318,365.15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23,598,019.19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1,785,916,384.34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36"/>
        <w:gridCol w:w="1193"/>
        <w:gridCol w:w="504"/>
        <w:gridCol w:w="425"/>
        <w:gridCol w:w="380"/>
        <w:gridCol w:w="1181"/>
        <w:gridCol w:w="566"/>
        <w:gridCol w:w="461"/>
        <w:gridCol w:w="458"/>
        <w:gridCol w:w="1092"/>
        <w:gridCol w:w="610"/>
        <w:gridCol w:w="1181"/>
        <w:gridCol w:w="312"/>
        <w:gridCol w:w="1315"/>
        <w:gridCol w:w="1145"/>
        <w:gridCol w:w="1318"/>
      </w:tblGrid>
      <w:tr>
        <w:trPr>
          <w:trHeight w:val="401" w:hRule="exact"/>
        </w:trPr>
        <w:tc>
          <w:tcPr>
            <w:tcW w:w="1836" w:type="dxa"/>
            <w:vMerge w:val="restart"/>
            <w:tcBorders>
              <w:top w:val="single" w:sz="4" w:space="0" w:color="000000"/>
              <w:left w:val="single" w:sz="4" w:space="0" w:color="000000"/>
              <w:right w:val="single" w:sz="4" w:space="0" w:color="000000"/>
            </w:tcBorders>
            <w:shd w:val="clear" w:color="auto" w:fill="D2D2D2"/>
          </w:tcPr>
          <w:p>
            <w:pPr/>
          </w:p>
        </w:tc>
        <w:tc>
          <w:tcPr>
            <w:tcW w:w="1214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836" w:type="dxa"/>
            <w:vMerge/>
            <w:tcBorders>
              <w:left w:val="single" w:sz="4" w:space="0" w:color="000000"/>
              <w:bottom w:val="single" w:sz="4" w:space="0" w:color="FFFFFF"/>
              <w:right w:val="single" w:sz="4" w:space="0" w:color="000000"/>
            </w:tcBorders>
            <w:shd w:val="clear" w:color="auto" w:fill="D2D2D2"/>
          </w:tcPr>
          <w:p>
            <w:pPr/>
          </w:p>
        </w:tc>
        <w:tc>
          <w:tcPr>
            <w:tcW w:w="9678"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83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FFFFFF"/>
              <w:left w:val="single" w:sz="4" w:space="0" w:color="000000"/>
              <w:right w:val="single" w:sz="4" w:space="0" w:color="000000"/>
            </w:tcBorders>
            <w:shd w:val="clear" w:color="auto" w:fill="D2D2D2"/>
          </w:tcPr>
          <w:p>
            <w:pPr/>
          </w:p>
        </w:tc>
        <w:tc>
          <w:tcPr>
            <w:tcW w:w="1309"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FFFFFF"/>
              <w:left w:val="single" w:sz="4" w:space="0" w:color="000000"/>
              <w:right w:val="single" w:sz="4" w:space="0" w:color="000000"/>
            </w:tcBorders>
            <w:shd w:val="clear" w:color="auto" w:fill="D2D2D2"/>
          </w:tcPr>
          <w:p>
            <w:pPr/>
          </w:p>
        </w:tc>
        <w:tc>
          <w:tcPr>
            <w:tcW w:w="566" w:type="dxa"/>
            <w:tcBorders>
              <w:top w:val="single" w:sz="4" w:space="0" w:color="FFFFFF"/>
              <w:left w:val="single" w:sz="4" w:space="0" w:color="000000"/>
              <w:bottom w:val="nil" w:sz="6" w:space="0" w:color="auto"/>
              <w:right w:val="single" w:sz="4" w:space="0" w:color="000000"/>
            </w:tcBorders>
            <w:shd w:val="clear" w:color="auto" w:fill="D2D2D2"/>
          </w:tcPr>
          <w:p>
            <w:pPr/>
          </w:p>
        </w:tc>
        <w:tc>
          <w:tcPr>
            <w:tcW w:w="46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45" w:right="4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58" w:type="dxa"/>
            <w:tcBorders>
              <w:top w:val="single" w:sz="4" w:space="0" w:color="FFFFFF"/>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FFFFFF"/>
              <w:left w:val="single" w:sz="4" w:space="0" w:color="000000"/>
              <w:right w:val="single" w:sz="4" w:space="0" w:color="000000"/>
            </w:tcBorders>
            <w:shd w:val="clear" w:color="auto" w:fill="D2D2D2"/>
          </w:tcPr>
          <w:p>
            <w:pPr/>
          </w:p>
        </w:tc>
        <w:tc>
          <w:tcPr>
            <w:tcW w:w="610" w:type="dxa"/>
            <w:tcBorders>
              <w:top w:val="single" w:sz="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FFFFFF"/>
            </w:tcBorders>
            <w:shd w:val="clear" w:color="auto" w:fill="D2D2D2"/>
          </w:tcPr>
          <w:p>
            <w:pPr/>
          </w:p>
        </w:tc>
        <w:tc>
          <w:tcPr>
            <w:tcW w:w="312" w:type="dxa"/>
            <w:tcBorders>
              <w:top w:val="single" w:sz="4" w:space="0" w:color="FFFFFF"/>
              <w:left w:val="single" w:sz="4" w:space="0" w:color="FFFFFF"/>
              <w:bottom w:val="nil" w:sz="6" w:space="0" w:color="auto"/>
              <w:right w:val="single" w:sz="4" w:space="0" w:color="000000"/>
            </w:tcBorders>
            <w:shd w:val="clear" w:color="auto" w:fill="D2D2D2"/>
          </w:tcPr>
          <w:p>
            <w:pPr/>
          </w:p>
        </w:tc>
        <w:tc>
          <w:tcPr>
            <w:tcW w:w="1315" w:type="dxa"/>
            <w:vMerge w:val="restart"/>
            <w:tcBorders>
              <w:top w:val="single" w:sz="4" w:space="0" w:color="FFFFFF"/>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36"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1309" w:type="dxa"/>
            <w:gridSpan w:val="3"/>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461" w:type="dxa"/>
            <w:vMerge/>
            <w:tcBorders>
              <w:left w:val="single" w:sz="4" w:space="0" w:color="000000"/>
              <w:right w:val="single" w:sz="4" w:space="0" w:color="000000"/>
            </w:tcBorders>
            <w:shd w:val="clear" w:color="auto" w:fill="D2D2D2"/>
          </w:tcPr>
          <w:p>
            <w:pPr/>
          </w:p>
        </w:tc>
        <w:tc>
          <w:tcPr>
            <w:tcW w:w="4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 w:right="4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61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1" w:right="2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FFFFFF"/>
            </w:tcBorders>
            <w:shd w:val="clear" w:color="auto" w:fill="D2D2D2"/>
          </w:tcPr>
          <w:p>
            <w:pPr/>
          </w:p>
        </w:tc>
        <w:tc>
          <w:tcPr>
            <w:tcW w:w="312"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71"/>
              <w:ind w:left="59" w:right="60"/>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0" w:hRule="exact"/>
        </w:trPr>
        <w:tc>
          <w:tcPr>
            <w:tcW w:w="1836"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0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89"/>
              <w:ind w:left="155" w:right="6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89"/>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8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89"/>
              <w:ind w:left="96" w:right="92"/>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461"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2" w:type="dxa"/>
            <w:vMerge/>
            <w:tcBorders>
              <w:left w:val="single" w:sz="4" w:space="0" w:color="FFFFFF"/>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4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8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61"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FFFFFF"/>
            </w:tcBorders>
            <w:shd w:val="clear" w:color="auto" w:fill="D2D2D2"/>
          </w:tcPr>
          <w:p>
            <w:pPr/>
          </w:p>
        </w:tc>
        <w:tc>
          <w:tcPr>
            <w:tcW w:w="312" w:type="dxa"/>
            <w:vMerge/>
            <w:tcBorders>
              <w:left w:val="single" w:sz="4" w:space="0" w:color="FFFFFF"/>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83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8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461" w:type="dxa"/>
            <w:vMerge/>
            <w:tcBorders>
              <w:left w:val="single" w:sz="4" w:space="0" w:color="000000"/>
              <w:right w:val="single" w:sz="4" w:space="0" w:color="000000"/>
            </w:tcBorders>
            <w:shd w:val="clear" w:color="auto" w:fill="D2D2D2"/>
          </w:tcPr>
          <w:p>
            <w:pPr/>
          </w:p>
        </w:tc>
        <w:tc>
          <w:tcPr>
            <w:tcW w:w="45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FFFFFF"/>
            </w:tcBorders>
            <w:shd w:val="clear" w:color="auto" w:fill="D2D2D2"/>
          </w:tcPr>
          <w:p>
            <w:pPr/>
          </w:p>
        </w:tc>
        <w:tc>
          <w:tcPr>
            <w:tcW w:w="312" w:type="dxa"/>
            <w:vMerge/>
            <w:tcBorders>
              <w:left w:val="single" w:sz="4" w:space="0" w:color="FFFFFF"/>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6"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8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61" w:type="dxa"/>
            <w:vMerge/>
            <w:tcBorders>
              <w:left w:val="single" w:sz="4" w:space="0" w:color="000000"/>
              <w:bottom w:val="single" w:sz="4" w:space="0" w:color="000000"/>
              <w:right w:val="single" w:sz="4" w:space="0" w:color="000000"/>
            </w:tcBorders>
            <w:shd w:val="clear" w:color="auto" w:fill="D2D2D2"/>
          </w:tcPr>
          <w:p>
            <w:pPr/>
          </w:p>
        </w:tc>
        <w:tc>
          <w:tcPr>
            <w:tcW w:w="4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FFFFFF"/>
            </w:tcBorders>
            <w:shd w:val="clear" w:color="auto" w:fill="D2D2D2"/>
          </w:tcPr>
          <w:p>
            <w:pPr/>
          </w:p>
        </w:tc>
        <w:tc>
          <w:tcPr>
            <w:tcW w:w="312" w:type="dxa"/>
            <w:tcBorders>
              <w:top w:val="nil" w:sz="6" w:space="0" w:color="auto"/>
              <w:left w:val="single" w:sz="4" w:space="0" w:color="FFFFFF"/>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669,279,255.00</w:t>
            </w: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776,605,679.86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22" w:space="0" w:color="D2D2D2"/>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43,917,887.13</w:t>
            </w: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237,637,699.83</w:t>
            </w: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1,727,440,521.82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42,196,520.31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1,769,637,042.13</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669,279,255.00</w:t>
            </w: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776,605,679.86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43,917,887.13</w:t>
            </w: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237,637,699.83</w:t>
            </w: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1,727,440,521.82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42,196,520.31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1,769,637,042.13</w:t>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6,438,600.00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6,180,043.22</w:t>
            </w: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24,345,239.56</w:t>
            </w: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36,963,882.78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-11,032,149.69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25,931,733.09</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97,453,208.28</w:t>
            </w: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97,453,208.28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-11,032,149.69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86,421,058.59</w:t>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6,438,600.00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6,438,600.00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6,438,600.00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6,438,600.00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6,438,600.00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6,438,600.00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312" w:type="dxa"/>
            <w:tcBorders>
              <w:top w:val="single" w:sz="4" w:space="0" w:color="000000"/>
              <w:left w:val="single" w:sz="4" w:space="0" w:color="FFFFFF"/>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65.259995pt;margin-top:117.500008pt;width:58.6pt;height:28pt;mso-position-horizontal-relative:page;mso-position-vertical-relative:page;z-index:-881560" coordorigin="3305,2350" coordsize="1172,560">
            <v:group style="position:absolute;left:3305;top:2350;width:1172;height:156" coordorigin="3305,2350" coordsize="1172,156">
              <v:shape style="position:absolute;left:3305;top:2350;width:1172;height:156" coordorigin="3305,2350" coordsize="1172,156" path="m3305,2506l4476,2506,4476,2350,3305,2350,3305,2506xe" filled="true" fillcolor="#ffffff" stroked="false">
                <v:path arrowok="t"/>
                <v:fill type="solid"/>
              </v:shape>
            </v:group>
            <v:group style="position:absolute;left:3317;top:2506;width:2;height:392" coordorigin="3317,2506" coordsize="2,392">
              <v:shape style="position:absolute;left:3317;top:2506;width:2;height:392" coordorigin="3317,2506" coordsize="0,392" path="m3317,2506l3317,2897e" filled="false" stroked="true" strokeweight="1.2pt" strokecolor="#ffffff">
                <v:path arrowok="t"/>
              </v:shape>
            </v:group>
            <v:group style="position:absolute;left:3329;top:2506;width:1124;height:392" coordorigin="3329,2506" coordsize="1124,392">
              <v:shape style="position:absolute;left:3329;top:2506;width:1124;height:392" coordorigin="3329,2506" coordsize="1124,392" path="m3329,2897l4452,2897,4452,2506,3329,2506,3329,289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60"/>
        <w:gridCol w:w="1181"/>
        <w:gridCol w:w="504"/>
        <w:gridCol w:w="425"/>
        <w:gridCol w:w="380"/>
        <w:gridCol w:w="1181"/>
        <w:gridCol w:w="566"/>
        <w:gridCol w:w="461"/>
        <w:gridCol w:w="458"/>
        <w:gridCol w:w="1092"/>
        <w:gridCol w:w="610"/>
        <w:gridCol w:w="1181"/>
        <w:gridCol w:w="312"/>
        <w:gridCol w:w="1315"/>
        <w:gridCol w:w="1145"/>
        <w:gridCol w:w="1318"/>
      </w:tblGrid>
      <w:tr>
        <w:trPr>
          <w:trHeight w:val="418" w:hRule="exact"/>
        </w:trPr>
        <w:tc>
          <w:tcPr>
            <w:tcW w:w="18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04"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38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61" w:type="dxa"/>
            <w:tcBorders>
              <w:top w:val="single" w:sz="15" w:space="0" w:color="000000"/>
              <w:left w:val="single" w:sz="4" w:space="0" w:color="000000"/>
              <w:bottom w:val="single" w:sz="4" w:space="0" w:color="000000"/>
              <w:right w:val="single" w:sz="4" w:space="0" w:color="000000"/>
            </w:tcBorders>
          </w:tcPr>
          <w:p>
            <w:pPr/>
          </w:p>
        </w:tc>
        <w:tc>
          <w:tcPr>
            <w:tcW w:w="45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88" w:right="0"/>
              <w:jc w:val="center"/>
              <w:rPr>
                <w:rFonts w:ascii="Times New Roman" w:hAnsi="Times New Roman" w:cs="Times New Roman" w:eastAsia="Times New Roman" w:hint="default"/>
                <w:sz w:val="18"/>
                <w:szCs w:val="18"/>
              </w:rPr>
            </w:pPr>
            <w:r>
              <w:rPr>
                <w:rFonts w:ascii="Times New Roman"/>
                <w:sz w:val="18"/>
              </w:rPr>
              <w:t>6,180,043.22</w:t>
            </w:r>
          </w:p>
        </w:tc>
        <w:tc>
          <w:tcPr>
            <w:tcW w:w="61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-73,107,968.72</w:t>
            </w:r>
          </w:p>
        </w:tc>
        <w:tc>
          <w:tcPr>
            <w:tcW w:w="312"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-66,927,925.50</w:t>
            </w:r>
          </w:p>
        </w:tc>
        <w:tc>
          <w:tcPr>
            <w:tcW w:w="1145"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6,180,043.22</w:t>
            </w: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-6,180,043.22</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-66,927,925.50</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-66,927,925.50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．设定受益计划变动额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．其他综合收益结转留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669,279,255.00</w:t>
            </w:r>
          </w:p>
        </w:tc>
        <w:tc>
          <w:tcPr>
            <w:tcW w:w="5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783,044,279.86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50,097,930.35</w:t>
            </w: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261,982,939.39</w:t>
            </w:r>
          </w:p>
        </w:tc>
        <w:tc>
          <w:tcPr>
            <w:tcW w:w="31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1,764,404,404.60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31,164,370.62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1,795,568,775.22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group style="position:absolute;margin-left:241.940002pt;margin-top:298.970001pt;width:57.55pt;height:20.8pt;mso-position-horizontal-relative:page;mso-position-vertical-relative:page;z-index:-881512" coordorigin="4839,5979" coordsize="1151,416">
            <v:group style="position:absolute;left:4851;top:5991;width:2;height:392" coordorigin="4851,5991" coordsize="2,392">
              <v:shape style="position:absolute;left:4851;top:5991;width:2;height:392" coordorigin="4851,5991" coordsize="0,392" path="m4851,5991l4851,6383e" filled="false" stroked="true" strokeweight="1.2pt" strokecolor="#ffffff">
                <v:path arrowok="t"/>
              </v:shape>
            </v:group>
            <v:group style="position:absolute;left:4863;top:5991;width:1127;height:392" coordorigin="4863,5991" coordsize="1127,392">
              <v:shape style="position:absolute;left:4863;top:5991;width:1127;height:392" coordorigin="4863,5991" coordsize="1127,392" path="m4863,6383l5989,6383,5989,5991,4863,5991,4863,6383xe" filled="true" fillcolor="#ffffff" stroked="false">
                <v:path arrowok="t"/>
                <v:fill type="solid"/>
              </v:shape>
            </v:group>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70"/>
        <w:gridCol w:w="185"/>
        <w:gridCol w:w="1009"/>
        <w:gridCol w:w="569"/>
        <w:gridCol w:w="566"/>
        <w:gridCol w:w="401"/>
        <w:gridCol w:w="1176"/>
        <w:gridCol w:w="912"/>
        <w:gridCol w:w="1066"/>
        <w:gridCol w:w="732"/>
        <w:gridCol w:w="1092"/>
        <w:gridCol w:w="1181"/>
        <w:gridCol w:w="401"/>
        <w:gridCol w:w="1318"/>
      </w:tblGrid>
      <w:tr>
        <w:trPr>
          <w:trHeight w:val="397" w:hRule="exact"/>
        </w:trPr>
        <w:tc>
          <w:tcPr>
            <w:tcW w:w="3370" w:type="dxa"/>
            <w:vMerge w:val="restart"/>
            <w:tcBorders>
              <w:top w:val="single" w:sz="4" w:space="0" w:color="000000"/>
              <w:left w:val="single" w:sz="4" w:space="0" w:color="000000"/>
              <w:right w:val="single" w:sz="4" w:space="0" w:color="000000"/>
            </w:tcBorders>
            <w:shd w:val="clear" w:color="auto" w:fill="D2D2D2"/>
          </w:tcPr>
          <w:p>
            <w:pPr/>
          </w:p>
        </w:tc>
        <w:tc>
          <w:tcPr>
            <w:tcW w:w="1060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88" w:hRule="exact"/>
        </w:trPr>
        <w:tc>
          <w:tcPr>
            <w:tcW w:w="3370"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single" w:sz="4" w:space="0" w:color="000000"/>
              <w:left w:val="single" w:sz="4" w:space="0" w:color="000000"/>
              <w:right w:val="single" w:sz="4" w:space="0" w:color="000000"/>
            </w:tcBorders>
            <w:shd w:val="clear" w:color="auto" w:fill="D2D2D2"/>
          </w:tcPr>
          <w:p>
            <w:pPr/>
          </w:p>
        </w:tc>
        <w:tc>
          <w:tcPr>
            <w:tcW w:w="15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3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gridSpan w:val="2"/>
            <w:vMerge/>
            <w:tcBorders>
              <w:left w:val="single" w:sz="4" w:space="0" w:color="000000"/>
              <w:bottom w:val="nil" w:sz="6" w:space="0" w:color="auto"/>
              <w:right w:val="single" w:sz="4" w:space="0" w:color="000000"/>
            </w:tcBorders>
            <w:shd w:val="clear" w:color="auto" w:fill="D2D2D2"/>
          </w:tcPr>
          <w:p>
            <w:pPr/>
          </w:p>
        </w:tc>
        <w:tc>
          <w:tcPr>
            <w:tcW w:w="1536" w:type="dxa"/>
            <w:gridSpan w:val="3"/>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36" w:right="7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68" w:right="9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3"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3370"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9"/>
              <w:ind w:left="189"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9"/>
              <w:ind w:left="187"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9"/>
              <w:ind w:left="103"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9"/>
                <w:sz w:val="18"/>
                <w:szCs w:val="18"/>
              </w:rPr>
              <w:t>减：库存股</w:t>
            </w:r>
          </w:p>
        </w:tc>
        <w:tc>
          <w:tcPr>
            <w:tcW w:w="1066"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01"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370" w:type="dxa"/>
            <w:vMerge w:val="restart"/>
            <w:tcBorders>
              <w:top w:val="nil" w:sz="6" w:space="0" w:color="auto"/>
              <w:left w:val="single" w:sz="4" w:space="0" w:color="000000"/>
              <w:right w:val="single" w:sz="4" w:space="0" w:color="000000"/>
            </w:tcBorders>
            <w:shd w:val="clear" w:color="auto" w:fill="D2D2D2"/>
          </w:tcPr>
          <w:p>
            <w:pPr/>
          </w:p>
        </w:tc>
        <w:tc>
          <w:tcPr>
            <w:tcW w:w="1193" w:type="dxa"/>
            <w:gridSpan w:val="2"/>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370" w:type="dxa"/>
            <w:vMerge/>
            <w:tcBorders>
              <w:left w:val="single" w:sz="4" w:space="0" w:color="000000"/>
              <w:right w:val="single" w:sz="4" w:space="0" w:color="000000"/>
            </w:tcBorders>
            <w:shd w:val="clear" w:color="auto" w:fill="D2D2D2"/>
          </w:tcPr>
          <w:p>
            <w:pPr/>
          </w:p>
        </w:tc>
        <w:tc>
          <w:tcPr>
            <w:tcW w:w="1193" w:type="dxa"/>
            <w:gridSpan w:val="2"/>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912"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401"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370" w:type="dxa"/>
            <w:vMerge/>
            <w:tcBorders>
              <w:left w:val="single" w:sz="4" w:space="0" w:color="000000"/>
              <w:bottom w:val="single" w:sz="4" w:space="0" w:color="000000"/>
              <w:right w:val="single" w:sz="4" w:space="0" w:color="000000"/>
            </w:tcBorders>
            <w:shd w:val="clear" w:color="auto" w:fill="D2D2D2"/>
          </w:tcPr>
          <w:p>
            <w:pPr/>
          </w:p>
        </w:tc>
        <w:tc>
          <w:tcPr>
            <w:tcW w:w="1193" w:type="dxa"/>
            <w:gridSpan w:val="2"/>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01"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23" w:right="0"/>
              <w:jc w:val="left"/>
              <w:rPr>
                <w:rFonts w:ascii="Times New Roman" w:hAnsi="Times New Roman" w:cs="Times New Roman" w:eastAsia="Times New Roman" w:hint="default"/>
                <w:sz w:val="18"/>
                <w:szCs w:val="18"/>
              </w:rPr>
            </w:pPr>
            <w:r>
              <w:rPr>
                <w:rFonts w:ascii="Times New Roman"/>
                <w:sz w:val="18"/>
              </w:rPr>
              <w:t>669,279,255.00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783,095,668.11</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106,927,480.17</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1,609,400,333.63</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23" w:right="0"/>
              <w:jc w:val="left"/>
              <w:rPr>
                <w:rFonts w:ascii="Times New Roman" w:hAnsi="Times New Roman" w:cs="Times New Roman" w:eastAsia="Times New Roman" w:hint="default"/>
                <w:sz w:val="18"/>
                <w:szCs w:val="18"/>
              </w:rPr>
            </w:pPr>
            <w:r>
              <w:rPr>
                <w:rFonts w:ascii="Times New Roman"/>
                <w:sz w:val="18"/>
              </w:rPr>
              <w:t>669,279,255.00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783,095,668.11</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106,927,480.17</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1,609,400,333.63</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本期增减变动金</w:t>
            </w:r>
            <w:r>
              <w:rPr>
                <w:rFonts w:ascii="宋体" w:hAnsi="宋体" w:cs="宋体" w:eastAsia="宋体" w:hint="default"/>
                <w:spacing w:val="-77"/>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号填列</w:t>
            </w:r>
          </w:p>
        </w:tc>
        <w:tc>
          <w:tcPr>
            <w:tcW w:w="1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7"/>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Times New Roman" w:hAnsi="Times New Roman" w:cs="Times New Roman" w:eastAsia="Times New Roman" w:hint="default"/>
                <w:sz w:val="18"/>
                <w:szCs w:val="18"/>
              </w:rPr>
            </w:pPr>
            <w:r>
              <w:rPr>
                <w:rFonts w:ascii="Times New Roman"/>
                <w:sz w:val="18"/>
              </w:rPr>
              <w:t>-229,000.00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972,030.00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7,281,920.17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6" w:right="0"/>
              <w:jc w:val="center"/>
              <w:rPr>
                <w:rFonts w:ascii="Times New Roman" w:hAnsi="Times New Roman" w:cs="Times New Roman" w:eastAsia="Times New Roman" w:hint="default"/>
                <w:sz w:val="18"/>
                <w:szCs w:val="18"/>
              </w:rPr>
            </w:pPr>
            <w:r>
              <w:rPr>
                <w:rFonts w:ascii="Times New Roman"/>
                <w:sz w:val="18"/>
              </w:rPr>
              <w:t>-1,379,144.01</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6,645,806.16</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 w:right="0"/>
              <w:jc w:val="center"/>
              <w:rPr>
                <w:rFonts w:ascii="Times New Roman" w:hAnsi="Times New Roman" w:cs="Times New Roman" w:eastAsia="Times New Roman" w:hint="default"/>
                <w:sz w:val="18"/>
                <w:szCs w:val="18"/>
              </w:rPr>
            </w:pPr>
            <w:r>
              <w:rPr>
                <w:rFonts w:ascii="Times New Roman"/>
                <w:sz w:val="18"/>
              </w:rPr>
              <w:t>72,819,201.66</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72,819,201.66</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left="278" w:right="0"/>
              <w:jc w:val="left"/>
              <w:rPr>
                <w:rFonts w:ascii="Times New Roman" w:hAnsi="Times New Roman" w:cs="Times New Roman" w:eastAsia="Times New Roman" w:hint="default"/>
                <w:sz w:val="18"/>
                <w:szCs w:val="18"/>
              </w:rPr>
            </w:pPr>
            <w:r>
              <w:rPr>
                <w:rFonts w:ascii="Times New Roman"/>
                <w:sz w:val="18"/>
              </w:rPr>
              <w:t>-229,000.00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972,030.00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743,030.00</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278" w:right="0"/>
              <w:jc w:val="left"/>
              <w:rPr>
                <w:rFonts w:ascii="Times New Roman" w:hAnsi="Times New Roman" w:cs="Times New Roman" w:eastAsia="Times New Roman" w:hint="default"/>
                <w:sz w:val="18"/>
                <w:szCs w:val="18"/>
              </w:rPr>
            </w:pPr>
            <w:r>
              <w:rPr>
                <w:rFonts w:ascii="Times New Roman"/>
                <w:sz w:val="18"/>
              </w:rPr>
              <w:t>-229,000.00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-659,570.00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-888,570.00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1,631,600.00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1,631,600.00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7,281,920.17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 w:right="0"/>
              <w:jc w:val="center"/>
              <w:rPr>
                <w:rFonts w:ascii="Times New Roman" w:hAnsi="Times New Roman" w:cs="Times New Roman" w:eastAsia="Times New Roman" w:hint="default"/>
                <w:sz w:val="18"/>
                <w:szCs w:val="18"/>
              </w:rPr>
            </w:pPr>
            <w:r>
              <w:rPr>
                <w:rFonts w:ascii="Times New Roman"/>
                <w:sz w:val="18"/>
              </w:rPr>
              <w:t>-74,198,345.67</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7,281,920.17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6" w:right="0"/>
              <w:jc w:val="center"/>
              <w:rPr>
                <w:rFonts w:ascii="Times New Roman" w:hAnsi="Times New Roman" w:cs="Times New Roman" w:eastAsia="Times New Roman" w:hint="default"/>
                <w:sz w:val="18"/>
                <w:szCs w:val="18"/>
              </w:rPr>
            </w:pPr>
            <w:r>
              <w:rPr>
                <w:rFonts w:ascii="Times New Roman"/>
                <w:sz w:val="18"/>
              </w:rPr>
              <w:t>-7,281,920.17</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 w:right="0"/>
              <w:jc w:val="center"/>
              <w:rPr>
                <w:rFonts w:ascii="Times New Roman" w:hAnsi="Times New Roman" w:cs="Times New Roman" w:eastAsia="Times New Roman" w:hint="default"/>
                <w:sz w:val="18"/>
                <w:szCs w:val="18"/>
              </w:rPr>
            </w:pPr>
            <w:r>
              <w:rPr>
                <w:rFonts w:ascii="Times New Roman"/>
                <w:sz w:val="18"/>
              </w:rPr>
              <w:t>-66,916,425.50</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gridSpan w:val="2"/>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r>
        <w:rPr/>
        <w:pict>
          <v:group style="position:absolute;margin-left:241.940002pt;margin-top:512.015991pt;width:57.55pt;height:20.8pt;mso-position-horizontal-relative:page;mso-position-vertical-relative:page;z-index:-881488" coordorigin="4839,10240" coordsize="1151,416">
            <v:group style="position:absolute;left:4851;top:10252;width:2;height:392" coordorigin="4851,10252" coordsize="2,392">
              <v:shape style="position:absolute;left:4851;top:10252;width:2;height:392" coordorigin="4851,10252" coordsize="0,392" path="m4851,10252l4851,10644e" filled="false" stroked="true" strokeweight="1.2pt" strokecolor="#ffffff">
                <v:path arrowok="t"/>
              </v:shape>
            </v:group>
            <v:group style="position:absolute;left:4863;top:10252;width:1127;height:392" coordorigin="4863,10252" coordsize="1127,392">
              <v:shape style="position:absolute;left:4863;top:10252;width:1127;height:392" coordorigin="4863,10252" coordsize="1127,392" path="m4863,10644l5989,10644,5989,10252,4863,10252,4863,1064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3394"/>
        <w:gridCol w:w="1181"/>
        <w:gridCol w:w="569"/>
        <w:gridCol w:w="566"/>
        <w:gridCol w:w="401"/>
        <w:gridCol w:w="1176"/>
        <w:gridCol w:w="912"/>
        <w:gridCol w:w="1066"/>
        <w:gridCol w:w="732"/>
        <w:gridCol w:w="1092"/>
        <w:gridCol w:w="1181"/>
        <w:gridCol w:w="401"/>
        <w:gridCol w:w="1318"/>
      </w:tblGrid>
      <w:tr>
        <w:trPr>
          <w:trHeight w:val="418" w:hRule="exact"/>
        </w:trPr>
        <w:tc>
          <w:tcPr>
            <w:tcW w:w="33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01" w:type="dxa"/>
            <w:tcBorders>
              <w:top w:val="single" w:sz="15" w:space="0" w:color="000000"/>
              <w:left w:val="single" w:sz="4" w:space="0" w:color="000000"/>
              <w:bottom w:val="single" w:sz="4" w:space="0" w:color="000000"/>
              <w:right w:val="single" w:sz="4" w:space="0" w:color="000000"/>
            </w:tcBorders>
          </w:tcPr>
          <w:p>
            <w:pPr/>
          </w:p>
        </w:tc>
        <w:tc>
          <w:tcPr>
            <w:tcW w:w="1176" w:type="dxa"/>
            <w:tcBorders>
              <w:top w:val="single" w:sz="15" w:space="0" w:color="000000"/>
              <w:left w:val="single" w:sz="4" w:space="0" w:color="000000"/>
              <w:bottom w:val="single" w:sz="4" w:space="0" w:color="000000"/>
              <w:right w:val="single" w:sz="4" w:space="0" w:color="000000"/>
            </w:tcBorders>
          </w:tcPr>
          <w:p>
            <w:pPr/>
          </w:p>
        </w:tc>
        <w:tc>
          <w:tcPr>
            <w:tcW w:w="912" w:type="dxa"/>
            <w:tcBorders>
              <w:top w:val="single" w:sz="15" w:space="0" w:color="000000"/>
              <w:left w:val="single" w:sz="4" w:space="0" w:color="000000"/>
              <w:bottom w:val="single" w:sz="4" w:space="0" w:color="000000"/>
              <w:right w:val="single" w:sz="4" w:space="0" w:color="000000"/>
            </w:tcBorders>
          </w:tcPr>
          <w:p>
            <w:pPr/>
          </w:p>
        </w:tc>
        <w:tc>
          <w:tcPr>
            <w:tcW w:w="1066" w:type="dxa"/>
            <w:tcBorders>
              <w:top w:val="single" w:sz="15" w:space="0" w:color="000000"/>
              <w:left w:val="single" w:sz="4" w:space="0" w:color="000000"/>
              <w:bottom w:val="single" w:sz="4" w:space="0" w:color="000000"/>
              <w:right w:val="single" w:sz="4" w:space="0" w:color="000000"/>
            </w:tcBorders>
          </w:tcPr>
          <w:p>
            <w:pPr/>
          </w:p>
        </w:tc>
        <w:tc>
          <w:tcPr>
            <w:tcW w:w="732"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40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669,050,255.00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784,067,698.11</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57,379,850.52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105,548,336.16</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1,616,046,139.79</w:t>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370"/>
        <w:gridCol w:w="1193"/>
        <w:gridCol w:w="569"/>
        <w:gridCol w:w="566"/>
        <w:gridCol w:w="401"/>
        <w:gridCol w:w="1176"/>
        <w:gridCol w:w="912"/>
        <w:gridCol w:w="1066"/>
        <w:gridCol w:w="732"/>
        <w:gridCol w:w="1092"/>
        <w:gridCol w:w="1181"/>
        <w:gridCol w:w="401"/>
        <w:gridCol w:w="1318"/>
      </w:tblGrid>
      <w:tr>
        <w:trPr>
          <w:trHeight w:val="396" w:hRule="exact"/>
        </w:trPr>
        <w:tc>
          <w:tcPr>
            <w:tcW w:w="3370" w:type="dxa"/>
            <w:vMerge w:val="restart"/>
            <w:tcBorders>
              <w:top w:val="single" w:sz="4" w:space="0" w:color="000000"/>
              <w:left w:val="single" w:sz="4" w:space="0" w:color="000000"/>
              <w:right w:val="single" w:sz="4" w:space="0" w:color="000000"/>
            </w:tcBorders>
            <w:shd w:val="clear" w:color="auto" w:fill="D2D2D2"/>
          </w:tcPr>
          <w:p>
            <w:pPr/>
          </w:p>
        </w:tc>
        <w:tc>
          <w:tcPr>
            <w:tcW w:w="1060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3370"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5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3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4" w:space="0" w:color="FFFFFF"/>
              <w:right w:val="single" w:sz="4" w:space="0" w:color="000000"/>
            </w:tcBorders>
            <w:shd w:val="clear" w:color="auto" w:fill="D2D2D2"/>
          </w:tcPr>
          <w:p>
            <w:pPr/>
          </w:p>
        </w:tc>
        <w:tc>
          <w:tcPr>
            <w:tcW w:w="1536" w:type="dxa"/>
            <w:gridSpan w:val="3"/>
            <w:vMerge/>
            <w:tcBorders>
              <w:left w:val="single" w:sz="4" w:space="0" w:color="000000"/>
              <w:bottom w:val="single" w:sz="14" w:space="0" w:color="FFFFFF"/>
              <w:right w:val="single" w:sz="4" w:space="0" w:color="000000"/>
            </w:tcBorders>
            <w:shd w:val="clear" w:color="auto" w:fill="D2D2D2"/>
          </w:tcPr>
          <w:p>
            <w:pPr/>
          </w:p>
        </w:tc>
        <w:tc>
          <w:tcPr>
            <w:tcW w:w="1176" w:type="dxa"/>
            <w:vMerge/>
            <w:tcBorders>
              <w:left w:val="single" w:sz="4" w:space="0" w:color="000000"/>
              <w:bottom w:val="single" w:sz="14" w:space="0" w:color="FFFFFF"/>
              <w:right w:val="single" w:sz="4" w:space="0" w:color="000000"/>
            </w:tcBorders>
            <w:shd w:val="clear" w:color="auto" w:fill="D2D2D2"/>
          </w:tcPr>
          <w:p>
            <w:pPr/>
          </w:p>
        </w:tc>
        <w:tc>
          <w:tcPr>
            <w:tcW w:w="912" w:type="dxa"/>
            <w:vMerge/>
            <w:tcBorders>
              <w:left w:val="single" w:sz="4" w:space="0" w:color="000000"/>
              <w:bottom w:val="single" w:sz="14" w:space="0" w:color="FFFFFF"/>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436" w:right="7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68" w:right="9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103"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3370"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9"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7"/>
              <w:ind w:left="189"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7"/>
              <w:ind w:left="187"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1"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7"/>
              <w:ind w:left="103"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7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pacing w:val="-9"/>
                <w:sz w:val="18"/>
                <w:szCs w:val="18"/>
              </w:rPr>
              <w:t>减：库存股</w:t>
            </w:r>
          </w:p>
        </w:tc>
        <w:tc>
          <w:tcPr>
            <w:tcW w:w="1066"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01"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3370"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370"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912"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401"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370"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01"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669,279,255.00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776,657,068.11</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43,917,887.13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118,235,016.69</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1,608,089,226.93</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669,279,255.00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776,657,068.11</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43,917,887.13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118,235,016.69</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1,608,089,226.93</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本期增减变动金</w:t>
            </w:r>
            <w:r>
              <w:rPr>
                <w:rFonts w:ascii="宋体" w:hAnsi="宋体" w:cs="宋体" w:eastAsia="宋体" w:hint="default"/>
                <w:spacing w:val="-77"/>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6,438,600.00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6,180,043.22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-11,307,536.52</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1,311,106.70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94"/>
        <w:gridCol w:w="1181"/>
        <w:gridCol w:w="569"/>
        <w:gridCol w:w="566"/>
        <w:gridCol w:w="401"/>
        <w:gridCol w:w="1176"/>
        <w:gridCol w:w="912"/>
        <w:gridCol w:w="1066"/>
        <w:gridCol w:w="732"/>
        <w:gridCol w:w="1092"/>
        <w:gridCol w:w="1181"/>
        <w:gridCol w:w="401"/>
        <w:gridCol w:w="1318"/>
      </w:tblGrid>
      <w:tr>
        <w:trPr>
          <w:trHeight w:val="418" w:hRule="exact"/>
        </w:trPr>
        <w:tc>
          <w:tcPr>
            <w:tcW w:w="33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01" w:type="dxa"/>
            <w:tcBorders>
              <w:top w:val="single" w:sz="15" w:space="0" w:color="000000"/>
              <w:left w:val="single" w:sz="4" w:space="0" w:color="000000"/>
              <w:bottom w:val="single" w:sz="4" w:space="0" w:color="000000"/>
              <w:right w:val="single" w:sz="4" w:space="0" w:color="000000"/>
            </w:tcBorders>
          </w:tcPr>
          <w:p>
            <w:pPr/>
          </w:p>
        </w:tc>
        <w:tc>
          <w:tcPr>
            <w:tcW w:w="1176" w:type="dxa"/>
            <w:tcBorders>
              <w:top w:val="single" w:sz="15" w:space="0" w:color="000000"/>
              <w:left w:val="single" w:sz="4" w:space="0" w:color="000000"/>
              <w:bottom w:val="single" w:sz="4" w:space="0" w:color="000000"/>
              <w:right w:val="single" w:sz="4" w:space="0" w:color="000000"/>
            </w:tcBorders>
          </w:tcPr>
          <w:p>
            <w:pPr/>
          </w:p>
        </w:tc>
        <w:tc>
          <w:tcPr>
            <w:tcW w:w="912" w:type="dxa"/>
            <w:tcBorders>
              <w:top w:val="single" w:sz="15" w:space="0" w:color="000000"/>
              <w:left w:val="single" w:sz="4" w:space="0" w:color="000000"/>
              <w:bottom w:val="single" w:sz="4" w:space="0" w:color="000000"/>
              <w:right w:val="single" w:sz="4" w:space="0" w:color="000000"/>
            </w:tcBorders>
          </w:tcPr>
          <w:p>
            <w:pPr/>
          </w:p>
        </w:tc>
        <w:tc>
          <w:tcPr>
            <w:tcW w:w="1066" w:type="dxa"/>
            <w:tcBorders>
              <w:top w:val="single" w:sz="15" w:space="0" w:color="000000"/>
              <w:left w:val="single" w:sz="4" w:space="0" w:color="000000"/>
              <w:bottom w:val="single" w:sz="4" w:space="0" w:color="000000"/>
              <w:right w:val="single" w:sz="4" w:space="0" w:color="000000"/>
            </w:tcBorders>
          </w:tcPr>
          <w:p>
            <w:pPr/>
          </w:p>
        </w:tc>
        <w:tc>
          <w:tcPr>
            <w:tcW w:w="732"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88" w:right="0"/>
              <w:jc w:val="center"/>
              <w:rPr>
                <w:rFonts w:ascii="Times New Roman" w:hAnsi="Times New Roman" w:cs="Times New Roman" w:eastAsia="Times New Roman" w:hint="default"/>
                <w:sz w:val="18"/>
                <w:szCs w:val="18"/>
              </w:rPr>
            </w:pPr>
            <w:r>
              <w:rPr>
                <w:rFonts w:ascii="Times New Roman"/>
                <w:sz w:val="18"/>
              </w:rPr>
              <w:t>61,800,432.20</w:t>
            </w:r>
          </w:p>
        </w:tc>
        <w:tc>
          <w:tcPr>
            <w:tcW w:w="40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61,800,432.20</w:t>
            </w: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6,438,600.00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6,438,600.00</w:t>
            </w: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6,438,600.00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6,438,600.00</w:t>
            </w: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6,180,043.22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-73,107,968.72</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6,180,043.22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-6,180,043.22</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-66,927,925.50</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669,279,255.00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783,095,668.11</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106,927,480.17</w:t>
            </w:r>
          </w:p>
        </w:tc>
        <w:tc>
          <w:tcPr>
            <w:tcW w:w="4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1,609,400,333.63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92"/>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right="992" w:firstLine="420"/>
        <w:jc w:val="left"/>
      </w:pPr>
      <w:r>
        <w:rPr>
          <w:spacing w:val="-2"/>
        </w:rPr>
        <w:t>尤洛卡精准信息工程股份有限公司（以下简称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）前身为泰安市尤洛卡自动化仪表有</w:t>
      </w:r>
      <w:r>
        <w:rPr>
          <w:w w:val="100"/>
        </w:rPr>
        <w:t> </w:t>
      </w:r>
      <w:r>
        <w:rPr>
          <w:spacing w:val="-2"/>
        </w:rPr>
        <w:t>限公司，于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日经泰安市工商行政管理局核准成立。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日公司整体变更设立为股份</w:t>
      </w:r>
      <w:r>
        <w:rPr>
          <w:spacing w:val="-9"/>
        </w:rPr>
        <w:t> </w:t>
      </w:r>
      <w:r>
        <w:rPr>
          <w:spacing w:val="-9"/>
        </w:rPr>
      </w:r>
      <w:r>
        <w:rPr/>
        <w:t>有限公司，股本为人民币</w:t>
      </w:r>
      <w:r>
        <w:rPr>
          <w:rFonts w:ascii="Times New Roman" w:hAnsi="Times New Roman" w:cs="Times New Roman" w:eastAsia="Times New Roman" w:hint="default"/>
        </w:rPr>
        <w:t>2,890</w:t>
      </w:r>
      <w:r>
        <w:rPr/>
        <w:t>万元。公司企业法人营业执照统一社会信用代码：</w:t>
      </w:r>
      <w:r>
        <w:rPr>
          <w:rFonts w:ascii="Times New Roman" w:hAnsi="Times New Roman" w:cs="Times New Roman" w:eastAsia="Times New Roman" w:hint="default"/>
        </w:rPr>
        <w:t>91370000166441332C</w:t>
      </w:r>
      <w:r>
        <w:rPr/>
        <w:t>。</w:t>
      </w:r>
      <w:r>
        <w:rPr>
          <w:w w:val="100"/>
        </w:rPr>
        <w:t> </w:t>
      </w:r>
      <w:r>
        <w:rPr/>
        <w:t>注册地及营业办公地</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山东省泰安市高新区凤祥路以西规划支路以北。</w:t>
      </w:r>
    </w:p>
    <w:p>
      <w:pPr>
        <w:pStyle w:val="BodyText"/>
        <w:spacing w:line="386" w:lineRule="auto" w:before="35"/>
        <w:ind w:left="573" w:right="992"/>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日增加注册资本人民币</w:t>
      </w:r>
      <w:r>
        <w:rPr>
          <w:rFonts w:ascii="Times New Roman" w:hAnsi="Times New Roman" w:cs="Times New Roman" w:eastAsia="Times New Roman" w:hint="default"/>
        </w:rPr>
        <w:t>210</w:t>
      </w:r>
      <w:r>
        <w:rPr/>
        <w:t>万元，变更后的注册资本为人民币</w:t>
      </w:r>
      <w:r>
        <w:rPr>
          <w:rFonts w:ascii="Times New Roman" w:hAnsi="Times New Roman" w:cs="Times New Roman" w:eastAsia="Times New Roman" w:hint="default"/>
        </w:rPr>
        <w:t>3,100</w:t>
      </w:r>
      <w:r>
        <w:rPr/>
        <w:t>万元。</w:t>
      </w:r>
      <w:r>
        <w:rPr>
          <w:w w:val="100"/>
        </w:rPr>
        <w:t> </w:t>
      </w:r>
      <w:r>
        <w:rPr>
          <w:spacing w:val="-2"/>
        </w:rPr>
        <w:t>经中国证券监督管理委员会证监许可</w:t>
      </w:r>
      <w:r>
        <w:rPr>
          <w:rFonts w:ascii="Times New Roman" w:hAnsi="Times New Roman" w:cs="Times New Roman" w:eastAsia="Times New Roman" w:hint="default"/>
          <w:spacing w:val="-2"/>
        </w:rPr>
        <w:t>[2010]955</w:t>
      </w:r>
      <w:r>
        <w:rPr>
          <w:spacing w:val="-2"/>
        </w:rPr>
        <w:t>号文核准，本公司于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日首次公开发行</w:t>
      </w:r>
      <w:r>
        <w:rPr>
          <w:rFonts w:ascii="Times New Roman" w:hAnsi="Times New Roman" w:cs="Times New Roman" w:eastAsia="Times New Roman" w:hint="default"/>
          <w:spacing w:val="-2"/>
        </w:rPr>
        <w:t>1,034</w:t>
      </w:r>
    </w:p>
    <w:p>
      <w:pPr>
        <w:pStyle w:val="BodyText"/>
        <w:spacing w:line="386" w:lineRule="auto" w:before="35"/>
        <w:ind w:right="992"/>
        <w:jc w:val="left"/>
      </w:pPr>
      <w:r>
        <w:rPr>
          <w:spacing w:val="-2"/>
        </w:rPr>
        <w:t>万股人民币普通股股票，发行价格为</w:t>
      </w:r>
      <w:r>
        <w:rPr>
          <w:rFonts w:ascii="Times New Roman" w:hAnsi="Times New Roman" w:cs="Times New Roman" w:eastAsia="Times New Roman" w:hint="default"/>
          <w:spacing w:val="-2"/>
        </w:rPr>
        <w:t>48.65</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日本公司发行的人民币普通股股票在深圳证</w:t>
      </w:r>
      <w:r>
        <w:rPr>
          <w:spacing w:val="-10"/>
        </w:rPr>
        <w:t> </w:t>
      </w:r>
      <w:r>
        <w:rPr>
          <w:spacing w:val="-10"/>
        </w:rPr>
      </w:r>
      <w:r>
        <w:rPr/>
        <w:t>券交易所创业板上市。</w:t>
      </w:r>
    </w:p>
    <w:p>
      <w:pPr>
        <w:pStyle w:val="BodyText"/>
        <w:spacing w:line="386" w:lineRule="auto" w:before="65"/>
        <w:ind w:right="992" w:firstLine="420"/>
        <w:jc w:val="left"/>
      </w:pP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日通过的</w:t>
      </w:r>
      <w:r>
        <w:rPr>
          <w:rFonts w:ascii="Times New Roman" w:hAnsi="Times New Roman" w:cs="Times New Roman" w:eastAsia="Times New Roman" w:hint="default"/>
          <w:spacing w:val="-2"/>
        </w:rPr>
        <w:t>2010</w:t>
      </w:r>
      <w:r>
        <w:rPr>
          <w:spacing w:val="-2"/>
        </w:rPr>
        <w:t>年年度股东大会决议，以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4,134.00</w:t>
      </w:r>
      <w:r>
        <w:rPr>
          <w:spacing w:val="-2"/>
        </w:rPr>
        <w:t>万股为基数，按</w:t>
      </w:r>
      <w:r>
        <w:rPr>
          <w:w w:val="100"/>
        </w:rPr>
        <w:t> </w:t>
      </w:r>
      <w:r>
        <w:rPr/>
        <w:t>每</w:t>
      </w:r>
      <w:r>
        <w:rPr>
          <w:rFonts w:ascii="Times New Roman" w:hAnsi="Times New Roman" w:cs="Times New Roman" w:eastAsia="Times New Roman" w:hint="default"/>
        </w:rPr>
        <w:t>10</w:t>
      </w:r>
      <w:r>
        <w:rPr/>
        <w:t>股由资本公积转增</w:t>
      </w:r>
      <w:r>
        <w:rPr>
          <w:rFonts w:ascii="Times New Roman" w:hAnsi="Times New Roman" w:cs="Times New Roman" w:eastAsia="Times New Roman" w:hint="default"/>
        </w:rPr>
        <w:t>15</w:t>
      </w:r>
      <w:r>
        <w:rPr/>
        <w:t>股，共计转增</w:t>
      </w:r>
      <w:r>
        <w:rPr>
          <w:rFonts w:ascii="Times New Roman" w:hAnsi="Times New Roman" w:cs="Times New Roman" w:eastAsia="Times New Roman" w:hint="default"/>
        </w:rPr>
        <w:t>6,201.00</w:t>
      </w:r>
      <w:r>
        <w:rPr/>
        <w:t>万股。转增后，注册资本增至人民币</w:t>
      </w:r>
      <w:r>
        <w:rPr>
          <w:rFonts w:ascii="Times New Roman" w:hAnsi="Times New Roman" w:cs="Times New Roman" w:eastAsia="Times New Roman" w:hint="default"/>
        </w:rPr>
        <w:t>103,350,000.00</w:t>
      </w:r>
      <w:r>
        <w:rPr/>
        <w:t>元。</w:t>
      </w:r>
    </w:p>
    <w:p>
      <w:pPr>
        <w:pStyle w:val="BodyText"/>
        <w:spacing w:line="386" w:lineRule="auto" w:before="35"/>
        <w:ind w:right="992" w:firstLine="420"/>
        <w:jc w:val="left"/>
      </w:pPr>
      <w:r>
        <w:rPr>
          <w:spacing w:val="-2"/>
        </w:rPr>
        <w:t>经本公司第二届董事会</w:t>
      </w:r>
      <w:r>
        <w:rPr>
          <w:rFonts w:ascii="Times New Roman" w:hAnsi="Times New Roman" w:cs="Times New Roman" w:eastAsia="Times New Roman" w:hint="default"/>
          <w:spacing w:val="-2"/>
        </w:rPr>
        <w:t>2013</w:t>
      </w:r>
      <w:r>
        <w:rPr>
          <w:spacing w:val="-2"/>
        </w:rPr>
        <w:t>年第三次会议、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日股东大会决议，本公司以</w:t>
      </w:r>
      <w:r>
        <w:rPr>
          <w:rFonts w:ascii="Times New Roman" w:hAnsi="Times New Roman" w:cs="Times New Roman" w:eastAsia="Times New Roman" w:hint="default"/>
          <w:spacing w:val="-2"/>
        </w:rPr>
        <w:t>2012</w:t>
      </w:r>
      <w:r>
        <w:rPr>
          <w:spacing w:val="-2"/>
        </w:rPr>
        <w:t>年末总股本</w:t>
      </w:r>
      <w:r>
        <w:rPr>
          <w:w w:val="100"/>
        </w:rPr>
        <w:t> </w:t>
      </w:r>
      <w:r>
        <w:rPr>
          <w:spacing w:val="-2"/>
        </w:rPr>
        <w:t>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股股本，转增后，注册资本增至人民币</w:t>
      </w:r>
      <w:r>
        <w:rPr>
          <w:rFonts w:ascii="Times New Roman" w:hAnsi="Times New Roman" w:cs="Times New Roman" w:eastAsia="Times New Roman" w:hint="default"/>
          <w:spacing w:val="-2"/>
        </w:rPr>
        <w:t>206,700,000.00</w:t>
      </w:r>
      <w:r>
        <w:rPr>
          <w:spacing w:val="-2"/>
        </w:rPr>
        <w:t>元。</w:t>
      </w:r>
      <w:r>
        <w:rPr/>
      </w:r>
    </w:p>
    <w:p>
      <w:pPr>
        <w:pStyle w:val="BodyText"/>
        <w:spacing w:line="386" w:lineRule="auto" w:before="35"/>
        <w:ind w:right="992" w:firstLine="420"/>
        <w:jc w:val="left"/>
      </w:pPr>
      <w:r>
        <w:rPr/>
        <w:t>公司根据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日第二次临时股东大会决议以及中国证券监督管理委员会</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w:t>
      </w:r>
      <w:r>
        <w:rPr/>
        <w:t>证</w:t>
      </w:r>
      <w:r>
        <w:rPr>
          <w:w w:val="100"/>
        </w:rPr>
        <w:t> </w:t>
      </w:r>
      <w:r>
        <w:rPr/>
        <w:t>监许可【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文《关于核准尤洛卡矿业安全工程股份有限公司向田斌等发行股份及支付现金方式</w:t>
      </w:r>
      <w:r>
        <w:rPr>
          <w:w w:val="100"/>
        </w:rPr>
        <w:t> </w:t>
      </w:r>
      <w:r>
        <w:rPr/>
        <w:t>购买资产的批复》核准的发行方案，非公开发行了人民币普通股</w:t>
      </w:r>
      <w:r>
        <w:rPr>
          <w:rFonts w:ascii="Times New Roman" w:hAnsi="Times New Roman" w:cs="Times New Roman" w:eastAsia="Times New Roman" w:hint="default"/>
        </w:rPr>
        <w:t>7,899,453</w:t>
      </w:r>
      <w:r>
        <w:rPr/>
        <w:t>股，每股面值</w:t>
      </w:r>
      <w:r>
        <w:rPr>
          <w:rFonts w:ascii="Times New Roman" w:hAnsi="Times New Roman" w:cs="Times New Roman" w:eastAsia="Times New Roman" w:hint="default"/>
        </w:rPr>
        <w:t>1</w:t>
      </w:r>
      <w:r>
        <w:rPr/>
        <w:t>元，发行价格为</w:t>
      </w:r>
      <w:r>
        <w:rPr>
          <w:w w:val="100"/>
        </w:rPr>
        <w:t> </w:t>
      </w:r>
      <w:r>
        <w:rPr>
          <w:rFonts w:ascii="Times New Roman" w:hAnsi="Times New Roman" w:cs="Times New Roman" w:eastAsia="Times New Roman" w:hint="default"/>
          <w:spacing w:val="-3"/>
        </w:rPr>
        <w:t>10.89</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日，公司办理完毕本次新增股份</w:t>
      </w:r>
      <w:r>
        <w:rPr>
          <w:rFonts w:ascii="Times New Roman" w:hAnsi="Times New Roman" w:cs="Times New Roman" w:eastAsia="Times New Roman" w:hint="default"/>
          <w:spacing w:val="-3"/>
        </w:rPr>
        <w:t>7,899,453.00</w:t>
      </w:r>
      <w:r>
        <w:rPr>
          <w:spacing w:val="-3"/>
        </w:rPr>
        <w:t>股的上市手续，变更后注册资本为人</w:t>
      </w:r>
      <w:r>
        <w:rPr>
          <w:spacing w:val="-18"/>
        </w:rPr>
        <w:t> </w:t>
      </w:r>
      <w:r>
        <w:rPr>
          <w:spacing w:val="-18"/>
        </w:rPr>
      </w:r>
      <w:r>
        <w:rPr/>
        <w:t>民币</w:t>
      </w:r>
      <w:r>
        <w:rPr>
          <w:rFonts w:ascii="Times New Roman" w:hAnsi="Times New Roman" w:cs="Times New Roman" w:eastAsia="Times New Roman" w:hint="default"/>
        </w:rPr>
        <w:t>214,599,453.00</w:t>
      </w:r>
      <w:r>
        <w:rPr/>
        <w:t>元。</w:t>
      </w:r>
    </w:p>
    <w:p>
      <w:pPr>
        <w:pStyle w:val="BodyText"/>
        <w:spacing w:line="386" w:lineRule="auto" w:before="35"/>
        <w:ind w:right="992" w:firstLine="420"/>
        <w:jc w:val="left"/>
      </w:pPr>
      <w:r>
        <w:rPr>
          <w:spacing w:val="-2"/>
        </w:rPr>
        <w:t>经本公司</w:t>
      </w:r>
      <w:r>
        <w:rPr>
          <w:rFonts w:ascii="Times New Roman" w:hAnsi="Times New Roman" w:cs="Times New Roman" w:eastAsia="Times New Roman" w:hint="default"/>
          <w:spacing w:val="-2"/>
        </w:rPr>
        <w:t>2016</w:t>
      </w:r>
      <w:r>
        <w:rPr>
          <w:spacing w:val="-2"/>
        </w:rPr>
        <w:t>年第三届董事会第二次会议、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日股东大会决议，本公司以</w:t>
      </w:r>
      <w:r>
        <w:rPr>
          <w:rFonts w:ascii="Times New Roman" w:hAnsi="Times New Roman" w:cs="Times New Roman" w:eastAsia="Times New Roman" w:hint="default"/>
          <w:spacing w:val="-2"/>
        </w:rPr>
        <w:t>2015</w:t>
      </w:r>
      <w:r>
        <w:rPr>
          <w:spacing w:val="-2"/>
        </w:rPr>
        <w:t>年末总股本</w:t>
      </w:r>
      <w:r>
        <w:rPr>
          <w:w w:val="100"/>
        </w:rPr>
        <w:t> </w:t>
      </w:r>
      <w:r>
        <w:rPr>
          <w:spacing w:val="-2"/>
        </w:rPr>
        <w:t>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股股本，转增后，注册资本增至人民币</w:t>
      </w:r>
      <w:r>
        <w:rPr>
          <w:rFonts w:ascii="Times New Roman" w:hAnsi="Times New Roman" w:cs="Times New Roman" w:eastAsia="Times New Roman" w:hint="default"/>
          <w:spacing w:val="-2"/>
        </w:rPr>
        <w:t>536,498,632.00</w:t>
      </w:r>
      <w:r>
        <w:rPr>
          <w:spacing w:val="-2"/>
        </w:rPr>
        <w:t>元。</w:t>
      </w:r>
      <w:r>
        <w:rPr/>
      </w:r>
    </w:p>
    <w:p>
      <w:pPr>
        <w:pStyle w:val="BodyText"/>
        <w:spacing w:line="386" w:lineRule="auto" w:before="35"/>
        <w:ind w:right="992" w:firstLine="420"/>
        <w:jc w:val="left"/>
      </w:pPr>
      <w:r>
        <w:rPr>
          <w:spacing w:val="-2"/>
        </w:rPr>
        <w:t>根据中国证券监督管理委员会证监许可（</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2040</w:t>
      </w:r>
      <w:r>
        <w:rPr>
          <w:spacing w:val="-2"/>
        </w:rPr>
        <w:t>号《关于核准尤洛卡矿业安全工程股份有限公司</w:t>
      </w:r>
      <w:r>
        <w:rPr>
          <w:w w:val="100"/>
        </w:rPr>
        <w:t> </w:t>
      </w:r>
      <w:r>
        <w:rPr/>
        <w:t>向李巍屹等发行股份购买资产并募集配套资金的批复》核准，公司向李巍屹发行</w:t>
      </w:r>
      <w:r>
        <w:rPr>
          <w:rFonts w:ascii="Times New Roman" w:hAnsi="Times New Roman" w:cs="Times New Roman" w:eastAsia="Times New Roman" w:hint="default"/>
        </w:rPr>
        <w:t>47,381,516</w:t>
      </w:r>
      <w:r>
        <w:rPr/>
        <w:t>股股份、向李</w:t>
      </w:r>
      <w:r>
        <w:rPr>
          <w:w w:val="100"/>
        </w:rPr>
        <w:t> </w:t>
      </w:r>
      <w:r>
        <w:rPr/>
        <w:t>继昌发行</w:t>
      </w:r>
      <w:r>
        <w:rPr>
          <w:rFonts w:ascii="Times New Roman" w:hAnsi="Times New Roman" w:cs="Times New Roman" w:eastAsia="Times New Roman" w:hint="default"/>
        </w:rPr>
        <w:t>16,812,796</w:t>
      </w:r>
      <w:r>
        <w:rPr/>
        <w:t>股股份、向李巍岩发行</w:t>
      </w:r>
      <w:r>
        <w:rPr>
          <w:rFonts w:ascii="Times New Roman" w:hAnsi="Times New Roman" w:cs="Times New Roman" w:eastAsia="Times New Roman" w:hint="default"/>
        </w:rPr>
        <w:t>16,812,796</w:t>
      </w:r>
      <w:r>
        <w:rPr/>
        <w:t>股股份、向王敬之发行</w:t>
      </w:r>
      <w:r>
        <w:rPr>
          <w:rFonts w:ascii="Times New Roman" w:hAnsi="Times New Roman" w:cs="Times New Roman" w:eastAsia="Times New Roman" w:hint="default"/>
        </w:rPr>
        <w:t>15,284,360</w:t>
      </w:r>
      <w:r>
        <w:rPr/>
        <w:t>股股份、向李巍峰</w:t>
      </w:r>
      <w:r>
        <w:rPr>
          <w:w w:val="100"/>
        </w:rPr>
        <w:t> </w:t>
      </w:r>
      <w:r>
        <w:rPr>
          <w:spacing w:val="-2"/>
        </w:rPr>
        <w:t>发行</w:t>
      </w:r>
      <w:r>
        <w:rPr>
          <w:rFonts w:ascii="Times New Roman" w:hAnsi="Times New Roman" w:cs="Times New Roman" w:eastAsia="Times New Roman" w:hint="default"/>
          <w:spacing w:val="-2"/>
        </w:rPr>
        <w:t>5,604,266</w:t>
      </w:r>
      <w:r>
        <w:rPr>
          <w:spacing w:val="-2"/>
        </w:rPr>
        <w:t>股股份购买相关资产。</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月公司办理完毕本次新增股份</w:t>
      </w:r>
      <w:r>
        <w:rPr>
          <w:rFonts w:ascii="Times New Roman" w:hAnsi="Times New Roman" w:cs="Times New Roman" w:eastAsia="Times New Roman" w:hint="default"/>
          <w:spacing w:val="-2"/>
        </w:rPr>
        <w:t>101,895,734.00</w:t>
      </w:r>
      <w:r>
        <w:rPr>
          <w:spacing w:val="-2"/>
        </w:rPr>
        <w:t>股的上市手续，</w:t>
      </w:r>
      <w:r>
        <w:rPr>
          <w:spacing w:val="10"/>
        </w:rPr>
        <w:t> </w:t>
      </w:r>
      <w:r>
        <w:rPr>
          <w:spacing w:val="10"/>
        </w:rPr>
      </w:r>
      <w:r>
        <w:rPr/>
        <w:t>变更后注册资本为人民币</w:t>
      </w:r>
      <w:r>
        <w:rPr>
          <w:rFonts w:ascii="Times New Roman" w:hAnsi="Times New Roman" w:cs="Times New Roman" w:eastAsia="Times New Roman" w:hint="default"/>
        </w:rPr>
        <w:t>638,394,366.00</w:t>
      </w:r>
      <w:r>
        <w:rPr/>
        <w:t>元。</w:t>
      </w:r>
    </w:p>
    <w:p>
      <w:pPr>
        <w:pStyle w:val="BodyText"/>
        <w:spacing w:line="393" w:lineRule="auto" w:before="36"/>
        <w:ind w:right="992" w:firstLine="420"/>
        <w:jc w:val="left"/>
      </w:pPr>
      <w:r>
        <w:rPr>
          <w:spacing w:val="-2"/>
        </w:rPr>
        <w:t>根据中国证券监督管理委员会证监许可（</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2040</w:t>
      </w:r>
      <w:r>
        <w:rPr>
          <w:spacing w:val="-2"/>
        </w:rPr>
        <w:t>号《关于核准尤洛卡矿业安全工程股份有限公司</w:t>
      </w:r>
      <w:r>
        <w:rPr>
          <w:w w:val="100"/>
        </w:rPr>
        <w:t> </w:t>
      </w:r>
      <w:r>
        <w:rPr/>
        <w:t>向李巍屹等发行股份购买资产并募集配套资金的批复》核准，公司非公开发行股份募集配套资金不超过</w:t>
      </w:r>
      <w:r>
        <w:rPr>
          <w:w w:val="100"/>
        </w:rPr>
        <w:t> </w:t>
      </w:r>
      <w:r>
        <w:rPr>
          <w:rFonts w:ascii="Times New Roman" w:hAnsi="Times New Roman" w:cs="Times New Roman" w:eastAsia="Times New Roman" w:hint="default"/>
          <w:spacing w:val="-3"/>
        </w:rPr>
        <w:t>18,000</w:t>
      </w:r>
      <w:r>
        <w:rPr>
          <w:spacing w:val="-3"/>
        </w:rPr>
        <w:t>万元。于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日共计向特定投资者非公开发行人民币普通股（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22,004,889.00</w:t>
      </w:r>
      <w:r>
        <w:rPr>
          <w:spacing w:val="-3"/>
        </w:rPr>
        <w:t>股，每股</w:t>
      </w:r>
      <w:r>
        <w:rPr>
          <w:spacing w:val="1"/>
        </w:rPr>
        <w:t> </w:t>
      </w:r>
      <w:r>
        <w:rPr>
          <w:spacing w:val="1"/>
        </w:rPr>
      </w:r>
      <w:r>
        <w:rPr/>
        <w:t>面值人民币</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8.18</w:t>
      </w:r>
      <w:r>
        <w:rPr/>
        <w:t>元，本次发行后公司的注册资本为人民币</w:t>
      </w:r>
      <w:r>
        <w:rPr>
          <w:rFonts w:ascii="Times New Roman" w:hAnsi="Times New Roman" w:cs="Times New Roman" w:eastAsia="Times New Roman" w:hint="default"/>
        </w:rPr>
        <w:t>660,399,255.00</w:t>
      </w:r>
      <w:r>
        <w:rPr/>
        <w:t>元。</w:t>
      </w:r>
    </w:p>
    <w:p>
      <w:pPr>
        <w:spacing w:after="0" w:line="393" w:lineRule="auto"/>
        <w:jc w:val="left"/>
        <w:sectPr>
          <w:headerReference w:type="default" r:id="rId17"/>
          <w:footerReference w:type="default" r:id="rId18"/>
          <w:pgSz w:w="11910" w:h="16840"/>
          <w:pgMar w:header="877" w:footer="980" w:top="1100" w:bottom="1160" w:left="980" w:right="0"/>
          <w:pgNumType w:start="95"/>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日召开</w:t>
      </w:r>
      <w:r>
        <w:rPr>
          <w:rFonts w:ascii="Times New Roman" w:hAnsi="Times New Roman" w:cs="Times New Roman" w:eastAsia="Times New Roman" w:hint="default"/>
        </w:rPr>
        <w:t>2017</w:t>
      </w:r>
      <w:r>
        <w:rPr/>
        <w:t>年第二次临时股东大会，审议通过了《限制性股票激励计划</w:t>
      </w:r>
    </w:p>
    <w:p>
      <w:pPr>
        <w:pStyle w:val="BodyText"/>
        <w:spacing w:line="386" w:lineRule="auto" w:before="177"/>
        <w:ind w:right="992"/>
        <w:jc w:val="left"/>
      </w:pPr>
      <w:r>
        <w:rPr>
          <w:spacing w:val="-3"/>
        </w:rPr>
        <w:t>（</w:t>
      </w:r>
      <w:r>
        <w:rPr>
          <w:rFonts w:ascii="Times New Roman" w:hAnsi="Times New Roman" w:cs="Times New Roman" w:eastAsia="Times New Roman" w:hint="default"/>
          <w:spacing w:val="-3"/>
        </w:rPr>
        <w:t>2017-2019</w:t>
      </w:r>
      <w:r>
        <w:rPr>
          <w:spacing w:val="-3"/>
        </w:rPr>
        <w:t>）（草案）》（以下简称</w:t>
      </w:r>
      <w:r>
        <w:rPr>
          <w:rFonts w:ascii="Times New Roman" w:hAnsi="Times New Roman" w:cs="Times New Roman" w:eastAsia="Times New Roman" w:hint="default"/>
          <w:spacing w:val="-3"/>
        </w:rPr>
        <w:t>“</w:t>
      </w:r>
      <w:r>
        <w:rPr>
          <w:spacing w:val="-3"/>
        </w:rPr>
        <w:t>限制性股票激励计划</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日召开第四届董事会第七</w:t>
      </w:r>
      <w:r>
        <w:rPr>
          <w:spacing w:val="-22"/>
        </w:rPr>
        <w:t> </w:t>
      </w:r>
      <w:r>
        <w:rPr>
          <w:spacing w:val="-22"/>
        </w:rPr>
      </w:r>
      <w:r>
        <w:rPr>
          <w:spacing w:val="-2"/>
        </w:rPr>
        <w:t>次会议，审议通过了《关于调整限制性股票激励计划（</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2019</w:t>
      </w:r>
      <w:r>
        <w:rPr>
          <w:spacing w:val="-2"/>
        </w:rPr>
        <w:t>）首次授予部分授予数量的议案》，通</w:t>
      </w:r>
      <w:r>
        <w:rPr>
          <w:spacing w:val="-36"/>
        </w:rPr>
        <w:t> </w:t>
      </w:r>
      <w:r>
        <w:rPr>
          <w:spacing w:val="-36"/>
        </w:rPr>
      </w:r>
      <w:r>
        <w:rPr/>
        <w:t>过定向发行公司</w:t>
      </w:r>
      <w:r>
        <w:rPr>
          <w:rFonts w:ascii="Times New Roman" w:hAnsi="Times New Roman" w:cs="Times New Roman" w:eastAsia="Times New Roman" w:hint="default"/>
        </w:rPr>
        <w:t>A</w:t>
      </w:r>
      <w:r>
        <w:rPr/>
        <w:t>股普通股向</w:t>
      </w:r>
      <w:r>
        <w:rPr>
          <w:rFonts w:ascii="Times New Roman" w:hAnsi="Times New Roman" w:cs="Times New Roman" w:eastAsia="Times New Roman" w:hint="default"/>
        </w:rPr>
        <w:t>174</w:t>
      </w:r>
      <w:r>
        <w:rPr/>
        <w:t>名激励对象拟授予</w:t>
      </w:r>
      <w:r>
        <w:rPr>
          <w:rFonts w:ascii="Times New Roman" w:hAnsi="Times New Roman" w:cs="Times New Roman" w:eastAsia="Times New Roman" w:hint="default"/>
        </w:rPr>
        <w:t>8,880,000</w:t>
      </w:r>
      <w:r>
        <w:rPr/>
        <w:t>股限制性股票。变更后的注册资本为人民币</w:t>
      </w:r>
      <w:r>
        <w:rPr>
          <w:w w:val="100"/>
        </w:rPr>
        <w:t> </w:t>
      </w:r>
      <w:r>
        <w:rPr>
          <w:rFonts w:ascii="Times New Roman" w:hAnsi="Times New Roman" w:cs="Times New Roman" w:eastAsia="Times New Roman" w:hint="default"/>
        </w:rPr>
        <w:t>669,279,255.00</w:t>
      </w:r>
      <w:r>
        <w:rPr/>
        <w:t>元，股本为</w:t>
      </w:r>
      <w:r>
        <w:rPr>
          <w:rFonts w:ascii="Times New Roman" w:hAnsi="Times New Roman" w:cs="Times New Roman" w:eastAsia="Times New Roman" w:hint="default"/>
        </w:rPr>
        <w:t>669,279,255.00</w:t>
      </w:r>
      <w:r>
        <w:rPr/>
        <w:t>元。</w:t>
      </w:r>
    </w:p>
    <w:p>
      <w:pPr>
        <w:pStyle w:val="BodyText"/>
        <w:spacing w:line="386" w:lineRule="auto" w:before="35"/>
        <w:ind w:right="992" w:firstLine="420"/>
        <w:jc w:val="left"/>
      </w:pPr>
      <w:r>
        <w:rPr>
          <w:spacing w:val="-2"/>
        </w:rPr>
        <w:t>根据公司第四届董事会</w:t>
      </w:r>
      <w:r>
        <w:rPr>
          <w:rFonts w:ascii="Times New Roman" w:hAnsi="Times New Roman" w:cs="Times New Roman" w:eastAsia="Times New Roman" w:hint="default"/>
          <w:spacing w:val="-2"/>
        </w:rPr>
        <w:t>2018</w:t>
      </w:r>
      <w:r>
        <w:rPr>
          <w:spacing w:val="-2"/>
        </w:rPr>
        <w:t>年第五次会议《关于回购注销部分激励对象已获授但尚未解除限售的限制</w:t>
      </w:r>
      <w:r>
        <w:rPr>
          <w:w w:val="100"/>
        </w:rPr>
        <w:t> </w:t>
      </w:r>
      <w:r>
        <w:rPr/>
        <w:t>性股票的议案》的决议，公司原限制性股票激励对象牛涛、邵永超</w:t>
      </w:r>
      <w:r>
        <w:rPr>
          <w:rFonts w:ascii="Times New Roman" w:hAnsi="Times New Roman" w:cs="Times New Roman" w:eastAsia="Times New Roman" w:hint="default"/>
        </w:rPr>
        <w:t>2</w:t>
      </w:r>
      <w:r>
        <w:rPr/>
        <w:t>人因个人原因离职，已不符合激励条</w:t>
      </w:r>
      <w:r>
        <w:rPr>
          <w:w w:val="100"/>
        </w:rPr>
        <w:t> </w:t>
      </w:r>
      <w:r>
        <w:rPr>
          <w:spacing w:val="-11"/>
          <w:w w:val="100"/>
        </w:rPr>
        <w:t>件。根据公司《限制性股票激励计划（</w:t>
      </w:r>
      <w:r>
        <w:rPr>
          <w:rFonts w:ascii="Times New Roman" w:hAnsi="Times New Roman" w:cs="Times New Roman" w:eastAsia="Times New Roman" w:hint="default"/>
          <w:spacing w:val="-11"/>
          <w:w w:val="100"/>
        </w:rPr>
        <w:t>2017</w:t>
      </w:r>
      <w:r>
        <w:rPr>
          <w:rFonts w:ascii="Times New Roman" w:hAnsi="Times New Roman" w:cs="Times New Roman" w:eastAsia="Times New Roman" w:hint="default"/>
          <w:spacing w:val="-11"/>
          <w:w w:val="100"/>
        </w:rPr>
        <w:t>—</w:t>
      </w:r>
      <w:r>
        <w:rPr>
          <w:rFonts w:ascii="Times New Roman" w:hAnsi="Times New Roman" w:cs="Times New Roman" w:eastAsia="Times New Roman" w:hint="default"/>
          <w:spacing w:val="-11"/>
          <w:w w:val="100"/>
        </w:rPr>
        <w:t>2019</w:t>
      </w:r>
      <w:r>
        <w:rPr>
          <w:spacing w:val="-11"/>
          <w:w w:val="100"/>
        </w:rPr>
        <w:t>）（草案）》的规定，其已获授但尚未解除限售的</w:t>
      </w:r>
      <w:r>
        <w:rPr>
          <w:rFonts w:ascii="Times New Roman" w:hAnsi="Times New Roman" w:cs="Times New Roman" w:eastAsia="Times New Roman" w:hint="default"/>
          <w:spacing w:val="-11"/>
          <w:w w:val="100"/>
        </w:rPr>
        <w:t>115,000.00</w:t>
      </w:r>
      <w:r>
        <w:rPr>
          <w:rFonts w:ascii="Times New Roman" w:hAnsi="Times New Roman" w:cs="Times New Roman" w:eastAsia="Times New Roman" w:hint="default"/>
          <w:spacing w:val="-34"/>
          <w:w w:val="100"/>
        </w:rPr>
        <w:t> </w:t>
      </w:r>
      <w:r>
        <w:rPr>
          <w:rFonts w:ascii="Times New Roman" w:hAnsi="Times New Roman" w:cs="Times New Roman" w:eastAsia="Times New Roman" w:hint="default"/>
          <w:spacing w:val="-34"/>
          <w:w w:val="100"/>
        </w:rPr>
      </w:r>
      <w:r>
        <w:rPr/>
        <w:t>股限制性股票由公司进行回购注销。变更后的注册资本为人民币</w:t>
      </w:r>
      <w:r>
        <w:rPr>
          <w:rFonts w:ascii="Times New Roman" w:hAnsi="Times New Roman" w:cs="Times New Roman" w:eastAsia="Times New Roman" w:hint="default"/>
        </w:rPr>
        <w:t>669,164,255.00</w:t>
      </w:r>
      <w:r>
        <w:rPr/>
        <w:t>元。</w:t>
      </w:r>
    </w:p>
    <w:p>
      <w:pPr>
        <w:pStyle w:val="BodyText"/>
        <w:spacing w:line="386" w:lineRule="auto" w:before="36"/>
        <w:ind w:right="992" w:firstLine="420"/>
        <w:jc w:val="left"/>
      </w:pPr>
      <w:r>
        <w:rPr>
          <w:spacing w:val="-2"/>
        </w:rPr>
        <w:t>根据尤洛卡精准信息工程股份有限公司第四届董事会</w:t>
      </w:r>
      <w:r>
        <w:rPr>
          <w:rFonts w:ascii="Times New Roman" w:hAnsi="Times New Roman" w:cs="Times New Roman" w:eastAsia="Times New Roman" w:hint="default"/>
          <w:spacing w:val="-2"/>
        </w:rPr>
        <w:t>2019</w:t>
      </w:r>
      <w:r>
        <w:rPr>
          <w:spacing w:val="-2"/>
        </w:rPr>
        <w:t>年第四次会议《关于回购注销部分激励对象</w:t>
      </w:r>
      <w:r>
        <w:rPr>
          <w:w w:val="100"/>
        </w:rPr>
        <w:t> </w:t>
      </w:r>
      <w:r>
        <w:rPr/>
        <w:t>已获授但尚未解除限售的限制性股票的议案》的决议，公司原限制性股票激励对象张帅、陈焕超等</w:t>
      </w:r>
      <w:r>
        <w:rPr>
          <w:rFonts w:ascii="Times New Roman" w:hAnsi="Times New Roman" w:cs="Times New Roman" w:eastAsia="Times New Roman" w:hint="default"/>
        </w:rPr>
        <w:t>6</w:t>
      </w:r>
      <w:r>
        <w:rPr/>
        <w:t>人因</w:t>
      </w:r>
      <w:r>
        <w:rPr>
          <w:spacing w:val="-3"/>
          <w:w w:val="100"/>
        </w:rPr>
        <w:t> </w:t>
      </w:r>
      <w:r>
        <w:rPr>
          <w:spacing w:val="-2"/>
        </w:rPr>
        <w:t>个人原因离职，已不符合激励条件。根据公司《限制性股票激励计划（</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2019</w:t>
      </w:r>
      <w:r>
        <w:rPr>
          <w:spacing w:val="-2"/>
        </w:rPr>
        <w:t>）（草案）》的规定，</w:t>
      </w:r>
      <w:r>
        <w:rPr>
          <w:spacing w:val="-12"/>
        </w:rPr>
        <w:t> </w:t>
      </w:r>
      <w:r>
        <w:rPr>
          <w:spacing w:val="-12"/>
        </w:rPr>
      </w:r>
      <w:r>
        <w:rPr/>
        <w:t>其已获授但尚未解除限售的</w:t>
      </w:r>
      <w:r>
        <w:rPr>
          <w:rFonts w:ascii="Times New Roman" w:hAnsi="Times New Roman" w:cs="Times New Roman" w:eastAsia="Times New Roman" w:hint="default"/>
        </w:rPr>
        <w:t>114,000.00</w:t>
      </w:r>
      <w:r>
        <w:rPr/>
        <w:t>股限制性股票由公司进行回购注销。变更后的注册资本为人民币</w:t>
      </w:r>
      <w:r>
        <w:rPr>
          <w:w w:val="100"/>
        </w:rPr>
        <w:t> </w:t>
      </w:r>
      <w:r>
        <w:rPr>
          <w:rFonts w:ascii="Times New Roman" w:hAnsi="Times New Roman" w:cs="Times New Roman" w:eastAsia="Times New Roman" w:hint="default"/>
        </w:rPr>
        <w:t>669,050,255.00</w:t>
      </w:r>
      <w:r>
        <w:rPr/>
        <w:t>元。</w:t>
      </w:r>
    </w:p>
    <w:p>
      <w:pPr>
        <w:pStyle w:val="BodyText"/>
        <w:spacing w:line="386" w:lineRule="auto" w:before="35"/>
        <w:ind w:right="1220" w:firstLine="420"/>
        <w:jc w:val="both"/>
      </w:pPr>
      <w:r>
        <w:rPr>
          <w:spacing w:val="-2"/>
        </w:rPr>
        <w:t>本公司总部位于山东省泰安市高新区凤祥路以西规划支路以北。本公司及其子公司（以下简称</w:t>
      </w:r>
      <w:r>
        <w:rPr>
          <w:rFonts w:ascii="Times New Roman" w:hAnsi="Times New Roman" w:cs="Times New Roman" w:eastAsia="Times New Roman" w:hint="default"/>
          <w:spacing w:val="-2"/>
        </w:rPr>
        <w:t>“</w:t>
      </w:r>
      <w:r>
        <w:rPr>
          <w:spacing w:val="-2"/>
        </w:rPr>
        <w:t>本集</w:t>
      </w:r>
      <w:r>
        <w:rPr>
          <w:w w:val="100"/>
        </w:rPr>
        <w:t> </w:t>
      </w:r>
      <w:r>
        <w:rPr>
          <w:spacing w:val="-2"/>
        </w:rPr>
        <w:t>团</w:t>
      </w:r>
      <w:r>
        <w:rPr>
          <w:rFonts w:ascii="Times New Roman" w:hAnsi="Times New Roman" w:cs="Times New Roman" w:eastAsia="Times New Roman" w:hint="default"/>
          <w:spacing w:val="-2"/>
        </w:rPr>
        <w:t>”</w:t>
      </w:r>
      <w:r>
        <w:rPr>
          <w:spacing w:val="-2"/>
        </w:rPr>
        <w:t>）主要从事导弹制导系统、精密光学系统等军用产品的生产和销售；煤矿安全监控监测、井下运输及</w:t>
      </w:r>
      <w:r>
        <w:rPr>
          <w:spacing w:val="-23"/>
        </w:rPr>
        <w:t> </w:t>
      </w:r>
      <w:r>
        <w:rPr>
          <w:spacing w:val="-23"/>
        </w:rPr>
      </w:r>
      <w:r>
        <w:rPr/>
        <w:t>工程施工相关产品和技术服务以及以轨道交通通讯业务、能源行业信息业务为主信息通信业务。</w:t>
      </w:r>
    </w:p>
    <w:p>
      <w:pPr>
        <w:pStyle w:val="BodyText"/>
        <w:spacing w:line="386" w:lineRule="auto" w:before="65"/>
        <w:ind w:right="992" w:firstLine="420"/>
        <w:jc w:val="left"/>
      </w:pPr>
      <w:r>
        <w:rPr>
          <w:spacing w:val="-2"/>
        </w:rPr>
        <w:t>本财务报表及财务报表附注业经本公司第四届董事会</w:t>
      </w:r>
      <w:r>
        <w:rPr>
          <w:rFonts w:ascii="Times New Roman" w:hAnsi="Times New Roman" w:cs="Times New Roman" w:eastAsia="Times New Roman" w:hint="default"/>
          <w:spacing w:val="-2"/>
        </w:rPr>
        <w:t>2020</w:t>
      </w:r>
      <w:r>
        <w:rPr>
          <w:spacing w:val="-2"/>
        </w:rPr>
        <w:t>年第二次会议于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日决议批准报</w:t>
      </w:r>
      <w:r>
        <w:rPr>
          <w:w w:val="100"/>
        </w:rPr>
        <w:t> </w:t>
      </w:r>
      <w:r>
        <w:rPr/>
        <w:t>出。</w:t>
      </w:r>
    </w:p>
    <w:p>
      <w:pPr>
        <w:pStyle w:val="BodyText"/>
        <w:spacing w:line="386" w:lineRule="auto" w:before="65"/>
        <w:ind w:right="992" w:firstLine="420"/>
        <w:jc w:val="left"/>
      </w:pPr>
      <w:r>
        <w:rPr/>
        <w:t>本公司</w:t>
      </w:r>
      <w:r>
        <w:rPr>
          <w:rFonts w:ascii="Times New Roman" w:hAnsi="Times New Roman" w:cs="Times New Roman" w:eastAsia="Times New Roman" w:hint="default"/>
        </w:rPr>
        <w:t>2019</w:t>
      </w:r>
      <w:r>
        <w:rPr/>
        <w:t>年度纳入合并范围的一级子公司</w:t>
      </w:r>
      <w:r>
        <w:rPr>
          <w:rFonts w:ascii="Times New Roman" w:hAnsi="Times New Roman" w:cs="Times New Roman" w:eastAsia="Times New Roman" w:hint="default"/>
        </w:rPr>
        <w:t>6</w:t>
      </w:r>
      <w:r>
        <w:rPr/>
        <w:t>户、二级子公司共</w:t>
      </w:r>
      <w:r>
        <w:rPr>
          <w:rFonts w:ascii="Times New Roman" w:hAnsi="Times New Roman" w:cs="Times New Roman" w:eastAsia="Times New Roman" w:hint="default"/>
        </w:rPr>
        <w:t>10</w:t>
      </w:r>
      <w:r>
        <w:rPr/>
        <w:t>户，详见</w:t>
      </w:r>
      <w:r>
        <w:rPr>
          <w:rFonts w:ascii="Times New Roman" w:hAnsi="Times New Roman" w:cs="Times New Roman" w:eastAsia="Times New Roman" w:hint="default"/>
        </w:rPr>
        <w:t>“</w:t>
      </w:r>
      <w:r>
        <w:rPr/>
        <w:t>本附注九、在其他主体中</w:t>
      </w:r>
      <w:r>
        <w:rPr>
          <w:w w:val="100"/>
        </w:rPr>
        <w:t> </w:t>
      </w:r>
      <w:r>
        <w:rPr>
          <w:spacing w:val="-8"/>
          <w:w w:val="100"/>
        </w:rPr>
        <w:t>的权益</w:t>
      </w:r>
      <w:r>
        <w:rPr>
          <w:rFonts w:ascii="Times New Roman" w:hAnsi="Times New Roman" w:cs="Times New Roman" w:eastAsia="Times New Roman" w:hint="default"/>
          <w:spacing w:val="-8"/>
          <w:w w:val="100"/>
        </w:rPr>
        <w:t>”</w:t>
      </w:r>
      <w:r>
        <w:rPr>
          <w:spacing w:val="-8"/>
          <w:w w:val="100"/>
        </w:rPr>
        <w:t>。本公司本年度合并范围与上年度相比出资设立</w:t>
      </w:r>
      <w:r>
        <w:rPr>
          <w:rFonts w:ascii="Times New Roman" w:hAnsi="Times New Roman" w:cs="Times New Roman" w:eastAsia="Times New Roman" w:hint="default"/>
          <w:spacing w:val="-8"/>
          <w:w w:val="100"/>
        </w:rPr>
        <w:t>3</w:t>
      </w:r>
      <w:r>
        <w:rPr>
          <w:spacing w:val="-8"/>
          <w:w w:val="100"/>
        </w:rPr>
        <w:t>户二级子公司，详见</w:t>
      </w:r>
      <w:r>
        <w:rPr>
          <w:rFonts w:ascii="Times New Roman" w:hAnsi="Times New Roman" w:cs="Times New Roman" w:eastAsia="Times New Roman" w:hint="default"/>
          <w:spacing w:val="-8"/>
          <w:w w:val="100"/>
        </w:rPr>
        <w:t>“</w:t>
      </w:r>
      <w:r>
        <w:rPr>
          <w:spacing w:val="-8"/>
          <w:w w:val="100"/>
        </w:rPr>
        <w:t>本附注八、合并范围的变更</w:t>
      </w:r>
      <w:r>
        <w:rPr>
          <w:rFonts w:ascii="Times New Roman" w:hAnsi="Times New Roman" w:cs="Times New Roman" w:eastAsia="Times New Roman" w:hint="default"/>
          <w:spacing w:val="-8"/>
          <w:w w:val="100"/>
        </w:rPr>
        <w:t>”</w:t>
      </w:r>
      <w:r>
        <w:rPr>
          <w:spacing w:val="-8"/>
          <w:w w:val="100"/>
        </w:rPr>
        <w:t>、</w:t>
      </w:r>
      <w:r>
        <w:rPr>
          <w:spacing w:val="-76"/>
          <w:w w:val="100"/>
        </w:rPr>
        <w:t> </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7"/>
          <w:szCs w:val="17"/>
        </w:rPr>
      </w:pPr>
    </w:p>
    <w:p>
      <w:pPr>
        <w:pStyle w:val="Heading2"/>
        <w:spacing w:line="240" w:lineRule="auto"/>
        <w:ind w:right="99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30"/>
          <w:szCs w:val="30"/>
        </w:rPr>
      </w:pPr>
    </w:p>
    <w:p>
      <w:pPr>
        <w:pStyle w:val="BodyText"/>
        <w:spacing w:line="386" w:lineRule="auto" w:before="0"/>
        <w:ind w:right="1219" w:firstLine="420"/>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w:t>
      </w:r>
      <w:r>
        <w:rPr>
          <w:w w:val="100"/>
        </w:rPr>
        <w:t> </w:t>
      </w:r>
      <w:r>
        <w:rPr>
          <w:spacing w:val="-2"/>
        </w:rPr>
        <w:t>则</w:t>
      </w:r>
      <w:r>
        <w:rPr>
          <w:rFonts w:ascii="Times New Roman" w:hAnsi="Times New Roman" w:cs="Times New Roman" w:eastAsia="Times New Roman" w:hint="default"/>
          <w:spacing w:val="-2"/>
        </w:rPr>
        <w:t>”</w:t>
      </w:r>
      <w:r>
        <w:rPr>
          <w:spacing w:val="-2"/>
        </w:rPr>
        <w:t>）编制。此外，本集团还按照中国证监会《公开发行证券的公司信息披露编报规则第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w:t>
      </w:r>
      <w:r>
        <w:rPr>
          <w:spacing w:val="-21"/>
        </w:rPr>
        <w:t> </w:t>
      </w:r>
      <w:r>
        <w:rPr>
          <w:spacing w:val="-21"/>
        </w:rPr>
      </w:r>
      <w:r>
        <w:rPr/>
        <w:t>的一般规定》（</w:t>
      </w:r>
      <w:r>
        <w:rPr>
          <w:rFonts w:ascii="Times New Roman" w:hAnsi="Times New Roman" w:cs="Times New Roman" w:eastAsia="Times New Roman" w:hint="default"/>
        </w:rPr>
        <w:t>2014</w:t>
      </w:r>
      <w:r>
        <w:rPr/>
        <w:t>年修订）披露有关财务信息。</w:t>
      </w:r>
    </w:p>
    <w:p>
      <w:pPr>
        <w:pStyle w:val="BodyText"/>
        <w:spacing w:line="240" w:lineRule="auto" w:before="35"/>
        <w:ind w:left="573" w:right="992"/>
        <w:jc w:val="left"/>
      </w:pPr>
      <w:r>
        <w:rPr/>
        <w:t>本财务报表以持续经营为基础列报。</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2" w:firstLine="420"/>
        <w:jc w:val="left"/>
      </w:pPr>
      <w:r>
        <w:rPr>
          <w:spacing w:val="-2"/>
        </w:rPr>
        <w:t>本集团会计核算以权责发生制为基础。除某些金融工具外，本财务报表均以历史成本为计量基础。资</w:t>
      </w:r>
      <w:r>
        <w:rPr>
          <w:w w:val="100"/>
        </w:rPr>
        <w:t> </w:t>
      </w:r>
      <w:r>
        <w:rPr/>
        <w:t>产如果发生减值，则按照相关规定计提相应的减值准备。</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公司自本报告期末起至少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9"/>
        <w:rPr>
          <w:rFonts w:ascii="宋体" w:hAnsi="宋体" w:cs="宋体" w:eastAsia="宋体" w:hint="default"/>
          <w:sz w:val="28"/>
          <w:szCs w:val="28"/>
        </w:rPr>
      </w:pPr>
    </w:p>
    <w:p>
      <w:pPr>
        <w:pStyle w:val="Heading2"/>
        <w:spacing w:line="240" w:lineRule="auto"/>
        <w:ind w:right="0"/>
        <w:jc w:val="both"/>
        <w:rPr>
          <w:b w:val="0"/>
          <w:bCs w:val="0"/>
        </w:rPr>
      </w:pPr>
      <w:r>
        <w:rPr/>
        <w:t>五、重要会计政策及会计估计</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573" w:right="992"/>
        <w:jc w:val="left"/>
      </w:pPr>
      <w:r>
        <w:rPr/>
        <w:t>具体会计政策和会计估计提示：</w:t>
      </w:r>
      <w:r>
        <w:rPr>
          <w:w w:val="100"/>
        </w:rPr>
        <w:t> </w:t>
      </w:r>
      <w:r>
        <w:rPr>
          <w:spacing w:val="-2"/>
        </w:rPr>
        <w:t>本集团根据自身生产经营特点，确定收入确认政策，具体会计政策见附注五、</w:t>
      </w:r>
      <w:r>
        <w:rPr>
          <w:rFonts w:ascii="Times New Roman" w:hAnsi="Times New Roman" w:cs="Times New Roman" w:eastAsia="Times New Roman" w:hint="default"/>
          <w:spacing w:val="-2"/>
        </w:rPr>
        <w:t>23</w:t>
      </w:r>
      <w:r>
        <w:rPr>
          <w:spacing w:val="-2"/>
        </w:rPr>
        <w:t>。</w:t>
      </w:r>
    </w:p>
    <w:p>
      <w:pPr>
        <w:spacing w:line="240" w:lineRule="auto" w:before="7"/>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992" w:firstLine="420"/>
        <w:jc w:val="left"/>
      </w:pPr>
      <w:r>
        <w:rPr>
          <w:spacing w:val="-2"/>
        </w:rPr>
        <w:t>本财务报表符合企业会计准则的要求，真实、完整地反映了本公司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w:t>
      </w:r>
      <w:r>
        <w:rPr>
          <w:w w:val="100"/>
        </w:rPr>
        <w:t> </w:t>
      </w:r>
      <w:r>
        <w:rPr/>
        <w:t>状况以及</w:t>
      </w:r>
      <w:r>
        <w:rPr>
          <w:rFonts w:ascii="Times New Roman" w:hAnsi="Times New Roman" w:cs="Times New Roman" w:eastAsia="Times New Roman" w:hint="default"/>
        </w:rPr>
        <w:t>2019</w:t>
      </w:r>
      <w:r>
        <w:rPr/>
        <w:t>年的合并及公司经营成果和合并及公司现金流量等有关信息。</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30"/>
          <w:szCs w:val="30"/>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本集团的营业周期为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30"/>
          <w:szCs w:val="30"/>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本公司及境内子公司以人民币为记账本位币。本集团编制本财务报表时所采用的货币为人民币。</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992"/>
        <w:jc w:val="left"/>
      </w:pPr>
      <w:r>
        <w:rPr/>
        <w:t>（</w:t>
      </w:r>
      <w:r>
        <w:rPr>
          <w:rFonts w:ascii="Times New Roman" w:hAnsi="Times New Roman" w:cs="Times New Roman" w:eastAsia="Times New Roman" w:hint="default"/>
        </w:rPr>
        <w:t>1</w:t>
      </w:r>
      <w:r>
        <w:rPr/>
        <w:t>）同一控制下的企业合并</w:t>
      </w:r>
      <w:r>
        <w:rPr>
          <w:w w:val="100"/>
        </w:rPr>
        <w:t> </w:t>
      </w:r>
      <w:r>
        <w:rPr>
          <w:spacing w:val="-2"/>
        </w:rPr>
        <w:t>对于同一控制下的企业合并，合并方在合并中取得的被合并方的资产、负债，除因会计政策不同而进</w:t>
      </w:r>
    </w:p>
    <w:p>
      <w:pPr>
        <w:pStyle w:val="BodyText"/>
        <w:spacing w:line="408" w:lineRule="auto" w:before="65"/>
        <w:ind w:right="1127"/>
        <w:jc w:val="both"/>
      </w:pPr>
      <w:r>
        <w:rPr>
          <w:spacing w:val="-7"/>
        </w:rPr>
        <w:t>行的调整以外，按合并日被合并方在最终控制方合并财务报表中的账面价值计量。合并对价的账面价值（或</w:t>
      </w:r>
      <w:r>
        <w:rPr>
          <w:spacing w:val="-20"/>
        </w:rPr>
        <w:t> </w:t>
      </w:r>
      <w:r>
        <w:rPr>
          <w:spacing w:val="-20"/>
        </w:rPr>
      </w:r>
      <w:r>
        <w:rPr>
          <w:spacing w:val="-2"/>
        </w:rPr>
        <w:t>发行股份面值总额）与合并中取得的净资产账面价值的差额调整资本公积（股本溢价），资本公积（股本</w:t>
      </w:r>
      <w:r>
        <w:rPr>
          <w:spacing w:val="-43"/>
        </w:rPr>
        <w:t> </w:t>
      </w:r>
      <w:r>
        <w:rPr>
          <w:spacing w:val="-43"/>
        </w:rPr>
      </w:r>
      <w:r>
        <w:rPr/>
        <w:t>溢价）不足冲减的，调整留存收益。</w:t>
      </w:r>
    </w:p>
    <w:p>
      <w:pPr>
        <w:pStyle w:val="BodyText"/>
        <w:spacing w:line="240" w:lineRule="auto"/>
        <w:ind w:left="573" w:right="992"/>
        <w:jc w:val="left"/>
      </w:pPr>
      <w:r>
        <w:rPr/>
        <w:t>通过多次交易分步实现同一控制下的企业合并</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在个别财务报表中，以合并日持股比例计算的合并日应享有被合并方净资产在最终控制方合并财务报</w:t>
      </w:r>
      <w:r>
        <w:rPr>
          <w:w w:val="100"/>
        </w:rPr>
        <w:t> </w:t>
      </w:r>
      <w:r>
        <w:rPr>
          <w:spacing w:val="-2"/>
        </w:rPr>
        <w:t>表中的账面价值的份额作为该项投资的初始投资成本；初始投资成本与合并前持有投资的账面价值加上合</w:t>
      </w:r>
      <w:r>
        <w:rPr>
          <w:spacing w:val="-43"/>
        </w:rPr>
        <w:t> </w:t>
      </w:r>
      <w:r>
        <w:rPr>
          <w:spacing w:val="-43"/>
        </w:rPr>
      </w:r>
      <w:r>
        <w:rPr>
          <w:spacing w:val="-2"/>
        </w:rPr>
        <w:t>并日新支付对价的账面价值之和的差额，调整资本公积（股本溢价），资本公积不足冲减的，调整留存收</w:t>
      </w:r>
      <w:r>
        <w:rPr>
          <w:spacing w:val="-43"/>
        </w:rPr>
        <w:t> </w:t>
      </w:r>
      <w:r>
        <w:rPr>
          <w:spacing w:val="-43"/>
        </w:rPr>
      </w:r>
      <w:r>
        <w:rPr/>
        <w:t>益。</w:t>
      </w:r>
    </w:p>
    <w:p>
      <w:pPr>
        <w:pStyle w:val="BodyText"/>
        <w:spacing w:line="408" w:lineRule="auto"/>
        <w:ind w:right="1126" w:firstLine="420"/>
        <w:jc w:val="both"/>
      </w:pPr>
      <w:r>
        <w:rPr>
          <w:spacing w:val="-2"/>
        </w:rPr>
        <w:t>在合并财务报表中，合并方在合并中取得的被合并方的资产、负债，除因会计政策不同而进行的调整</w:t>
      </w:r>
      <w:r>
        <w:rPr>
          <w:w w:val="100"/>
        </w:rPr>
        <w:t> </w:t>
      </w:r>
      <w:r>
        <w:rPr>
          <w:spacing w:val="-2"/>
        </w:rPr>
        <w:t>以外，按合并日在最终控制方合并财务报表中的账面价值计量；合并前持有投资的账面价值加上合并日新</w:t>
      </w:r>
      <w:r>
        <w:rPr>
          <w:spacing w:val="-43"/>
        </w:rPr>
        <w:t> </w:t>
      </w:r>
      <w:r>
        <w:rPr>
          <w:spacing w:val="-43"/>
        </w:rPr>
      </w:r>
      <w:r>
        <w:rPr>
          <w:spacing w:val="-2"/>
        </w:rPr>
        <w:t>支付对价的账面价值之和，与合并中取得的净资产账面价值的差额，调整资本公积（股本溢价），资本公</w:t>
      </w:r>
      <w:r>
        <w:rPr>
          <w:spacing w:val="-43"/>
        </w:rPr>
        <w:t> </w:t>
      </w:r>
      <w:r>
        <w:rPr>
          <w:spacing w:val="-43"/>
        </w:rPr>
      </w:r>
      <w:r>
        <w:rPr>
          <w:spacing w:val="-2"/>
        </w:rPr>
        <w:t>积不足冲减的，调整留存收益。合并方在取得被合并方控制权之前持有的长期股权投资，在取得原股权之</w:t>
      </w:r>
      <w:r>
        <w:rPr>
          <w:spacing w:val="-44"/>
        </w:rPr>
        <w:t> </w:t>
      </w:r>
      <w:r>
        <w:rPr>
          <w:spacing w:val="-44"/>
        </w:rPr>
      </w:r>
      <w:r>
        <w:rPr>
          <w:spacing w:val="-2"/>
        </w:rPr>
        <w:t>日与合并方与被合并方同处于同一方最终控制之日孰晚日起至合并日之间已确认有关损益、其他综合收益</w:t>
      </w:r>
      <w:r>
        <w:rPr>
          <w:spacing w:val="-43"/>
        </w:rPr>
        <w:t> </w:t>
      </w:r>
      <w:r>
        <w:rPr>
          <w:spacing w:val="-43"/>
        </w:rPr>
      </w:r>
      <w:r>
        <w:rPr/>
        <w:t>和其他所有者权益变动，应分别冲减比较报表期间的期初留存收益或当期损益。</w:t>
      </w:r>
    </w:p>
    <w:p>
      <w:pPr>
        <w:pStyle w:val="BodyText"/>
        <w:spacing w:line="386" w:lineRule="auto"/>
        <w:ind w:left="573" w:right="992"/>
        <w:jc w:val="left"/>
      </w:pPr>
      <w:r>
        <w:rPr/>
        <w:t>（</w:t>
      </w:r>
      <w:r>
        <w:rPr>
          <w:rFonts w:ascii="Times New Roman" w:hAnsi="Times New Roman" w:cs="Times New Roman" w:eastAsia="Times New Roman" w:hint="default"/>
        </w:rPr>
        <w:t>2</w:t>
      </w:r>
      <w:r>
        <w:rPr/>
        <w:t>）非同一控制下的企业合并</w:t>
      </w:r>
      <w:r>
        <w:rPr>
          <w:w w:val="100"/>
        </w:rPr>
        <w:t> </w:t>
      </w:r>
      <w:r>
        <w:rPr>
          <w:spacing w:val="-2"/>
        </w:rPr>
        <w:t>对于非同一控制下的企业合并，合并成本为购买日为取得对被购买方的控制权而付出的资产、发生或</w:t>
      </w:r>
    </w:p>
    <w:p>
      <w:pPr>
        <w:pStyle w:val="BodyText"/>
        <w:spacing w:line="408" w:lineRule="auto" w:before="65"/>
        <w:ind w:right="1126"/>
        <w:jc w:val="both"/>
      </w:pPr>
      <w:r>
        <w:rPr>
          <w:spacing w:val="-2"/>
        </w:rPr>
        <w:t>承担的负债以及发行的权益性证券的公允价值。在购买日，取得的被购买方的资产、负债及或有负债按公</w:t>
      </w:r>
      <w:r>
        <w:rPr>
          <w:spacing w:val="-43"/>
        </w:rPr>
        <w:t> </w:t>
      </w:r>
      <w:r>
        <w:rPr>
          <w:spacing w:val="-43"/>
        </w:rPr>
      </w:r>
      <w:r>
        <w:rPr/>
        <w:t>允价值确认。</w:t>
      </w:r>
    </w:p>
    <w:p>
      <w:pPr>
        <w:pStyle w:val="BodyText"/>
        <w:spacing w:line="408" w:lineRule="auto"/>
        <w:ind w:right="1105" w:firstLine="420"/>
        <w:jc w:val="both"/>
      </w:pPr>
      <w:r>
        <w:rPr>
          <w:spacing w:val="-2"/>
        </w:rPr>
        <w:t>对合并成本大于合并中取得的被购买方可辨认净资产公允价值份额的差额，确认为商誉，按成本扣除</w:t>
      </w:r>
      <w:r>
        <w:rPr>
          <w:w w:val="100"/>
        </w:rPr>
        <w:t> </w:t>
      </w:r>
      <w:r>
        <w:rPr>
          <w:spacing w:val="-2"/>
        </w:rPr>
        <w:t>累计减值准备进行后续计量；对合并成本小于合并中取得的被购买方可辨认净资产公允价值份额的差额，</w:t>
      </w:r>
      <w:r>
        <w:rPr>
          <w:spacing w:val="-21"/>
        </w:rPr>
        <w:t> </w:t>
      </w:r>
      <w:r>
        <w:rPr>
          <w:spacing w:val="-21"/>
        </w:rPr>
      </w:r>
      <w:r>
        <w:rPr/>
        <w:t>经复核后计入当期损益。</w:t>
      </w:r>
    </w:p>
    <w:p>
      <w:pPr>
        <w:pStyle w:val="BodyText"/>
        <w:spacing w:line="386" w:lineRule="auto"/>
        <w:ind w:right="1126" w:firstLine="420"/>
        <w:jc w:val="both"/>
      </w:pP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w:t>
      </w:r>
      <w:r>
        <w:rPr>
          <w:w w:val="100"/>
        </w:rPr>
        <w:t> </w:t>
      </w:r>
      <w:r>
        <w:rPr/>
        <w:t>况的新的或进一步证据而需要调整或有对价的，相应调整合并商誉。</w:t>
      </w:r>
    </w:p>
    <w:p>
      <w:pPr>
        <w:pStyle w:val="BodyText"/>
        <w:spacing w:line="408" w:lineRule="auto" w:before="65"/>
        <w:ind w:left="573" w:right="992"/>
        <w:jc w:val="left"/>
      </w:pPr>
      <w:r>
        <w:rPr/>
        <w:t>通过多次交易分步实现非同一控制下的企业合并</w:t>
      </w:r>
      <w:r>
        <w:rPr>
          <w:w w:val="100"/>
        </w:rPr>
        <w:t> </w:t>
      </w:r>
      <w:r>
        <w:rPr>
          <w:spacing w:val="-2"/>
        </w:rPr>
        <w:t>在个别财务报表中，以购买日之前所持被购买方的股权投资的账面价值与购买日新增投资成本之和，</w:t>
      </w:r>
    </w:p>
    <w:p>
      <w:pPr>
        <w:pStyle w:val="BodyText"/>
        <w:spacing w:line="408" w:lineRule="auto"/>
        <w:ind w:right="1126"/>
        <w:jc w:val="both"/>
      </w:pPr>
      <w:r>
        <w:rPr>
          <w:spacing w:val="-2"/>
        </w:rPr>
        <w:t>作为该项投资的初始投资成本。购买日之前持有的股权投资因采用权益法核算而确认的其他综合收益，购</w:t>
      </w:r>
      <w:r>
        <w:rPr>
          <w:spacing w:val="-43"/>
        </w:rPr>
        <w:t> </w:t>
      </w:r>
      <w:r>
        <w:rPr>
          <w:spacing w:val="-43"/>
        </w:rPr>
      </w:r>
      <w:r>
        <w:rPr>
          <w:spacing w:val="-2"/>
        </w:rPr>
        <w:t>买日对这部分其他综合收益不作处理，在处置该项投资时采用与被投资单位直接处置相关资产或负债相同</w:t>
      </w:r>
      <w:r>
        <w:rPr>
          <w:spacing w:val="-43"/>
        </w:rPr>
        <w:t> </w:t>
      </w:r>
      <w:r>
        <w:rPr>
          <w:spacing w:val="-43"/>
        </w:rPr>
      </w:r>
      <w:r>
        <w:rPr>
          <w:spacing w:val="-2"/>
        </w:rPr>
        <w:t>的基础进行会计处理；因被投资方除净损益、其他综合收益和利润分配以外的其他所有者权益变动而确认</w:t>
      </w:r>
      <w:r>
        <w:rPr>
          <w:spacing w:val="-43"/>
        </w:rPr>
        <w:t> </w:t>
      </w:r>
      <w:r>
        <w:rPr>
          <w:spacing w:val="-43"/>
        </w:rPr>
      </w:r>
      <w:r>
        <w:rPr>
          <w:spacing w:val="-2"/>
        </w:rPr>
        <w:t>的所有者权益，在处置该项投资时转入处置期间的当期损益。购买日之前持有的股权投资采用公允价值计</w:t>
      </w:r>
      <w:r>
        <w:rPr>
          <w:spacing w:val="-42"/>
        </w:rPr>
        <w:t> </w:t>
      </w:r>
      <w:r>
        <w:rPr>
          <w:spacing w:val="-42"/>
        </w:rPr>
      </w:r>
      <w:r>
        <w:rPr/>
        <w:t>量的，原计入其他综合收益的累计公允价值变动在改按成本法核算时转入当期损益。</w:t>
      </w:r>
    </w:p>
    <w:p>
      <w:pPr>
        <w:pStyle w:val="BodyText"/>
        <w:spacing w:line="408" w:lineRule="auto"/>
        <w:ind w:right="1126" w:firstLine="420"/>
        <w:jc w:val="both"/>
      </w:pPr>
      <w:r>
        <w:rPr>
          <w:spacing w:val="-2"/>
        </w:rPr>
        <w:t>在合并财务报表中，合并成本为购买日支付的对价与购买日之前已经持有的被购买方的股权在购买日</w:t>
      </w:r>
      <w:r>
        <w:rPr>
          <w:w w:val="100"/>
        </w:rPr>
        <w:t> </w:t>
      </w:r>
      <w:r>
        <w:rPr>
          <w:spacing w:val="-2"/>
        </w:rPr>
        <w:t>的公允价值之和。对于购买日之前已经持有的被购买方的股权，按照该股权在购买日的公允价值进行重新</w:t>
      </w:r>
      <w:r>
        <w:rPr>
          <w:spacing w:val="-44"/>
        </w:rPr>
        <w:t> </w:t>
      </w:r>
      <w:r>
        <w:rPr>
          <w:spacing w:val="-44"/>
        </w:rPr>
      </w:r>
      <w:r>
        <w:rPr>
          <w:spacing w:val="-2"/>
        </w:rPr>
        <w:t>计量，公允价值与其账面价值之间的差额计入当期收益；购买日之前已经持有的被购买方的股权涉及其他</w:t>
      </w:r>
      <w:r>
        <w:rPr>
          <w:spacing w:val="-42"/>
        </w:rPr>
        <w:t> </w:t>
      </w:r>
      <w:r>
        <w:rPr>
          <w:spacing w:val="-42"/>
        </w:rPr>
      </w:r>
      <w:r>
        <w:rPr>
          <w:spacing w:val="-2"/>
        </w:rPr>
        <w:t>综合收益、其他所有者权益变动转为购买日当期收益，由于被投资方重新计量设定收益计划净负债或净资</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产变动而产生的其他综合收益除外。</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t>（</w:t>
      </w:r>
      <w:r>
        <w:rPr>
          <w:rFonts w:ascii="Times New Roman" w:hAnsi="Times New Roman" w:cs="Times New Roman" w:eastAsia="Times New Roman" w:hint="default"/>
        </w:rPr>
        <w:t>3</w:t>
      </w:r>
      <w:r>
        <w:rPr/>
        <w:t>）企业合并中有关交易费用的处理</w:t>
      </w:r>
      <w:r>
        <w:rPr>
          <w:w w:val="100"/>
        </w:rPr>
        <w:t> </w:t>
      </w:r>
      <w:r>
        <w:rPr>
          <w:spacing w:val="-2"/>
        </w:rPr>
        <w:t>为进行企业合并发生的审计、法律服务、评估咨询等中介费用以及其他相关管理费用，于发生时计入</w:t>
      </w:r>
    </w:p>
    <w:p>
      <w:pPr>
        <w:pStyle w:val="BodyText"/>
        <w:spacing w:line="408" w:lineRule="auto" w:before="65"/>
        <w:ind w:right="992"/>
        <w:jc w:val="left"/>
      </w:pPr>
      <w:r>
        <w:rPr>
          <w:spacing w:val="-2"/>
        </w:rPr>
        <w:t>当期损益。作为合并对价发行的权益性证券或债务性证券的交易费用，计入权益性证券或债务性证券的初</w:t>
      </w:r>
      <w:r>
        <w:rPr>
          <w:spacing w:val="-42"/>
        </w:rPr>
        <w:t> </w:t>
      </w:r>
      <w:r>
        <w:rPr>
          <w:spacing w:val="-42"/>
        </w:rPr>
      </w:r>
      <w:r>
        <w:rPr/>
        <w:t>始确认金额。</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3" w:right="992"/>
        <w:jc w:val="left"/>
      </w:pPr>
      <w:r>
        <w:rPr/>
        <w:t>（</w:t>
      </w:r>
      <w:r>
        <w:rPr>
          <w:rFonts w:ascii="Times New Roman" w:hAnsi="Times New Roman" w:cs="Times New Roman" w:eastAsia="Times New Roman" w:hint="default"/>
        </w:rPr>
        <w:t>1</w:t>
      </w:r>
      <w:r>
        <w:rPr/>
        <w:t>）合并范围</w:t>
      </w:r>
      <w:r>
        <w:rPr>
          <w:w w:val="100"/>
        </w:rPr>
        <w:t> </w:t>
      </w:r>
      <w:r>
        <w:rPr>
          <w:spacing w:val="-2"/>
        </w:rPr>
        <w:t>合并财务报表的合并范围以控制为基础予以确定。控制，是指本公司拥有对被投资单位的权力，通过</w:t>
      </w:r>
    </w:p>
    <w:p>
      <w:pPr>
        <w:pStyle w:val="BodyText"/>
        <w:spacing w:line="408" w:lineRule="auto" w:before="65"/>
        <w:ind w:right="992"/>
        <w:jc w:val="left"/>
      </w:pPr>
      <w:r>
        <w:rPr>
          <w:spacing w:val="-2"/>
        </w:rPr>
        <w:t>参与被投资单位的相关活动而享有可变回报，并且有能力运用对被投资单位的权力影响其回报金额。子公</w:t>
      </w:r>
      <w:r>
        <w:rPr>
          <w:spacing w:val="-42"/>
        </w:rPr>
        <w:t> </w:t>
      </w:r>
      <w:r>
        <w:rPr>
          <w:spacing w:val="-42"/>
        </w:rPr>
      </w:r>
      <w:r>
        <w:rPr/>
        <w:t>司，是指被本公司控制的主体（含企业、被投资单位中可分割的部分、结构化主体等）。</w:t>
      </w:r>
    </w:p>
    <w:p>
      <w:pPr>
        <w:pStyle w:val="BodyText"/>
        <w:spacing w:line="386" w:lineRule="auto"/>
        <w:ind w:left="573" w:right="992"/>
        <w:jc w:val="left"/>
      </w:pPr>
      <w:r>
        <w:rPr/>
        <w:t>（</w:t>
      </w:r>
      <w:r>
        <w:rPr>
          <w:rFonts w:ascii="Times New Roman" w:hAnsi="Times New Roman" w:cs="Times New Roman" w:eastAsia="Times New Roman" w:hint="default"/>
        </w:rPr>
        <w:t>2</w:t>
      </w:r>
      <w:r>
        <w:rPr/>
        <w:t>）合并财务报表的编制方法</w:t>
      </w:r>
      <w:r>
        <w:rPr>
          <w:w w:val="100"/>
        </w:rPr>
        <w:t> </w:t>
      </w:r>
      <w:r>
        <w:rPr>
          <w:spacing w:val="-2"/>
        </w:rPr>
        <w:t>合并财务报表以本公司和子公司的财务报表为基础，根据其他有关资料，由本公司编制。在编制合并</w:t>
      </w:r>
    </w:p>
    <w:p>
      <w:pPr>
        <w:pStyle w:val="BodyText"/>
        <w:spacing w:line="408" w:lineRule="auto" w:before="65"/>
        <w:ind w:right="992"/>
        <w:jc w:val="left"/>
      </w:pPr>
      <w:r>
        <w:rPr>
          <w:spacing w:val="-2"/>
        </w:rPr>
        <w:t>财务报表时，本公司和子公司的会计政策和会计期间要求保持一致，公司间的重大交易和往来余额予以抵</w:t>
      </w:r>
      <w:r>
        <w:rPr>
          <w:spacing w:val="-44"/>
        </w:rPr>
        <w:t> </w:t>
      </w:r>
      <w:r>
        <w:rPr>
          <w:spacing w:val="-44"/>
        </w:rPr>
      </w:r>
      <w:r>
        <w:rPr/>
        <w:t>销。</w:t>
      </w:r>
    </w:p>
    <w:p>
      <w:pPr>
        <w:pStyle w:val="BodyText"/>
        <w:spacing w:line="408" w:lineRule="auto"/>
        <w:ind w:right="1126" w:firstLine="420"/>
        <w:jc w:val="both"/>
      </w:pPr>
      <w:r>
        <w:rPr>
          <w:spacing w:val="-2"/>
        </w:rPr>
        <w:t>在报告期内因同一控制下企业合并增加的子公司以及业务，视同该子公司以及业务自同受最终控制方</w:t>
      </w:r>
      <w:r>
        <w:rPr>
          <w:w w:val="100"/>
        </w:rPr>
        <w:t> </w:t>
      </w:r>
      <w:r>
        <w:rPr>
          <w:spacing w:val="-2"/>
        </w:rPr>
        <w:t>控制之日起纳入本公司的合并范围，将其自同受最终控制方控制之日起的经营成果、现金流量分别纳入合</w:t>
      </w:r>
      <w:r>
        <w:rPr>
          <w:spacing w:val="-43"/>
        </w:rPr>
        <w:t> </w:t>
      </w:r>
      <w:r>
        <w:rPr>
          <w:spacing w:val="-43"/>
        </w:rPr>
      </w:r>
      <w:r>
        <w:rPr/>
        <w:t>并利润表、合并现金流量表中。</w:t>
      </w:r>
    </w:p>
    <w:p>
      <w:pPr>
        <w:pStyle w:val="BodyText"/>
        <w:spacing w:line="408" w:lineRule="auto"/>
        <w:ind w:right="992" w:firstLine="420"/>
        <w:jc w:val="left"/>
      </w:pPr>
      <w:r>
        <w:rPr>
          <w:spacing w:val="-2"/>
        </w:rPr>
        <w:t>在报告期内因非同一控制下企业合并增加的子公司以及业务，将该子公司以及业务自购买日至报告期</w:t>
      </w:r>
      <w:r>
        <w:rPr>
          <w:w w:val="100"/>
        </w:rPr>
        <w:t> </w:t>
      </w:r>
      <w:r>
        <w:rPr/>
        <w:t>末的收入、费用、利润纳入合并利润表，将其现金流量纳入合并现金流量表。</w:t>
      </w:r>
    </w:p>
    <w:p>
      <w:pPr>
        <w:pStyle w:val="BodyText"/>
        <w:spacing w:line="393" w:lineRule="auto"/>
        <w:ind w:right="992" w:firstLine="420"/>
        <w:jc w:val="left"/>
      </w:pPr>
      <w:r>
        <w:rPr>
          <w:spacing w:val="-2"/>
        </w:rPr>
        <w:t>子公司的股东权益中不属于本公司所拥有的部分，作为少数股东权益在合并资产负债表中股东权益项</w:t>
      </w:r>
      <w:r>
        <w:rPr>
          <w:w w:val="100"/>
        </w:rPr>
        <w:t> </w:t>
      </w:r>
      <w:r>
        <w:rPr/>
        <w:t>下单独列示；子公司当期净损益中属于少数股东权益的份额，在合并利润表中净利润项目下以</w:t>
      </w:r>
      <w:r>
        <w:rPr>
          <w:rFonts w:ascii="Times New Roman" w:hAnsi="Times New Roman" w:cs="Times New Roman" w:eastAsia="Times New Roman" w:hint="default"/>
        </w:rPr>
        <w:t>“</w:t>
      </w:r>
      <w:r>
        <w:rPr/>
        <w:t>少数股东</w:t>
      </w:r>
      <w:r>
        <w:rPr>
          <w:w w:val="100"/>
        </w:rPr>
        <w:t> </w:t>
      </w:r>
      <w:r>
        <w:rPr/>
        <w:t>损益</w:t>
      </w:r>
      <w:r>
        <w:rPr>
          <w:rFonts w:ascii="Times New Roman" w:hAnsi="Times New Roman" w:cs="Times New Roman" w:eastAsia="Times New Roman" w:hint="default"/>
        </w:rPr>
        <w:t>”</w:t>
      </w:r>
      <w:r>
        <w:rPr/>
        <w:t>项目列示。少数股东分担的子公司的亏损超过了少数股东在该子公司期初所有者权益中所享有的份</w:t>
      </w:r>
      <w:r>
        <w:rPr>
          <w:w w:val="100"/>
        </w:rPr>
        <w:t> </w:t>
      </w:r>
      <w:r>
        <w:rPr/>
        <w:t>额，其余额仍冲减少数股东权益。</w:t>
      </w:r>
    </w:p>
    <w:p>
      <w:pPr>
        <w:pStyle w:val="BodyText"/>
        <w:spacing w:line="386" w:lineRule="auto" w:before="58"/>
        <w:ind w:left="573" w:right="992"/>
        <w:jc w:val="left"/>
      </w:pPr>
      <w:r>
        <w:rPr/>
        <w:t>（</w:t>
      </w:r>
      <w:r>
        <w:rPr>
          <w:rFonts w:ascii="Times New Roman" w:hAnsi="Times New Roman" w:cs="Times New Roman" w:eastAsia="Times New Roman" w:hint="default"/>
        </w:rPr>
        <w:t>3</w:t>
      </w:r>
      <w:r>
        <w:rPr/>
        <w:t>）购买子公司少数股东股权</w:t>
      </w:r>
      <w:r>
        <w:rPr>
          <w:w w:val="100"/>
        </w:rPr>
        <w:t> </w:t>
      </w:r>
      <w:r>
        <w:rPr>
          <w:spacing w:val="-2"/>
        </w:rPr>
        <w:t>因购买少数股权新取得的长期股权投资成本与按照新增持股比例计算应享有子公司自购买日或合并</w:t>
      </w:r>
    </w:p>
    <w:p>
      <w:pPr>
        <w:pStyle w:val="BodyText"/>
        <w:spacing w:line="408" w:lineRule="auto" w:before="65"/>
        <w:ind w:right="992"/>
        <w:jc w:val="left"/>
      </w:pPr>
      <w:r>
        <w:rPr>
          <w:spacing w:val="-2"/>
        </w:rPr>
        <w:t>日开始持续计算的净资产份额之间的差额，以及在不丧失控制权的情况下因部分处置对子公司的股权投资</w:t>
      </w:r>
      <w:r>
        <w:rPr>
          <w:spacing w:val="-43"/>
        </w:rPr>
        <w:t> </w:t>
      </w:r>
      <w:r>
        <w:rPr>
          <w:spacing w:val="-43"/>
        </w:rPr>
      </w:r>
      <w:r>
        <w:rPr/>
        <w:t>而取得的处置价款与处置长期股权投资相对应享有子公司自购买日或合并日开始持续计算的净资产份额</w:t>
      </w:r>
      <w:r>
        <w:rPr>
          <w:w w:val="100"/>
        </w:rPr>
        <w:t> </w:t>
      </w:r>
      <w:r>
        <w:rPr>
          <w:spacing w:val="-2"/>
        </w:rPr>
        <w:t>之间的差额，均调整合并资产负债表中的资本公积（股本溢价），资本公积不足冲减的，调整留存收益。</w:t>
      </w:r>
    </w:p>
    <w:p>
      <w:pPr>
        <w:pStyle w:val="BodyText"/>
        <w:spacing w:line="240" w:lineRule="auto"/>
        <w:ind w:left="573" w:right="992"/>
        <w:jc w:val="left"/>
      </w:pPr>
      <w:r>
        <w:rPr/>
        <w:t>（</w:t>
      </w:r>
      <w:r>
        <w:rPr>
          <w:rFonts w:ascii="Times New Roman" w:hAnsi="Times New Roman" w:cs="Times New Roman" w:eastAsia="Times New Roman" w:hint="default"/>
        </w:rPr>
        <w:t>4</w:t>
      </w:r>
      <w:r>
        <w:rPr/>
        <w:t>）丧失子公司控制权的处理</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因处置部分股权投资或其他原因丧失了对原有子公司控制权的，剩余股权按照其在丧失控制权日的公</w:t>
      </w:r>
      <w:r>
        <w:rPr>
          <w:w w:val="100"/>
        </w:rPr>
        <w:t> </w:t>
      </w:r>
      <w:r>
        <w:rPr>
          <w:spacing w:val="-2"/>
        </w:rPr>
        <w:t>允价值进行重新计量；处置股权取得的对价与剩余股权公允价值之和，减去按原持股比例计算应享有原有</w:t>
      </w:r>
      <w:r>
        <w:rPr>
          <w:spacing w:val="-43"/>
        </w:rPr>
        <w:t> </w:t>
      </w:r>
      <w:r>
        <w:rPr>
          <w:spacing w:val="-43"/>
        </w:rPr>
      </w:r>
      <w:r>
        <w:rPr>
          <w:spacing w:val="-2"/>
        </w:rPr>
        <w:t>子公司自购买日开始持续计算的净资产账面价值的份额与商誉之和，形成的差额计入丧失控制权当期的投</w:t>
      </w:r>
      <w:r>
        <w:rPr>
          <w:spacing w:val="-43"/>
        </w:rPr>
        <w:t> </w:t>
      </w:r>
      <w:r>
        <w:rPr>
          <w:spacing w:val="-43"/>
        </w:rPr>
      </w:r>
      <w:r>
        <w:rPr/>
        <w:t>资收益。</w:t>
      </w:r>
    </w:p>
    <w:p>
      <w:pPr>
        <w:pStyle w:val="BodyText"/>
        <w:spacing w:line="408" w:lineRule="auto"/>
        <w:ind w:right="1126" w:firstLine="420"/>
        <w:jc w:val="both"/>
      </w:pPr>
      <w:r>
        <w:rPr>
          <w:spacing w:val="-2"/>
        </w:rPr>
        <w:t>与原有子公司的股权投资相关的其他综合收益等，在丧失控制权时转入当期损益，由于被投资方重新</w:t>
      </w:r>
      <w:r>
        <w:rPr>
          <w:w w:val="100"/>
        </w:rPr>
        <w:t> </w:t>
      </w:r>
      <w:r>
        <w:rPr/>
        <w:t>计量设定收益计划净负债或净资产变动而产生的其他综合收益除外。</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right="1126" w:firstLine="420"/>
        <w:jc w:val="both"/>
      </w:pPr>
      <w:r>
        <w:rPr>
          <w:spacing w:val="-2"/>
        </w:rPr>
        <w:t>合营安排，是指一项由两个或两个以上的参与方共同控制的安排。本集团合营安排分为共同经营和合</w:t>
      </w:r>
      <w:r>
        <w:rPr>
          <w:w w:val="100"/>
        </w:rPr>
        <w:t> </w:t>
      </w:r>
      <w:r>
        <w:rPr/>
        <w:t>营企业。</w:t>
      </w:r>
    </w:p>
    <w:p>
      <w:pPr>
        <w:pStyle w:val="BodyText"/>
        <w:spacing w:line="386" w:lineRule="auto" w:before="44"/>
        <w:ind w:left="573" w:right="1936"/>
        <w:jc w:val="left"/>
      </w:pPr>
      <w:r>
        <w:rPr/>
        <w:t>（</w:t>
      </w:r>
      <w:r>
        <w:rPr>
          <w:rFonts w:ascii="Times New Roman" w:hAnsi="Times New Roman" w:cs="Times New Roman" w:eastAsia="Times New Roman" w:hint="default"/>
        </w:rPr>
        <w:t>1</w:t>
      </w:r>
      <w:r>
        <w:rPr/>
        <w:t>）共同经营</w:t>
      </w:r>
      <w:r>
        <w:rPr>
          <w:w w:val="100"/>
        </w:rPr>
        <w:t> </w:t>
      </w:r>
      <w:r>
        <w:rPr>
          <w:spacing w:val="-2"/>
        </w:rPr>
        <w:t>共同经营是指本集团享有该安排相关资产且承担该安排相关负债的合营安排。</w:t>
      </w:r>
    </w:p>
    <w:p>
      <w:pPr>
        <w:pStyle w:val="BodyText"/>
        <w:spacing w:line="391" w:lineRule="auto" w:before="65"/>
        <w:ind w:left="573" w:right="992"/>
        <w:jc w:val="left"/>
      </w:pPr>
      <w:r>
        <w:rPr>
          <w:spacing w:val="-2"/>
        </w:rPr>
        <w:t>本集团确认与共同经营中利益份额相关的下列项目，并按照相关企业会计准则的规定进行会计处理：</w:t>
      </w:r>
      <w:r>
        <w:rPr>
          <w:spacing w:val="-27"/>
        </w:rPr>
        <w:t> </w:t>
      </w:r>
      <w:r>
        <w:rPr>
          <w:spacing w:val="-27"/>
        </w:rPr>
      </w:r>
      <w:r>
        <w:rPr>
          <w:rFonts w:ascii="Times New Roman" w:hAnsi="Times New Roman" w:cs="Times New Roman" w:eastAsia="Times New Roman" w:hint="default"/>
        </w:rPr>
        <w:t>A</w:t>
      </w:r>
      <w:r>
        <w:rPr/>
        <w:t>、确认单独所持有的资产，以及按其份额确认共同持有的资产；</w:t>
      </w:r>
      <w:r>
        <w:rPr>
          <w:w w:val="100"/>
        </w:rPr>
        <w:t> </w:t>
      </w:r>
      <w:r>
        <w:rPr>
          <w:rFonts w:ascii="Times New Roman" w:hAnsi="Times New Roman" w:cs="Times New Roman" w:eastAsia="Times New Roman" w:hint="default"/>
        </w:rPr>
        <w:t>B</w:t>
      </w:r>
      <w:r>
        <w:rPr/>
        <w:t>、确认单独所承担的负债，以及按其份额确认共同承担的负债；</w:t>
      </w:r>
      <w:r>
        <w:rPr>
          <w:w w:val="100"/>
        </w:rPr>
        <w:t> </w:t>
      </w:r>
      <w:r>
        <w:rPr>
          <w:rFonts w:ascii="Times New Roman" w:hAnsi="Times New Roman" w:cs="Times New Roman" w:eastAsia="Times New Roman" w:hint="default"/>
        </w:rPr>
        <w:t>C</w:t>
      </w:r>
      <w:r>
        <w:rPr/>
        <w:t>、确认出售其享有的共同经营产出份额所产生的收入；</w:t>
      </w:r>
      <w:r>
        <w:rPr>
          <w:w w:val="100"/>
        </w:rPr>
        <w:t> </w:t>
      </w:r>
      <w:r>
        <w:rPr>
          <w:rFonts w:ascii="Times New Roman" w:hAnsi="Times New Roman" w:cs="Times New Roman" w:eastAsia="Times New Roman" w:hint="default"/>
        </w:rPr>
        <w:t>D</w:t>
      </w:r>
      <w:r>
        <w:rPr/>
        <w:t>、按其份额确认共同经营因出售产出所产生的收入；</w:t>
      </w:r>
      <w:r>
        <w:rPr>
          <w:w w:val="100"/>
        </w:rPr>
        <w:t>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86" w:lineRule="auto" w:before="30"/>
        <w:ind w:left="573" w:right="3899"/>
        <w:jc w:val="left"/>
      </w:pPr>
      <w:r>
        <w:rPr/>
        <w:t>（</w:t>
      </w:r>
      <w:r>
        <w:rPr>
          <w:rFonts w:ascii="Times New Roman" w:hAnsi="Times New Roman" w:cs="Times New Roman" w:eastAsia="Times New Roman" w:hint="default"/>
        </w:rPr>
        <w:t>2</w:t>
      </w:r>
      <w:r>
        <w:rPr/>
        <w:t>）合营企业</w:t>
      </w:r>
      <w:r>
        <w:rPr>
          <w:w w:val="100"/>
        </w:rPr>
        <w:t> </w:t>
      </w:r>
      <w:r>
        <w:rPr>
          <w:spacing w:val="-2"/>
        </w:rPr>
        <w:t>合营企业是指本集团仅对该安排的净资产享有权利的合营安排。</w:t>
      </w:r>
    </w:p>
    <w:p>
      <w:pPr>
        <w:pStyle w:val="BodyText"/>
        <w:spacing w:line="240" w:lineRule="auto" w:before="65"/>
        <w:ind w:left="573" w:right="992"/>
        <w:jc w:val="left"/>
      </w:pPr>
      <w:r>
        <w:rPr/>
        <w:t>本集团按照长期股权投资有关权益法核算的规定对合营企业的投资进行会计处理。</w:t>
      </w:r>
    </w:p>
    <w:p>
      <w:pPr>
        <w:spacing w:line="670" w:lineRule="atLeast" w:before="37"/>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5"/>
          <w:sz w:val="21"/>
          <w:szCs w:val="21"/>
        </w:rPr>
        <w:t>现金是指库存现金以及可以随时用于支付的存款。现金等价物，是指本集团持有的期限短、流动性强、</w:t>
      </w:r>
    </w:p>
    <w:p>
      <w:pPr>
        <w:spacing w:line="240" w:lineRule="auto" w:before="10"/>
        <w:rPr>
          <w:rFonts w:ascii="宋体" w:hAnsi="宋体" w:cs="宋体" w:eastAsia="宋体" w:hint="default"/>
          <w:sz w:val="14"/>
          <w:szCs w:val="14"/>
        </w:rPr>
      </w:pPr>
    </w:p>
    <w:p>
      <w:pPr>
        <w:pStyle w:val="BodyText"/>
        <w:spacing w:line="240" w:lineRule="auto" w:before="0"/>
        <w:ind w:right="992"/>
        <w:jc w:val="left"/>
      </w:pPr>
      <w:r>
        <w:rPr/>
        <w:t>易于转换为已知金额现金、价值变动风险很小的投资。</w:t>
      </w:r>
    </w:p>
    <w:p>
      <w:pPr>
        <w:spacing w:line="240" w:lineRule="auto" w:before="0"/>
        <w:rPr>
          <w:rFonts w:ascii="宋体" w:hAnsi="宋体" w:cs="宋体" w:eastAsia="宋体" w:hint="default"/>
          <w:sz w:val="20"/>
          <w:szCs w:val="20"/>
        </w:rPr>
      </w:pPr>
    </w:p>
    <w:p>
      <w:pPr>
        <w:pStyle w:val="Heading4"/>
        <w:spacing w:line="240" w:lineRule="auto" w:before="155"/>
        <w:ind w:right="992"/>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金融工具是指形成一方的金融资产，并形成其他方的金融负债或权益工具的合同。</w:t>
      </w:r>
    </w:p>
    <w:p>
      <w:pPr>
        <w:spacing w:line="240" w:lineRule="auto" w:before="10"/>
        <w:rPr>
          <w:rFonts w:ascii="宋体" w:hAnsi="宋体" w:cs="宋体" w:eastAsia="宋体" w:hint="default"/>
          <w:sz w:val="14"/>
          <w:szCs w:val="14"/>
        </w:rPr>
      </w:pPr>
    </w:p>
    <w:p>
      <w:pPr>
        <w:pStyle w:val="BodyText"/>
        <w:spacing w:line="386" w:lineRule="auto" w:before="0"/>
        <w:ind w:left="573" w:right="1115"/>
        <w:jc w:val="left"/>
      </w:pPr>
      <w:r>
        <w:rPr/>
        <w:t>（</w:t>
      </w:r>
      <w:r>
        <w:rPr>
          <w:rFonts w:ascii="Times New Roman" w:hAnsi="Times New Roman" w:cs="Times New Roman" w:eastAsia="Times New Roman" w:hint="default"/>
        </w:rPr>
        <w:t>1</w:t>
      </w:r>
      <w:r>
        <w:rPr/>
        <w:t>）金融工具的确认和终止确认</w:t>
      </w:r>
      <w:r>
        <w:rPr>
          <w:w w:val="100"/>
        </w:rPr>
        <w:t> </w:t>
      </w:r>
      <w:r>
        <w:rPr>
          <w:spacing w:val="-2"/>
        </w:rPr>
        <w:t>本集团于成为金融工具合同的一方时确认一项金融资产或金融负债。</w:t>
      </w:r>
    </w:p>
    <w:p>
      <w:pPr>
        <w:spacing w:after="0" w:line="386" w:lineRule="auto"/>
        <w:jc w:val="left"/>
        <w:sectPr>
          <w:footerReference w:type="default" r:id="rId19"/>
          <w:pgSz w:w="11910" w:h="16840"/>
          <w:pgMar w:footer="980" w:header="877" w:top="1100" w:bottom="1160" w:left="980" w:right="0"/>
        </w:sectPr>
      </w:pPr>
    </w:p>
    <w:p>
      <w:pPr>
        <w:spacing w:line="240" w:lineRule="auto" w:before="9"/>
        <w:rPr>
          <w:rFonts w:ascii="宋体" w:hAnsi="宋体" w:cs="宋体" w:eastAsia="宋体" w:hint="default"/>
          <w:sz w:val="26"/>
          <w:szCs w:val="26"/>
        </w:rPr>
      </w:pPr>
    </w:p>
    <w:p>
      <w:pPr>
        <w:pStyle w:val="BodyText"/>
        <w:spacing w:line="398" w:lineRule="auto" w:before="36"/>
        <w:ind w:left="573" w:right="3899"/>
        <w:jc w:val="left"/>
      </w:pPr>
      <w:r>
        <w:rPr/>
        <w:t>金融资产满足下列条件之一的，终止确认：</w:t>
      </w:r>
      <w:r>
        <w:rPr>
          <w:w w:val="100"/>
        </w:rPr>
        <w:t> </w:t>
      </w:r>
      <w:r>
        <w:rPr>
          <w:rFonts w:ascii="Times New Roman" w:hAnsi="Times New Roman" w:cs="Times New Roman" w:eastAsia="Times New Roman" w:hint="default"/>
        </w:rPr>
        <w:t>A</w:t>
      </w:r>
      <w:r>
        <w:rPr/>
        <w:t>、收取该金融资产现金流量的合同权利终止；</w:t>
      </w:r>
      <w:r>
        <w:rPr>
          <w:w w:val="100"/>
        </w:rPr>
        <w:t> </w:t>
      </w:r>
      <w:r>
        <w:rPr>
          <w:rFonts w:ascii="Times New Roman" w:hAnsi="Times New Roman" w:cs="Times New Roman" w:eastAsia="Times New Roman" w:hint="default"/>
          <w:spacing w:val="-2"/>
        </w:rPr>
        <w:t>B</w:t>
      </w:r>
      <w:r>
        <w:rPr>
          <w:spacing w:val="-2"/>
        </w:rPr>
        <w:t>、该金融资产已转移，且符合下述金融资产转移的终止确认条件。</w:t>
      </w:r>
    </w:p>
    <w:p>
      <w:pPr>
        <w:pStyle w:val="BodyText"/>
        <w:spacing w:line="408" w:lineRule="auto" w:before="24"/>
        <w:ind w:right="1126" w:firstLine="420"/>
        <w:jc w:val="both"/>
      </w:pPr>
      <w:r>
        <w:rPr>
          <w:spacing w:val="-2"/>
        </w:rPr>
        <w:t>金融负债的现时义务全部或部分已经解除的，终止确认该金融负债或其一部分。本集团（债务人）与</w:t>
      </w:r>
      <w:r>
        <w:rPr>
          <w:w w:val="100"/>
        </w:rPr>
        <w:t> </w:t>
      </w:r>
      <w:r>
        <w:rPr>
          <w:spacing w:val="-2"/>
        </w:rPr>
        <w:t>债权人之间签订协议，以承担新金融负债方式替换现存金融负债，且新金融负债与现存金融负债的合同条</w:t>
      </w:r>
      <w:r>
        <w:rPr>
          <w:spacing w:val="-42"/>
        </w:rPr>
        <w:t> </w:t>
      </w:r>
      <w:r>
        <w:rPr>
          <w:spacing w:val="-42"/>
        </w:rPr>
      </w:r>
      <w:r>
        <w:rPr/>
        <w:t>款实质上不同的，终止确认现存金融负债，并同时确认新金融负债。</w:t>
      </w:r>
    </w:p>
    <w:p>
      <w:pPr>
        <w:pStyle w:val="BodyText"/>
        <w:spacing w:line="240" w:lineRule="auto"/>
        <w:ind w:left="573" w:right="992"/>
        <w:jc w:val="left"/>
      </w:pPr>
      <w:r>
        <w:rPr/>
        <w:t>以常规方式买卖金融资产，按交易日进行会计确认和终止确认。</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t>（</w:t>
      </w:r>
      <w:r>
        <w:rPr>
          <w:rFonts w:ascii="Times New Roman" w:hAnsi="Times New Roman" w:cs="Times New Roman" w:eastAsia="Times New Roman" w:hint="default"/>
        </w:rPr>
        <w:t>2</w:t>
      </w:r>
      <w:r>
        <w:rPr/>
        <w:t>）金融资产分类和计量</w:t>
      </w:r>
      <w:r>
        <w:rPr>
          <w:w w:val="100"/>
        </w:rPr>
        <w:t> </w:t>
      </w:r>
      <w:r>
        <w:rPr>
          <w:spacing w:val="-2"/>
        </w:rPr>
        <w:t>本集团在初始确认时根据管理金融资产的业务模式和金融资产的合同现金流量特征，将金融资产分为</w:t>
      </w:r>
    </w:p>
    <w:p>
      <w:pPr>
        <w:pStyle w:val="BodyText"/>
        <w:spacing w:line="408" w:lineRule="auto" w:before="65"/>
        <w:ind w:right="992"/>
        <w:jc w:val="left"/>
      </w:pPr>
      <w:r>
        <w:rPr>
          <w:spacing w:val="-2"/>
        </w:rPr>
        <w:t>以下三类：以摊余成本计量的金融资产、以公允价值计量且其变动计入其他综合收益的金融资产、以公允</w:t>
      </w:r>
      <w:r>
        <w:rPr>
          <w:spacing w:val="-45"/>
        </w:rPr>
        <w:t> </w:t>
      </w:r>
      <w:r>
        <w:rPr>
          <w:spacing w:val="-45"/>
        </w:rPr>
      </w:r>
      <w:r>
        <w:rPr/>
        <w:t>价值计量且其变动计入当期损益的金融资产。</w:t>
      </w:r>
    </w:p>
    <w:p>
      <w:pPr>
        <w:pStyle w:val="BodyText"/>
        <w:spacing w:line="408" w:lineRule="auto"/>
        <w:ind w:left="573" w:right="992"/>
        <w:jc w:val="left"/>
      </w:pPr>
      <w:r>
        <w:rPr/>
        <w:t>①以摊余成本计量的金融资产</w:t>
      </w:r>
      <w:r>
        <w:rPr>
          <w:w w:val="100"/>
        </w:rPr>
        <w:t> </w:t>
      </w:r>
      <w:r>
        <w:rPr>
          <w:spacing w:val="-2"/>
        </w:rPr>
        <w:t>本集团将同时符合下列条件且未被指定为以公允价值计量且其变动计入当期损益的金融资产，分类为</w:t>
      </w:r>
    </w:p>
    <w:p>
      <w:pPr>
        <w:pStyle w:val="BodyText"/>
        <w:spacing w:line="240" w:lineRule="auto"/>
        <w:ind w:right="992"/>
        <w:jc w:val="left"/>
      </w:pPr>
      <w:r>
        <w:rPr/>
        <w:t>以摊余成本计量的金融资产：</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rFonts w:ascii="Times New Roman" w:hAnsi="Times New Roman" w:cs="Times New Roman" w:eastAsia="Times New Roman" w:hint="default"/>
        </w:rPr>
        <w:t>A</w:t>
      </w:r>
      <w:r>
        <w:rPr/>
        <w:t>、本集团管理该金融资产的业务模式是以收取合同现金流量为目标；</w:t>
      </w:r>
      <w:r>
        <w:rPr>
          <w:w w:val="100"/>
        </w:rPr>
        <w:t> </w:t>
      </w:r>
      <w:r>
        <w:rPr>
          <w:rFonts w:ascii="Times New Roman" w:hAnsi="Times New Roman" w:cs="Times New Roman" w:eastAsia="Times New Roman" w:hint="default"/>
          <w:spacing w:val="-2"/>
        </w:rPr>
        <w:t>B</w:t>
      </w:r>
      <w:r>
        <w:rPr>
          <w:spacing w:val="-2"/>
        </w:rPr>
        <w:t>、该金融资产的合同条款规定，在特定日期产生的现金流量，仅为对本金和以未偿付本金金额为基</w:t>
      </w:r>
    </w:p>
    <w:p>
      <w:pPr>
        <w:pStyle w:val="BodyText"/>
        <w:spacing w:line="408" w:lineRule="auto" w:before="35"/>
        <w:ind w:left="573" w:right="992" w:hanging="421"/>
        <w:jc w:val="left"/>
      </w:pPr>
      <w:r>
        <w:rPr/>
        <w:t>础的利息的支付。</w:t>
      </w:r>
      <w:r>
        <w:rPr>
          <w:w w:val="100"/>
        </w:rPr>
        <w:t> </w:t>
      </w:r>
      <w:r>
        <w:rPr>
          <w:spacing w:val="-2"/>
        </w:rPr>
        <w:t>初始确认后，对于该类金融资产采用实际利率法以摊余成本计量。以摊余成本计量且不属于任何套期</w:t>
      </w:r>
    </w:p>
    <w:p>
      <w:pPr>
        <w:pStyle w:val="BodyText"/>
        <w:spacing w:line="408" w:lineRule="auto"/>
        <w:ind w:right="992"/>
        <w:jc w:val="left"/>
      </w:pPr>
      <w:r>
        <w:rPr>
          <w:spacing w:val="-2"/>
        </w:rPr>
        <w:t>关系的一部分的金融资产所产生的利得或损失，在终止确认、按照实际利率法摊销或确认减值时，计入当</w:t>
      </w:r>
      <w:r>
        <w:rPr>
          <w:spacing w:val="-45"/>
        </w:rPr>
        <w:t> </w:t>
      </w:r>
      <w:r>
        <w:rPr>
          <w:spacing w:val="-45"/>
        </w:rPr>
      </w:r>
      <w:r>
        <w:rPr/>
        <w:t>期损益。</w:t>
      </w:r>
    </w:p>
    <w:p>
      <w:pPr>
        <w:pStyle w:val="BodyText"/>
        <w:spacing w:line="408" w:lineRule="auto"/>
        <w:ind w:left="573" w:right="992"/>
        <w:jc w:val="left"/>
      </w:pPr>
      <w:r>
        <w:rPr/>
        <w:t>②以公允价值计量且其变动计入其他综合收益的金融资产</w:t>
      </w:r>
      <w:r>
        <w:rPr>
          <w:w w:val="100"/>
        </w:rPr>
        <w:t> </w:t>
      </w:r>
      <w:r>
        <w:rPr>
          <w:spacing w:val="-2"/>
        </w:rPr>
        <w:t>本集团将同时符合下列条件且未被指定为以公允价值计量且其变动计入当期损益的金融资产，分类为</w:t>
      </w:r>
    </w:p>
    <w:p>
      <w:pPr>
        <w:pStyle w:val="BodyText"/>
        <w:spacing w:line="398" w:lineRule="auto"/>
        <w:ind w:left="573" w:right="992" w:hanging="421"/>
        <w:jc w:val="left"/>
      </w:pPr>
      <w:r>
        <w:rPr/>
        <w:t>以公允价值计量且其变动计入其他综合收益的金融资产：</w:t>
      </w:r>
      <w:r>
        <w:rPr>
          <w:w w:val="100"/>
        </w:rPr>
        <w:t> </w:t>
      </w:r>
      <w:r>
        <w:rPr>
          <w:rFonts w:ascii="Times New Roman" w:hAnsi="Times New Roman" w:cs="Times New Roman" w:eastAsia="Times New Roman" w:hint="default"/>
        </w:rPr>
        <w:t>A</w:t>
      </w:r>
      <w:r>
        <w:rPr/>
        <w:t>、本集团管理该金融资产的业务模式既以收取合同现金流量为目标又以出售该金融资产为目标；</w:t>
      </w:r>
      <w:r>
        <w:rPr>
          <w:w w:val="100"/>
        </w:rPr>
        <w:t> </w:t>
      </w:r>
      <w:r>
        <w:rPr>
          <w:rFonts w:ascii="Times New Roman" w:hAnsi="Times New Roman" w:cs="Times New Roman" w:eastAsia="Times New Roman" w:hint="default"/>
          <w:spacing w:val="-2"/>
        </w:rPr>
        <w:t>B</w:t>
      </w:r>
      <w:r>
        <w:rPr>
          <w:spacing w:val="-2"/>
        </w:rPr>
        <w:t>、该金融资产的合同条款规定，在特定日期产生的现金流量，仅为对本金和以未偿付本金金额为基</w:t>
      </w:r>
    </w:p>
    <w:p>
      <w:pPr>
        <w:pStyle w:val="BodyText"/>
        <w:spacing w:line="408" w:lineRule="auto" w:before="24"/>
        <w:ind w:left="573" w:right="992" w:hanging="421"/>
        <w:jc w:val="left"/>
      </w:pPr>
      <w:r>
        <w:rPr/>
        <w:t>础的利息的支付。</w:t>
      </w:r>
      <w:r>
        <w:rPr>
          <w:w w:val="100"/>
        </w:rPr>
        <w:t> </w:t>
      </w:r>
      <w:r>
        <w:rPr>
          <w:spacing w:val="-2"/>
        </w:rPr>
        <w:t>初始确认后，对于该类金融资产以公允价值进行后续计量。采用实际利率法计算的利息、减值损失或</w:t>
      </w:r>
    </w:p>
    <w:p>
      <w:pPr>
        <w:pStyle w:val="BodyText"/>
        <w:spacing w:line="408" w:lineRule="auto"/>
        <w:ind w:right="992"/>
        <w:jc w:val="left"/>
      </w:pPr>
      <w:r>
        <w:rPr>
          <w:spacing w:val="-2"/>
        </w:rPr>
        <w:t>利得及汇兑损益计入当期损益，其他利得或损失计入其他综合收益。终止确认时，将之前计入其他综合收</w:t>
      </w:r>
      <w:r>
        <w:rPr>
          <w:spacing w:val="-45"/>
        </w:rPr>
        <w:t> </w:t>
      </w:r>
      <w:r>
        <w:rPr>
          <w:spacing w:val="-45"/>
        </w:rPr>
      </w:r>
      <w:r>
        <w:rPr/>
        <w:t>益的累计利得或损失从其他综合收益中转出，计入当期损益。</w:t>
      </w:r>
    </w:p>
    <w:p>
      <w:pPr>
        <w:pStyle w:val="BodyText"/>
        <w:spacing w:line="240" w:lineRule="auto"/>
        <w:ind w:left="573" w:right="992"/>
        <w:jc w:val="left"/>
      </w:pPr>
      <w:r>
        <w:rPr/>
        <w:t>③以公允价值计量且其变动计入当期损益的金融资产</w:t>
      </w:r>
    </w:p>
    <w:p>
      <w:pPr>
        <w:spacing w:after="0" w:line="240" w:lineRule="auto"/>
        <w:jc w:val="left"/>
        <w:sectPr>
          <w:footerReference w:type="default" r:id="rId20"/>
          <w:pgSz w:w="11910" w:h="16840"/>
          <w:pgMar w:footer="980" w:header="877" w:top="1100" w:bottom="1160" w:left="980" w:right="0"/>
          <w:pgNumType w:start="101"/>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除上述以摊余成本计量和以公允价值计量且其变动计入其他综合收益的金融资产外，本集团将其余所</w:t>
      </w:r>
      <w:r>
        <w:rPr>
          <w:w w:val="100"/>
        </w:rPr>
        <w:t> </w:t>
      </w:r>
      <w:r>
        <w:rPr>
          <w:spacing w:val="-2"/>
        </w:rPr>
        <w:t>有的金融资产分类为以公允价值计量且其变动计入当期损益的金融资产。在初始确认时，为消除或显著减</w:t>
      </w:r>
      <w:r>
        <w:rPr>
          <w:spacing w:val="-44"/>
        </w:rPr>
        <w:t> </w:t>
      </w:r>
      <w:r>
        <w:rPr>
          <w:spacing w:val="-44"/>
        </w:rPr>
      </w:r>
      <w:r>
        <w:rPr>
          <w:spacing w:val="-2"/>
        </w:rPr>
        <w:t>少会计错配，本集团将部分本应以摊余成本计量或以公允价值计量且其变动计入其他综合收益的金融资产</w:t>
      </w:r>
      <w:r>
        <w:rPr>
          <w:spacing w:val="-43"/>
        </w:rPr>
        <w:t> </w:t>
      </w:r>
      <w:r>
        <w:rPr>
          <w:spacing w:val="-43"/>
        </w:rPr>
      </w:r>
      <w:r>
        <w:rPr/>
        <w:t>不可撤销地指定为以公允价值计量且其变动计入当期损益的金融资产。</w:t>
      </w:r>
    </w:p>
    <w:p>
      <w:pPr>
        <w:pStyle w:val="BodyText"/>
        <w:spacing w:line="408" w:lineRule="auto"/>
        <w:ind w:right="992" w:firstLine="420"/>
        <w:jc w:val="left"/>
      </w:pPr>
      <w:r>
        <w:rPr>
          <w:spacing w:val="-5"/>
        </w:rPr>
        <w:t>初始确认后，对于该类金融资产以公允价值进行后续计量，产生的利得或损失（包括利息和股利收入）</w:t>
      </w:r>
      <w:r>
        <w:rPr>
          <w:w w:val="100"/>
        </w:rPr>
        <w:t> </w:t>
      </w:r>
      <w:r>
        <w:rPr/>
        <w:t>计入当期损益，除非该金融资产属于套期关系的一部分。</w:t>
      </w:r>
    </w:p>
    <w:p>
      <w:pPr>
        <w:pStyle w:val="BodyText"/>
        <w:spacing w:line="408" w:lineRule="auto"/>
        <w:ind w:right="1126" w:firstLine="420"/>
        <w:jc w:val="both"/>
      </w:pPr>
      <w:r>
        <w:rPr>
          <w:spacing w:val="-2"/>
        </w:rPr>
        <w:t>但是，对于非交易性权益工具投资，本集团在初始确认时将其不可撤销地指定为以公允价值计量且其</w:t>
      </w:r>
      <w:r>
        <w:rPr>
          <w:w w:val="100"/>
        </w:rPr>
        <w:t> </w:t>
      </w:r>
      <w:r>
        <w:rPr>
          <w:spacing w:val="-2"/>
        </w:rPr>
        <w:t>变动计入其他综合收益的金融资产。该指定在单项投资的基础上作出，且相关投资从发行方的角度符合权</w:t>
      </w:r>
      <w:r>
        <w:rPr>
          <w:spacing w:val="-42"/>
        </w:rPr>
        <w:t> </w:t>
      </w:r>
      <w:r>
        <w:rPr>
          <w:spacing w:val="-42"/>
        </w:rPr>
      </w:r>
      <w:r>
        <w:rPr/>
        <w:t>益工具的定义。</w:t>
      </w:r>
    </w:p>
    <w:p>
      <w:pPr>
        <w:pStyle w:val="BodyText"/>
        <w:spacing w:line="408" w:lineRule="auto"/>
        <w:ind w:right="1126" w:firstLine="420"/>
        <w:jc w:val="both"/>
      </w:pPr>
      <w:r>
        <w:rPr>
          <w:spacing w:val="-2"/>
        </w:rPr>
        <w:t>初始确认后，对于该类金融资产以公允价值进行后续计量。满足条件的股利收入计入损益，其他利得</w:t>
      </w:r>
      <w:r>
        <w:rPr>
          <w:w w:val="100"/>
        </w:rPr>
        <w:t> </w:t>
      </w:r>
      <w:r>
        <w:rPr>
          <w:spacing w:val="-2"/>
        </w:rPr>
        <w:t>或损失及公允价值变动计入其他综合收益。终止确认时，将之前计入其他综合收益的累计利得或损失从其</w:t>
      </w:r>
      <w:r>
        <w:rPr>
          <w:spacing w:val="-43"/>
        </w:rPr>
        <w:t> </w:t>
      </w:r>
      <w:r>
        <w:rPr>
          <w:spacing w:val="-43"/>
        </w:rPr>
      </w:r>
      <w:r>
        <w:rPr/>
        <w:t>他综合收益中转出，计入留存收益。</w:t>
      </w:r>
    </w:p>
    <w:p>
      <w:pPr>
        <w:pStyle w:val="BodyText"/>
        <w:spacing w:line="408" w:lineRule="auto"/>
        <w:ind w:right="992" w:firstLine="420"/>
        <w:jc w:val="left"/>
      </w:pPr>
      <w:r>
        <w:rPr/>
        <w:t>管理金融资产的业务模式，是指本集团如何管理金融资产以产生现金流量。业务模式决定本集团所管</w:t>
      </w:r>
      <w:r>
        <w:rPr>
          <w:w w:val="100"/>
        </w:rPr>
        <w:t> </w:t>
      </w:r>
      <w:r>
        <w:rPr>
          <w:spacing w:val="-5"/>
        </w:rPr>
        <w:t>理金融资产现金流量的来源是收取合同现金流量、出售金融资产还是两者兼有。本集团以客观事实为依据、</w:t>
      </w:r>
      <w:r>
        <w:rPr>
          <w:spacing w:val="-4"/>
        </w:rPr>
        <w:t> </w:t>
      </w:r>
      <w:r>
        <w:rPr>
          <w:spacing w:val="-4"/>
        </w:rPr>
      </w:r>
      <w:r>
        <w:rPr/>
        <w:t>以关键管理人员决定的对金融资产进行管理的特定业务目标为基础，确定管理金融资产的业务模式。</w:t>
      </w:r>
    </w:p>
    <w:p>
      <w:pPr>
        <w:pStyle w:val="BodyText"/>
        <w:spacing w:line="408" w:lineRule="auto"/>
        <w:ind w:right="992" w:firstLine="420"/>
        <w:jc w:val="left"/>
      </w:pPr>
      <w:r>
        <w:rPr/>
        <w:t>本集团对金融资产的合同现金流量特征进行评估，以确定相关金融资产在特定日期产生的合同现金流</w:t>
      </w:r>
      <w:r>
        <w:rPr>
          <w:w w:val="100"/>
        </w:rPr>
        <w:t> </w:t>
      </w:r>
      <w:r>
        <w:rPr>
          <w:spacing w:val="-2"/>
        </w:rPr>
        <w:t>量是否仅为对本金和以未偿付本金金额为基础的利息的支付。其中，本金是指金融资产在初始确认时的公</w:t>
      </w:r>
      <w:r>
        <w:rPr>
          <w:spacing w:val="-42"/>
        </w:rPr>
        <w:t> </w:t>
      </w:r>
      <w:r>
        <w:rPr>
          <w:spacing w:val="-42"/>
        </w:rPr>
      </w:r>
      <w:r>
        <w:rPr>
          <w:spacing w:val="-5"/>
        </w:rPr>
        <w:t>允价值；利息包括对货币时间价值、与特定时期未偿付本金金额相关的信用风险、以及其他基本借贷风险、</w:t>
      </w:r>
      <w:r>
        <w:rPr>
          <w:spacing w:val="-4"/>
        </w:rPr>
        <w:t> </w:t>
      </w:r>
      <w:r>
        <w:rPr>
          <w:spacing w:val="-4"/>
        </w:rPr>
      </w:r>
      <w:r>
        <w:rPr>
          <w:spacing w:val="-2"/>
        </w:rPr>
        <w:t>成本和利润的对价。此外，本集团对可能导致金融资产合同现金流量的时间分布或金额发生变更的合同条</w:t>
      </w:r>
      <w:r>
        <w:rPr>
          <w:spacing w:val="-43"/>
        </w:rPr>
        <w:t> </w:t>
      </w:r>
      <w:r>
        <w:rPr>
          <w:spacing w:val="-43"/>
        </w:rPr>
      </w:r>
      <w:r>
        <w:rPr/>
        <w:t>款进行评估，以确定其是否满足上述合同现金流量特征的要求。</w:t>
      </w:r>
    </w:p>
    <w:p>
      <w:pPr>
        <w:pStyle w:val="BodyText"/>
        <w:spacing w:line="408" w:lineRule="auto"/>
        <w:ind w:right="1126" w:firstLine="420"/>
        <w:jc w:val="both"/>
      </w:pPr>
      <w:r>
        <w:rPr>
          <w:spacing w:val="-2"/>
        </w:rPr>
        <w:t>仅在本集团改变管理金融资产的业务模式时，所有受影响的相关金融资产在业务模式发生变更后的首</w:t>
      </w:r>
      <w:r>
        <w:rPr>
          <w:w w:val="100"/>
        </w:rPr>
        <w:t> </w:t>
      </w:r>
      <w:r>
        <w:rPr/>
        <w:t>个报告期间的第一天进行重分类，否则金融资产在初始确认后不得进行重分类。</w:t>
      </w:r>
    </w:p>
    <w:p>
      <w:pPr>
        <w:pStyle w:val="BodyText"/>
        <w:spacing w:line="408" w:lineRule="auto"/>
        <w:ind w:right="1126" w:firstLine="420"/>
        <w:jc w:val="both"/>
      </w:pPr>
      <w:r>
        <w:rPr>
          <w:spacing w:val="-2"/>
        </w:rPr>
        <w:t>金融资产在初始确认时以公允价值计量。对于以公允价值计量且其变动计入当期损益的金融资产，相</w:t>
      </w:r>
      <w:r>
        <w:rPr>
          <w:w w:val="100"/>
        </w:rPr>
        <w:t> </w:t>
      </w:r>
      <w:r>
        <w:rPr>
          <w:spacing w:val="-2"/>
        </w:rPr>
        <w:t>关交易费用直接计入当期损益；对于其他类别的金融资产，相关交易费用计入初始确认金额。因销售产品</w:t>
      </w:r>
      <w:r>
        <w:rPr>
          <w:spacing w:val="-44"/>
        </w:rPr>
        <w:t> </w:t>
      </w:r>
      <w:r>
        <w:rPr>
          <w:spacing w:val="-44"/>
        </w:rPr>
      </w:r>
      <w:r>
        <w:rPr>
          <w:spacing w:val="-2"/>
        </w:rPr>
        <w:t>或提供劳务而产生的、未包含或不考虑重大融资成分的应收账款，本集团按照预期有权收取的对价金额作</w:t>
      </w:r>
      <w:r>
        <w:rPr>
          <w:spacing w:val="-43"/>
        </w:rPr>
        <w:t> </w:t>
      </w:r>
      <w:r>
        <w:rPr>
          <w:spacing w:val="-43"/>
        </w:rPr>
      </w:r>
      <w:r>
        <w:rPr/>
        <w:t>为初始确认金额。</w:t>
      </w:r>
    </w:p>
    <w:p>
      <w:pPr>
        <w:pStyle w:val="BodyText"/>
        <w:spacing w:line="386" w:lineRule="auto"/>
        <w:ind w:left="573" w:right="992"/>
        <w:jc w:val="left"/>
      </w:pPr>
      <w:r>
        <w:rPr/>
        <w:t>（</w:t>
      </w:r>
      <w:r>
        <w:rPr>
          <w:rFonts w:ascii="Times New Roman" w:hAnsi="Times New Roman" w:cs="Times New Roman" w:eastAsia="Times New Roman" w:hint="default"/>
        </w:rPr>
        <w:t>3</w:t>
      </w:r>
      <w:r>
        <w:rPr/>
        <w:t>）金融负债分类和计量</w:t>
      </w:r>
      <w:r>
        <w:rPr>
          <w:w w:val="100"/>
        </w:rPr>
        <w:t> </w:t>
      </w:r>
      <w:r>
        <w:rPr>
          <w:spacing w:val="-2"/>
        </w:rPr>
        <w:t>本集团的金融负债于初始确认时分类为：以公允价值计量且其变动计入当期损益的金融负债、以摊余</w:t>
      </w:r>
    </w:p>
    <w:p>
      <w:pPr>
        <w:pStyle w:val="BodyText"/>
        <w:spacing w:line="408" w:lineRule="auto" w:before="65"/>
        <w:ind w:right="992"/>
        <w:jc w:val="left"/>
      </w:pPr>
      <w:r>
        <w:rPr>
          <w:spacing w:val="-2"/>
        </w:rPr>
        <w:t>成本计量的金融负债。对于未划分为以公允价值计量且其变动计入当期损益的金融负债的，相关交易费用</w:t>
      </w:r>
      <w:r>
        <w:rPr>
          <w:spacing w:val="-43"/>
        </w:rPr>
        <w:t> </w:t>
      </w:r>
      <w:r>
        <w:rPr>
          <w:spacing w:val="-43"/>
        </w:rPr>
      </w:r>
      <w:r>
        <w:rPr/>
        <w:t>计入其初始确认金额。</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92"/>
        <w:jc w:val="left"/>
      </w:pPr>
      <w:r>
        <w:rPr/>
        <w:t>①以公允价值计量且其变动计入当期损益的金融负债</w:t>
      </w:r>
      <w:r>
        <w:rPr>
          <w:w w:val="100"/>
        </w:rPr>
        <w:t> </w:t>
      </w:r>
      <w:r>
        <w:rPr>
          <w:spacing w:val="-2"/>
        </w:rPr>
        <w:t>以公允价值计量且其变动计入当期损益的金融负债，包括交易性金融负债和初始确认时指定为以公允</w:t>
      </w:r>
    </w:p>
    <w:p>
      <w:pPr>
        <w:pStyle w:val="BodyText"/>
        <w:spacing w:line="408" w:lineRule="auto"/>
        <w:ind w:right="1126"/>
        <w:jc w:val="both"/>
      </w:pPr>
      <w:r>
        <w:rPr>
          <w:spacing w:val="-2"/>
        </w:rPr>
        <w:t>价值计量且其变动计入当期损益的金融负债。对于此类金融负债，按照公允价值进行后续计量，公允价值</w:t>
      </w:r>
      <w:r>
        <w:rPr>
          <w:spacing w:val="-43"/>
        </w:rPr>
        <w:t> </w:t>
      </w:r>
      <w:r>
        <w:rPr>
          <w:spacing w:val="-43"/>
        </w:rPr>
      </w:r>
      <w:r>
        <w:rPr/>
        <w:t>变动形成的利得或损失以及与该等金融负债相关的股利和利息支出计入当期损益。</w:t>
      </w:r>
    </w:p>
    <w:p>
      <w:pPr>
        <w:pStyle w:val="BodyText"/>
        <w:spacing w:line="408" w:lineRule="auto"/>
        <w:ind w:left="573" w:right="992"/>
        <w:jc w:val="left"/>
      </w:pPr>
      <w:r>
        <w:rPr/>
        <w:t>②以摊余成本计量的金融负债</w:t>
      </w:r>
      <w:r>
        <w:rPr>
          <w:w w:val="100"/>
        </w:rPr>
        <w:t> </w:t>
      </w:r>
      <w:r>
        <w:rPr>
          <w:spacing w:val="-2"/>
        </w:rPr>
        <w:t>其他金融负债采用实际利率法，按摊余成本进行后续计量，终止确认或摊销产生的利得或损失计入当</w:t>
      </w:r>
    </w:p>
    <w:p>
      <w:pPr>
        <w:pStyle w:val="BodyText"/>
        <w:spacing w:line="240" w:lineRule="auto"/>
        <w:ind w:right="0"/>
        <w:jc w:val="both"/>
      </w:pPr>
      <w:r>
        <w:rPr/>
        <w:t>期损益。</w:t>
      </w:r>
    </w:p>
    <w:p>
      <w:pPr>
        <w:spacing w:line="240" w:lineRule="auto" w:before="10"/>
        <w:rPr>
          <w:rFonts w:ascii="宋体" w:hAnsi="宋体" w:cs="宋体" w:eastAsia="宋体" w:hint="default"/>
          <w:sz w:val="14"/>
          <w:szCs w:val="14"/>
        </w:rPr>
      </w:pPr>
    </w:p>
    <w:p>
      <w:pPr>
        <w:pStyle w:val="BodyText"/>
        <w:spacing w:line="400" w:lineRule="auto" w:before="0"/>
        <w:ind w:left="573" w:right="3653"/>
        <w:jc w:val="left"/>
      </w:pPr>
      <w:r>
        <w:rPr/>
        <w:t>③金融负债与权益工具的区分</w:t>
      </w:r>
      <w:r>
        <w:rPr>
          <w:w w:val="100"/>
        </w:rPr>
        <w:t> </w:t>
      </w:r>
      <w:r>
        <w:rPr/>
        <w:t>金融负债，是指符合下列条件之一的负债：</w:t>
      </w:r>
      <w:r>
        <w:rPr>
          <w:w w:val="100"/>
        </w:rPr>
        <w:t> </w:t>
      </w:r>
      <w:r>
        <w:rPr>
          <w:rFonts w:ascii="Times New Roman" w:hAnsi="Times New Roman" w:cs="Times New Roman" w:eastAsia="Times New Roman" w:hint="default"/>
        </w:rPr>
        <w:t>A</w:t>
      </w:r>
      <w:r>
        <w:rPr/>
        <w:t>、向其他方交付现金或其他金融资产的合同义务。</w:t>
      </w:r>
      <w:r>
        <w:rPr>
          <w:w w:val="100"/>
        </w:rPr>
        <w:t> </w:t>
      </w:r>
      <w:r>
        <w:rPr>
          <w:rFonts w:ascii="Times New Roman" w:hAnsi="Times New Roman" w:cs="Times New Roman" w:eastAsia="Times New Roman" w:hint="default"/>
          <w:spacing w:val="-2"/>
        </w:rPr>
        <w:t>B</w:t>
      </w:r>
      <w:r>
        <w:rPr>
          <w:spacing w:val="-2"/>
        </w:rPr>
        <w:t>、在潜在不利条件下，与其他方交换金融资产或金融负债的合同义务。</w:t>
      </w:r>
    </w:p>
    <w:p>
      <w:pPr>
        <w:pStyle w:val="BodyText"/>
        <w:spacing w:line="386" w:lineRule="auto" w:before="21"/>
        <w:ind w:right="1174" w:firstLine="420"/>
        <w:jc w:val="both"/>
      </w:pPr>
      <w:r>
        <w:rPr>
          <w:rFonts w:ascii="Times New Roman" w:hAnsi="Times New Roman" w:cs="Times New Roman" w:eastAsia="Times New Roman" w:hint="default"/>
          <w:spacing w:val="-2"/>
        </w:rPr>
        <w:t>C</w:t>
      </w:r>
      <w:r>
        <w:rPr>
          <w:spacing w:val="-2"/>
        </w:rPr>
        <w:t>、将来须用或可用企业自身权益工具进行结算的非衍生工具合同，且企业根据该合同将交付可变数</w:t>
      </w:r>
      <w:r>
        <w:rPr>
          <w:w w:val="100"/>
        </w:rPr>
        <w:t> </w:t>
      </w:r>
      <w:r>
        <w:rPr/>
        <w:t>量的自身权益工具。</w:t>
      </w:r>
    </w:p>
    <w:p>
      <w:pPr>
        <w:pStyle w:val="BodyText"/>
        <w:spacing w:line="386" w:lineRule="auto" w:before="65"/>
        <w:ind w:right="1162" w:firstLine="420"/>
        <w:jc w:val="both"/>
      </w:pPr>
      <w:r>
        <w:rPr>
          <w:rFonts w:ascii="Times New Roman" w:hAnsi="Times New Roman" w:cs="Times New Roman" w:eastAsia="Times New Roman" w:hint="default"/>
          <w:spacing w:val="-2"/>
        </w:rPr>
        <w:t>D</w:t>
      </w:r>
      <w:r>
        <w:rPr>
          <w:spacing w:val="-2"/>
        </w:rPr>
        <w:t>、将来须用或可用企业自身权益工具进行结算的衍生工具合同，但以固定数量的自身权益工具交换</w:t>
      </w:r>
      <w:r>
        <w:rPr>
          <w:w w:val="100"/>
        </w:rPr>
        <w:t> </w:t>
      </w:r>
      <w:r>
        <w:rPr/>
        <w:t>固定金额的现金或其他金融资产的衍生工具合同除外。</w:t>
      </w:r>
    </w:p>
    <w:p>
      <w:pPr>
        <w:pStyle w:val="BodyText"/>
        <w:spacing w:line="408" w:lineRule="auto" w:before="65"/>
        <w:ind w:left="573" w:right="992"/>
        <w:jc w:val="left"/>
      </w:pPr>
      <w:r>
        <w:rPr/>
        <w:t>权益工具，是指能证明拥有某个企业在扣除所有负债后的资产中剩余权益的合同。</w:t>
      </w:r>
      <w:r>
        <w:rPr>
          <w:w w:val="100"/>
        </w:rPr>
        <w:t> </w:t>
      </w:r>
      <w:r>
        <w:rPr>
          <w:spacing w:val="-2"/>
        </w:rPr>
        <w:t>如果本集团不能无条件地避免以交付现金或其他金融资产来履行一项合同义务，则该合同义务符合金</w:t>
      </w:r>
    </w:p>
    <w:p>
      <w:pPr>
        <w:pStyle w:val="BodyText"/>
        <w:spacing w:line="408" w:lineRule="auto"/>
        <w:ind w:left="573" w:right="992" w:hanging="421"/>
        <w:jc w:val="left"/>
      </w:pPr>
      <w:r>
        <w:rPr/>
        <w:t>融负债的定义。</w:t>
      </w:r>
      <w:r>
        <w:rPr>
          <w:spacing w:val="-103"/>
        </w:rPr>
        <w:t> </w:t>
      </w:r>
      <w:r>
        <w:rPr>
          <w:spacing w:val="-103"/>
        </w:rPr>
      </w:r>
      <w:r>
        <w:rPr>
          <w:spacing w:val="-2"/>
        </w:rPr>
        <w:t>如果一项金融工具须用或可用本集团自身权益工具进行结算，需要考虑用于结算该工具的本集团自身</w:t>
      </w:r>
    </w:p>
    <w:p>
      <w:pPr>
        <w:pStyle w:val="BodyText"/>
        <w:spacing w:line="408" w:lineRule="auto"/>
        <w:ind w:right="1126"/>
        <w:jc w:val="both"/>
      </w:pPr>
      <w:r>
        <w:rPr>
          <w:spacing w:val="-2"/>
        </w:rPr>
        <w:t>权益工具，是作为现金或其他金融资产的替代品，还是为了使该工具持有方享有在发行方扣除所有负债后</w:t>
      </w:r>
      <w:r>
        <w:rPr>
          <w:spacing w:val="-42"/>
        </w:rPr>
        <w:t> </w:t>
      </w:r>
      <w:r>
        <w:rPr>
          <w:spacing w:val="-42"/>
        </w:rPr>
      </w:r>
      <w:r>
        <w:rPr>
          <w:spacing w:val="-2"/>
        </w:rPr>
        <w:t>的资产中的剩余权益。如果是前者，该工具是本集团的金融负债；如果是后者，该工具是本集团的权益工</w:t>
      </w:r>
      <w:r>
        <w:rPr>
          <w:spacing w:val="-49"/>
        </w:rPr>
        <w:t> </w:t>
      </w:r>
      <w:r>
        <w:rPr>
          <w:spacing w:val="-49"/>
        </w:rPr>
      </w:r>
      <w:r>
        <w:rPr/>
        <w:t>具。</w:t>
      </w:r>
    </w:p>
    <w:p>
      <w:pPr>
        <w:pStyle w:val="BodyText"/>
        <w:spacing w:line="386" w:lineRule="auto"/>
        <w:ind w:left="573" w:right="992"/>
        <w:jc w:val="left"/>
      </w:pPr>
      <w:r>
        <w:rPr/>
        <w:t>（</w:t>
      </w:r>
      <w:r>
        <w:rPr>
          <w:rFonts w:ascii="Times New Roman" w:hAnsi="Times New Roman" w:cs="Times New Roman" w:eastAsia="Times New Roman" w:hint="default"/>
        </w:rPr>
        <w:t>4</w:t>
      </w:r>
      <w:r>
        <w:rPr/>
        <w:t>）衍生金融工具及嵌入衍生工具</w:t>
      </w:r>
      <w:r>
        <w:rPr>
          <w:w w:val="100"/>
        </w:rPr>
        <w:t> </w:t>
      </w:r>
      <w:r>
        <w:rPr>
          <w:spacing w:val="-2"/>
        </w:rPr>
        <w:t>本集团衍生金融工具包括远期外汇合约及外汇期权合同等。初始以衍生交易合同签订当日的公允价值</w:t>
      </w:r>
    </w:p>
    <w:p>
      <w:pPr>
        <w:pStyle w:val="BodyText"/>
        <w:spacing w:line="408" w:lineRule="auto" w:before="65"/>
        <w:ind w:right="1126"/>
        <w:jc w:val="both"/>
      </w:pPr>
      <w:r>
        <w:rPr>
          <w:spacing w:val="-2"/>
        </w:rPr>
        <w:t>进行计量，并以其公允价值进行后续计量。公允价值为正数的衍生金融工具确认为一项资产，公允价值为</w:t>
      </w:r>
      <w:r>
        <w:rPr>
          <w:spacing w:val="-45"/>
        </w:rPr>
        <w:t> </w:t>
      </w:r>
      <w:r>
        <w:rPr>
          <w:spacing w:val="-45"/>
        </w:rPr>
      </w:r>
      <w:r>
        <w:rPr>
          <w:spacing w:val="-2"/>
        </w:rPr>
        <w:t>负数的确认为一项负债。因公允价值变动而产生的任何不符合套期会计规定的利得或损失，直接计入当期</w:t>
      </w:r>
      <w:r>
        <w:rPr>
          <w:spacing w:val="-42"/>
        </w:rPr>
        <w:t> </w:t>
      </w:r>
      <w:r>
        <w:rPr>
          <w:spacing w:val="-42"/>
        </w:rPr>
      </w:r>
      <w:r>
        <w:rPr/>
        <w:t>损益。</w:t>
      </w:r>
    </w:p>
    <w:p>
      <w:pPr>
        <w:pStyle w:val="BodyText"/>
        <w:spacing w:line="408" w:lineRule="auto"/>
        <w:ind w:right="1126" w:firstLine="420"/>
        <w:jc w:val="both"/>
      </w:pPr>
      <w:r>
        <w:rPr>
          <w:spacing w:val="-2"/>
        </w:rPr>
        <w:t>对包含嵌入衍生工具的混合工具，如主合同为金融资产的，混合工具作为一个整体适用金融资产分类</w:t>
      </w:r>
      <w:r>
        <w:rPr>
          <w:w w:val="100"/>
        </w:rPr>
        <w:t> </w:t>
      </w:r>
      <w:r>
        <w:rPr>
          <w:spacing w:val="-2"/>
        </w:rPr>
        <w:t>的相关规定。如主合同并非金融资产，且该混合工具不是以公允价值计量且其变动计入当期损益进行会计</w:t>
      </w:r>
      <w:r>
        <w:rPr>
          <w:spacing w:val="-44"/>
        </w:rPr>
        <w:t> </w:t>
      </w:r>
      <w:r>
        <w:rPr>
          <w:spacing w:val="-44"/>
        </w:rPr>
      </w:r>
      <w:r>
        <w:rPr>
          <w:spacing w:val="-2"/>
        </w:rPr>
        <w:t>处理，嵌入衍生工具与该主合同在经济特征及风险方面不存在紧密关系，且与嵌入衍生工具条件相同，单</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独存在的工具符合衍生工具定义的，嵌入衍生工具从混合工具中分拆，作为单独的衍生金融工具处理。如</w:t>
      </w:r>
      <w:r>
        <w:rPr>
          <w:spacing w:val="-43"/>
        </w:rPr>
        <w:t> </w:t>
      </w:r>
      <w:r>
        <w:rPr>
          <w:spacing w:val="-43"/>
        </w:rPr>
      </w:r>
      <w:r>
        <w:rPr>
          <w:spacing w:val="-2"/>
        </w:rPr>
        <w:t>果无法在取得时或后续的资产负债表日对嵌入衍生工具进行单独计量，则将混合工具整体指定为以公允价</w:t>
      </w:r>
      <w:r>
        <w:rPr>
          <w:spacing w:val="-43"/>
        </w:rPr>
        <w:t> </w:t>
      </w:r>
      <w:r>
        <w:rPr>
          <w:spacing w:val="-43"/>
        </w:rPr>
      </w:r>
      <w:r>
        <w:rPr/>
        <w:t>值计量且其变动计入当期损益的金融资产或金融负债。</w:t>
      </w:r>
    </w:p>
    <w:p>
      <w:pPr>
        <w:pStyle w:val="BodyText"/>
        <w:spacing w:line="386" w:lineRule="auto"/>
        <w:ind w:left="573" w:right="992"/>
        <w:jc w:val="left"/>
      </w:pPr>
      <w:r>
        <w:rPr/>
        <w:t>（</w:t>
      </w:r>
      <w:r>
        <w:rPr>
          <w:rFonts w:ascii="Times New Roman" w:hAnsi="Times New Roman" w:cs="Times New Roman" w:eastAsia="Times New Roman" w:hint="default"/>
        </w:rPr>
        <w:t>5</w:t>
      </w:r>
      <w:r>
        <w:rPr/>
        <w:t>）金融工具的公允价值</w:t>
      </w:r>
      <w:r>
        <w:rPr>
          <w:w w:val="100"/>
        </w:rPr>
        <w:t> </w:t>
      </w:r>
      <w:r>
        <w:rPr>
          <w:spacing w:val="-2"/>
        </w:rPr>
        <w:t>公允价值是指市场参与者在计量日发生的有序交易中，出售一项资产所能收到或者转移一项负债所需</w:t>
      </w:r>
    </w:p>
    <w:p>
      <w:pPr>
        <w:pStyle w:val="BodyText"/>
        <w:spacing w:line="240" w:lineRule="auto" w:before="65"/>
        <w:ind w:right="0"/>
        <w:jc w:val="both"/>
      </w:pPr>
      <w:r>
        <w:rPr/>
        <w:t>支付的价格。</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本集团以公允价值计量相关资产或负债，假定出售资产或者转移负债的有序交易在相关资产或负债的</w:t>
      </w:r>
      <w:r>
        <w:rPr>
          <w:w w:val="100"/>
        </w:rPr>
        <w:t> </w:t>
      </w:r>
      <w:r>
        <w:rPr>
          <w:spacing w:val="-7"/>
        </w:rPr>
        <w:t>主要市场进行；不存在主要市场的，本集团假定该交易在相关资产或负债的最有利市场进行。主要市场（或</w:t>
      </w:r>
      <w:r>
        <w:rPr>
          <w:spacing w:val="-23"/>
        </w:rPr>
        <w:t> </w:t>
      </w:r>
      <w:r>
        <w:rPr>
          <w:spacing w:val="-23"/>
        </w:rPr>
      </w:r>
      <w:r>
        <w:rPr>
          <w:spacing w:val="-2"/>
        </w:rPr>
        <w:t>最有利市场）是本集团在计量日能够进入的交易市场。本集团采用市场参与者在对该资产或负债定价时为</w:t>
      </w:r>
      <w:r>
        <w:rPr>
          <w:spacing w:val="-44"/>
        </w:rPr>
        <w:t> </w:t>
      </w:r>
      <w:r>
        <w:rPr>
          <w:spacing w:val="-44"/>
        </w:rPr>
      </w:r>
      <w:r>
        <w:rPr/>
        <w:t>实现其经济利益最大化所使用的假设。</w:t>
      </w:r>
    </w:p>
    <w:p>
      <w:pPr>
        <w:pStyle w:val="BodyText"/>
        <w:spacing w:line="408" w:lineRule="auto"/>
        <w:ind w:right="1126" w:firstLine="420"/>
        <w:jc w:val="both"/>
      </w:pPr>
      <w:r>
        <w:rPr>
          <w:spacing w:val="-2"/>
        </w:rPr>
        <w:t>存在活跃市场的金融资产或金融负债，本集团采用活跃市场中的报价确定其公允价值。金融工具不存</w:t>
      </w:r>
      <w:r>
        <w:rPr>
          <w:w w:val="100"/>
        </w:rPr>
        <w:t> </w:t>
      </w:r>
      <w:r>
        <w:rPr/>
        <w:t>在活跃市场的，本集团采用估值技术确定其公允价值。</w:t>
      </w:r>
    </w:p>
    <w:p>
      <w:pPr>
        <w:pStyle w:val="BodyText"/>
        <w:spacing w:line="408" w:lineRule="auto"/>
        <w:ind w:right="1126" w:firstLine="420"/>
        <w:jc w:val="both"/>
      </w:pPr>
      <w:r>
        <w:rPr>
          <w:spacing w:val="-2"/>
        </w:rPr>
        <w:t>以公允价值计量非金融资产的，考虑市场参与者将该资产用于最佳用途产生经济利益的能力，或者将</w:t>
      </w:r>
      <w:r>
        <w:rPr>
          <w:w w:val="100"/>
        </w:rPr>
        <w:t> </w:t>
      </w:r>
      <w:r>
        <w:rPr/>
        <w:t>该资产出售给能够用于最佳用途的其他市场参与者产生经济利益的能力。</w:t>
      </w:r>
    </w:p>
    <w:p>
      <w:pPr>
        <w:pStyle w:val="BodyText"/>
        <w:spacing w:line="408" w:lineRule="auto"/>
        <w:ind w:right="1126" w:firstLine="420"/>
        <w:jc w:val="both"/>
      </w:pPr>
      <w:r>
        <w:rPr>
          <w:spacing w:val="-2"/>
        </w:rPr>
        <w:t>本集团采用在当前情况下适用并且有足够可利用数据和其他信息支持的估值技术，优先使用相关可观</w:t>
      </w:r>
      <w:r>
        <w:rPr>
          <w:w w:val="100"/>
        </w:rPr>
        <w:t> </w:t>
      </w:r>
      <w:r>
        <w:rPr/>
        <w:t>察输入值，只有在可观察输入值无法取得或取得不切实可行的情况下，才使用不可观察输入值。</w:t>
      </w:r>
    </w:p>
    <w:p>
      <w:pPr>
        <w:pStyle w:val="BodyText"/>
        <w:spacing w:line="408" w:lineRule="auto"/>
        <w:ind w:right="1126" w:firstLine="420"/>
        <w:jc w:val="both"/>
      </w:pPr>
      <w:r>
        <w:rPr>
          <w:spacing w:val="-2"/>
        </w:rPr>
        <w:t>在财务报表中以公允价值计量或披露的资产和负债，根据对公允价值计量整体而言具有重要意义的最</w:t>
      </w:r>
      <w:r>
        <w:rPr>
          <w:w w:val="100"/>
        </w:rPr>
        <w:t> </w:t>
      </w:r>
      <w:r>
        <w:rPr>
          <w:spacing w:val="-2"/>
        </w:rPr>
        <w:t>低层次输入值，确定所属的公允价值层次：第一层次输入值，是在计量日能够取得的相同资产或负债在活</w:t>
      </w:r>
      <w:r>
        <w:rPr>
          <w:spacing w:val="-45"/>
        </w:rPr>
        <w:t> </w:t>
      </w:r>
      <w:r>
        <w:rPr>
          <w:spacing w:val="-45"/>
        </w:rPr>
      </w:r>
      <w:r>
        <w:rPr>
          <w:spacing w:val="-2"/>
        </w:rPr>
        <w:t>跃市场上未经调整的报价；第二层次输入值，是除第一层次输入值外相关资产或负债直接或间接可观察的</w:t>
      </w:r>
      <w:r>
        <w:rPr>
          <w:spacing w:val="-44"/>
        </w:rPr>
        <w:t> </w:t>
      </w:r>
      <w:r>
        <w:rPr>
          <w:spacing w:val="-44"/>
        </w:rPr>
      </w:r>
      <w:r>
        <w:rPr/>
        <w:t>输入值；第三层次输入值，是相关资产或负债的不可观察输入值。</w:t>
      </w:r>
    </w:p>
    <w:p>
      <w:pPr>
        <w:pStyle w:val="BodyText"/>
        <w:spacing w:line="408" w:lineRule="auto"/>
        <w:ind w:right="1104" w:firstLine="420"/>
        <w:jc w:val="both"/>
      </w:pPr>
      <w:r>
        <w:rPr>
          <w:spacing w:val="-2"/>
        </w:rPr>
        <w:t>每个资产负债表日，本集团对在财务报表中确认的持续以公允价值计量的资产和负债进行重新评估，</w:t>
      </w:r>
      <w:r>
        <w:rPr>
          <w:w w:val="100"/>
        </w:rPr>
        <w:t> </w:t>
      </w:r>
      <w:r>
        <w:rPr/>
        <w:t>以确定是否在公允价值计量层次之间发生转换。</w:t>
      </w:r>
    </w:p>
    <w:p>
      <w:pPr>
        <w:pStyle w:val="BodyText"/>
        <w:spacing w:line="393" w:lineRule="auto"/>
        <w:ind w:left="573" w:right="1936"/>
        <w:jc w:val="left"/>
      </w:pPr>
      <w:r>
        <w:rPr/>
        <w:t>（</w:t>
      </w:r>
      <w:r>
        <w:rPr>
          <w:rFonts w:ascii="Times New Roman" w:hAnsi="Times New Roman" w:cs="Times New Roman" w:eastAsia="Times New Roman" w:hint="default"/>
        </w:rPr>
        <w:t>6</w:t>
      </w:r>
      <w:r>
        <w:rPr/>
        <w:t>）金融资产减值</w:t>
      </w:r>
      <w:r>
        <w:rPr>
          <w:w w:val="100"/>
        </w:rPr>
        <w:t> </w:t>
      </w:r>
      <w:r>
        <w:rPr>
          <w:spacing w:val="-2"/>
        </w:rPr>
        <w:t>本集团以预期信用损失为基础，对下列项目进行减值会计处理并确认损失准备：</w:t>
      </w:r>
      <w:r>
        <w:rPr>
          <w:spacing w:val="-38"/>
        </w:rPr>
        <w:t> </w:t>
      </w:r>
      <w:r>
        <w:rPr>
          <w:spacing w:val="-38"/>
        </w:rPr>
      </w:r>
      <w:r>
        <w:rPr>
          <w:rFonts w:ascii="Times New Roman" w:hAnsi="Times New Roman" w:cs="Times New Roman" w:eastAsia="Times New Roman" w:hint="default"/>
        </w:rPr>
        <w:t>A</w:t>
      </w:r>
      <w:r>
        <w:rPr/>
        <w:t>、以摊余成本计量的金融资产；</w:t>
      </w:r>
      <w:r>
        <w:rPr>
          <w:w w:val="100"/>
        </w:rPr>
        <w:t> </w:t>
      </w:r>
      <w:r>
        <w:rPr>
          <w:rFonts w:ascii="Times New Roman" w:hAnsi="Times New Roman" w:cs="Times New Roman" w:eastAsia="Times New Roman" w:hint="default"/>
        </w:rPr>
        <w:t>B</w:t>
      </w:r>
      <w:r>
        <w:rPr/>
        <w:t>、以公允价值计量且其变动计入其他综合收益的应收款项和债权投资；</w:t>
      </w:r>
    </w:p>
    <w:p>
      <w:pPr>
        <w:pStyle w:val="BodyText"/>
        <w:spacing w:line="408" w:lineRule="auto" w:before="28"/>
        <w:ind w:left="573" w:right="992"/>
        <w:jc w:val="left"/>
      </w:pPr>
      <w:r>
        <w:rPr/>
        <w:t>①预期信用损失的计量</w:t>
      </w:r>
      <w:r>
        <w:rPr>
          <w:w w:val="100"/>
        </w:rPr>
        <w:t> </w:t>
      </w:r>
      <w:r>
        <w:rPr>
          <w:spacing w:val="-2"/>
        </w:rPr>
        <w:t>预期信用损失，是指以发生违约的风险为权重的金融工具信用损失的加权平均值。信用损失，是指本</w:t>
      </w:r>
    </w:p>
    <w:p>
      <w:pPr>
        <w:pStyle w:val="BodyText"/>
        <w:spacing w:line="408" w:lineRule="auto"/>
        <w:ind w:right="1105"/>
        <w:jc w:val="both"/>
      </w:pPr>
      <w:r>
        <w:rPr>
          <w:spacing w:val="-2"/>
        </w:rPr>
        <w:t>集团按照原实际利率折现的、根据合同应收的所有合同现金流量与预期收取的所有现金流量之间的差额，</w:t>
      </w:r>
      <w:r>
        <w:rPr>
          <w:spacing w:val="-21"/>
        </w:rPr>
        <w:t> </w:t>
      </w:r>
      <w:r>
        <w:rPr>
          <w:spacing w:val="-21"/>
        </w:rPr>
      </w:r>
      <w:r>
        <w:rPr/>
        <w:t>即全部现金短缺的现值。</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本公司考虑有关过去事项、当前状况以及对未来经济状况的预测等合理且有依据的信息，以发生违约</w:t>
      </w:r>
      <w:r>
        <w:rPr>
          <w:w w:val="100"/>
        </w:rPr>
        <w:t> </w:t>
      </w:r>
      <w:r>
        <w:rPr>
          <w:spacing w:val="-2"/>
        </w:rPr>
        <w:t>的风险为权重，计算合同应收的现金流量与预期能收到的现金流量之间差额的现值的概率加权金额，确认</w:t>
      </w:r>
      <w:r>
        <w:rPr>
          <w:spacing w:val="-42"/>
        </w:rPr>
        <w:t> </w:t>
      </w:r>
      <w:r>
        <w:rPr>
          <w:spacing w:val="-42"/>
        </w:rPr>
      </w:r>
      <w:r>
        <w:rPr/>
        <w:t>预期信用损失。</w:t>
      </w:r>
    </w:p>
    <w:p>
      <w:pPr>
        <w:pStyle w:val="BodyText"/>
        <w:spacing w:line="403" w:lineRule="auto"/>
        <w:ind w:right="1126" w:firstLine="420"/>
        <w:jc w:val="both"/>
      </w:pPr>
      <w:r>
        <w:rPr>
          <w:spacing w:val="-2"/>
        </w:rPr>
        <w:t>本集团对于处于不同阶段的金融工具的预期信用损失分别进行计量。金融工具自初始确认后信用风险</w:t>
      </w:r>
      <w:r>
        <w:rPr>
          <w:w w:val="100"/>
        </w:rPr>
        <w:t> </w:t>
      </w:r>
      <w:r>
        <w:rPr>
          <w:spacing w:val="-2"/>
        </w:rPr>
        <w:t>未显著增加的，处于第一阶段，本集团按照未来</w:t>
      </w:r>
      <w:r>
        <w:rPr>
          <w:rFonts w:ascii="Times New Roman" w:hAnsi="Times New Roman" w:cs="Times New Roman" w:eastAsia="Times New Roman" w:hint="default"/>
          <w:spacing w:val="-2"/>
        </w:rPr>
        <w:t>12</w:t>
      </w:r>
      <w:r>
        <w:rPr>
          <w:spacing w:val="-2"/>
        </w:rPr>
        <w:t>个月内的预期信用损失计量损失准备；金融工具自初始</w:t>
      </w:r>
      <w:r>
        <w:rPr>
          <w:spacing w:val="-42"/>
        </w:rPr>
        <w:t> </w:t>
      </w:r>
      <w:r>
        <w:rPr>
          <w:spacing w:val="-42"/>
        </w:rPr>
      </w:r>
      <w:r>
        <w:rPr>
          <w:spacing w:val="-2"/>
        </w:rPr>
        <w:t>确认后信用风险已显著增加但尚未发生信用减值的，处于第二阶段，本集团按照该工具整个存续期的预期</w:t>
      </w:r>
      <w:r>
        <w:rPr>
          <w:spacing w:val="-43"/>
        </w:rPr>
        <w:t> </w:t>
      </w:r>
      <w:r>
        <w:rPr>
          <w:spacing w:val="-43"/>
        </w:rPr>
      </w:r>
      <w:r>
        <w:rPr>
          <w:spacing w:val="-2"/>
        </w:rPr>
        <w:t>信用损失计量损失准备；金融工具自初始确认后已经发生信用减值的，处于第三阶段，本集团按照该工具</w:t>
      </w:r>
      <w:r>
        <w:rPr>
          <w:spacing w:val="-43"/>
        </w:rPr>
        <w:t> </w:t>
      </w:r>
      <w:r>
        <w:rPr>
          <w:spacing w:val="-43"/>
        </w:rPr>
      </w:r>
      <w:r>
        <w:rPr/>
        <w:t>整个存续期的预期信用损失计量损失准备。</w:t>
      </w:r>
    </w:p>
    <w:p>
      <w:pPr>
        <w:pStyle w:val="BodyText"/>
        <w:spacing w:line="410" w:lineRule="auto" w:before="50"/>
        <w:ind w:right="1126" w:firstLine="420"/>
        <w:jc w:val="both"/>
      </w:pPr>
      <w:r>
        <w:rPr>
          <w:spacing w:val="-2"/>
        </w:rPr>
        <w:t>对于在资产负债表日具有较低信用风险的金融工具，本集团假设其信用风险自初始确认后并未显著增</w:t>
      </w:r>
      <w:r>
        <w:rPr>
          <w:w w:val="100"/>
        </w:rPr>
        <w:t> </w:t>
      </w:r>
      <w:r>
        <w:rPr/>
        <w:t>加，按照未来</w:t>
      </w:r>
      <w:r>
        <w:rPr>
          <w:rFonts w:ascii="Times New Roman" w:hAnsi="Times New Roman" w:cs="Times New Roman" w:eastAsia="Times New Roman" w:hint="default"/>
        </w:rPr>
        <w:t>12</w:t>
      </w:r>
      <w:r>
        <w:rPr/>
        <w:t>个月内的预期信用损失计量损失准备。</w:t>
      </w:r>
    </w:p>
    <w:p>
      <w:pPr>
        <w:pStyle w:val="BodyText"/>
        <w:spacing w:line="393" w:lineRule="auto" w:before="12"/>
        <w:ind w:right="1126" w:firstLine="420"/>
        <w:jc w:val="both"/>
      </w:pPr>
      <w:r>
        <w:rPr>
          <w:spacing w:val="-2"/>
        </w:rPr>
        <w:t>整个存续期预期信用损失，是指因金融工具整个预计存续期内所有可能发生的违约事件而导致的预期</w:t>
      </w:r>
      <w:r>
        <w:rPr>
          <w:w w:val="100"/>
        </w:rPr>
        <w:t> </w:t>
      </w:r>
      <w:r>
        <w:rPr>
          <w:spacing w:val="-2"/>
        </w:rPr>
        <w:t>信用损失。未来</w:t>
      </w:r>
      <w:r>
        <w:rPr>
          <w:rFonts w:ascii="Times New Roman" w:hAnsi="Times New Roman" w:cs="Times New Roman" w:eastAsia="Times New Roman" w:hint="default"/>
          <w:spacing w:val="-2"/>
        </w:rPr>
        <w:t>12</w:t>
      </w:r>
      <w:r>
        <w:rPr>
          <w:spacing w:val="-2"/>
        </w:rPr>
        <w:t>个月内预期信用损失，是指因资产负债表日后</w:t>
      </w:r>
      <w:r>
        <w:rPr>
          <w:rFonts w:ascii="Times New Roman" w:hAnsi="Times New Roman" w:cs="Times New Roman" w:eastAsia="Times New Roman" w:hint="default"/>
          <w:spacing w:val="-2"/>
        </w:rPr>
        <w:t>12</w:t>
      </w:r>
      <w:r>
        <w:rPr>
          <w:spacing w:val="-2"/>
        </w:rPr>
        <w:t>个月内（若金融工具的预计存续期少于</w:t>
      </w:r>
      <w:r>
        <w:rPr>
          <w:spacing w:val="-41"/>
        </w:rPr>
        <w:t> </w:t>
      </w:r>
      <w:r>
        <w:rPr>
          <w:spacing w:val="-41"/>
        </w:rPr>
      </w:r>
      <w:r>
        <w:rPr>
          <w:rFonts w:ascii="Times New Roman" w:hAnsi="Times New Roman" w:cs="Times New Roman" w:eastAsia="Times New Roman" w:hint="default"/>
          <w:spacing w:val="-2"/>
        </w:rPr>
        <w:t>12</w:t>
      </w:r>
      <w:r>
        <w:rPr>
          <w:spacing w:val="-2"/>
        </w:rPr>
        <w:t>个月，则为预计存续期）可能发生的金融工具违约事件而导致的预期信用损失，是整个存续期预期信用</w:t>
      </w:r>
      <w:r>
        <w:rPr>
          <w:spacing w:val="-42"/>
        </w:rPr>
        <w:t> </w:t>
      </w:r>
      <w:r>
        <w:rPr>
          <w:spacing w:val="-42"/>
        </w:rPr>
      </w:r>
      <w:r>
        <w:rPr/>
        <w:t>损失的一部分。</w:t>
      </w:r>
    </w:p>
    <w:p>
      <w:pPr>
        <w:pStyle w:val="BodyText"/>
        <w:spacing w:line="408" w:lineRule="auto" w:before="58"/>
        <w:ind w:right="1126" w:firstLine="420"/>
        <w:jc w:val="both"/>
      </w:pPr>
      <w:r>
        <w:rPr>
          <w:spacing w:val="-2"/>
        </w:rPr>
        <w:t>在计量预期信用损失时，本集团需考虑的最长期限为企业面临信用风险的最长合同期限（包括考虑续</w:t>
      </w:r>
      <w:r>
        <w:rPr>
          <w:w w:val="100"/>
        </w:rPr>
        <w:t> </w:t>
      </w:r>
      <w:r>
        <w:rPr/>
        <w:t>约选择权）。</w:t>
      </w:r>
    </w:p>
    <w:p>
      <w:pPr>
        <w:pStyle w:val="BodyText"/>
        <w:spacing w:line="408" w:lineRule="auto"/>
        <w:ind w:right="1126" w:firstLine="420"/>
        <w:jc w:val="both"/>
      </w:pPr>
      <w:r>
        <w:rPr>
          <w:spacing w:val="-2"/>
        </w:rPr>
        <w:t>本集团对于处于第一阶段和第二阶段、以及较低信用风险的金融工具，按照其未扣除减值准备的账面</w:t>
      </w:r>
      <w:r>
        <w:rPr>
          <w:w w:val="100"/>
        </w:rPr>
        <w:t> </w:t>
      </w:r>
      <w:r>
        <w:rPr>
          <w:spacing w:val="-2"/>
        </w:rPr>
        <w:t>余额和实际利率计算利息收入。对于处于第三阶段的金融工具，按照其账面余额减已计提减值准备后的摊</w:t>
      </w:r>
      <w:r>
        <w:rPr>
          <w:spacing w:val="-43"/>
        </w:rPr>
        <w:t> </w:t>
      </w:r>
      <w:r>
        <w:rPr>
          <w:spacing w:val="-43"/>
        </w:rPr>
      </w:r>
      <w:r>
        <w:rPr/>
        <w:t>余成本和实际利率计算利息收入。</w:t>
      </w:r>
    </w:p>
    <w:p>
      <w:pPr>
        <w:pStyle w:val="BodyText"/>
        <w:spacing w:line="408" w:lineRule="auto"/>
        <w:ind w:right="1126" w:firstLine="420"/>
        <w:jc w:val="both"/>
      </w:pPr>
      <w:r>
        <w:rPr>
          <w:spacing w:val="-2"/>
        </w:rPr>
        <w:t>对于应收票据、应收账款，无论是否存在重大融资成分，本集团始终按照相当于整个存续期内预期信</w:t>
      </w:r>
      <w:r>
        <w:rPr>
          <w:w w:val="100"/>
        </w:rPr>
        <w:t> </w:t>
      </w:r>
      <w:r>
        <w:rPr/>
        <w:t>用损失的金额计量其损失准备。</w:t>
      </w:r>
    </w:p>
    <w:p>
      <w:pPr>
        <w:pStyle w:val="BodyText"/>
        <w:spacing w:line="408" w:lineRule="auto"/>
        <w:ind w:right="1126" w:firstLine="420"/>
        <w:jc w:val="both"/>
      </w:pPr>
      <w:r>
        <w:rPr>
          <w:spacing w:val="-2"/>
        </w:rPr>
        <w:t>当单项金融资产无法以合理成本评估预期信用损失的信息时，本集团依据信用风险特征对应收票据和</w:t>
      </w:r>
      <w:r>
        <w:rPr>
          <w:w w:val="100"/>
        </w:rPr>
        <w:t> </w:t>
      </w:r>
      <w:r>
        <w:rPr/>
        <w:t>应收账款划分组合，在组合基础上计算预期信用损失，确定组合的依据如下：</w:t>
      </w:r>
    </w:p>
    <w:p>
      <w:pPr>
        <w:pStyle w:val="BodyText"/>
        <w:spacing w:line="386" w:lineRule="auto"/>
        <w:ind w:left="573" w:right="6375"/>
        <w:jc w:val="left"/>
      </w:pPr>
      <w:r>
        <w:rPr>
          <w:rFonts w:ascii="Times New Roman" w:hAnsi="Times New Roman" w:cs="Times New Roman" w:eastAsia="Times New Roman" w:hint="default"/>
        </w:rPr>
        <w:t>A</w:t>
      </w:r>
      <w:r>
        <w:rPr/>
        <w:t>、应收票据</w:t>
      </w:r>
      <w:r>
        <w:rPr>
          <w:w w:val="100"/>
        </w:rPr>
        <w:t> </w:t>
      </w:r>
      <w:r>
        <w:rPr>
          <w:rFonts w:ascii="Times New Roman" w:hAnsi="Times New Roman" w:cs="Times New Roman" w:eastAsia="Times New Roman" w:hint="default"/>
          <w:spacing w:val="-2"/>
        </w:rPr>
        <w:t>a</w:t>
      </w:r>
      <w:r>
        <w:rPr>
          <w:spacing w:val="-2"/>
        </w:rPr>
        <w:t>、应收票据组合</w:t>
      </w:r>
      <w:r>
        <w:rPr>
          <w:rFonts w:ascii="Times New Roman" w:hAnsi="Times New Roman" w:cs="Times New Roman" w:eastAsia="Times New Roman" w:hint="default"/>
          <w:spacing w:val="-2"/>
        </w:rPr>
        <w:t>1</w:t>
      </w:r>
      <w:r>
        <w:rPr>
          <w:spacing w:val="-2"/>
        </w:rPr>
        <w:t>：银行承兑汇票</w:t>
      </w:r>
      <w:r>
        <w:rPr>
          <w:spacing w:val="-75"/>
        </w:rPr>
        <w:t> </w:t>
      </w:r>
      <w:r>
        <w:rPr>
          <w:spacing w:val="-75"/>
        </w:rPr>
      </w:r>
      <w:r>
        <w:rPr>
          <w:rFonts w:ascii="Times New Roman" w:hAnsi="Times New Roman" w:cs="Times New Roman" w:eastAsia="Times New Roman" w:hint="default"/>
          <w:spacing w:val="-2"/>
        </w:rPr>
        <w:t>b</w:t>
      </w:r>
      <w:r>
        <w:rPr>
          <w:spacing w:val="-2"/>
        </w:rPr>
        <w:t>、应收票据组合</w:t>
      </w:r>
      <w:r>
        <w:rPr>
          <w:rFonts w:ascii="Times New Roman" w:hAnsi="Times New Roman" w:cs="Times New Roman" w:eastAsia="Times New Roman" w:hint="default"/>
          <w:spacing w:val="-2"/>
        </w:rPr>
        <w:t>2</w:t>
      </w:r>
      <w:r>
        <w:rPr>
          <w:spacing w:val="-2"/>
        </w:rPr>
        <w:t>：商业承兑汇票</w:t>
      </w:r>
      <w:r>
        <w:rPr>
          <w:spacing w:val="-74"/>
        </w:rPr>
        <w:t> </w:t>
      </w:r>
      <w:r>
        <w:rPr>
          <w:spacing w:val="-74"/>
        </w:rPr>
      </w:r>
      <w:r>
        <w:rPr>
          <w:rFonts w:ascii="Times New Roman" w:hAnsi="Times New Roman" w:cs="Times New Roman" w:eastAsia="Times New Roman" w:hint="default"/>
        </w:rPr>
        <w:t>B</w:t>
      </w:r>
      <w:r>
        <w:rPr/>
        <w:t>、应收账款</w:t>
      </w:r>
    </w:p>
    <w:p>
      <w:pPr>
        <w:pStyle w:val="BodyText"/>
        <w:spacing w:line="386" w:lineRule="auto" w:before="35"/>
        <w:ind w:left="573" w:right="4608"/>
        <w:jc w:val="left"/>
      </w:pPr>
      <w:r>
        <w:rPr>
          <w:rFonts w:ascii="Times New Roman" w:hAnsi="Times New Roman" w:cs="Times New Roman" w:eastAsia="Times New Roman" w:hint="default"/>
          <w:spacing w:val="-2"/>
        </w:rPr>
        <w:t>a</w:t>
      </w:r>
      <w:r>
        <w:rPr>
          <w:spacing w:val="-2"/>
        </w:rPr>
        <w:t>、应收账款组合</w:t>
      </w:r>
      <w:r>
        <w:rPr>
          <w:rFonts w:ascii="Times New Roman" w:hAnsi="Times New Roman" w:cs="Times New Roman" w:eastAsia="Times New Roman" w:hint="default"/>
          <w:spacing w:val="-2"/>
        </w:rPr>
        <w:t>1</w:t>
      </w:r>
      <w:r>
        <w:rPr>
          <w:spacing w:val="-2"/>
        </w:rPr>
        <w:t>：应收军工或军品合作单位客户</w:t>
      </w:r>
      <w:r>
        <w:rPr>
          <w:spacing w:val="-62"/>
        </w:rPr>
        <w:t> </w:t>
      </w:r>
      <w:r>
        <w:rPr>
          <w:spacing w:val="-62"/>
        </w:rPr>
      </w:r>
      <w:r>
        <w:rPr>
          <w:rFonts w:ascii="Times New Roman" w:hAnsi="Times New Roman" w:cs="Times New Roman" w:eastAsia="Times New Roman" w:hint="default"/>
        </w:rPr>
        <w:t>b</w:t>
      </w:r>
      <w:r>
        <w:rPr/>
        <w:t>、应收账款组合</w:t>
      </w:r>
      <w:r>
        <w:rPr>
          <w:rFonts w:ascii="Times New Roman" w:hAnsi="Times New Roman" w:cs="Times New Roman" w:eastAsia="Times New Roman" w:hint="default"/>
        </w:rPr>
        <w:t>2</w:t>
      </w:r>
      <w:r>
        <w:rPr/>
        <w:t>：应收国有企业客户</w:t>
      </w:r>
      <w:r>
        <w:rPr>
          <w:w w:val="100"/>
        </w:rPr>
        <w:t> </w:t>
      </w:r>
      <w:r>
        <w:rPr>
          <w:rFonts w:ascii="Times New Roman" w:hAnsi="Times New Roman" w:cs="Times New Roman" w:eastAsia="Times New Roman" w:hint="default"/>
        </w:rPr>
        <w:t>c</w:t>
      </w:r>
      <w:r>
        <w:rPr/>
        <w:t>、应收账款组合</w:t>
      </w:r>
      <w:r>
        <w:rPr>
          <w:rFonts w:ascii="Times New Roman" w:hAnsi="Times New Roman" w:cs="Times New Roman" w:eastAsia="Times New Roman" w:hint="default"/>
        </w:rPr>
        <w:t>3</w:t>
      </w:r>
      <w:r>
        <w:rPr/>
        <w:t>：应收其他客户</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3" w:right="992"/>
        <w:jc w:val="left"/>
      </w:pPr>
      <w:r>
        <w:rPr>
          <w:rFonts w:ascii="Times New Roman" w:hAnsi="Times New Roman" w:cs="Times New Roman" w:eastAsia="Times New Roman" w:hint="default"/>
        </w:rPr>
        <w:t>d</w:t>
      </w:r>
      <w:r>
        <w:rPr/>
        <w:t>、应收账款组合</w:t>
      </w:r>
      <w:r>
        <w:rPr>
          <w:rFonts w:ascii="Times New Roman" w:hAnsi="Times New Roman" w:cs="Times New Roman" w:eastAsia="Times New Roman" w:hint="default"/>
        </w:rPr>
        <w:t>4</w:t>
      </w:r>
      <w:r>
        <w:rPr/>
        <w:t>：应收合并范围内关联方客户</w:t>
      </w:r>
      <w:r>
        <w:rPr>
          <w:w w:val="100"/>
        </w:rPr>
        <w:t> </w:t>
      </w:r>
      <w:r>
        <w:rPr>
          <w:spacing w:val="-2"/>
        </w:rPr>
        <w:t>对于划分为组合的应收票据，本集团参考历史信用损失经验，结合当前状况以及对未来经济状况的预</w:t>
      </w:r>
    </w:p>
    <w:p>
      <w:pPr>
        <w:pStyle w:val="BodyText"/>
        <w:spacing w:line="408" w:lineRule="auto" w:before="65"/>
        <w:ind w:left="573" w:right="992" w:hanging="421"/>
        <w:jc w:val="left"/>
      </w:pPr>
      <w:r>
        <w:rPr/>
        <w:t>测，通过违约风险敞口和整个存续期预期信用损失率，计算预期信用损失。</w:t>
      </w:r>
      <w:r>
        <w:rPr>
          <w:w w:val="100"/>
        </w:rPr>
        <w:t> </w:t>
      </w:r>
      <w:r>
        <w:rPr>
          <w:spacing w:val="-2"/>
        </w:rPr>
        <w:t>对于划分为组合的应收账款，本集团参考历史信用损失经验，结合当前状况以及对未来经济状况的预</w:t>
      </w:r>
    </w:p>
    <w:p>
      <w:pPr>
        <w:pStyle w:val="BodyText"/>
        <w:spacing w:line="240" w:lineRule="auto"/>
        <w:ind w:right="992"/>
        <w:jc w:val="left"/>
      </w:pPr>
      <w:r>
        <w:rPr/>
        <w:t>测，编制应收账款账龄与整个存续期预期信用损失率对照表，计算预期信用损失。</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②其他应收款</w:t>
      </w:r>
      <w:r>
        <w:rPr>
          <w:w w:val="100"/>
        </w:rPr>
        <w:t> </w:t>
      </w:r>
      <w:r>
        <w:rPr>
          <w:spacing w:val="-2"/>
        </w:rPr>
        <w:t>本集团依据信用风险特征将其他应收款划分为若干组合，在组合基础上计算预期信用损失，确定组合</w:t>
      </w:r>
    </w:p>
    <w:p>
      <w:pPr>
        <w:pStyle w:val="BodyText"/>
        <w:spacing w:line="240" w:lineRule="auto"/>
        <w:ind w:right="992"/>
        <w:jc w:val="left"/>
      </w:pPr>
      <w:r>
        <w:rPr/>
        <w:t>的依据如下：</w:t>
      </w:r>
    </w:p>
    <w:p>
      <w:pPr>
        <w:spacing w:line="240" w:lineRule="auto" w:before="10"/>
        <w:rPr>
          <w:rFonts w:ascii="宋体" w:hAnsi="宋体" w:cs="宋体" w:eastAsia="宋体" w:hint="default"/>
          <w:sz w:val="14"/>
          <w:szCs w:val="14"/>
        </w:rPr>
      </w:pPr>
    </w:p>
    <w:p>
      <w:pPr>
        <w:pStyle w:val="BodyText"/>
        <w:spacing w:line="386" w:lineRule="auto" w:before="0"/>
        <w:ind w:left="573" w:right="4608"/>
        <w:jc w:val="left"/>
      </w:pPr>
      <w:r>
        <w:rPr>
          <w:rFonts w:ascii="Times New Roman" w:hAnsi="Times New Roman" w:cs="Times New Roman" w:eastAsia="Times New Roman" w:hint="default"/>
        </w:rPr>
        <w:t>A</w:t>
      </w:r>
      <w:r>
        <w:rPr/>
        <w:t>、其他应收款组合</w:t>
      </w:r>
      <w:r>
        <w:rPr>
          <w:rFonts w:ascii="Times New Roman" w:hAnsi="Times New Roman" w:cs="Times New Roman" w:eastAsia="Times New Roman" w:hint="default"/>
        </w:rPr>
        <w:t>1</w:t>
      </w:r>
      <w:r>
        <w:rPr/>
        <w:t>：应收备用金</w:t>
      </w:r>
      <w:r>
        <w:rPr>
          <w:w w:val="100"/>
        </w:rPr>
        <w:t> </w:t>
      </w:r>
      <w:r>
        <w:rPr>
          <w:rFonts w:ascii="Times New Roman" w:hAnsi="Times New Roman" w:cs="Times New Roman" w:eastAsia="Times New Roman" w:hint="default"/>
          <w:spacing w:val="-2"/>
        </w:rPr>
        <w:t>B</w:t>
      </w:r>
      <w:r>
        <w:rPr>
          <w:spacing w:val="-2"/>
        </w:rPr>
        <w:t>、其他应收款组合</w:t>
      </w:r>
      <w:r>
        <w:rPr>
          <w:rFonts w:ascii="Times New Roman" w:hAnsi="Times New Roman" w:cs="Times New Roman" w:eastAsia="Times New Roman" w:hint="default"/>
          <w:spacing w:val="-2"/>
        </w:rPr>
        <w:t>2</w:t>
      </w:r>
      <w:r>
        <w:rPr>
          <w:spacing w:val="-2"/>
        </w:rPr>
        <w:t>：应收保证金、押金</w:t>
      </w:r>
      <w:r>
        <w:rPr>
          <w:spacing w:val="-71"/>
        </w:rPr>
        <w:t> </w:t>
      </w:r>
      <w:r>
        <w:rPr>
          <w:spacing w:val="-71"/>
        </w:rPr>
      </w:r>
      <w:r>
        <w:rPr>
          <w:rFonts w:ascii="Times New Roman" w:hAnsi="Times New Roman" w:cs="Times New Roman" w:eastAsia="Times New Roman" w:hint="default"/>
        </w:rPr>
        <w:t>C</w:t>
      </w:r>
      <w:r>
        <w:rPr/>
        <w:t>、其他应收款组合</w:t>
      </w:r>
      <w:r>
        <w:rPr>
          <w:rFonts w:ascii="Times New Roman" w:hAnsi="Times New Roman" w:cs="Times New Roman" w:eastAsia="Times New Roman" w:hint="default"/>
        </w:rPr>
        <w:t>3</w:t>
      </w:r>
      <w:r>
        <w:rPr/>
        <w:t>：应收往来款</w:t>
      </w:r>
      <w:r>
        <w:rPr>
          <w:w w:val="100"/>
        </w:rPr>
        <w:t> </w:t>
      </w:r>
      <w:r>
        <w:rPr>
          <w:rFonts w:ascii="Times New Roman" w:hAnsi="Times New Roman" w:cs="Times New Roman" w:eastAsia="Times New Roman" w:hint="default"/>
        </w:rPr>
        <w:t>D</w:t>
      </w:r>
      <w:r>
        <w:rPr/>
        <w:t>、其他应收款组合</w:t>
      </w:r>
      <w:r>
        <w:rPr>
          <w:rFonts w:ascii="Times New Roman" w:hAnsi="Times New Roman" w:cs="Times New Roman" w:eastAsia="Times New Roman" w:hint="default"/>
        </w:rPr>
        <w:t>4</w:t>
      </w:r>
      <w:r>
        <w:rPr/>
        <w:t>：应收退税款</w:t>
      </w:r>
      <w:r>
        <w:rPr>
          <w:w w:val="100"/>
        </w:rPr>
        <w:t> </w:t>
      </w:r>
      <w:r>
        <w:rPr>
          <w:rFonts w:ascii="Times New Roman" w:hAnsi="Times New Roman" w:cs="Times New Roman" w:eastAsia="Times New Roman" w:hint="default"/>
        </w:rPr>
        <w:t>E</w:t>
      </w:r>
      <w:r>
        <w:rPr/>
        <w:t>、其他应收款组合</w:t>
      </w:r>
      <w:r>
        <w:rPr>
          <w:rFonts w:ascii="Times New Roman" w:hAnsi="Times New Roman" w:cs="Times New Roman" w:eastAsia="Times New Roman" w:hint="default"/>
        </w:rPr>
        <w:t>5</w:t>
      </w:r>
      <w:r>
        <w:rPr/>
        <w:t>：应收其他款</w:t>
      </w:r>
    </w:p>
    <w:p>
      <w:pPr>
        <w:pStyle w:val="BodyText"/>
        <w:spacing w:line="386" w:lineRule="auto" w:before="35"/>
        <w:ind w:right="992" w:firstLine="420"/>
        <w:jc w:val="left"/>
      </w:pPr>
      <w:r>
        <w:rPr>
          <w:spacing w:val="-2"/>
        </w:rPr>
        <w:t>对划分为组合的其他应收款，本集团通过违约风险敞口和未来</w:t>
      </w:r>
      <w:r>
        <w:rPr>
          <w:rFonts w:ascii="Times New Roman" w:hAnsi="Times New Roman" w:cs="Times New Roman" w:eastAsia="Times New Roman" w:hint="default"/>
          <w:spacing w:val="-2"/>
        </w:rPr>
        <w:t>12</w:t>
      </w:r>
      <w:r>
        <w:rPr>
          <w:spacing w:val="-2"/>
        </w:rPr>
        <w:t>个月内或整个存续期预期信用损失</w:t>
      </w:r>
      <w:r>
        <w:rPr>
          <w:w w:val="100"/>
        </w:rPr>
        <w:t> </w:t>
      </w:r>
      <w:r>
        <w:rPr/>
        <w:t>率，计算预期信用损失。</w:t>
      </w:r>
    </w:p>
    <w:p>
      <w:pPr>
        <w:pStyle w:val="BodyText"/>
        <w:spacing w:line="408" w:lineRule="auto" w:before="65"/>
        <w:ind w:left="573" w:right="992"/>
        <w:jc w:val="left"/>
      </w:pPr>
      <w:r>
        <w:rPr/>
        <w:t>③债权投资、其他债权投资</w:t>
      </w:r>
      <w:r>
        <w:rPr>
          <w:w w:val="100"/>
        </w:rPr>
        <w:t> </w:t>
      </w:r>
      <w:r>
        <w:rPr>
          <w:spacing w:val="-2"/>
        </w:rPr>
        <w:t>对于债权投资和其他债权投资，本集团按照投资的性质，根据交易对手和风险敞口的各种类型，通过</w:t>
      </w:r>
    </w:p>
    <w:p>
      <w:pPr>
        <w:pStyle w:val="BodyText"/>
        <w:spacing w:line="240" w:lineRule="auto"/>
        <w:ind w:right="992"/>
        <w:jc w:val="left"/>
      </w:pPr>
      <w:r>
        <w:rPr/>
        <w:t>违约风险敞口和未来</w:t>
      </w:r>
      <w:r>
        <w:rPr>
          <w:rFonts w:ascii="Times New Roman" w:hAnsi="Times New Roman" w:cs="Times New Roman" w:eastAsia="Times New Roman" w:hint="default"/>
        </w:rPr>
        <w:t>12</w:t>
      </w:r>
      <w:r>
        <w:rPr/>
        <w:t>个月内或整个存续期预期信用损失率，计算预期信用损失。</w:t>
      </w:r>
    </w:p>
    <w:p>
      <w:pPr>
        <w:pStyle w:val="BodyText"/>
        <w:spacing w:line="408" w:lineRule="auto" w:before="177"/>
        <w:ind w:left="573" w:right="992"/>
        <w:jc w:val="left"/>
      </w:pPr>
      <w:r>
        <w:rPr/>
        <w:t>④信用风险显著增加的评估</w:t>
      </w:r>
      <w:r>
        <w:rPr>
          <w:w w:val="100"/>
        </w:rPr>
        <w:t> </w:t>
      </w:r>
      <w:r>
        <w:rPr>
          <w:spacing w:val="-2"/>
        </w:rPr>
        <w:t>本集团通过比较金融工具在资产负债表日发生违约的风险与在初始确认日发生违约的风险，以确定金</w:t>
      </w:r>
    </w:p>
    <w:p>
      <w:pPr>
        <w:pStyle w:val="BodyText"/>
        <w:spacing w:line="408" w:lineRule="auto"/>
        <w:ind w:right="1115"/>
        <w:jc w:val="left"/>
      </w:pPr>
      <w:r>
        <w:rPr>
          <w:spacing w:val="-2"/>
        </w:rPr>
        <w:t>融工具预计存续期内发生违约风险的相对变化，以评估金融工具的信用风险自初始确认后是否已显著增</w:t>
      </w:r>
      <w:r>
        <w:rPr>
          <w:spacing w:val="-21"/>
        </w:rPr>
        <w:t> </w:t>
      </w:r>
      <w:r>
        <w:rPr>
          <w:spacing w:val="-21"/>
        </w:rPr>
      </w:r>
      <w:r>
        <w:rPr/>
        <w:t>加。</w:t>
      </w:r>
    </w:p>
    <w:p>
      <w:pPr>
        <w:pStyle w:val="BodyText"/>
        <w:spacing w:line="408" w:lineRule="auto"/>
        <w:ind w:right="992" w:firstLine="420"/>
        <w:jc w:val="left"/>
      </w:pPr>
      <w:r>
        <w:rPr>
          <w:spacing w:val="-2"/>
        </w:rPr>
        <w:t>在确定信用风险自初始确认后是否显著增加时，本集团考虑无须付出不必要的额外成本或努力即可获</w:t>
      </w:r>
      <w:r>
        <w:rPr>
          <w:w w:val="100"/>
        </w:rPr>
        <w:t> </w:t>
      </w:r>
      <w:r>
        <w:rPr/>
        <w:t>得的合理且有依据的信息，包括前瞻性信息。本集团考虑的信息包括：</w:t>
      </w:r>
    </w:p>
    <w:p>
      <w:pPr>
        <w:pStyle w:val="BodyText"/>
        <w:spacing w:line="386" w:lineRule="auto"/>
        <w:ind w:left="573" w:right="992"/>
        <w:jc w:val="left"/>
      </w:pPr>
      <w:r>
        <w:rPr>
          <w:rFonts w:ascii="Times New Roman" w:hAnsi="Times New Roman" w:cs="Times New Roman" w:eastAsia="Times New Roman" w:hint="default"/>
        </w:rPr>
        <w:t>A</w:t>
      </w:r>
      <w:r>
        <w:rPr/>
        <w:t>、债务人未能按合同到期日支付本金和利息的情况；</w:t>
      </w:r>
      <w:r>
        <w:rPr>
          <w:w w:val="100"/>
        </w:rPr>
        <w:t> </w:t>
      </w:r>
      <w:r>
        <w:rPr>
          <w:rFonts w:ascii="Times New Roman" w:hAnsi="Times New Roman" w:cs="Times New Roman" w:eastAsia="Times New Roman" w:hint="default"/>
        </w:rPr>
        <w:t>B</w:t>
      </w:r>
      <w:r>
        <w:rPr/>
        <w:t>、已发生的或预期的金融工具的外部或内部信用评级（如有）的严重恶化；</w:t>
      </w:r>
      <w:r>
        <w:rPr>
          <w:w w:val="100"/>
        </w:rPr>
        <w:t> </w:t>
      </w:r>
      <w:r>
        <w:rPr>
          <w:rFonts w:ascii="Times New Roman" w:hAnsi="Times New Roman" w:cs="Times New Roman" w:eastAsia="Times New Roman" w:hint="default"/>
        </w:rPr>
        <w:t>C</w:t>
      </w:r>
      <w:r>
        <w:rPr/>
        <w:t>、已发生的或预期的债务人经营成果的严重恶化；</w:t>
      </w:r>
      <w:r>
        <w:rPr>
          <w:w w:val="100"/>
        </w:rPr>
        <w:t> </w:t>
      </w:r>
      <w:r>
        <w:rPr>
          <w:rFonts w:ascii="Times New Roman" w:hAnsi="Times New Roman" w:cs="Times New Roman" w:eastAsia="Times New Roman" w:hint="default"/>
          <w:spacing w:val="-2"/>
        </w:rPr>
        <w:t>D</w:t>
      </w:r>
      <w:r>
        <w:rPr>
          <w:spacing w:val="-2"/>
        </w:rPr>
        <w:t>、现存的或预期的技术、市场、经济或法律环境变化，并将对债务人对本集团的还款能力产生重大</w:t>
      </w:r>
    </w:p>
    <w:p>
      <w:pPr>
        <w:pStyle w:val="BodyText"/>
        <w:spacing w:line="240" w:lineRule="auto" w:before="35"/>
        <w:ind w:right="992"/>
        <w:jc w:val="left"/>
      </w:pPr>
      <w:r>
        <w:rPr/>
        <w:t>不利影响。</w:t>
      </w:r>
    </w:p>
    <w:p>
      <w:pPr>
        <w:spacing w:line="240" w:lineRule="auto" w:before="10"/>
        <w:rPr>
          <w:rFonts w:ascii="宋体" w:hAnsi="宋体" w:cs="宋体" w:eastAsia="宋体" w:hint="default"/>
          <w:sz w:val="14"/>
          <w:szCs w:val="14"/>
        </w:rPr>
      </w:pPr>
    </w:p>
    <w:p>
      <w:pPr>
        <w:pStyle w:val="BodyText"/>
        <w:spacing w:line="240" w:lineRule="auto" w:before="0"/>
        <w:ind w:left="573" w:right="992"/>
        <w:jc w:val="left"/>
      </w:pPr>
      <w:r>
        <w:rPr/>
        <w:t>根据金融工具的性质，本集团以单项金融工具或金融工具组合为基础评估信用风险是否显著增加。以</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金融工具组合为基础进行评估时，本集团可基于共同信用风险特征对金融工具进行分类，例如逾期信息和</w:t>
      </w:r>
      <w:r>
        <w:rPr>
          <w:spacing w:val="-44"/>
        </w:rPr>
        <w:t> </w:t>
      </w:r>
      <w:r>
        <w:rPr>
          <w:spacing w:val="-44"/>
        </w:rPr>
      </w:r>
      <w:r>
        <w:rPr/>
        <w:t>信用风险评级。</w:t>
      </w:r>
    </w:p>
    <w:p>
      <w:pPr>
        <w:pStyle w:val="BodyText"/>
        <w:spacing w:line="240" w:lineRule="auto"/>
        <w:ind w:left="573" w:right="992"/>
        <w:jc w:val="left"/>
      </w:pPr>
      <w:r>
        <w:rPr/>
        <w:t>如果逾期超过</w:t>
      </w:r>
      <w:r>
        <w:rPr>
          <w:rFonts w:ascii="Times New Roman" w:hAnsi="Times New Roman" w:cs="Times New Roman" w:eastAsia="Times New Roman" w:hint="default"/>
        </w:rPr>
        <w:t>30</w:t>
      </w:r>
      <w:r>
        <w:rPr/>
        <w:t>日，本集团确定金融工具的信用风险已经显著增加。</w:t>
      </w:r>
    </w:p>
    <w:p>
      <w:pPr>
        <w:pStyle w:val="BodyText"/>
        <w:spacing w:line="408" w:lineRule="auto" w:before="177"/>
        <w:ind w:left="573" w:right="992"/>
        <w:jc w:val="left"/>
      </w:pPr>
      <w:r>
        <w:rPr/>
        <w:t>⑤已发生信用减值的金融资产</w:t>
      </w:r>
      <w:r>
        <w:rPr>
          <w:w w:val="100"/>
        </w:rPr>
        <w:t> </w:t>
      </w:r>
      <w:r>
        <w:rPr>
          <w:spacing w:val="-2"/>
        </w:rPr>
        <w:t>本集团在资产负债表日评估以摊余成本计量的金融资产和以公允价值计量且其变动计入其他综合收</w:t>
      </w:r>
    </w:p>
    <w:p>
      <w:pPr>
        <w:pStyle w:val="BodyText"/>
        <w:spacing w:line="408" w:lineRule="auto"/>
        <w:ind w:right="1107"/>
        <w:jc w:val="both"/>
      </w:pPr>
      <w:r>
        <w:rPr>
          <w:spacing w:val="-2"/>
        </w:rPr>
        <w:t>益的债权投资是否已发生信用减值。当对金融资产预期未来现金流量具有不利影响的一项或多项事件发生</w:t>
      </w:r>
      <w:r>
        <w:rPr>
          <w:spacing w:val="-43"/>
        </w:rPr>
        <w:t> </w:t>
      </w:r>
      <w:r>
        <w:rPr>
          <w:spacing w:val="-43"/>
        </w:rPr>
      </w:r>
      <w:r>
        <w:rPr>
          <w:spacing w:val="-2"/>
        </w:rPr>
        <w:t>时，该金融资产成为已发生信用减值的金融资产。金融资产已发生信用减值的证据包括下列可观察信息：</w:t>
      </w:r>
    </w:p>
    <w:p>
      <w:pPr>
        <w:pStyle w:val="BodyText"/>
        <w:spacing w:line="386" w:lineRule="auto"/>
        <w:ind w:left="573" w:right="4608"/>
        <w:jc w:val="left"/>
      </w:pPr>
      <w:r>
        <w:rPr>
          <w:rFonts w:ascii="Times New Roman" w:hAnsi="Times New Roman" w:cs="Times New Roman" w:eastAsia="Times New Roman" w:hint="default"/>
        </w:rPr>
        <w:t>A</w:t>
      </w:r>
      <w:r>
        <w:rPr/>
        <w:t>、发行方或债务人发生重大财务困难；</w:t>
      </w:r>
      <w:r>
        <w:rPr>
          <w:w w:val="100"/>
        </w:rPr>
        <w:t> </w:t>
      </w:r>
      <w:r>
        <w:rPr>
          <w:rFonts w:ascii="Times New Roman" w:hAnsi="Times New Roman" w:cs="Times New Roman" w:eastAsia="Times New Roman" w:hint="default"/>
          <w:spacing w:val="-2"/>
        </w:rPr>
        <w:t>B</w:t>
      </w:r>
      <w:r>
        <w:rPr>
          <w:spacing w:val="-2"/>
        </w:rPr>
        <w:t>、债务人违反合同，如偿付利息或本金违约或逾期等；</w:t>
      </w:r>
    </w:p>
    <w:p>
      <w:pPr>
        <w:pStyle w:val="BodyText"/>
        <w:spacing w:line="386" w:lineRule="auto" w:before="36"/>
        <w:ind w:right="992" w:firstLine="420"/>
        <w:jc w:val="left"/>
      </w:pPr>
      <w:r>
        <w:rPr>
          <w:rFonts w:ascii="Times New Roman" w:hAnsi="Times New Roman" w:cs="Times New Roman" w:eastAsia="Times New Roman" w:hint="default"/>
          <w:spacing w:val="-2"/>
        </w:rPr>
        <w:t>C</w:t>
      </w:r>
      <w:r>
        <w:rPr>
          <w:spacing w:val="-2"/>
        </w:rPr>
        <w:t>、本集团出于与债务人财务困难有关的经济或合同考虑，给予债务人在任何其他情况下都不会做出</w:t>
      </w:r>
      <w:r>
        <w:rPr>
          <w:w w:val="100"/>
        </w:rPr>
        <w:t> </w:t>
      </w:r>
      <w:r>
        <w:rPr/>
        <w:t>的让步；</w:t>
      </w:r>
    </w:p>
    <w:p>
      <w:pPr>
        <w:pStyle w:val="BodyText"/>
        <w:spacing w:line="386" w:lineRule="auto" w:before="65"/>
        <w:ind w:left="573" w:right="992"/>
        <w:jc w:val="left"/>
      </w:pPr>
      <w:r>
        <w:rPr>
          <w:rFonts w:ascii="Times New Roman" w:hAnsi="Times New Roman" w:cs="Times New Roman" w:eastAsia="Times New Roman" w:hint="default"/>
        </w:rPr>
        <w:t>D</w:t>
      </w:r>
      <w:r>
        <w:rPr/>
        <w:t>、债务人很可能破产或进行其他财务重组；</w:t>
      </w:r>
      <w:r>
        <w:rPr>
          <w:w w:val="100"/>
        </w:rPr>
        <w:t> </w:t>
      </w:r>
      <w:r>
        <w:rPr>
          <w:rFonts w:ascii="Times New Roman" w:hAnsi="Times New Roman" w:cs="Times New Roman" w:eastAsia="Times New Roman" w:hint="default"/>
          <w:spacing w:val="-2"/>
        </w:rPr>
        <w:t>E</w:t>
      </w:r>
      <w:r>
        <w:rPr>
          <w:spacing w:val="-2"/>
        </w:rPr>
        <w:t>、发行方或债务人财务困难导致该金融资产的活跃市场消失。</w:t>
      </w:r>
    </w:p>
    <w:p>
      <w:pPr>
        <w:pStyle w:val="BodyText"/>
        <w:spacing w:line="408" w:lineRule="auto" w:before="35"/>
        <w:ind w:left="573" w:right="992"/>
        <w:jc w:val="left"/>
      </w:pPr>
      <w:r>
        <w:rPr/>
        <w:t>⑥预期信用损失准备的列报</w:t>
      </w:r>
      <w:r>
        <w:rPr>
          <w:w w:val="100"/>
        </w:rPr>
        <w:t> </w:t>
      </w:r>
      <w:r>
        <w:rPr>
          <w:spacing w:val="-2"/>
        </w:rPr>
        <w:t>为反映金融工具的信用风险自初始确认后的变化，本集团在每个资产负债表日重新计量预期信用损</w:t>
      </w:r>
    </w:p>
    <w:p>
      <w:pPr>
        <w:pStyle w:val="BodyText"/>
        <w:spacing w:line="408" w:lineRule="auto"/>
        <w:ind w:right="1023"/>
        <w:jc w:val="both"/>
      </w:pPr>
      <w:r>
        <w:rPr>
          <w:spacing w:val="-2"/>
        </w:rPr>
        <w:t>失，由此形成的损失准备的增加或转回金额，应当作为减值损失或利得计入当期损益。对于以摊余成本计</w:t>
      </w:r>
      <w:r>
        <w:rPr>
          <w:spacing w:val="-43"/>
        </w:rPr>
        <w:t> </w:t>
      </w:r>
      <w:r>
        <w:rPr>
          <w:spacing w:val="-43"/>
        </w:rPr>
      </w:r>
      <w:r>
        <w:rPr>
          <w:spacing w:val="-2"/>
        </w:rPr>
        <w:t>量的金融资产，损失准备抵减该金融资产在资产负债表中列示的账面价值；对于以公允价值计量且其变动</w:t>
      </w:r>
      <w:r>
        <w:rPr>
          <w:spacing w:val="-42"/>
        </w:rPr>
        <w:t> </w:t>
      </w:r>
      <w:r>
        <w:rPr>
          <w:spacing w:val="-42"/>
        </w:rPr>
      </w:r>
      <w:r>
        <w:rPr>
          <w:spacing w:val="-5"/>
        </w:rPr>
        <w:t>计入其他综合收益的债权投资，本集团在其他综合收益中确认其损失准备，不抵减该金融资产的账面价值。</w:t>
      </w:r>
    </w:p>
    <w:p>
      <w:pPr>
        <w:pStyle w:val="BodyText"/>
        <w:spacing w:line="408" w:lineRule="auto"/>
        <w:ind w:left="573" w:right="992"/>
        <w:jc w:val="left"/>
      </w:pPr>
      <w:r>
        <w:rPr/>
        <w:t>⑦核销</w:t>
      </w:r>
      <w:r>
        <w:rPr>
          <w:spacing w:val="-102"/>
        </w:rPr>
        <w:t> </w:t>
      </w:r>
      <w:r>
        <w:rPr>
          <w:spacing w:val="-2"/>
        </w:rPr>
        <w:t>如果本集团不再合理预期金融资产合同现金流量能够全部或部分收回，则直接减记该金融资产的账面</w:t>
      </w:r>
    </w:p>
    <w:p>
      <w:pPr>
        <w:pStyle w:val="BodyText"/>
        <w:spacing w:line="408" w:lineRule="auto"/>
        <w:ind w:right="1126"/>
        <w:jc w:val="both"/>
      </w:pPr>
      <w:r>
        <w:rPr>
          <w:spacing w:val="-2"/>
        </w:rPr>
        <w:t>余额。这种减记构成相关金融资产的终止确认。这种情况通常发生在本集团确定债务人没有资产或收入来</w:t>
      </w:r>
      <w:r>
        <w:rPr>
          <w:spacing w:val="-43"/>
        </w:rPr>
        <w:t> </w:t>
      </w:r>
      <w:r>
        <w:rPr>
          <w:spacing w:val="-43"/>
        </w:rPr>
      </w:r>
      <w:r>
        <w:rPr>
          <w:spacing w:val="-2"/>
        </w:rPr>
        <w:t>源可产生足够的现金流量以偿还将被减记的金额。但是，按照本集团收回到期款项的程序，被减记的金融</w:t>
      </w:r>
      <w:r>
        <w:rPr>
          <w:spacing w:val="-44"/>
        </w:rPr>
        <w:t> </w:t>
      </w:r>
      <w:r>
        <w:rPr>
          <w:spacing w:val="-44"/>
        </w:rPr>
      </w:r>
      <w:r>
        <w:rPr/>
        <w:t>资产仍可能受到执行活动的影响。</w:t>
      </w:r>
    </w:p>
    <w:p>
      <w:pPr>
        <w:pStyle w:val="BodyText"/>
        <w:spacing w:line="240" w:lineRule="auto"/>
        <w:ind w:left="573" w:right="992"/>
        <w:jc w:val="left"/>
      </w:pPr>
      <w:r>
        <w:rPr/>
        <w:t>已减记的金融资产以后又收回的，作为减值损失的转回计入收回当期的损益。</w:t>
      </w:r>
    </w:p>
    <w:p>
      <w:pPr>
        <w:spacing w:line="240" w:lineRule="auto" w:before="10"/>
        <w:rPr>
          <w:rFonts w:ascii="宋体" w:hAnsi="宋体" w:cs="宋体" w:eastAsia="宋体" w:hint="default"/>
          <w:sz w:val="14"/>
          <w:szCs w:val="14"/>
        </w:rPr>
      </w:pPr>
    </w:p>
    <w:p>
      <w:pPr>
        <w:pStyle w:val="BodyText"/>
        <w:spacing w:line="398" w:lineRule="auto" w:before="0"/>
        <w:ind w:left="573" w:right="992"/>
        <w:jc w:val="left"/>
      </w:pPr>
      <w:r>
        <w:rPr/>
        <w:t>（</w:t>
      </w:r>
      <w:r>
        <w:rPr>
          <w:rFonts w:ascii="Times New Roman" w:hAnsi="Times New Roman" w:cs="Times New Roman" w:eastAsia="Times New Roman" w:hint="default"/>
        </w:rPr>
        <w:t>7</w:t>
      </w:r>
      <w:r>
        <w:rPr/>
        <w:t>）金融资产转移</w:t>
      </w:r>
      <w:r>
        <w:rPr>
          <w:w w:val="100"/>
        </w:rPr>
        <w:t> </w:t>
      </w:r>
      <w:r>
        <w:rPr/>
        <w:t>金融资产转移，是指将金融资产让与或交付给该金融资产发行方以外的另一方（转入方）。</w:t>
      </w:r>
      <w:r>
        <w:rPr>
          <w:w w:val="100"/>
        </w:rPr>
        <w:t> </w:t>
      </w:r>
      <w:r>
        <w:rPr>
          <w:spacing w:val="-2"/>
        </w:rPr>
        <w:t>本集团已将金融资产所有权上几乎所有的风险和报酬转移给转入方的，终止确认该金融资产；保留了</w:t>
      </w:r>
    </w:p>
    <w:p>
      <w:pPr>
        <w:pStyle w:val="BodyText"/>
        <w:spacing w:line="408" w:lineRule="auto" w:before="54"/>
        <w:ind w:left="573" w:right="992" w:hanging="421"/>
        <w:jc w:val="left"/>
      </w:pPr>
      <w:r>
        <w:rPr/>
        <w:t>金融资产所有权上几乎所有的风险和报酬的，不终止确认该金融资产。</w:t>
      </w:r>
      <w:r>
        <w:rPr>
          <w:w w:val="100"/>
        </w:rPr>
        <w:t> </w:t>
      </w:r>
      <w:r>
        <w:rPr>
          <w:spacing w:val="-2"/>
        </w:rPr>
        <w:t>本集团既没有转移也没有保留金融资产所有权上几乎所有的风险和报酬的，分别下列情况处理：放弃</w:t>
      </w:r>
    </w:p>
    <w:p>
      <w:pPr>
        <w:pStyle w:val="BodyText"/>
        <w:spacing w:line="240" w:lineRule="auto"/>
        <w:ind w:right="0"/>
        <w:jc w:val="both"/>
      </w:pPr>
      <w:r>
        <w:rPr/>
        <w:t>了对该金融资产控制的，终止确认该金融资产并确认产生的资产和负债；未放弃对该金融资产控制的，按</w:t>
      </w:r>
    </w:p>
    <w:p>
      <w:pPr>
        <w:spacing w:after="0" w:line="240"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照其继续涉入所转移金融资产的程度确认有关金融资产，并相应确认有关负债。</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t>（</w:t>
      </w:r>
      <w:r>
        <w:rPr>
          <w:rFonts w:ascii="Times New Roman" w:hAnsi="Times New Roman" w:cs="Times New Roman" w:eastAsia="Times New Roman" w:hint="default"/>
        </w:rPr>
        <w:t>8</w:t>
      </w:r>
      <w:r>
        <w:rPr/>
        <w:t>）金融资产和金融负债的抵销</w:t>
      </w:r>
      <w:r>
        <w:rPr>
          <w:w w:val="100"/>
        </w:rPr>
        <w:t> </w:t>
      </w:r>
      <w:r>
        <w:rPr>
          <w:spacing w:val="-2"/>
        </w:rPr>
        <w:t>当本集团具有抵销已确认金融资产和金融负债的法定权利，且目前可执行该种法定权利，同时本集团</w:t>
      </w:r>
    </w:p>
    <w:p>
      <w:pPr>
        <w:pStyle w:val="BodyText"/>
        <w:spacing w:line="408" w:lineRule="auto" w:before="65"/>
        <w:ind w:right="992"/>
        <w:jc w:val="left"/>
      </w:pPr>
      <w:r>
        <w:rPr>
          <w:spacing w:val="-2"/>
        </w:rPr>
        <w:t>计划以净额结算或同时变现该金融资产和清偿该金融负债时，金融资产和金融负债以相互抵销后的金额在</w:t>
      </w:r>
      <w:r>
        <w:rPr>
          <w:spacing w:val="-43"/>
        </w:rPr>
        <w:t> </w:t>
      </w:r>
      <w:r>
        <w:rPr>
          <w:spacing w:val="-43"/>
        </w:rPr>
      </w:r>
      <w:r>
        <w:rPr/>
        <w:t>资产负债表内列示。除此以外，金融资产和金融负债在资产负债表内分别列示，不予相互抵销。</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10</w:t>
      </w:r>
      <w:r>
        <w:rPr/>
        <w:t>、应收票据</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详见附注五、</w:t>
      </w:r>
      <w:r>
        <w:rPr>
          <w:rFonts w:ascii="Times New Roman" w:hAnsi="Times New Roman" w:cs="Times New Roman" w:eastAsia="Times New Roman" w:hint="default"/>
        </w:rPr>
        <w:t>9</w:t>
      </w:r>
      <w:r>
        <w:rPr/>
        <w:t>、金融工具。</w:t>
      </w:r>
    </w:p>
    <w:p>
      <w:pPr>
        <w:spacing w:line="240" w:lineRule="auto" w:before="9"/>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11</w:t>
      </w:r>
      <w:r>
        <w:rPr/>
        <w:t>、应收账款</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详见附注五、</w:t>
      </w:r>
      <w:r>
        <w:rPr>
          <w:rFonts w:ascii="Times New Roman" w:hAnsi="Times New Roman" w:cs="Times New Roman" w:eastAsia="Times New Roman" w:hint="default"/>
        </w:rPr>
        <w:t>9</w:t>
      </w:r>
      <w:r>
        <w:rPr/>
        <w:t>、金融工具。</w:t>
      </w:r>
    </w:p>
    <w:p>
      <w:pPr>
        <w:pStyle w:val="BodyText"/>
        <w:spacing w:line="670" w:lineRule="atLeast" w:before="21"/>
        <w:ind w:left="573" w:right="992" w:hanging="421"/>
        <w:jc w:val="left"/>
      </w:pPr>
      <w:r>
        <w:rPr>
          <w:rFonts w:ascii="Times New Roman" w:hAnsi="Times New Roman" w:cs="Times New Roman" w:eastAsia="Times New Roman" w:hint="default"/>
          <w:b/>
          <w:bCs/>
        </w:rPr>
        <w:t>12</w:t>
      </w:r>
      <w:r>
        <w:rPr>
          <w:rFonts w:ascii="宋体" w:hAnsi="宋体" w:cs="宋体" w:eastAsia="宋体" w:hint="default"/>
          <w:b/>
          <w:bCs/>
        </w:rPr>
        <w:t>、应收款项融资</w:t>
      </w:r>
      <w:r>
        <w:rPr>
          <w:rFonts w:ascii="宋体" w:hAnsi="宋体" w:cs="宋体" w:eastAsia="宋体" w:hint="default"/>
          <w:b/>
          <w:bCs/>
          <w:w w:val="100"/>
        </w:rPr>
        <w:t> </w:t>
      </w:r>
      <w:r>
        <w:rPr>
          <w:spacing w:val="-2"/>
        </w:rPr>
        <w:t>金融资产同时符合下列条件的，分类为以公允价值计量且其变动计入其他综合收益的金融资产：本公</w:t>
      </w:r>
    </w:p>
    <w:p>
      <w:pPr>
        <w:spacing w:line="240" w:lineRule="auto" w:before="10"/>
        <w:rPr>
          <w:rFonts w:ascii="宋体" w:hAnsi="宋体" w:cs="宋体" w:eastAsia="宋体" w:hint="default"/>
          <w:sz w:val="14"/>
          <w:szCs w:val="14"/>
        </w:rPr>
      </w:pPr>
    </w:p>
    <w:p>
      <w:pPr>
        <w:pStyle w:val="BodyText"/>
        <w:spacing w:line="408" w:lineRule="auto" w:before="0"/>
        <w:ind w:right="992"/>
        <w:jc w:val="left"/>
      </w:pPr>
      <w:r>
        <w:rPr>
          <w:spacing w:val="-2"/>
        </w:rPr>
        <w:t>司管理该金融资产的业务模式是既以收取合同现金流量为目标又以出售金融资产为目标；该金融资产的合</w:t>
      </w:r>
      <w:r>
        <w:rPr>
          <w:spacing w:val="-43"/>
        </w:rPr>
        <w:t> </w:t>
      </w:r>
      <w:r>
        <w:rPr>
          <w:spacing w:val="-43"/>
        </w:rPr>
      </w:r>
      <w:r>
        <w:rPr/>
        <w:t>同条款规定，在特定日期产生的现金流量，仅为对本金和以未偿付本金金额为基础的利息的支付。</w:t>
      </w:r>
    </w:p>
    <w:p>
      <w:pPr>
        <w:pStyle w:val="BodyText"/>
        <w:spacing w:line="408" w:lineRule="auto"/>
        <w:ind w:right="1126" w:firstLine="420"/>
        <w:jc w:val="both"/>
      </w:pPr>
      <w:r>
        <w:rPr>
          <w:spacing w:val="-2"/>
        </w:rPr>
        <w:t>本公司将持有的应收款项，以贴现或背书等形式转让，且该类业务较为频繁、涉及金额也较大的，其</w:t>
      </w:r>
      <w:r>
        <w:rPr>
          <w:w w:val="100"/>
        </w:rPr>
        <w:t> </w:t>
      </w:r>
      <w:r>
        <w:rPr>
          <w:spacing w:val="-2"/>
        </w:rPr>
        <w:t>管理业务模式实质为既收取合同现金流量又出售，按照金融工具准则的相关规定，将其分类至以公允价值</w:t>
      </w:r>
      <w:r>
        <w:rPr>
          <w:spacing w:val="-42"/>
        </w:rPr>
        <w:t> </w:t>
      </w:r>
      <w:r>
        <w:rPr>
          <w:spacing w:val="-42"/>
        </w:rPr>
      </w:r>
      <w:r>
        <w:rPr/>
        <w:t>计量变动且其变动计入其他综合收益的金融资产。</w:t>
      </w:r>
    </w:p>
    <w:p>
      <w:pPr>
        <w:pStyle w:val="BodyText"/>
        <w:spacing w:line="408" w:lineRule="auto"/>
        <w:ind w:right="992" w:firstLine="420"/>
        <w:jc w:val="left"/>
      </w:pPr>
      <w:r>
        <w:rPr>
          <w:spacing w:val="-2"/>
        </w:rPr>
        <w:t>本公司将管理业务模式为收取合同现金流及出售转让兼有的银行承兑汇票划分为以公允价值计量且</w:t>
      </w:r>
      <w:r>
        <w:rPr>
          <w:w w:val="100"/>
        </w:rPr>
        <w:t> </w:t>
      </w:r>
      <w:r>
        <w:rPr/>
        <w:t>其变动计入其他综合收益的金融资产。</w:t>
      </w:r>
    </w:p>
    <w:p>
      <w:pPr>
        <w:spacing w:line="240" w:lineRule="auto" w:before="8"/>
        <w:rPr>
          <w:rFonts w:ascii="宋体" w:hAnsi="宋体" w:cs="宋体" w:eastAsia="宋体" w:hint="default"/>
          <w:sz w:val="20"/>
          <w:szCs w:val="20"/>
        </w:rPr>
      </w:pPr>
    </w:p>
    <w:p>
      <w:pPr>
        <w:spacing w:line="568" w:lineRule="auto" w:before="0"/>
        <w:ind w:left="573" w:right="70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详见附注五、</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、金融工具。</w:t>
      </w:r>
    </w:p>
    <w:p>
      <w:pPr>
        <w:pStyle w:val="Heading4"/>
        <w:spacing w:line="240" w:lineRule="auto" w:before="82"/>
        <w:ind w:right="992"/>
        <w:jc w:val="left"/>
        <w:rPr>
          <w:b w:val="0"/>
          <w:bCs w:val="0"/>
        </w:rPr>
      </w:pPr>
      <w:r>
        <w:rPr>
          <w:rFonts w:ascii="Times New Roman" w:hAnsi="Times New Roman" w:cs="Times New Roman" w:eastAsia="Times New Roman" w:hint="default"/>
        </w:rPr>
        <w:t>14</w:t>
      </w:r>
      <w:r>
        <w:rPr/>
        <w:t>、存货</w:t>
      </w:r>
      <w:r>
        <w:rPr>
          <w:b w:val="0"/>
          <w:bCs w:val="0"/>
        </w:rPr>
      </w:r>
    </w:p>
    <w:p>
      <w:pPr>
        <w:spacing w:line="240" w:lineRule="auto" w:before="9"/>
        <w:rPr>
          <w:rFonts w:ascii="宋体" w:hAnsi="宋体" w:cs="宋体" w:eastAsia="宋体" w:hint="default"/>
          <w:b/>
          <w:bCs/>
          <w:sz w:val="30"/>
          <w:szCs w:val="30"/>
        </w:rPr>
      </w:pPr>
    </w:p>
    <w:p>
      <w:pPr>
        <w:pStyle w:val="BodyText"/>
        <w:spacing w:line="386" w:lineRule="auto" w:before="0"/>
        <w:ind w:left="573" w:right="1936"/>
        <w:jc w:val="left"/>
      </w:pPr>
      <w:r>
        <w:rPr/>
        <w:t>（</w:t>
      </w:r>
      <w:r>
        <w:rPr>
          <w:rFonts w:ascii="Times New Roman" w:hAnsi="Times New Roman" w:cs="Times New Roman" w:eastAsia="Times New Roman" w:hint="default"/>
        </w:rPr>
        <w:t>1</w:t>
      </w:r>
      <w:r>
        <w:rPr/>
        <w:t>）存货的分类</w:t>
      </w:r>
      <w:r>
        <w:rPr>
          <w:w w:val="100"/>
        </w:rPr>
        <w:t> </w:t>
      </w:r>
      <w:r>
        <w:rPr>
          <w:spacing w:val="-2"/>
        </w:rPr>
        <w:t>本集团存货分为原材料、在产品、库存商品、发出商品、委托加工物资等。</w:t>
      </w:r>
    </w:p>
    <w:p>
      <w:pPr>
        <w:pStyle w:val="BodyText"/>
        <w:spacing w:line="386" w:lineRule="auto" w:before="65"/>
        <w:ind w:left="573" w:right="992"/>
        <w:jc w:val="left"/>
      </w:pPr>
      <w:r>
        <w:rPr/>
        <w:t>（</w:t>
      </w:r>
      <w:r>
        <w:rPr>
          <w:rFonts w:ascii="Times New Roman" w:hAnsi="Times New Roman" w:cs="Times New Roman" w:eastAsia="Times New Roman" w:hint="default"/>
        </w:rPr>
        <w:t>2</w:t>
      </w:r>
      <w:r>
        <w:rPr/>
        <w:t>）发出存货的计价方法</w:t>
      </w:r>
      <w:r>
        <w:rPr>
          <w:w w:val="100"/>
        </w:rPr>
        <w:t> </w:t>
      </w:r>
      <w:r>
        <w:rPr>
          <w:spacing w:val="-2"/>
        </w:rPr>
        <w:t>本集团存货取得时按实际成本计价。原材料、库存商品等发出时采用加权平均法计价。</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3" w:right="992"/>
        <w:jc w:val="left"/>
      </w:pPr>
      <w:r>
        <w:rPr/>
        <w:t>（</w:t>
      </w: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存货可变现净值是按存货的估计售价减去至完工时估计将要发生的成本、估计的销售费用以及相关税</w:t>
      </w:r>
    </w:p>
    <w:p>
      <w:pPr>
        <w:pStyle w:val="BodyText"/>
        <w:spacing w:line="408" w:lineRule="auto" w:before="65"/>
        <w:ind w:right="992"/>
        <w:jc w:val="left"/>
      </w:pPr>
      <w:r>
        <w:rPr>
          <w:spacing w:val="-2"/>
        </w:rPr>
        <w:t>费后的金额。在确定存货的可变现净值时，以取得的确凿证据为基础，同时考虑持有存货的目的以及资产</w:t>
      </w:r>
      <w:r>
        <w:rPr>
          <w:spacing w:val="-43"/>
        </w:rPr>
        <w:t> </w:t>
      </w:r>
      <w:r>
        <w:rPr>
          <w:spacing w:val="-43"/>
        </w:rPr>
      </w:r>
      <w:r>
        <w:rPr/>
        <w:t>负债表日后事项的影响。</w:t>
      </w:r>
    </w:p>
    <w:p>
      <w:pPr>
        <w:pStyle w:val="BodyText"/>
        <w:spacing w:line="408" w:lineRule="auto"/>
        <w:ind w:right="1126" w:firstLine="420"/>
        <w:jc w:val="both"/>
      </w:pPr>
      <w:r>
        <w:rPr>
          <w:spacing w:val="-2"/>
        </w:rPr>
        <w:t>资产负债表日，存货成本高于其可变现净值的，计提存货跌价准备。本集团通常按照单个存货项目计</w:t>
      </w:r>
      <w:r>
        <w:rPr>
          <w:w w:val="100"/>
        </w:rPr>
        <w:t> </w:t>
      </w:r>
      <w:r>
        <w:rPr>
          <w:spacing w:val="-2"/>
        </w:rPr>
        <w:t>提存货跌价准备，资产负债表日，以前减记存货价值的影响因素已经消失的，存货跌价准备在原已计提的</w:t>
      </w:r>
      <w:r>
        <w:rPr>
          <w:spacing w:val="-44"/>
        </w:rPr>
        <w:t> </w:t>
      </w:r>
      <w:r>
        <w:rPr>
          <w:spacing w:val="-44"/>
        </w:rPr>
      </w:r>
      <w:r>
        <w:rPr/>
        <w:t>金额内转回。</w:t>
      </w:r>
    </w:p>
    <w:p>
      <w:pPr>
        <w:pStyle w:val="BodyText"/>
        <w:spacing w:line="324" w:lineRule="auto"/>
        <w:ind w:left="573" w:right="6375"/>
        <w:jc w:val="left"/>
      </w:pPr>
      <w:r>
        <w:rPr/>
        <w:t>（</w:t>
      </w:r>
      <w:r>
        <w:rPr>
          <w:rFonts w:ascii="Times New Roman" w:hAnsi="Times New Roman" w:cs="Times New Roman" w:eastAsia="Times New Roman" w:hint="default"/>
        </w:rPr>
        <w:t>4</w:t>
      </w:r>
      <w:r>
        <w:rPr/>
        <w:t>）存货的盘存制度</w:t>
      </w:r>
      <w:r>
        <w:rPr>
          <w:w w:val="100"/>
        </w:rPr>
        <w:t> </w:t>
      </w:r>
      <w:r>
        <w:rPr>
          <w:spacing w:val="-2"/>
        </w:rPr>
        <w:t>本集团存货盘存制度采用永续盘存制。</w:t>
      </w:r>
    </w:p>
    <w:p>
      <w:pPr>
        <w:spacing w:line="240" w:lineRule="auto" w:before="3"/>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长期股权投资包括对子公司、合营企业和联营企业的权益性投资。本集团能够对被投资单位施加重大</w:t>
      </w:r>
      <w:r>
        <w:rPr>
          <w:w w:val="100"/>
        </w:rPr>
        <w:t> </w:t>
      </w:r>
      <w:r>
        <w:rPr/>
        <w:t>影响的，为本集团的联营企业。</w:t>
      </w:r>
    </w:p>
    <w:p>
      <w:pPr>
        <w:pStyle w:val="BodyText"/>
        <w:spacing w:line="408" w:lineRule="auto"/>
        <w:ind w:left="573" w:right="992"/>
        <w:jc w:val="left"/>
      </w:pPr>
      <w:r>
        <w:rPr/>
        <w:t>（</w:t>
      </w:r>
      <w:r>
        <w:rPr>
          <w:rFonts w:ascii="宋体" w:hAnsi="宋体" w:cs="宋体" w:eastAsia="宋体" w:hint="default"/>
        </w:rPr>
        <w:t>1</w:t>
      </w:r>
      <w:r>
        <w:rPr/>
        <w:t>）初始投资成本确定</w:t>
      </w:r>
      <w:r>
        <w:rPr>
          <w:w w:val="100"/>
        </w:rPr>
        <w:t> </w:t>
      </w:r>
      <w:r>
        <w:rPr>
          <w:spacing w:val="-2"/>
        </w:rPr>
        <w:t>形成企业合并的长期股权投资：同一控制下企业合并取得的长期股权投资，在合并日按照取得被合并</w:t>
      </w:r>
    </w:p>
    <w:p>
      <w:pPr>
        <w:pStyle w:val="BodyText"/>
        <w:spacing w:line="408" w:lineRule="auto"/>
        <w:ind w:right="992"/>
        <w:jc w:val="left"/>
      </w:pPr>
      <w:r>
        <w:rPr>
          <w:spacing w:val="-2"/>
        </w:rPr>
        <w:t>方所有者权益在最终控制方合并财务报表中的账面价值份额作为投资成本；非同一控制下企业合并取得的</w:t>
      </w:r>
      <w:r>
        <w:rPr>
          <w:spacing w:val="-43"/>
        </w:rPr>
        <w:t> </w:t>
      </w:r>
      <w:r>
        <w:rPr>
          <w:spacing w:val="-43"/>
        </w:rPr>
      </w:r>
      <w:r>
        <w:rPr/>
        <w:t>长期股权投资，按照合并成本作为长期股权投资的投资成本。</w:t>
      </w:r>
    </w:p>
    <w:p>
      <w:pPr>
        <w:pStyle w:val="BodyText"/>
        <w:spacing w:line="408" w:lineRule="auto" w:before="44"/>
        <w:ind w:right="1126" w:firstLine="420"/>
        <w:jc w:val="both"/>
      </w:pPr>
      <w:r>
        <w:rPr>
          <w:spacing w:val="-2"/>
        </w:rPr>
        <w:t>对于其他方式取得的长期股权投资：支付现金取得的长期股权投资，按照实际支付的购买价款作为初</w:t>
      </w:r>
      <w:r>
        <w:rPr>
          <w:w w:val="100"/>
        </w:rPr>
        <w:t> </w:t>
      </w:r>
      <w:r>
        <w:rPr/>
        <w:t>始投资成本；发行权益性证券取得的长期股权投资，以发行权益性证券的公允价值作为初始投资成本。</w:t>
      </w:r>
    </w:p>
    <w:p>
      <w:pPr>
        <w:pStyle w:val="BodyText"/>
        <w:spacing w:line="408" w:lineRule="auto"/>
        <w:ind w:left="573" w:right="992"/>
        <w:jc w:val="left"/>
      </w:pPr>
      <w:r>
        <w:rPr/>
        <w:t>（</w:t>
      </w:r>
      <w:r>
        <w:rPr>
          <w:rFonts w:ascii="宋体" w:hAnsi="宋体" w:cs="宋体" w:eastAsia="宋体" w:hint="default"/>
        </w:rPr>
        <w:t>2</w:t>
      </w:r>
      <w:r>
        <w:rPr/>
        <w:t>）后续计量及损益确认方法</w:t>
      </w:r>
      <w:r>
        <w:rPr>
          <w:w w:val="100"/>
        </w:rPr>
        <w:t> </w:t>
      </w:r>
      <w:r>
        <w:rPr>
          <w:spacing w:val="-2"/>
        </w:rPr>
        <w:t>对子公司的投资，采用成本法核算，除非投资符合持有待售的条件；对联营企业和合营企业的投资，</w:t>
      </w:r>
    </w:p>
    <w:p>
      <w:pPr>
        <w:pStyle w:val="BodyText"/>
        <w:spacing w:line="408" w:lineRule="auto"/>
        <w:ind w:left="573" w:right="992" w:hanging="421"/>
        <w:jc w:val="left"/>
      </w:pPr>
      <w:r>
        <w:rPr/>
        <w:t>采用权益法核算。</w:t>
      </w:r>
      <w:r>
        <w:rPr>
          <w:w w:val="100"/>
        </w:rPr>
        <w:t> </w:t>
      </w:r>
      <w:r>
        <w:rPr>
          <w:spacing w:val="-2"/>
        </w:rPr>
        <w:t>采用成本法核算的长期股权投资，除取得投资时实际支付的价款或对价中包含的已宣告但尚未发放的</w:t>
      </w:r>
    </w:p>
    <w:p>
      <w:pPr>
        <w:pStyle w:val="BodyText"/>
        <w:spacing w:line="408" w:lineRule="auto"/>
        <w:ind w:left="573" w:right="992" w:hanging="421"/>
        <w:jc w:val="left"/>
      </w:pPr>
      <w:r>
        <w:rPr/>
        <w:t>现金股利或利润外，被投资单位宣告分派的现金股利或利润，确认为投资收益计入当期损益。</w:t>
      </w:r>
      <w:r>
        <w:rPr>
          <w:w w:val="100"/>
        </w:rPr>
        <w:t> </w:t>
      </w:r>
      <w:r>
        <w:rPr>
          <w:spacing w:val="-2"/>
        </w:rPr>
        <w:t>采用权益法核算的长期股权投资，初始投资成本大于投资时应享有被投资单位可辨认净资产公允价值</w:t>
      </w:r>
    </w:p>
    <w:p>
      <w:pPr>
        <w:pStyle w:val="BodyText"/>
        <w:spacing w:line="408" w:lineRule="auto"/>
        <w:ind w:right="992"/>
        <w:jc w:val="left"/>
      </w:pPr>
      <w:r>
        <w:rPr>
          <w:spacing w:val="-2"/>
        </w:rPr>
        <w:t>份额的，不调整长期股权投资的投资成本；初始投资成本小于投资时应享有被投资单位可辨认净资产公允</w:t>
      </w:r>
      <w:r>
        <w:rPr>
          <w:spacing w:val="-44"/>
        </w:rPr>
        <w:t> </w:t>
      </w:r>
      <w:r>
        <w:rPr>
          <w:spacing w:val="-44"/>
        </w:rPr>
      </w:r>
      <w:r>
        <w:rPr/>
        <w:t>价值份额的，对长期股权投资的账面价值进行调整，差额计入投资当期的损益。</w:t>
      </w:r>
    </w:p>
    <w:p>
      <w:pPr>
        <w:pStyle w:val="BodyText"/>
        <w:spacing w:line="408" w:lineRule="auto"/>
        <w:ind w:right="1126" w:firstLine="420"/>
        <w:jc w:val="both"/>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股利计算应享有的部分，相应减少长期股权投资的账面价值；被投资单位除净损益、其他综合收益和利润</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分配以外所有者权益的其他变动，调整长期股权投资的账面价值并计入资本公积（其他资本公积）。在确</w:t>
      </w:r>
      <w:r>
        <w:rPr>
          <w:spacing w:val="-44"/>
        </w:rPr>
        <w:t> </w:t>
      </w:r>
      <w:r>
        <w:rPr>
          <w:spacing w:val="-44"/>
        </w:rPr>
      </w:r>
      <w:r>
        <w:rPr>
          <w:spacing w:val="-2"/>
        </w:rPr>
        <w:t>认应享有被投资单位净损益的份额时，以取得投资时被投资单位各项可辨认资产等的公允价值为基础，并</w:t>
      </w:r>
      <w:r>
        <w:rPr>
          <w:spacing w:val="-44"/>
        </w:rPr>
        <w:t> </w:t>
      </w:r>
      <w:r>
        <w:rPr>
          <w:spacing w:val="-44"/>
        </w:rPr>
      </w:r>
      <w:r>
        <w:rPr/>
        <w:t>按照本集团的会计政策及会计期间，对被投资单位的净利润进行调整后确认。</w:t>
      </w:r>
    </w:p>
    <w:p>
      <w:pPr>
        <w:pStyle w:val="BodyText"/>
        <w:spacing w:line="408" w:lineRule="auto"/>
        <w:ind w:right="1126" w:firstLine="420"/>
        <w:jc w:val="both"/>
      </w:pPr>
      <w:r>
        <w:rPr>
          <w:spacing w:val="-2"/>
        </w:rPr>
        <w:t>因追加投资等原因能够对被投资单位施加重大影响或实施共同控制但不构成控制的，在转换日，按照</w:t>
      </w:r>
      <w:r>
        <w:rPr>
          <w:w w:val="100"/>
        </w:rPr>
        <w:t> </w:t>
      </w:r>
      <w:r>
        <w:rPr>
          <w:spacing w:val="-2"/>
        </w:rPr>
        <w:t>原股权的公允价值加上新增投资成本之和，作为改按权益法核算的初始投资成本。原股权于转换日的公允</w:t>
      </w:r>
      <w:r>
        <w:rPr>
          <w:spacing w:val="-43"/>
        </w:rPr>
        <w:t> </w:t>
      </w:r>
      <w:r>
        <w:rPr>
          <w:spacing w:val="-43"/>
        </w:rPr>
      </w:r>
      <w:r>
        <w:rPr>
          <w:spacing w:val="-2"/>
        </w:rPr>
        <w:t>价值与账面价值之间的差额，以及原计入其他综合收益的累计公允价值变动转入改按权益法核算的当期损</w:t>
      </w:r>
      <w:r>
        <w:rPr>
          <w:spacing w:val="-43"/>
        </w:rPr>
        <w:t> </w:t>
      </w:r>
      <w:r>
        <w:rPr>
          <w:spacing w:val="-43"/>
        </w:rPr>
      </w:r>
      <w:r>
        <w:rPr/>
        <w:t>益。</w:t>
      </w:r>
    </w:p>
    <w:p>
      <w:pPr>
        <w:pStyle w:val="BodyText"/>
        <w:spacing w:line="408" w:lineRule="auto"/>
        <w:ind w:right="1126" w:firstLine="420"/>
        <w:jc w:val="both"/>
      </w:pPr>
      <w:r>
        <w:rPr>
          <w:spacing w:val="-2"/>
        </w:rPr>
        <w:t>因处置部分股权投资等原因丧失了对被投资单位的共同控制或重大影响的，处置后的剩余股权在丧失</w:t>
      </w:r>
      <w:r>
        <w:rPr>
          <w:w w:val="100"/>
        </w:rPr>
        <w:t> </w:t>
      </w:r>
      <w:r>
        <w:rPr>
          <w:spacing w:val="-2"/>
        </w:rPr>
        <w:t>共同控制或重大影响之日改按《企业会计准则第</w:t>
      </w:r>
      <w:r>
        <w:rPr>
          <w:rFonts w:ascii="宋体" w:hAnsi="宋体" w:cs="宋体" w:eastAsia="宋体" w:hint="default"/>
          <w:spacing w:val="-2"/>
        </w:rPr>
        <w:t>22</w:t>
      </w:r>
      <w:r>
        <w:rPr>
          <w:spacing w:val="-2"/>
        </w:rPr>
        <w:t>号—金融工具确认和计量》进行会计处理，公允价值与</w:t>
      </w:r>
      <w:r>
        <w:rPr>
          <w:spacing w:val="-41"/>
        </w:rPr>
        <w:t> </w:t>
      </w:r>
      <w:r>
        <w:rPr>
          <w:spacing w:val="-41"/>
        </w:rPr>
      </w:r>
      <w:r>
        <w:rPr>
          <w:spacing w:val="-2"/>
        </w:rPr>
        <w:t>账面价值之间的差额计入当期损益。原股权投资因采用权益法核算而确认的其他综合收益，在终止采用权</w:t>
      </w:r>
      <w:r>
        <w:rPr>
          <w:spacing w:val="-41"/>
        </w:rPr>
        <w:t> </w:t>
      </w:r>
      <w:r>
        <w:rPr>
          <w:spacing w:val="-41"/>
        </w:rPr>
      </w:r>
      <w:r>
        <w:rPr>
          <w:spacing w:val="-2"/>
        </w:rPr>
        <w:t>益法核算时采用与被投资单位直接处置相关资产或负债相同的基础进行会计处理；原股权投资相关的其他</w:t>
      </w:r>
      <w:r>
        <w:rPr>
          <w:spacing w:val="-43"/>
        </w:rPr>
        <w:t> </w:t>
      </w:r>
      <w:r>
        <w:rPr>
          <w:spacing w:val="-43"/>
        </w:rPr>
      </w:r>
      <w:r>
        <w:rPr/>
        <w:t>所有者权益变动转入当期损益。</w:t>
      </w:r>
    </w:p>
    <w:p>
      <w:pPr>
        <w:pStyle w:val="BodyText"/>
        <w:spacing w:line="408" w:lineRule="auto"/>
        <w:ind w:right="992" w:firstLine="420"/>
        <w:jc w:val="left"/>
      </w:pPr>
      <w:r>
        <w:rPr/>
        <w:t>因处置部分股权投资等原因丧失了对被投资单位的控制的，处置后的剩余股权能够对被投资单位实施</w:t>
      </w:r>
      <w:r>
        <w:rPr>
          <w:w w:val="100"/>
        </w:rPr>
        <w:t> </w:t>
      </w:r>
      <w:r>
        <w:rPr>
          <w:spacing w:val="-5"/>
        </w:rPr>
        <w:t>共同控制或施加重大影响的，改按权益法核算，并对该剩余股权视同自取得时即采用权益法核算进行调整； </w:t>
      </w:r>
      <w:r>
        <w:rPr>
          <w:spacing w:val="-5"/>
        </w:rPr>
      </w:r>
      <w:r>
        <w:rPr>
          <w:spacing w:val="-2"/>
        </w:rPr>
        <w:t>处置后的剩余股权不能对被投资单位实施共同控制或施加重大影响的，改按《企业会计准则第</w:t>
      </w:r>
      <w:r>
        <w:rPr>
          <w:rFonts w:ascii="宋体" w:hAnsi="宋体" w:cs="宋体" w:eastAsia="宋体" w:hint="default"/>
          <w:spacing w:val="-2"/>
        </w:rPr>
        <w:t>22</w:t>
      </w:r>
      <w:r>
        <w:rPr>
          <w:spacing w:val="-2"/>
        </w:rPr>
        <w:t>号—金融</w:t>
      </w:r>
      <w:r>
        <w:rPr>
          <w:spacing w:val="-40"/>
        </w:rPr>
        <w:t> </w:t>
      </w:r>
      <w:r>
        <w:rPr>
          <w:spacing w:val="-40"/>
        </w:rPr>
      </w:r>
      <w:r>
        <w:rPr>
          <w:spacing w:val="-2"/>
        </w:rPr>
        <w:t>工具确认和计量》的有关规定进行会计处理，其在丧失控制之日的公允价值与账面价值之间的差额计入当</w:t>
      </w:r>
      <w:r>
        <w:rPr>
          <w:spacing w:val="-43"/>
        </w:rPr>
        <w:t> </w:t>
      </w:r>
      <w:r>
        <w:rPr>
          <w:spacing w:val="-43"/>
        </w:rPr>
      </w:r>
      <w:r>
        <w:rPr/>
        <w:t>期损益。</w:t>
      </w:r>
    </w:p>
    <w:p>
      <w:pPr>
        <w:pStyle w:val="BodyText"/>
        <w:spacing w:line="408" w:lineRule="auto"/>
        <w:ind w:right="1126" w:firstLine="420"/>
        <w:jc w:val="both"/>
      </w:pPr>
      <w:r>
        <w:rPr>
          <w:spacing w:val="-2"/>
        </w:rPr>
        <w:t>因其他投资方增资而导致本公司持股比例下降、从而丧失控制权但能对被投资单位实施共同控制或施</w:t>
      </w:r>
      <w:r>
        <w:rPr>
          <w:w w:val="100"/>
        </w:rPr>
        <w:t> </w:t>
      </w:r>
      <w:r>
        <w:rPr>
          <w:spacing w:val="-2"/>
        </w:rPr>
        <w:t>加重大影响的，按照新的持股比例确认本公司应享有的被投资单位因增资扩股而增加净资产的份额，与应</w:t>
      </w:r>
      <w:r>
        <w:rPr>
          <w:spacing w:val="-42"/>
        </w:rPr>
        <w:t> </w:t>
      </w:r>
      <w:r>
        <w:rPr>
          <w:spacing w:val="-42"/>
        </w:rPr>
      </w:r>
      <w:r>
        <w:rPr>
          <w:spacing w:val="-2"/>
        </w:rPr>
        <w:t>结转持股比例下降部分所对应的长期股权投资原账面价值之间的差额计入当期损益；然后，按照新的持股</w:t>
      </w:r>
      <w:r>
        <w:rPr>
          <w:spacing w:val="-44"/>
        </w:rPr>
        <w:t> </w:t>
      </w:r>
      <w:r>
        <w:rPr>
          <w:spacing w:val="-44"/>
        </w:rPr>
      </w:r>
      <w:r>
        <w:rPr/>
        <w:t>比例视同自取得投资时即采用权益法核算进行调整。</w:t>
      </w:r>
    </w:p>
    <w:p>
      <w:pPr>
        <w:pStyle w:val="BodyText"/>
        <w:spacing w:line="408" w:lineRule="auto"/>
        <w:ind w:right="992" w:firstLine="420"/>
        <w:jc w:val="left"/>
      </w:pPr>
      <w:r>
        <w:rPr/>
        <w:t>本集团与联营企业及合营企业之间发生的未实现内部交易损益按照持股比例计算归属于本集团的部</w:t>
      </w:r>
      <w:r>
        <w:rPr>
          <w:w w:val="100"/>
        </w:rPr>
        <w:t> </w:t>
      </w:r>
      <w:r>
        <w:rPr>
          <w:spacing w:val="-2"/>
        </w:rPr>
        <w:t>分，在抵销基础上确认投资损益。但本集团与被投资单位发生的未实现内部交易损失，属于所转让资产减</w:t>
      </w:r>
      <w:r>
        <w:rPr>
          <w:spacing w:val="-43"/>
        </w:rPr>
        <w:t> </w:t>
      </w:r>
      <w:r>
        <w:rPr>
          <w:spacing w:val="-43"/>
        </w:rPr>
      </w:r>
      <w:r>
        <w:rPr/>
        <w:t>值损失的，不予以抵销。</w:t>
      </w:r>
    </w:p>
    <w:p>
      <w:pPr>
        <w:pStyle w:val="BodyText"/>
        <w:spacing w:line="410" w:lineRule="auto"/>
        <w:ind w:left="573" w:right="992"/>
        <w:jc w:val="left"/>
      </w:pPr>
      <w:r>
        <w:rPr/>
        <w:t>（</w:t>
      </w:r>
      <w:r>
        <w:rPr>
          <w:rFonts w:ascii="宋体" w:hAnsi="宋体" w:cs="宋体" w:eastAsia="宋体" w:hint="default"/>
        </w:rPr>
        <w:t>3</w:t>
      </w:r>
      <w:r>
        <w:rPr/>
        <w:t>）确定对被投资单位具有共同控制、重大影响的依据</w:t>
      </w:r>
      <w:r>
        <w:rPr>
          <w:w w:val="100"/>
        </w:rPr>
        <w:t> </w:t>
      </w:r>
      <w:r>
        <w:rPr>
          <w:spacing w:val="-2"/>
        </w:rPr>
        <w:t>共同控制，是指按照相关约定对某项安排所共有的控制，并且该安排的相关活动必须经过分享控制权</w:t>
      </w:r>
    </w:p>
    <w:p>
      <w:pPr>
        <w:pStyle w:val="BodyText"/>
        <w:spacing w:line="408" w:lineRule="auto" w:before="44"/>
        <w:ind w:right="1105"/>
        <w:jc w:val="both"/>
      </w:pPr>
      <w:r>
        <w:rPr>
          <w:spacing w:val="-2"/>
        </w:rPr>
        <w:t>的参与方一致同意后才能决策。在判断是否存在共同控制时，首先判断是否由所有参与方或参与方组合集</w:t>
      </w:r>
      <w:r>
        <w:rPr>
          <w:spacing w:val="-42"/>
        </w:rPr>
        <w:t> </w:t>
      </w:r>
      <w:r>
        <w:rPr>
          <w:spacing w:val="-42"/>
        </w:rPr>
      </w:r>
      <w:r>
        <w:rPr>
          <w:spacing w:val="-2"/>
        </w:rPr>
        <w:t>体控制该安排，其次再判断该安排相关活动的决策是否必须经过这些集体控制该安排的参与方一致同意。</w:t>
      </w:r>
      <w:r>
        <w:rPr>
          <w:spacing w:val="-21"/>
        </w:rPr>
        <w:t> </w:t>
      </w:r>
      <w:r>
        <w:rPr>
          <w:spacing w:val="-21"/>
        </w:rPr>
      </w:r>
      <w:r>
        <w:rPr>
          <w:spacing w:val="-2"/>
        </w:rPr>
        <w:t>如果所有参与方或一组参与方必须一致行动才能决定某项安排的相关活动，则认为所有参与方或一组参与</w:t>
      </w:r>
      <w:r>
        <w:rPr>
          <w:spacing w:val="-43"/>
        </w:rPr>
        <w:t> </w:t>
      </w:r>
      <w:r>
        <w:rPr>
          <w:spacing w:val="-43"/>
        </w:rPr>
      </w:r>
      <w:r>
        <w:rPr>
          <w:spacing w:val="-2"/>
        </w:rPr>
        <w:t>方集体控制该安排；如果存在两个或两个以上的参与方组合能够集体控制某项安排的，不构成共同控制。</w:t>
      </w:r>
    </w:p>
    <w:p>
      <w:pPr>
        <w:spacing w:after="0" w:line="408" w:lineRule="auto"/>
        <w:jc w:val="both"/>
        <w:sectPr>
          <w:footerReference w:type="default" r:id="rId21"/>
          <w:pgSz w:w="11910" w:h="16840"/>
          <w:pgMar w:footer="980" w:header="877" w:top="1100" w:bottom="1160" w:left="980" w:right="0"/>
          <w:pgNumType w:start="110"/>
        </w:sectPr>
      </w:pPr>
    </w:p>
    <w:p>
      <w:pPr>
        <w:spacing w:line="240" w:lineRule="auto" w:before="9"/>
        <w:rPr>
          <w:rFonts w:ascii="宋体" w:hAnsi="宋体" w:cs="宋体" w:eastAsia="宋体" w:hint="default"/>
          <w:sz w:val="26"/>
          <w:szCs w:val="26"/>
        </w:rPr>
      </w:pPr>
    </w:p>
    <w:p>
      <w:pPr>
        <w:pStyle w:val="BodyText"/>
        <w:spacing w:line="408" w:lineRule="auto" w:before="36"/>
        <w:ind w:left="573" w:right="992" w:hanging="421"/>
        <w:jc w:val="left"/>
      </w:pPr>
      <w:r>
        <w:rPr/>
        <w:t>判断是否存在共同控制时，不考虑享有的保护性权利。</w:t>
      </w:r>
      <w:r>
        <w:rPr>
          <w:w w:val="100"/>
        </w:rPr>
        <w:t> </w:t>
      </w:r>
      <w:r>
        <w:rPr>
          <w:spacing w:val="-2"/>
        </w:rPr>
        <w:t>重大影响，是指投资方对被投资单位的财务和经营政策有参与决策的权力，但并不能够控制或者与其</w:t>
      </w:r>
    </w:p>
    <w:p>
      <w:pPr>
        <w:pStyle w:val="BodyText"/>
        <w:spacing w:line="408" w:lineRule="auto"/>
        <w:ind w:right="992"/>
        <w:jc w:val="left"/>
      </w:pPr>
      <w:r>
        <w:rPr>
          <w:spacing w:val="-2"/>
        </w:rPr>
        <w:t>他方一起共同控制这些政策的制定。在确定能否对被投资单位施加重大影响时，考虑投资方直接或间接持</w:t>
      </w:r>
      <w:r>
        <w:rPr>
          <w:spacing w:val="-43"/>
        </w:rPr>
        <w:t> </w:t>
      </w:r>
      <w:r>
        <w:rPr>
          <w:spacing w:val="-43"/>
        </w:rPr>
      </w:r>
      <w:r>
        <w:rPr/>
        <w:t>有被投资单位的表决权股份以及投资方及其他方持有的当期可执行潜在表决权在假定转换为对被投资方</w:t>
      </w:r>
      <w:r>
        <w:rPr>
          <w:w w:val="100"/>
        </w:rPr>
        <w:t> </w:t>
      </w:r>
      <w:r>
        <w:rPr>
          <w:spacing w:val="-2"/>
        </w:rPr>
        <w:t>单位的股权后产生的影响，包括被投资单位发行的当期可转换的认股权证、股份期权及可转换公司债券等</w:t>
      </w:r>
      <w:r>
        <w:rPr>
          <w:spacing w:val="-43"/>
        </w:rPr>
        <w:t> </w:t>
      </w:r>
      <w:r>
        <w:rPr>
          <w:spacing w:val="-43"/>
        </w:rPr>
      </w:r>
      <w:r>
        <w:rPr/>
        <w:t>的影响。</w:t>
      </w:r>
    </w:p>
    <w:p>
      <w:pPr>
        <w:pStyle w:val="BodyText"/>
        <w:spacing w:line="408" w:lineRule="auto"/>
        <w:ind w:right="992" w:firstLine="420"/>
        <w:jc w:val="left"/>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的表决权股份时，一般</w:t>
      </w:r>
      <w:r>
        <w:rPr>
          <w:spacing w:val="-3"/>
          <w:w w:val="100"/>
        </w:rPr>
        <w:t> </w:t>
      </w:r>
      <w:r>
        <w:rPr>
          <w:spacing w:val="-2"/>
        </w:rPr>
        <w:t>认为对被投资单位具有重大影响，除非有明确证据表明该种情况下不能参与被投资单位的生产经营决策，</w:t>
      </w:r>
      <w:r>
        <w:rPr>
          <w:spacing w:val="-21"/>
        </w:rPr>
        <w:t> </w:t>
      </w:r>
      <w:r>
        <w:rPr>
          <w:spacing w:val="-21"/>
        </w:rPr>
      </w:r>
      <w:r>
        <w:rPr/>
        <w:t>不形成重大影响；本集团拥有被投资单位</w:t>
      </w:r>
      <w:r>
        <w:rPr>
          <w:rFonts w:ascii="宋体" w:hAnsi="宋体" w:cs="宋体" w:eastAsia="宋体" w:hint="default"/>
        </w:rPr>
        <w:t>20%</w:t>
      </w:r>
      <w:r>
        <w:rPr/>
        <w:t>（不含）以下的表决权股份时，一般不认为对被投资单位具</w:t>
      </w:r>
      <w:r>
        <w:rPr>
          <w:w w:val="100"/>
        </w:rPr>
        <w:t> </w:t>
      </w:r>
      <w:r>
        <w:rPr/>
        <w:t>有重大影响，除非有明确证据表明该种情况下能够参与被投资单位的生产经营决策，形成重大影响。</w:t>
      </w:r>
    </w:p>
    <w:p>
      <w:pPr>
        <w:pStyle w:val="BodyText"/>
        <w:spacing w:line="408" w:lineRule="auto"/>
        <w:ind w:left="573" w:right="992"/>
        <w:jc w:val="left"/>
      </w:pPr>
      <w:r>
        <w:rPr/>
        <w:t>（</w:t>
      </w:r>
      <w:r>
        <w:rPr>
          <w:rFonts w:ascii="宋体" w:hAnsi="宋体" w:cs="宋体" w:eastAsia="宋体" w:hint="default"/>
        </w:rPr>
        <w:t>4</w:t>
      </w:r>
      <w:r>
        <w:rPr/>
        <w:t>）减值测试方法及减值准备计提方法</w:t>
      </w:r>
      <w:r>
        <w:rPr>
          <w:w w:val="100"/>
        </w:rPr>
        <w:t> </w:t>
      </w:r>
      <w:r>
        <w:rPr>
          <w:spacing w:val="-2"/>
        </w:rPr>
        <w:t>对子公司、联营企业及合营企业的投资，计提资产减值的方法见附注五、</w:t>
      </w:r>
      <w:r>
        <w:rPr>
          <w:rFonts w:ascii="宋体" w:hAnsi="宋体" w:cs="宋体" w:eastAsia="宋体" w:hint="default"/>
          <w:spacing w:val="-2"/>
        </w:rPr>
        <w:t>19</w:t>
      </w:r>
      <w:r>
        <w:rPr>
          <w:spacing w:val="-2"/>
        </w:rPr>
        <w:t>。</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04" w:firstLine="420"/>
        <w:jc w:val="both"/>
      </w:pPr>
      <w:r>
        <w:rPr>
          <w:spacing w:val="-2"/>
        </w:rPr>
        <w:t>本集团固定资产是指为生产商品、提供劳务、出租或经营管理而持有的，使用寿命超过一个会计年度</w:t>
      </w:r>
      <w:r>
        <w:rPr>
          <w:w w:val="100"/>
        </w:rPr>
        <w:t> </w:t>
      </w:r>
      <w:r>
        <w:rPr>
          <w:spacing w:val="-2"/>
        </w:rPr>
        <w:t>的有形资产。与该固定资产有关的经济利益很可能流入企业，并且该固定资产的成本能够可靠地计量时，</w:t>
      </w:r>
      <w:r>
        <w:rPr>
          <w:spacing w:val="-21"/>
        </w:rPr>
        <w:t> </w:t>
      </w:r>
      <w:r>
        <w:rPr>
          <w:spacing w:val="-21"/>
        </w:rPr>
      </w:r>
      <w:r>
        <w:rPr/>
        <w:t>固定资产才能予以确认。本集团固定资产按照取得时的实际成本进行初始计量。</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92" w:firstLine="420"/>
        <w:jc w:val="left"/>
      </w:pPr>
      <w:r>
        <w:rPr>
          <w:spacing w:val="-2"/>
        </w:rPr>
        <w:t>本集团在建工程成本按实际工程支出确定，包括在建期间发生的各项必要工程支出、工程达到预定可</w:t>
      </w:r>
      <w:r>
        <w:rPr>
          <w:w w:val="100"/>
        </w:rPr>
        <w:t> </w:t>
      </w:r>
      <w:r>
        <w:rPr/>
        <w:t>使用状态前的应予资本化的借款费用以及其他相关费用等。</w:t>
      </w:r>
    </w:p>
    <w:p>
      <w:pPr>
        <w:pStyle w:val="BodyText"/>
        <w:spacing w:line="240" w:lineRule="auto"/>
        <w:ind w:left="573" w:right="992"/>
        <w:jc w:val="left"/>
      </w:pPr>
      <w:r>
        <w:rPr/>
        <w:t>在建工程在达到预定可使用状态时转入固定资产。</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t>在建工程计提资产减值方法见附注五、</w:t>
      </w:r>
      <w:r>
        <w:rPr>
          <w:rFonts w:ascii="Times New Roman" w:hAnsi="Times New Roman" w:cs="Times New Roman" w:eastAsia="Times New Roman" w:hint="default"/>
        </w:rPr>
        <w:t>19</w:t>
      </w:r>
      <w:r>
        <w:rPr/>
        <w:t>。</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992"/>
        <w:jc w:val="left"/>
      </w:pPr>
      <w:r>
        <w:rPr/>
        <w:t>本集团无形资产包括土地使用权、专利权、著作权、软件使用权等。</w:t>
      </w:r>
      <w:r>
        <w:rPr>
          <w:w w:val="100"/>
        </w:rPr>
        <w:t> </w:t>
      </w:r>
      <w:r>
        <w:rPr>
          <w:spacing w:val="-2"/>
        </w:rPr>
        <w:t>无形资产按照成本进行初始计量，并于取得无形资产时分析判断其使用寿命。使用寿命为有限的，自</w:t>
      </w:r>
    </w:p>
    <w:p>
      <w:pPr>
        <w:pStyle w:val="BodyText"/>
        <w:spacing w:line="408" w:lineRule="auto"/>
        <w:ind w:right="992"/>
        <w:jc w:val="left"/>
      </w:pPr>
      <w:r>
        <w:rPr>
          <w:spacing w:val="-2"/>
        </w:rPr>
        <w:t>无形资产可供使用时起，采用能反映与该资产有关的经济利益的预期实现方式的摊销方法，在预计使用年</w:t>
      </w:r>
      <w:r>
        <w:rPr>
          <w:spacing w:val="-42"/>
        </w:rPr>
        <w:t> </w:t>
      </w:r>
      <w:r>
        <w:rPr>
          <w:spacing w:val="-42"/>
        </w:rPr>
      </w:r>
      <w:r>
        <w:rPr/>
        <w:t>限内摊销；无法可靠确定预期实现方式的，采用直线法摊销；使用寿命不确定的无形资产，不作摊销。</w:t>
      </w:r>
    </w:p>
    <w:p>
      <w:pPr>
        <w:pStyle w:val="BodyText"/>
        <w:spacing w:line="240" w:lineRule="auto"/>
        <w:ind w:left="573" w:right="992"/>
        <w:jc w:val="left"/>
      </w:pPr>
      <w:r>
        <w:rPr/>
        <w:t>使用寿命有限的无形资产摊销方法如下：</w:t>
      </w:r>
    </w:p>
    <w:p>
      <w:pPr>
        <w:spacing w:line="240" w:lineRule="auto" w:before="12"/>
        <w:rPr>
          <w:rFonts w:ascii="宋体" w:hAnsi="宋体" w:cs="宋体" w:eastAsia="宋体" w:hint="default"/>
          <w:sz w:val="9"/>
          <w:szCs w:val="9"/>
        </w:rPr>
      </w:pPr>
    </w:p>
    <w:tbl>
      <w:tblPr>
        <w:tblW w:w="0" w:type="auto"/>
        <w:jc w:val="left"/>
        <w:tblInd w:w="323" w:type="dxa"/>
        <w:tblLayout w:type="fixed"/>
        <w:tblCellMar>
          <w:top w:w="0" w:type="dxa"/>
          <w:left w:w="0" w:type="dxa"/>
          <w:bottom w:w="0" w:type="dxa"/>
          <w:right w:w="0" w:type="dxa"/>
        </w:tblCellMar>
        <w:tblLook w:val="01E0"/>
      </w:tblPr>
      <w:tblGrid>
        <w:gridCol w:w="3042"/>
        <w:gridCol w:w="2018"/>
        <w:gridCol w:w="2364"/>
        <w:gridCol w:w="1858"/>
      </w:tblGrid>
      <w:tr>
        <w:trPr>
          <w:trHeight w:val="506" w:hRule="exact"/>
        </w:trPr>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4" w:right="0"/>
              <w:jc w:val="center"/>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31"/>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22"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509" w:hRule="exact"/>
        </w:trPr>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9" w:right="0"/>
              <w:jc w:val="center"/>
              <w:rPr>
                <w:rFonts w:ascii="宋体" w:hAnsi="宋体" w:cs="宋体" w:eastAsia="宋体" w:hint="default"/>
                <w:sz w:val="18"/>
                <w:szCs w:val="18"/>
              </w:rPr>
            </w:pPr>
            <w:r>
              <w:rPr>
                <w:rFonts w:ascii="宋体" w:hAnsi="宋体" w:cs="宋体" w:eastAsia="宋体" w:hint="default"/>
                <w:sz w:val="18"/>
                <w:szCs w:val="18"/>
              </w:rPr>
              <w:t>土地使用税</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2"/>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506" w:hRule="exact"/>
        </w:trPr>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9"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22"/>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506" w:hRule="exact"/>
        </w:trPr>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9"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22"/>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08" w:lineRule="auto" w:before="64"/>
        <w:ind w:right="992" w:firstLine="420"/>
        <w:jc w:val="left"/>
      </w:pPr>
      <w:r>
        <w:rPr>
          <w:spacing w:val="-2"/>
        </w:rPr>
        <w:t>本集团于每年年度终了，对使用寿命有限的无形资产的使用寿命及摊销方法进行复核，与以前估计不</w:t>
      </w:r>
      <w:r>
        <w:rPr>
          <w:w w:val="100"/>
        </w:rPr>
        <w:t> </w:t>
      </w:r>
      <w:r>
        <w:rPr/>
        <w:t>同的，调整原先估计数，并按会计估计变更处理。</w:t>
      </w:r>
    </w:p>
    <w:p>
      <w:pPr>
        <w:pStyle w:val="BodyText"/>
        <w:spacing w:line="408" w:lineRule="auto"/>
        <w:ind w:right="992" w:firstLine="420"/>
        <w:jc w:val="left"/>
      </w:pPr>
      <w:r>
        <w:rPr>
          <w:spacing w:val="-2"/>
        </w:rPr>
        <w:t>资产负债表日预计某项无形资产已经不能给企业带来未来经济利益的，将该项无形资产的账面价值全</w:t>
      </w:r>
      <w:r>
        <w:rPr>
          <w:w w:val="100"/>
        </w:rPr>
        <w:t> </w:t>
      </w:r>
      <w:r>
        <w:rPr/>
        <w:t>部转入当期损益。</w:t>
      </w:r>
    </w:p>
    <w:p>
      <w:pPr>
        <w:pStyle w:val="BodyText"/>
        <w:spacing w:line="240" w:lineRule="auto"/>
        <w:ind w:left="573" w:right="992"/>
        <w:jc w:val="left"/>
      </w:pPr>
      <w:r>
        <w:rPr/>
        <w:t>无形资产计提资产减值方法见附注五、</w:t>
      </w:r>
      <w:r>
        <w:rPr>
          <w:rFonts w:ascii="Times New Roman" w:hAnsi="Times New Roman" w:cs="Times New Roman" w:eastAsia="Times New Roman" w:hint="default"/>
        </w:rPr>
        <w:t>19</w:t>
      </w:r>
      <w:r>
        <w:rPr/>
        <w:t>。</w:t>
      </w:r>
    </w:p>
    <w:p>
      <w:pPr>
        <w:spacing w:line="240" w:lineRule="auto" w:before="8"/>
        <w:rPr>
          <w:rFonts w:ascii="宋体" w:hAnsi="宋体" w:cs="宋体" w:eastAsia="宋体" w:hint="default"/>
          <w:sz w:val="30"/>
          <w:szCs w:val="3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992"/>
        <w:jc w:val="left"/>
      </w:pPr>
      <w:r>
        <w:rPr/>
        <w:t>本集团将内部研究开发项目的支出，区分为研究阶段支出和开发阶段支出。</w:t>
      </w:r>
      <w:r>
        <w:rPr>
          <w:w w:val="100"/>
        </w:rPr>
        <w:t> </w:t>
      </w:r>
      <w:r>
        <w:rPr/>
        <w:t>研究阶段的支出，于发生时计入当期损益。</w:t>
      </w:r>
      <w:r>
        <w:rPr>
          <w:w w:val="100"/>
        </w:rPr>
        <w:t> </w:t>
      </w:r>
      <w:r>
        <w:rPr>
          <w:spacing w:val="-2"/>
        </w:rPr>
        <w:t>开发阶段的支出，同时满足下列条件的，才能予以资本化，即：完成该无形资产以使其能够使用或出</w:t>
      </w:r>
    </w:p>
    <w:p>
      <w:pPr>
        <w:pStyle w:val="BodyText"/>
        <w:spacing w:line="408" w:lineRule="auto"/>
        <w:ind w:right="1126"/>
        <w:jc w:val="both"/>
      </w:pPr>
      <w:r>
        <w:rPr>
          <w:spacing w:val="-2"/>
        </w:rPr>
        <w:t>售在技术上具有可行性；具有完成该无形资产并使用或出售的意图；无形资产产生经济利益的方式，包括</w:t>
      </w:r>
      <w:r>
        <w:rPr>
          <w:spacing w:val="-43"/>
        </w:rPr>
        <w:t> </w:t>
      </w:r>
      <w:r>
        <w:rPr>
          <w:spacing w:val="-43"/>
        </w:rPr>
      </w:r>
      <w:r>
        <w:rPr>
          <w:spacing w:val="-2"/>
        </w:rPr>
        <w:t>能够证明运用该无形资产生产的产品存在市场或无形资产自身存在市场，无形资产将在内部使用的，能够</w:t>
      </w:r>
      <w:r>
        <w:rPr>
          <w:spacing w:val="-43"/>
        </w:rPr>
        <w:t> </w:t>
      </w:r>
      <w:r>
        <w:rPr>
          <w:spacing w:val="-43"/>
        </w:rPr>
      </w:r>
      <w:r>
        <w:rPr>
          <w:spacing w:val="-2"/>
        </w:rPr>
        <w:t>证明其有用性；有足够的技术、财务资源和其他资源支持，以完成该无形资产的开发，并有能力使用或出</w:t>
      </w:r>
      <w:r>
        <w:rPr>
          <w:spacing w:val="-50"/>
        </w:rPr>
        <w:t> </w:t>
      </w:r>
      <w:r>
        <w:rPr>
          <w:spacing w:val="-50"/>
        </w:rPr>
      </w:r>
      <w:r>
        <w:rPr>
          <w:spacing w:val="-2"/>
        </w:rPr>
        <w:t>售该无形资产；归属于该无形资产开发阶段的支出能够可靠地计量。不满足上述条件的开发支出计入当期</w:t>
      </w:r>
      <w:r>
        <w:rPr>
          <w:spacing w:val="-43"/>
        </w:rPr>
        <w:t> </w:t>
      </w:r>
      <w:r>
        <w:rPr>
          <w:spacing w:val="-43"/>
        </w:rPr>
      </w:r>
      <w:r>
        <w:rPr/>
        <w:t>损益。</w:t>
      </w:r>
    </w:p>
    <w:p>
      <w:pPr>
        <w:pStyle w:val="BodyText"/>
        <w:spacing w:line="240" w:lineRule="auto"/>
        <w:ind w:left="573" w:right="992"/>
        <w:jc w:val="left"/>
      </w:pPr>
      <w:r>
        <w:rPr/>
        <w:t>本集团研究开发项目在满足上述条件，通过技术可行性及经济可行性研究，形成项目立项后，进入开</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发阶段。</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已资本化的开发阶段的支出在资产负债表上列示为开发支出，自该项目达到预定用途之日转为无形资</w:t>
      </w:r>
      <w:r>
        <w:rPr>
          <w:w w:val="100"/>
        </w:rPr>
        <w:t> </w:t>
      </w:r>
      <w:r>
        <w:rPr/>
        <w:t>产。</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对子公司、联营企业的长期股权投资、采用成本模式进行后续计量的投资性房地产、固定资产、在建</w:t>
      </w:r>
      <w:r>
        <w:rPr>
          <w:w w:val="100"/>
        </w:rPr>
        <w:t> </w:t>
      </w:r>
      <w:r>
        <w:rPr>
          <w:spacing w:val="-2"/>
        </w:rPr>
        <w:t>工程、采用成本模式计量的生产性生物资产、无形资产、商誉等（存货、按公允价值模式计量的投资性房</w:t>
      </w:r>
      <w:r>
        <w:rPr>
          <w:spacing w:val="-43"/>
        </w:rPr>
        <w:t> </w:t>
      </w:r>
      <w:r>
        <w:rPr>
          <w:spacing w:val="-43"/>
        </w:rPr>
      </w:r>
      <w:r>
        <w:rPr/>
        <w:t>地产、递延所得税资产、金融资产除外）的资产减值，按以下方法确定：</w:t>
      </w:r>
    </w:p>
    <w:p>
      <w:pPr>
        <w:pStyle w:val="BodyText"/>
        <w:spacing w:line="408" w:lineRule="auto"/>
        <w:ind w:right="1126" w:firstLine="420"/>
        <w:jc w:val="both"/>
      </w:pPr>
      <w:r>
        <w:rPr>
          <w:spacing w:val="-2"/>
        </w:rPr>
        <w:t>于资产负债表日判断资产是否存在可能发生减值的迹象，存在减值迹象的，本集团将估计其可收回金</w:t>
      </w:r>
      <w:r>
        <w:rPr>
          <w:w w:val="100"/>
        </w:rPr>
        <w:t> </w:t>
      </w:r>
      <w:r>
        <w:rPr>
          <w:spacing w:val="-2"/>
        </w:rPr>
        <w:t>额，进行减值测试。对因企业合并所形成的商誉、使用寿命不确定的无形资产和尚未达到可使用状态的无</w:t>
      </w:r>
      <w:r>
        <w:rPr>
          <w:spacing w:val="-43"/>
        </w:rPr>
        <w:t> </w:t>
      </w:r>
      <w:r>
        <w:rPr>
          <w:spacing w:val="-43"/>
        </w:rPr>
      </w:r>
      <w:r>
        <w:rPr/>
        <w:t>形资产无论是否存在减值迹象，每年都进行减值测试。</w:t>
      </w:r>
    </w:p>
    <w:p>
      <w:pPr>
        <w:pStyle w:val="BodyText"/>
        <w:spacing w:line="408" w:lineRule="auto"/>
        <w:ind w:right="992" w:firstLine="420"/>
        <w:jc w:val="left"/>
      </w:pPr>
      <w:r>
        <w:rPr/>
        <w:t>可收回金额根据资产的公允价值减去处置费用后的净额与资产预计未来现金流量的现值两者之间较</w:t>
      </w:r>
      <w:r>
        <w:rPr>
          <w:w w:val="100"/>
        </w:rPr>
        <w:t> </w:t>
      </w:r>
      <w:r>
        <w:rPr>
          <w:spacing w:val="-2"/>
        </w:rPr>
        <w:t>高者确定。本集团以单项资产为基础估计其可收回金额；难以对单项资产的可收回金额进行估计的，以该</w:t>
      </w:r>
      <w:r>
        <w:rPr>
          <w:spacing w:val="-44"/>
        </w:rPr>
        <w:t> </w:t>
      </w:r>
      <w:r>
        <w:rPr>
          <w:spacing w:val="-44"/>
        </w:rPr>
      </w:r>
      <w:r>
        <w:rPr>
          <w:spacing w:val="-2"/>
        </w:rPr>
        <w:t>资产所属的资产组为基础确定资产组的可收回金额。资产组的认定，以资产组产生的主要现金流入是否独</w:t>
      </w:r>
      <w:r>
        <w:rPr>
          <w:spacing w:val="-43"/>
        </w:rPr>
        <w:t> </w:t>
      </w:r>
      <w:r>
        <w:rPr>
          <w:spacing w:val="-43"/>
        </w:rPr>
      </w:r>
      <w:r>
        <w:rPr/>
        <w:t>立于其他资产或者资产组的现金流入为依据。</w:t>
      </w:r>
    </w:p>
    <w:p>
      <w:pPr>
        <w:pStyle w:val="BodyText"/>
        <w:spacing w:line="408" w:lineRule="auto"/>
        <w:ind w:right="1126" w:firstLine="420"/>
        <w:jc w:val="both"/>
      </w:pPr>
      <w:r>
        <w:rPr>
          <w:spacing w:val="-2"/>
        </w:rPr>
        <w:t>当资产或资产组的可收回金额低于其账面价值时，本集团将其账面价值减记至可收回金额，减记的金</w:t>
      </w:r>
      <w:r>
        <w:rPr>
          <w:w w:val="100"/>
        </w:rPr>
        <w:t> </w:t>
      </w:r>
      <w:r>
        <w:rPr/>
        <w:t>额计入当期损益，同时计提相应的资产减值准备。</w:t>
      </w:r>
    </w:p>
    <w:p>
      <w:pPr>
        <w:pStyle w:val="BodyText"/>
        <w:spacing w:line="408" w:lineRule="auto" w:before="44"/>
        <w:ind w:right="992" w:firstLine="420"/>
        <w:jc w:val="left"/>
      </w:pPr>
      <w:r>
        <w:rPr/>
        <w:t>就商誉的减值测试而言，对于因企业合并形成的商誉的账面价值，自购买日起按照合理的方法分摊至</w:t>
      </w:r>
      <w:r>
        <w:rPr>
          <w:w w:val="100"/>
        </w:rPr>
        <w:t> </w:t>
      </w:r>
      <w:r>
        <w:rPr>
          <w:spacing w:val="-5"/>
        </w:rPr>
        <w:t>相关的资产组；难以分摊至相关的资产组的，将其分摊至相关的资产组组合。相关的资产组或资产组组合，</w:t>
      </w:r>
      <w:r>
        <w:rPr>
          <w:spacing w:val="-4"/>
        </w:rPr>
        <w:t> </w:t>
      </w:r>
      <w:r>
        <w:rPr>
          <w:spacing w:val="-4"/>
        </w:rPr>
      </w:r>
      <w:r>
        <w:rPr/>
        <w:t>是能够从企业合并的协同效应中受益的资产组或者资产组组合，且不大于本集团确定的报告分部。</w:t>
      </w:r>
    </w:p>
    <w:p>
      <w:pPr>
        <w:pStyle w:val="BodyText"/>
        <w:spacing w:line="408" w:lineRule="auto"/>
        <w:ind w:right="1126" w:firstLine="420"/>
        <w:jc w:val="both"/>
      </w:pPr>
      <w:r>
        <w:rPr>
          <w:spacing w:val="-2"/>
        </w:rPr>
        <w:t>减值测试时，如与商誉相关的资产组或者资产组组合存在减值迹象的，首先对不包含商誉的资产组或</w:t>
      </w:r>
      <w:r>
        <w:rPr>
          <w:w w:val="100"/>
        </w:rPr>
        <w:t> </w:t>
      </w:r>
      <w:r>
        <w:rPr>
          <w:spacing w:val="-2"/>
        </w:rPr>
        <w:t>者资产组组合进行减值测试，计算可收回金额，确认相应的减值损失。然后对包含商誉的资产组或者资产</w:t>
      </w:r>
      <w:r>
        <w:rPr>
          <w:spacing w:val="-42"/>
        </w:rPr>
        <w:t> </w:t>
      </w:r>
      <w:r>
        <w:rPr>
          <w:spacing w:val="-42"/>
        </w:rPr>
      </w:r>
      <w:r>
        <w:rPr>
          <w:spacing w:val="-2"/>
        </w:rPr>
        <w:t>组组合进行减值测试，比较其账面价值与可收回金额，如可收回金额低于账面价值的，确认商誉的减值损</w:t>
      </w:r>
      <w:r>
        <w:rPr>
          <w:spacing w:val="-44"/>
        </w:rPr>
        <w:t> </w:t>
      </w:r>
      <w:r>
        <w:rPr>
          <w:spacing w:val="-44"/>
        </w:rPr>
      </w:r>
      <w:r>
        <w:rPr/>
        <w:t>失。</w:t>
      </w:r>
    </w:p>
    <w:p>
      <w:pPr>
        <w:pStyle w:val="BodyText"/>
        <w:spacing w:line="240" w:lineRule="auto"/>
        <w:ind w:left="573" w:right="992"/>
        <w:jc w:val="left"/>
      </w:pPr>
      <w:r>
        <w:rPr/>
        <w:t>资产减值损失一经确认，在以后会计期间不再转回。</w:t>
      </w:r>
    </w:p>
    <w:p>
      <w:pPr>
        <w:pStyle w:val="BodyText"/>
        <w:spacing w:line="670" w:lineRule="atLeast" w:before="37"/>
        <w:ind w:left="573" w:right="992" w:hanging="421"/>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本集团发生的长期待摊费用按实际成本计价，并按预计受益期限平均摊销。对不能使以后会计期间受</w:t>
      </w:r>
    </w:p>
    <w:p>
      <w:pPr>
        <w:spacing w:line="240" w:lineRule="auto" w:before="10"/>
        <w:rPr>
          <w:rFonts w:ascii="宋体" w:hAnsi="宋体" w:cs="宋体" w:eastAsia="宋体" w:hint="default"/>
          <w:sz w:val="14"/>
          <w:szCs w:val="14"/>
        </w:rPr>
      </w:pPr>
    </w:p>
    <w:p>
      <w:pPr>
        <w:pStyle w:val="BodyText"/>
        <w:spacing w:line="240" w:lineRule="auto" w:before="0"/>
        <w:ind w:right="992"/>
        <w:jc w:val="left"/>
      </w:pPr>
      <w:r>
        <w:rPr/>
        <w:t>益的长期待摊费用项目，其摊余价值全部计入当期损益。</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21</w:t>
      </w:r>
      <w:r>
        <w:rPr/>
        <w:t>、职工薪酬</w:t>
      </w:r>
      <w:r>
        <w:rPr>
          <w:b w:val="0"/>
          <w:bCs w:val="0"/>
        </w:rPr>
      </w:r>
    </w:p>
    <w:p>
      <w:pPr>
        <w:spacing w:line="688" w:lineRule="exact" w:before="19"/>
        <w:ind w:left="573" w:right="99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本集团在职工提供服务的会计期间，将实际发生的职工工资、奖金、按规定的基准和比例为职工缴纳</w:t>
      </w:r>
    </w:p>
    <w:p>
      <w:pPr>
        <w:pStyle w:val="BodyText"/>
        <w:spacing w:line="408" w:lineRule="auto" w:before="85"/>
        <w:ind w:right="1126"/>
        <w:jc w:val="both"/>
      </w:pPr>
      <w:r>
        <w:rPr>
          <w:spacing w:val="-2"/>
        </w:rPr>
        <w:t>的医疗保险费、工伤保险费和生育保险费等社会保险费和住房公积金，确认为负债，并计入当期损益或相</w:t>
      </w:r>
      <w:r>
        <w:rPr>
          <w:spacing w:val="-43"/>
        </w:rPr>
        <w:t> </w:t>
      </w:r>
      <w:r>
        <w:rPr>
          <w:spacing w:val="-43"/>
        </w:rPr>
      </w:r>
      <w:r>
        <w:rPr>
          <w:spacing w:val="-2"/>
        </w:rPr>
        <w:t>关资产成本。如果该负债预期在职工提供相关服务的年度报告期结束后十二个月内不能完全支付，且财务</w:t>
      </w:r>
      <w:r>
        <w:rPr>
          <w:spacing w:val="-44"/>
        </w:rPr>
        <w:t> </w:t>
      </w:r>
      <w:r>
        <w:rPr>
          <w:spacing w:val="-44"/>
        </w:rPr>
      </w:r>
      <w:r>
        <w:rPr/>
        <w:t>影响重大的，则该负债将以折现后的金额计量。</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126" w:firstLine="420"/>
        <w:jc w:val="both"/>
      </w:pPr>
      <w:r>
        <w:rPr>
          <w:spacing w:val="-2"/>
        </w:rPr>
        <w:t>离职后福利计划包括设定提存计划和设定受益计划。其中，设定提存计划，是指向独立的基金缴存固</w:t>
      </w:r>
      <w:r>
        <w:rPr>
          <w:w w:val="100"/>
        </w:rPr>
        <w:t> </w:t>
      </w:r>
      <w:r>
        <w:rPr>
          <w:spacing w:val="-2"/>
        </w:rPr>
        <w:t>定费用后，企业不再承担进一步支付义务的离职后福利计划；设定受益计划，是指除设定提存计划以外的</w:t>
      </w:r>
      <w:r>
        <w:rPr>
          <w:spacing w:val="-44"/>
        </w:rPr>
        <w:t> </w:t>
      </w:r>
      <w:r>
        <w:rPr>
          <w:spacing w:val="-44"/>
        </w:rPr>
      </w:r>
      <w:r>
        <w:rPr/>
        <w:t>离职后福利计划。</w:t>
      </w:r>
    </w:p>
    <w:p>
      <w:pPr>
        <w:pStyle w:val="BodyText"/>
        <w:spacing w:line="408" w:lineRule="auto"/>
        <w:ind w:left="573" w:right="992"/>
        <w:jc w:val="left"/>
      </w:pPr>
      <w:r>
        <w:rPr/>
        <w:t>设定提存计划包括基本养老保险、失业保险等。</w:t>
      </w:r>
      <w:r>
        <w:rPr>
          <w:w w:val="100"/>
        </w:rPr>
        <w:t> </w:t>
      </w:r>
      <w:r>
        <w:rPr>
          <w:spacing w:val="-2"/>
        </w:rPr>
        <w:t>在职工提供服务的会计期间，根据设定提存计划计算的应缴存金额确认为负债，并计入当期损益或相</w:t>
      </w:r>
    </w:p>
    <w:p>
      <w:pPr>
        <w:pStyle w:val="BodyText"/>
        <w:spacing w:line="240" w:lineRule="auto"/>
        <w:ind w:right="992"/>
        <w:jc w:val="left"/>
      </w:pPr>
      <w:r>
        <w:rPr/>
        <w:t>关资产成本。</w:t>
      </w:r>
    </w:p>
    <w:p>
      <w:pPr>
        <w:spacing w:line="670" w:lineRule="atLeast" w:before="37"/>
        <w:ind w:left="573" w:right="99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本集团向职工提供辞退福利的，在下列两者孰早日确认辞退福利产生的职工薪酬负债，并计入当期损</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益：本集团不能单方面撤回因解除劳动关系计划或裁减建议所提供的辞退福利时；本集团确认与涉及支付</w:t>
      </w:r>
      <w:r>
        <w:rPr>
          <w:spacing w:val="-43"/>
        </w:rPr>
        <w:t> </w:t>
      </w:r>
      <w:r>
        <w:rPr>
          <w:spacing w:val="-43"/>
        </w:rPr>
      </w:r>
      <w:r>
        <w:rPr/>
        <w:t>辞退福利的重组相关的成本或费用时。</w:t>
      </w:r>
    </w:p>
    <w:p>
      <w:pPr>
        <w:pStyle w:val="BodyText"/>
        <w:spacing w:line="408" w:lineRule="auto"/>
        <w:ind w:right="1126" w:firstLine="420"/>
        <w:jc w:val="both"/>
      </w:pPr>
      <w:r>
        <w:rPr>
          <w:spacing w:val="-2"/>
        </w:rPr>
        <w:t>实行职工内部退休计划的，在正式退休日之前的经济补偿，属于辞退福利，自职工停止提供服务日至</w:t>
      </w:r>
      <w:r>
        <w:rPr>
          <w:w w:val="100"/>
        </w:rPr>
        <w:t> </w:t>
      </w:r>
      <w:r>
        <w:rPr>
          <w:spacing w:val="-2"/>
        </w:rPr>
        <w:t>正常退休日期间，拟支付的内退职工工资和缴纳的社会保险费等一次性计入当期损益。正式退休日期之后</w:t>
      </w:r>
      <w:r>
        <w:rPr>
          <w:spacing w:val="-43"/>
        </w:rPr>
        <w:t> </w:t>
      </w:r>
      <w:r>
        <w:rPr>
          <w:spacing w:val="-43"/>
        </w:rPr>
      </w:r>
      <w:r>
        <w:rPr/>
        <w:t>的经济补偿（如正常养老退休金），按照离职后福利处理。</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126" w:firstLine="420"/>
        <w:jc w:val="both"/>
      </w:pPr>
      <w:r>
        <w:rPr>
          <w:spacing w:val="-2"/>
        </w:rPr>
        <w:t>本集团向职工提供的其他长期职工福利，符合设定提存计划条件的，按照上述关于设定提存计划的有</w:t>
      </w:r>
      <w:r>
        <w:rPr>
          <w:w w:val="100"/>
        </w:rPr>
        <w:t> </w:t>
      </w:r>
      <w:r>
        <w:rPr>
          <w:spacing w:val="-2"/>
        </w:rPr>
        <w:t>关规定进行处理。符合设定受益计划的，按照上述关于设定受益计划的有关规定进行处理，但相关职工薪</w:t>
      </w:r>
      <w:r>
        <w:rPr>
          <w:spacing w:val="-45"/>
        </w:rPr>
        <w:t> </w:t>
      </w:r>
      <w:r>
        <w:rPr>
          <w:spacing w:val="-45"/>
        </w:rPr>
      </w:r>
      <w:r>
        <w:rPr/>
        <w:t>酬成本中“重新计量设定受益计划净负债或净资产所产生的变动”部分计入当期损益或相关资产成本。</w:t>
      </w:r>
    </w:p>
    <w:p>
      <w:pPr>
        <w:spacing w:after="0" w:line="408"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936"/>
        <w:jc w:val="left"/>
      </w:pPr>
      <w:r>
        <w:rPr/>
        <w:t>（</w:t>
      </w:r>
      <w:r>
        <w:rPr>
          <w:rFonts w:ascii="宋体" w:hAnsi="宋体" w:cs="宋体" w:eastAsia="宋体" w:hint="default"/>
        </w:rPr>
        <w:t>1</w:t>
      </w:r>
      <w:r>
        <w:rPr/>
        <w:t>）股份支付的种类</w:t>
      </w:r>
      <w:r>
        <w:rPr>
          <w:spacing w:val="-3"/>
          <w:w w:val="100"/>
        </w:rPr>
        <w:t> </w:t>
      </w:r>
      <w:r>
        <w:rPr>
          <w:spacing w:val="-2"/>
        </w:rPr>
        <w:t>本集团股份支付分为以权益结算的股份支付和以现金结算的股份支付。</w:t>
      </w:r>
    </w:p>
    <w:p>
      <w:pPr>
        <w:pStyle w:val="BodyText"/>
        <w:spacing w:line="408" w:lineRule="auto"/>
        <w:ind w:left="573" w:right="992"/>
        <w:jc w:val="left"/>
      </w:pPr>
      <w:r>
        <w:rPr/>
        <w:t>（</w:t>
      </w:r>
      <w:r>
        <w:rPr>
          <w:rFonts w:ascii="宋体" w:hAnsi="宋体" w:cs="宋体" w:eastAsia="宋体" w:hint="default"/>
        </w:rPr>
        <w:t>2</w:t>
      </w:r>
      <w:r>
        <w:rPr/>
        <w:t>）权益工具公允价值的确定方法</w:t>
      </w:r>
      <w:r>
        <w:rPr>
          <w:w w:val="100"/>
        </w:rPr>
        <w:t> </w:t>
      </w:r>
      <w:r>
        <w:rPr>
          <w:spacing w:val="-2"/>
        </w:rPr>
        <w:t>本集团对于授予的存在活跃市场的期权等权益工具，按照活跃市场中的报价确定其公允价值。对于授</w:t>
      </w:r>
    </w:p>
    <w:p>
      <w:pPr>
        <w:pStyle w:val="BodyText"/>
        <w:spacing w:line="408" w:lineRule="auto"/>
        <w:ind w:right="992"/>
        <w:jc w:val="left"/>
      </w:pPr>
      <w:r>
        <w:rPr>
          <w:spacing w:val="-2"/>
        </w:rPr>
        <w:t>予的不存在活跃市场的期权等权益工具，采用期权定价模型等确定其公允价值。选用的期权定价模型考虑</w:t>
      </w:r>
      <w:r>
        <w:rPr>
          <w:spacing w:val="-43"/>
        </w:rPr>
        <w:t> </w:t>
      </w:r>
      <w:r>
        <w:rPr>
          <w:spacing w:val="-43"/>
        </w:rPr>
      </w:r>
      <w:r>
        <w:rPr/>
        <w:t>以下因素：</w:t>
      </w:r>
      <w:r>
        <w:rPr>
          <w:rFonts w:ascii="宋体" w:hAnsi="宋体" w:cs="宋体" w:eastAsia="宋体" w:hint="default"/>
        </w:rPr>
        <w:t>A</w:t>
      </w:r>
      <w:r>
        <w:rPr/>
        <w:t>、期权的行权价格；</w:t>
      </w:r>
      <w:r>
        <w:rPr>
          <w:rFonts w:ascii="宋体" w:hAnsi="宋体" w:cs="宋体" w:eastAsia="宋体" w:hint="default"/>
        </w:rPr>
        <w:t>B</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w:t>
      </w:r>
      <w:r>
        <w:rPr>
          <w:w w:val="100"/>
        </w:rPr>
        <w:t> </w:t>
      </w:r>
      <w:r>
        <w:rPr/>
        <w:t>股份的预计股利；</w:t>
      </w:r>
      <w:r>
        <w:rPr>
          <w:rFonts w:ascii="宋体" w:hAnsi="宋体" w:cs="宋体" w:eastAsia="宋体" w:hint="default"/>
        </w:rPr>
        <w:t>F</w:t>
      </w:r>
      <w:r>
        <w:rPr/>
        <w:t>、期权有效期内的无风险利率。</w:t>
      </w:r>
    </w:p>
    <w:p>
      <w:pPr>
        <w:pStyle w:val="BodyText"/>
        <w:spacing w:line="410" w:lineRule="auto"/>
        <w:ind w:left="573" w:right="992"/>
        <w:jc w:val="left"/>
      </w:pPr>
      <w:r>
        <w:rPr/>
        <w:t>（</w:t>
      </w:r>
      <w:r>
        <w:rPr>
          <w:rFonts w:ascii="宋体" w:hAnsi="宋体" w:cs="宋体" w:eastAsia="宋体" w:hint="default"/>
        </w:rPr>
        <w:t>3</w:t>
      </w:r>
      <w:r>
        <w:rPr/>
        <w:t>）确认可行权权益工具最佳估计的依据</w:t>
      </w:r>
      <w:r>
        <w:rPr>
          <w:w w:val="100"/>
        </w:rPr>
        <w:t> </w:t>
      </w:r>
      <w:r>
        <w:rPr>
          <w:spacing w:val="-2"/>
        </w:rPr>
        <w:t>等待期内每个资产负债表日，本集团根据最新取得的可行权职工人数变动等后续信息作出最佳估计，</w:t>
      </w:r>
    </w:p>
    <w:p>
      <w:pPr>
        <w:pStyle w:val="BodyText"/>
        <w:spacing w:line="408" w:lineRule="auto" w:before="44"/>
        <w:ind w:right="992"/>
        <w:jc w:val="left"/>
      </w:pPr>
      <w:r>
        <w:rPr>
          <w:spacing w:val="-2"/>
        </w:rPr>
        <w:t>修正预计可行权的权益工具数量。在可行权日，最终预计可行权权益工具的数量应当与实际可行权数量一</w:t>
      </w:r>
      <w:r>
        <w:rPr>
          <w:spacing w:val="-43"/>
        </w:rPr>
        <w:t> </w:t>
      </w:r>
      <w:r>
        <w:rPr>
          <w:spacing w:val="-43"/>
        </w:rPr>
      </w:r>
      <w:r>
        <w:rPr/>
        <w:t>致。</w:t>
      </w:r>
    </w:p>
    <w:p>
      <w:pPr>
        <w:pStyle w:val="BodyText"/>
        <w:spacing w:line="408" w:lineRule="auto"/>
        <w:ind w:left="573" w:right="992"/>
        <w:jc w:val="left"/>
      </w:pPr>
      <w:r>
        <w:rPr/>
        <w:t>（</w:t>
      </w:r>
      <w:r>
        <w:rPr>
          <w:rFonts w:ascii="宋体" w:hAnsi="宋体" w:cs="宋体" w:eastAsia="宋体" w:hint="default"/>
        </w:rPr>
        <w:t>4</w:t>
      </w:r>
      <w:r>
        <w:rPr/>
        <w:t>）实施、修改、终止股份支付计划的相关会计处理</w:t>
      </w:r>
      <w:r>
        <w:rPr>
          <w:w w:val="100"/>
        </w:rPr>
        <w:t> </w:t>
      </w:r>
      <w:r>
        <w:rPr>
          <w:spacing w:val="-2"/>
        </w:rPr>
        <w:t>以权益结算的股份支付，按授予职工权益工具的公允价值计量。授予后立即可行权的，在授予日按照</w:t>
      </w:r>
    </w:p>
    <w:p>
      <w:pPr>
        <w:pStyle w:val="BodyText"/>
        <w:spacing w:line="408" w:lineRule="auto"/>
        <w:ind w:right="1126"/>
        <w:jc w:val="both"/>
      </w:pPr>
      <w:r>
        <w:rPr>
          <w:spacing w:val="-2"/>
        </w:rPr>
        <w:t>权益工具的公允价值计入相关成本或费用，相应增加资本公积。在完成等待期内的服务或达到规定业绩条</w:t>
      </w:r>
      <w:r>
        <w:rPr>
          <w:spacing w:val="-44"/>
        </w:rPr>
        <w:t> </w:t>
      </w:r>
      <w:r>
        <w:rPr>
          <w:spacing w:val="-44"/>
        </w:rPr>
      </w:r>
      <w:r>
        <w:rPr>
          <w:spacing w:val="-2"/>
        </w:rPr>
        <w:t>件才可行权的，在等待期内的每个资产负债表日，以对可行权权益工具数量的最佳估计为基础，按照权益</w:t>
      </w:r>
      <w:r>
        <w:rPr>
          <w:spacing w:val="-43"/>
        </w:rPr>
        <w:t> </w:t>
      </w:r>
      <w:r>
        <w:rPr>
          <w:spacing w:val="-43"/>
        </w:rPr>
      </w:r>
      <w:r>
        <w:rPr>
          <w:spacing w:val="-2"/>
        </w:rPr>
        <w:t>工具授予日的公允价值，将当期取得的服务计入相关成本或费用和资本公积。在可行权日之后不再对已确</w:t>
      </w:r>
      <w:r>
        <w:rPr>
          <w:spacing w:val="-43"/>
        </w:rPr>
        <w:t> </w:t>
      </w:r>
      <w:r>
        <w:rPr>
          <w:spacing w:val="-43"/>
        </w:rPr>
      </w:r>
      <w:r>
        <w:rPr/>
        <w:t>认的相关成本或费用和所有者权益总额进行调整。</w:t>
      </w:r>
    </w:p>
    <w:p>
      <w:pPr>
        <w:pStyle w:val="BodyText"/>
        <w:spacing w:line="408" w:lineRule="auto"/>
        <w:ind w:right="992" w:firstLine="420"/>
        <w:jc w:val="left"/>
      </w:pPr>
      <w:r>
        <w:rPr/>
        <w:t>以现金结算的股份支付，按照本集团承担的以股份或其他权益工具为基础计算确定的负债的公允价值</w:t>
      </w:r>
      <w:r>
        <w:rPr>
          <w:w w:val="100"/>
        </w:rPr>
        <w:t> </w:t>
      </w:r>
      <w:r>
        <w:rPr>
          <w:spacing w:val="-5"/>
        </w:rPr>
        <w:t>计量。授予后立即可行权的，在授予日以本集团承担负债的公允价值计入相关成本或费用，相应增加负债。</w:t>
      </w:r>
      <w:r>
        <w:rPr>
          <w:spacing w:val="-4"/>
        </w:rPr>
        <w:t> </w:t>
      </w:r>
      <w:r>
        <w:rPr>
          <w:spacing w:val="-4"/>
        </w:rPr>
      </w:r>
      <w:r>
        <w:rPr>
          <w:spacing w:val="-2"/>
        </w:rPr>
        <w:t>在完成等待期内的服务或达到规定业绩条件以后才可行权的以现金结算的股份支付，在等待期内的每个资</w:t>
      </w:r>
      <w:r>
        <w:rPr>
          <w:spacing w:val="-43"/>
        </w:rPr>
        <w:t> </w:t>
      </w:r>
      <w:r>
        <w:rPr>
          <w:spacing w:val="-43"/>
        </w:rPr>
      </w:r>
      <w:r>
        <w:rPr>
          <w:spacing w:val="-2"/>
        </w:rPr>
        <w:t>产负债表日，以对可行权情况的最佳估计为基础，按照本集团承担负债的公允价值金额，将当期取得的服</w:t>
      </w:r>
      <w:r>
        <w:rPr>
          <w:spacing w:val="-42"/>
        </w:rPr>
        <w:t> </w:t>
      </w:r>
      <w:r>
        <w:rPr>
          <w:spacing w:val="-42"/>
        </w:rPr>
      </w:r>
      <w:r>
        <w:rPr>
          <w:spacing w:val="-2"/>
        </w:rPr>
        <w:t>务计入成本或费用和相应的负债。在相关负债结算前的每个资产负债表日以及结算日，对负债的公允价值</w:t>
      </w:r>
      <w:r>
        <w:rPr>
          <w:spacing w:val="-43"/>
        </w:rPr>
        <w:t> </w:t>
      </w:r>
      <w:r>
        <w:rPr>
          <w:spacing w:val="-43"/>
        </w:rPr>
      </w:r>
      <w:r>
        <w:rPr/>
        <w:t>重新计量，其变动计入当期损益。</w:t>
      </w:r>
    </w:p>
    <w:p>
      <w:pPr>
        <w:pStyle w:val="BodyText"/>
        <w:spacing w:line="408" w:lineRule="auto"/>
        <w:ind w:right="1126" w:firstLine="420"/>
        <w:jc w:val="both"/>
      </w:pPr>
      <w:r>
        <w:rPr>
          <w:spacing w:val="-2"/>
        </w:rPr>
        <w:t>本集团对股份支付计划进行修改时，若修改增加了所授予权益工具的公允价值，按照权益工具公允价</w:t>
      </w:r>
      <w:r>
        <w:rPr>
          <w:w w:val="100"/>
        </w:rPr>
        <w:t> </w:t>
      </w:r>
      <w:r>
        <w:rPr>
          <w:spacing w:val="-2"/>
        </w:rPr>
        <w:t>值的增加相应地确认取得服务的增加；若修改增加了所授予权益工具的数量，则将增加的权益工具的公允</w:t>
      </w:r>
      <w:r>
        <w:rPr>
          <w:spacing w:val="-44"/>
        </w:rPr>
        <w:t> </w:t>
      </w:r>
      <w:r>
        <w:rPr>
          <w:spacing w:val="-44"/>
        </w:rPr>
      </w:r>
      <w:r>
        <w:rPr>
          <w:spacing w:val="-2"/>
        </w:rPr>
        <w:t>价值相应地确认为取得服务的增加。权益工具公允价值的增加是指修改前后的权益工具在修改日的公允价</w:t>
      </w:r>
      <w:r>
        <w:rPr>
          <w:spacing w:val="-43"/>
        </w:rPr>
        <w:t> </w:t>
      </w:r>
      <w:r>
        <w:rPr>
          <w:spacing w:val="-43"/>
        </w:rPr>
      </w:r>
      <w:r>
        <w:rPr>
          <w:spacing w:val="-2"/>
        </w:rPr>
        <w:t>值之间的差额。若修改减少了股份支付公允价值总额或采用了其他不利于职工的方式修改股份支付计划的</w:t>
      </w:r>
      <w:r>
        <w:rPr>
          <w:spacing w:val="-43"/>
        </w:rPr>
        <w:t> </w:t>
      </w:r>
      <w:r>
        <w:rPr>
          <w:spacing w:val="-43"/>
        </w:rPr>
      </w:r>
      <w:r>
        <w:rPr>
          <w:spacing w:val="-2"/>
        </w:rPr>
        <w:t>条款和条件，则仍继续对取得的服务进行会计处理，视同该变更从未发生，除非本集团取消了部分或全部</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92" w:hanging="421"/>
        <w:jc w:val="left"/>
      </w:pPr>
      <w:r>
        <w:rPr/>
        <w:t>已授予的权益工具。</w:t>
      </w:r>
      <w:r>
        <w:rPr>
          <w:w w:val="100"/>
        </w:rPr>
        <w:t> </w:t>
      </w:r>
      <w:r>
        <w:rPr>
          <w:spacing w:val="-2"/>
        </w:rPr>
        <w:t>在等待期内，如果取消了授予的权益工具（因未满足可行权条件的非市场条件而被取消的除外），本</w:t>
      </w:r>
    </w:p>
    <w:p>
      <w:pPr>
        <w:pStyle w:val="BodyText"/>
        <w:spacing w:line="408" w:lineRule="auto"/>
        <w:ind w:right="1126"/>
        <w:jc w:val="both"/>
      </w:pPr>
      <w:r>
        <w:rPr>
          <w:spacing w:val="-2"/>
        </w:rPr>
        <w:t>集团对取消所授予的权益性工具作为加速行权处理，将剩余等待期内应确认的金额立即计入当期损益，同</w:t>
      </w:r>
      <w:r>
        <w:rPr>
          <w:spacing w:val="-44"/>
        </w:rPr>
        <w:t> </w:t>
      </w:r>
      <w:r>
        <w:rPr>
          <w:spacing w:val="-44"/>
        </w:rPr>
      </w:r>
      <w:r>
        <w:rPr>
          <w:spacing w:val="-2"/>
        </w:rPr>
        <w:t>时确认资本公积。职工或其他方能够选择满足非可行权条件但在等待期内未满足的，本集团将其作为授予</w:t>
      </w:r>
      <w:r>
        <w:rPr>
          <w:spacing w:val="-44"/>
        </w:rPr>
        <w:t> </w:t>
      </w:r>
      <w:r>
        <w:rPr>
          <w:spacing w:val="-44"/>
        </w:rPr>
      </w:r>
      <w:r>
        <w:rPr/>
        <w:t>权益工具的取消处理。</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是否已执行新收入准则：□ 是 √</w:t>
      </w:r>
      <w:r>
        <w:rPr>
          <w:spacing w:val="-1"/>
        </w:rPr>
        <w:t> </w:t>
      </w:r>
      <w:r>
        <w:rPr/>
        <w:t>否</w:t>
      </w:r>
    </w:p>
    <w:p>
      <w:pPr>
        <w:spacing w:line="240" w:lineRule="auto" w:before="10"/>
        <w:rPr>
          <w:rFonts w:ascii="宋体" w:hAnsi="宋体" w:cs="宋体" w:eastAsia="宋体" w:hint="default"/>
          <w:sz w:val="14"/>
          <w:szCs w:val="14"/>
        </w:rPr>
      </w:pPr>
    </w:p>
    <w:p>
      <w:pPr>
        <w:pStyle w:val="BodyText"/>
        <w:spacing w:line="240" w:lineRule="auto" w:before="0"/>
        <w:ind w:left="573" w:right="992"/>
        <w:jc w:val="left"/>
      </w:pPr>
      <w:r>
        <w:rPr/>
        <w:t>（</w:t>
      </w:r>
      <w:r>
        <w:rPr>
          <w:rFonts w:ascii="宋体" w:hAnsi="宋体" w:cs="宋体" w:eastAsia="宋体" w:hint="default"/>
        </w:rPr>
        <w:t>1</w:t>
      </w:r>
      <w:r>
        <w:rPr/>
        <w:t>）一般原则</w:t>
      </w:r>
    </w:p>
    <w:p>
      <w:pPr>
        <w:spacing w:line="240" w:lineRule="auto" w:before="11"/>
        <w:rPr>
          <w:rFonts w:ascii="宋体" w:hAnsi="宋体" w:cs="宋体" w:eastAsia="宋体" w:hint="default"/>
          <w:sz w:val="14"/>
          <w:szCs w:val="14"/>
        </w:rPr>
      </w:pPr>
    </w:p>
    <w:p>
      <w:pPr>
        <w:pStyle w:val="BodyText"/>
        <w:spacing w:line="408" w:lineRule="auto" w:before="0"/>
        <w:ind w:left="573" w:right="992"/>
        <w:jc w:val="left"/>
      </w:pPr>
      <w:r>
        <w:rPr/>
        <w:t>①销售商品</w:t>
      </w:r>
      <w:r>
        <w:rPr>
          <w:spacing w:val="-102"/>
        </w:rPr>
        <w:t> </w:t>
      </w:r>
      <w:r>
        <w:rPr>
          <w:spacing w:val="-102"/>
        </w:rPr>
      </w:r>
      <w:r>
        <w:rPr>
          <w:spacing w:val="-2"/>
        </w:rPr>
        <w:t>在已将商品所有权上的主要风险和报酬转移给购货方，既没有保留通常与所有权相联系的继续管理</w:t>
      </w:r>
    </w:p>
    <w:p>
      <w:pPr>
        <w:pStyle w:val="BodyText"/>
        <w:spacing w:line="408" w:lineRule="auto"/>
        <w:ind w:right="1129"/>
        <w:jc w:val="both"/>
      </w:pPr>
      <w:r>
        <w:rPr>
          <w:spacing w:val="-2"/>
        </w:rPr>
        <w:t>权，也没有对已售商品实施有效控制，收入的金额能够可靠地计量，相关的经济利益很可能流入企业，相</w:t>
      </w:r>
      <w:r>
        <w:rPr>
          <w:spacing w:val="-47"/>
        </w:rPr>
        <w:t> </w:t>
      </w:r>
      <w:r>
        <w:rPr>
          <w:spacing w:val="-47"/>
        </w:rPr>
      </w:r>
      <w:r>
        <w:rPr/>
        <w:t>关的已发生或将发生的成本能够可靠地计量时，确认商品销售收入的实现。</w:t>
      </w:r>
    </w:p>
    <w:p>
      <w:pPr>
        <w:pStyle w:val="BodyText"/>
        <w:spacing w:line="408" w:lineRule="auto"/>
        <w:ind w:left="573" w:right="992"/>
        <w:jc w:val="left"/>
      </w:pPr>
      <w:r>
        <w:rPr/>
        <w:t>②提供劳务</w:t>
      </w:r>
      <w:r>
        <w:rPr>
          <w:spacing w:val="-102"/>
        </w:rPr>
        <w:t> </w:t>
      </w:r>
      <w:r>
        <w:rPr>
          <w:spacing w:val="-102"/>
        </w:rPr>
      </w:r>
      <w:r>
        <w:rPr>
          <w:spacing w:val="-2"/>
        </w:rPr>
        <w:t>对在提供劳务交易的结果能够可靠估计的情况下，本公司于资产负债表日按完工百分比法确认收入。</w:t>
      </w:r>
      <w:r>
        <w:rPr>
          <w:spacing w:val="-27"/>
        </w:rPr>
        <w:t> </w:t>
      </w:r>
      <w:r>
        <w:rPr>
          <w:spacing w:val="-27"/>
        </w:rPr>
      </w:r>
      <w:r>
        <w:rPr/>
        <w:t>劳务交易的完工进度按已经提供的劳务占应提供劳务总量的比例确定。</w:t>
      </w:r>
      <w:r>
        <w:rPr>
          <w:w w:val="100"/>
        </w:rPr>
        <w:t> </w:t>
      </w:r>
      <w:r>
        <w:rPr>
          <w:spacing w:val="-2"/>
        </w:rPr>
        <w:t>提供劳务交易的结果能够可靠估计是指同时满足：</w:t>
      </w:r>
      <w:r>
        <w:rPr>
          <w:rFonts w:ascii="宋体" w:hAnsi="宋体" w:cs="宋体" w:eastAsia="宋体" w:hint="default"/>
          <w:spacing w:val="-2"/>
        </w:rPr>
        <w:t>A</w:t>
      </w:r>
      <w:r>
        <w:rPr>
          <w:spacing w:val="-2"/>
        </w:rPr>
        <w:t>、收入的金额能够可靠地计量；</w:t>
      </w:r>
      <w:r>
        <w:rPr>
          <w:rFonts w:ascii="宋体" w:hAnsi="宋体" w:cs="宋体" w:eastAsia="宋体" w:hint="default"/>
          <w:spacing w:val="-2"/>
        </w:rPr>
        <w:t>B</w:t>
      </w:r>
      <w:r>
        <w:rPr>
          <w:spacing w:val="-2"/>
        </w:rPr>
        <w:t>、相关的经济利</w:t>
      </w:r>
    </w:p>
    <w:p>
      <w:pPr>
        <w:pStyle w:val="BodyText"/>
        <w:spacing w:line="408" w:lineRule="auto" w:before="44"/>
        <w:ind w:right="1129"/>
        <w:jc w:val="both"/>
      </w:pPr>
      <w:r>
        <w:rPr>
          <w:spacing w:val="-2"/>
        </w:rPr>
        <w:t>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、交易中已发生和将发生的成本能够可靠地计</w:t>
      </w:r>
      <w:r>
        <w:rPr>
          <w:spacing w:val="-45"/>
        </w:rPr>
        <w:t> </w:t>
      </w:r>
      <w:r>
        <w:rPr>
          <w:spacing w:val="-45"/>
        </w:rPr>
      </w:r>
      <w:r>
        <w:rPr/>
        <w:t>量。</w:t>
      </w:r>
    </w:p>
    <w:p>
      <w:pPr>
        <w:pStyle w:val="BodyText"/>
        <w:spacing w:line="408" w:lineRule="auto"/>
        <w:ind w:right="1126" w:firstLine="420"/>
        <w:jc w:val="both"/>
      </w:pPr>
      <w:r>
        <w:rPr>
          <w:spacing w:val="-2"/>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r>
        <w:rPr>
          <w:spacing w:val="-43"/>
        </w:rPr>
        <w:t> </w:t>
      </w:r>
      <w:r>
        <w:rPr>
          <w:spacing w:val="-43"/>
        </w:rPr>
      </w:r>
      <w:r>
        <w:rPr/>
        <w:t>确认收入。</w:t>
      </w:r>
    </w:p>
    <w:p>
      <w:pPr>
        <w:pStyle w:val="BodyText"/>
        <w:spacing w:line="408" w:lineRule="auto"/>
        <w:ind w:left="573" w:right="992"/>
        <w:jc w:val="left"/>
      </w:pPr>
      <w:r>
        <w:rPr/>
        <w:t>③让渡资产使用权</w:t>
      </w:r>
      <w:r>
        <w:rPr>
          <w:w w:val="100"/>
        </w:rPr>
        <w:t> </w:t>
      </w:r>
      <w:r>
        <w:rPr>
          <w:spacing w:val="-2"/>
        </w:rPr>
        <w:t>与资产使用权让渡相关的经济利益能够流入及收入的金额能够可靠地计量时，本公司确认收入。</w:t>
      </w:r>
    </w:p>
    <w:p>
      <w:pPr>
        <w:pStyle w:val="BodyText"/>
        <w:spacing w:line="410" w:lineRule="auto"/>
        <w:ind w:left="573" w:right="6375"/>
        <w:jc w:val="left"/>
      </w:pPr>
      <w:r>
        <w:rPr/>
        <w:t>（</w:t>
      </w:r>
      <w:r>
        <w:rPr>
          <w:rFonts w:ascii="宋体" w:hAnsi="宋体" w:cs="宋体" w:eastAsia="宋体" w:hint="default"/>
        </w:rPr>
        <w:t>2</w:t>
      </w:r>
      <w:r>
        <w:rPr/>
        <w:t>）具体方法</w:t>
      </w:r>
      <w:r>
        <w:rPr>
          <w:w w:val="100"/>
        </w:rPr>
        <w:t> </w:t>
      </w:r>
      <w:r>
        <w:rPr>
          <w:spacing w:val="-2"/>
        </w:rPr>
        <w:t>本公司收入确认的具体方法如下：</w:t>
      </w:r>
    </w:p>
    <w:p>
      <w:pPr>
        <w:pStyle w:val="BodyText"/>
        <w:spacing w:line="408" w:lineRule="auto" w:before="44"/>
        <w:ind w:left="573" w:right="992"/>
        <w:jc w:val="left"/>
      </w:pPr>
      <w:r>
        <w:rPr/>
        <w:t>①公司煤矿板块业务的收入确认销售分直销与经销。</w:t>
      </w:r>
      <w:r>
        <w:rPr>
          <w:w w:val="100"/>
        </w:rPr>
        <w:t> </w:t>
      </w:r>
      <w:r>
        <w:rPr>
          <w:rFonts w:ascii="宋体" w:hAnsi="宋体" w:cs="宋体" w:eastAsia="宋体" w:hint="default"/>
          <w:spacing w:val="-2"/>
        </w:rPr>
        <w:t>A</w:t>
      </w:r>
      <w:r>
        <w:rPr>
          <w:spacing w:val="-2"/>
        </w:rPr>
        <w:t>、直销：在客户矿井内安装调试完毕后，客户进行验收，并调试运行一段时间（通常为一个月至三</w:t>
      </w:r>
    </w:p>
    <w:p>
      <w:pPr>
        <w:pStyle w:val="BodyText"/>
        <w:spacing w:line="408" w:lineRule="auto"/>
        <w:ind w:left="573" w:right="992" w:hanging="421"/>
        <w:jc w:val="left"/>
      </w:pPr>
      <w:r>
        <w:rPr/>
        <w:t>个月）。验收结束后公司开具发票并确认收入。</w:t>
      </w:r>
      <w:r>
        <w:rPr>
          <w:w w:val="100"/>
        </w:rPr>
        <w:t> </w:t>
      </w:r>
      <w:r>
        <w:rPr>
          <w:rFonts w:ascii="宋体" w:hAnsi="宋体" w:cs="宋体" w:eastAsia="宋体" w:hint="default"/>
          <w:spacing w:val="-2"/>
        </w:rPr>
        <w:t>B</w:t>
      </w:r>
      <w:r>
        <w:rPr>
          <w:spacing w:val="-2"/>
        </w:rPr>
        <w:t>、经销：公司与经销商签订经销协议，当业务发生时，经销商需先预付全部货款后，由公司向对方</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发货，同时开具发票确认收入。</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②公司通讯板块业务的收入确认</w:t>
      </w:r>
      <w:r>
        <w:rPr>
          <w:w w:val="100"/>
        </w:rPr>
        <w:t> </w:t>
      </w:r>
      <w:r>
        <w:rPr>
          <w:spacing w:val="-2"/>
        </w:rPr>
        <w:t>系统产品销售业务经安装调试后并取得经客户确认的系统产品验收报告确认收入；产品销售业务在货</w:t>
      </w:r>
    </w:p>
    <w:p>
      <w:pPr>
        <w:pStyle w:val="BodyText"/>
        <w:spacing w:line="240" w:lineRule="auto"/>
        <w:ind w:right="992"/>
        <w:jc w:val="left"/>
      </w:pPr>
      <w:r>
        <w:rPr/>
        <w:t>物运抵客户指定地点并取得经客户认可的产品开箱验收单后确认收入。</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③公司军工板块业务的收入确认</w:t>
      </w:r>
      <w:r>
        <w:rPr>
          <w:w w:val="100"/>
        </w:rPr>
        <w:t> </w:t>
      </w:r>
      <w:r>
        <w:rPr>
          <w:spacing w:val="-2"/>
        </w:rPr>
        <w:t>产品发出时，需经公司内部质检部门及军方代表共同检验后，完成产品所有权和控制权的转移并确认</w:t>
      </w:r>
    </w:p>
    <w:p>
      <w:pPr>
        <w:pStyle w:val="BodyText"/>
        <w:spacing w:line="240" w:lineRule="auto"/>
        <w:ind w:right="992"/>
        <w:jc w:val="left"/>
      </w:pPr>
      <w:r>
        <w:rPr/>
        <w:t>收入。</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left="573" w:right="992"/>
        <w:jc w:val="left"/>
      </w:pPr>
      <w:r>
        <w:rPr/>
        <w:t>政府补助在满足政府补助所附条件并能够收到时确认。</w:t>
      </w:r>
      <w:r>
        <w:rPr>
          <w:w w:val="100"/>
        </w:rPr>
        <w:t> </w:t>
      </w:r>
      <w:r>
        <w:rPr>
          <w:spacing w:val="-2"/>
        </w:rPr>
        <w:t>对于货币性资产的政府补助，按照收到或应收的金额计量。对于非货币性资产的政府补助，按照公允</w:t>
      </w:r>
    </w:p>
    <w:p>
      <w:pPr>
        <w:pStyle w:val="BodyText"/>
        <w:spacing w:line="408" w:lineRule="auto"/>
        <w:ind w:left="573" w:right="992" w:hanging="421"/>
        <w:jc w:val="left"/>
      </w:pPr>
      <w:r>
        <w:rPr/>
        <w:t>价值计量；公允价值不能够可靠取得的，按照名义金额</w:t>
      </w:r>
      <w:r>
        <w:rPr>
          <w:rFonts w:ascii="宋体" w:hAnsi="宋体" w:cs="宋体" w:eastAsia="宋体" w:hint="default"/>
        </w:rPr>
        <w:t>1</w:t>
      </w:r>
      <w:r>
        <w:rPr/>
        <w:t>元计量。</w:t>
      </w:r>
      <w:r>
        <w:rPr>
          <w:w w:val="100"/>
        </w:rPr>
        <w:t> </w:t>
      </w:r>
      <w:r>
        <w:rPr>
          <w:spacing w:val="-2"/>
        </w:rPr>
        <w:t>与资产相关的政府补助，是指本集团取得的、用于购建或以其他方式形成长期资产的政府补助；除此</w:t>
      </w:r>
    </w:p>
    <w:p>
      <w:pPr>
        <w:pStyle w:val="BodyText"/>
        <w:spacing w:line="408" w:lineRule="auto"/>
        <w:ind w:left="573" w:right="992" w:hanging="421"/>
        <w:jc w:val="left"/>
      </w:pPr>
      <w:r>
        <w:rPr/>
        <w:t>之外，作为与收益相关的政府补助。</w:t>
      </w:r>
      <w:r>
        <w:rPr>
          <w:w w:val="100"/>
        </w:rPr>
        <w:t> </w:t>
      </w:r>
      <w:r>
        <w:rPr>
          <w:spacing w:val="-2"/>
        </w:rPr>
        <w:t>对于政府文件未明确规定补助对象的，能够形成长期资产的，与资产价值相对应的政府补助部分作为</w:t>
      </w:r>
    </w:p>
    <w:p>
      <w:pPr>
        <w:pStyle w:val="BodyText"/>
        <w:spacing w:line="408" w:lineRule="auto"/>
        <w:ind w:right="992"/>
        <w:jc w:val="left"/>
      </w:pPr>
      <w:r>
        <w:rPr>
          <w:spacing w:val="-2"/>
        </w:rPr>
        <w:t>与资产相关的政府补助，其余部分作为与收益相关的政府补助；难以区分的，将政府补助整体作为与收益</w:t>
      </w:r>
      <w:r>
        <w:rPr>
          <w:spacing w:val="-43"/>
        </w:rPr>
        <w:t> </w:t>
      </w:r>
      <w:r>
        <w:rPr>
          <w:spacing w:val="-43"/>
        </w:rPr>
      </w:r>
      <w:r>
        <w:rPr/>
        <w:t>相关的政府补助。</w:t>
      </w:r>
    </w:p>
    <w:p>
      <w:pPr>
        <w:pStyle w:val="BodyText"/>
        <w:spacing w:line="408" w:lineRule="auto" w:before="44"/>
        <w:ind w:right="992" w:firstLine="420"/>
        <w:jc w:val="left"/>
      </w:pPr>
      <w:r>
        <w:rPr/>
        <w:t>与资产相关的政府补助，冲减相关资产的账面价值，或者确认为递延收益，在相关资产使用期限内按</w:t>
      </w:r>
      <w:r>
        <w:rPr>
          <w:w w:val="100"/>
        </w:rPr>
        <w:t> </w:t>
      </w:r>
      <w:r>
        <w:rPr/>
        <w:t>照合理、系统的方法分期计入损益。与收益相关的政府补助，用于补偿已发生的相关成本费用或损失的，</w:t>
      </w:r>
      <w:r>
        <w:rPr>
          <w:w w:val="100"/>
        </w:rPr>
        <w:t> </w:t>
      </w:r>
      <w:r>
        <w:rPr>
          <w:spacing w:val="-2"/>
        </w:rPr>
        <w:t>计入当期损益或冲减相关成本；用于补偿以后期间的相关成本费用或损失的，则计入递延收益，于相关成</w:t>
      </w:r>
      <w:r>
        <w:rPr>
          <w:spacing w:val="-45"/>
        </w:rPr>
        <w:t> </w:t>
      </w:r>
      <w:r>
        <w:rPr>
          <w:spacing w:val="-45"/>
        </w:rPr>
      </w:r>
      <w:r>
        <w:rPr>
          <w:spacing w:val="-5"/>
        </w:rPr>
        <w:t>本费用或损失确认期间计入当期损益或冲减相关成本。按照名义金额计量的政府补助，直接计入当期损益。 </w:t>
      </w:r>
      <w:r>
        <w:rPr>
          <w:spacing w:val="-5"/>
        </w:rPr>
      </w:r>
      <w:r>
        <w:rPr/>
        <w:t>本集团对相同或类似的政府补助业务，采用一致的方法处理。</w:t>
      </w:r>
    </w:p>
    <w:p>
      <w:pPr>
        <w:pStyle w:val="BodyText"/>
        <w:spacing w:line="408" w:lineRule="auto"/>
        <w:ind w:right="992" w:firstLine="420"/>
        <w:jc w:val="left"/>
      </w:pPr>
      <w:r>
        <w:rPr>
          <w:spacing w:val="-2"/>
        </w:rPr>
        <w:t>与日常活动相关的政府补助，按照经济业务实质，计入其他收益或冲减相关成本费用。与日常活动无</w:t>
      </w:r>
      <w:r>
        <w:rPr>
          <w:w w:val="100"/>
        </w:rPr>
        <w:t> </w:t>
      </w:r>
      <w:r>
        <w:rPr/>
        <w:t>关的政府补助，计入营业外收支。</w:t>
      </w:r>
    </w:p>
    <w:p>
      <w:pPr>
        <w:pStyle w:val="BodyText"/>
        <w:spacing w:line="408" w:lineRule="auto"/>
        <w:ind w:right="1126" w:firstLine="420"/>
        <w:jc w:val="both"/>
      </w:pPr>
      <w:r>
        <w:rPr>
          <w:spacing w:val="-2"/>
        </w:rPr>
        <w:t>已确认的政府补助需要返还时，初始确认时冲减相关资产账面价值的，调整资产账面价值；存在相关</w:t>
      </w:r>
      <w:r>
        <w:rPr>
          <w:w w:val="100"/>
        </w:rPr>
        <w:t> </w:t>
      </w:r>
      <w:r>
        <w:rPr>
          <w:spacing w:val="-2"/>
        </w:rPr>
        <w:t>递延收益余额的，冲减相关递延收益账面余额，超出部分计入当期损益；属于其他情况的，直接计入当期</w:t>
      </w:r>
      <w:r>
        <w:rPr>
          <w:spacing w:val="-50"/>
        </w:rPr>
        <w:t> </w:t>
      </w:r>
      <w:r>
        <w:rPr>
          <w:spacing w:val="-50"/>
        </w:rPr>
      </w:r>
      <w:r>
        <w:rPr/>
        <w:t>损益。</w:t>
      </w:r>
    </w:p>
    <w:p>
      <w:pPr>
        <w:spacing w:line="240" w:lineRule="auto" w:before="8"/>
        <w:rPr>
          <w:rFonts w:ascii="宋体" w:hAnsi="宋体" w:cs="宋体" w:eastAsia="宋体" w:hint="default"/>
          <w:sz w:val="20"/>
          <w:szCs w:val="20"/>
        </w:rPr>
      </w:pPr>
    </w:p>
    <w:p>
      <w:pPr>
        <w:spacing w:line="571" w:lineRule="auto" w:before="0"/>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所得税包括当期所得税和递延所得税。除由于企业合并产生的调整商誉，或与直接计入所有者权益的</w:t>
      </w:r>
    </w:p>
    <w:p>
      <w:pPr>
        <w:spacing w:after="0" w:line="571"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92" w:hanging="421"/>
        <w:jc w:val="left"/>
      </w:pPr>
      <w:r>
        <w:rPr/>
        <w:t>交易或者事项相关的递延所得税计入所有者权益外，均作为所得税费用计入当期损益。</w:t>
      </w:r>
      <w:r>
        <w:rPr>
          <w:w w:val="100"/>
        </w:rPr>
        <w:t> </w:t>
      </w:r>
      <w:r>
        <w:rPr>
          <w:spacing w:val="-2"/>
        </w:rPr>
        <w:t>本集团根据资产、负债于资产负债表日的账面价值与计税基础之间的暂时性差异，采用资产负债表债</w:t>
      </w:r>
    </w:p>
    <w:p>
      <w:pPr>
        <w:pStyle w:val="BodyText"/>
        <w:spacing w:line="408" w:lineRule="auto"/>
        <w:ind w:left="573" w:right="992" w:hanging="421"/>
        <w:jc w:val="left"/>
      </w:pPr>
      <w:r>
        <w:rPr/>
        <w:t>务法确认递延所得税。</w:t>
      </w:r>
      <w:r>
        <w:rPr>
          <w:w w:val="100"/>
        </w:rPr>
        <w:t> </w:t>
      </w:r>
      <w:r>
        <w:rPr>
          <w:spacing w:val="-2"/>
        </w:rPr>
        <w:t>各项应纳税暂时性差异均确认相关的递延所得税负债，除非该应纳税暂时性差异是在以下交易中产生</w:t>
      </w:r>
    </w:p>
    <w:p>
      <w:pPr>
        <w:pStyle w:val="BodyText"/>
        <w:spacing w:line="240" w:lineRule="auto"/>
        <w:ind w:right="992"/>
        <w:jc w:val="left"/>
      </w:pPr>
      <w:r>
        <w:rPr/>
        <w:t>的：</w:t>
      </w:r>
    </w:p>
    <w:p>
      <w:pPr>
        <w:spacing w:line="240" w:lineRule="auto" w:before="10"/>
        <w:rPr>
          <w:rFonts w:ascii="宋体" w:hAnsi="宋体" w:cs="宋体" w:eastAsia="宋体" w:hint="default"/>
          <w:sz w:val="14"/>
          <w:szCs w:val="14"/>
        </w:rPr>
      </w:pPr>
    </w:p>
    <w:p>
      <w:pPr>
        <w:pStyle w:val="BodyText"/>
        <w:spacing w:line="408" w:lineRule="auto" w:before="0"/>
        <w:ind w:right="992" w:firstLine="420"/>
        <w:jc w:val="left"/>
      </w:pPr>
      <w:r>
        <w:rPr>
          <w:spacing w:val="-2"/>
        </w:rPr>
        <w:t>（</w:t>
      </w:r>
      <w:r>
        <w:rPr>
          <w:rFonts w:ascii="宋体" w:hAnsi="宋体" w:cs="宋体" w:eastAsia="宋体" w:hint="default"/>
          <w:spacing w:val="-2"/>
        </w:rPr>
        <w:t>1</w:t>
      </w:r>
      <w:r>
        <w:rPr>
          <w:spacing w:val="-2"/>
        </w:rPr>
        <w:t>）商誉的初始确认，或者具有以下特征的交易中产生的资产或负债的初始确认：该交易不是企业</w:t>
      </w:r>
      <w:r>
        <w:rPr>
          <w:w w:val="100"/>
        </w:rPr>
        <w:t> </w:t>
      </w:r>
      <w:r>
        <w:rPr/>
        <w:t>合并，并且交易发生时既不影响会计利润也不影响应纳税所得额；</w:t>
      </w:r>
    </w:p>
    <w:p>
      <w:pPr>
        <w:pStyle w:val="BodyText"/>
        <w:spacing w:line="408" w:lineRule="auto"/>
        <w:ind w:right="992" w:firstLine="420"/>
        <w:jc w:val="left"/>
      </w:pPr>
      <w:r>
        <w:rPr>
          <w:spacing w:val="-2"/>
        </w:rPr>
        <w:t>（</w:t>
      </w:r>
      <w:r>
        <w:rPr>
          <w:rFonts w:ascii="宋体" w:hAnsi="宋体" w:cs="宋体" w:eastAsia="宋体" w:hint="default"/>
          <w:spacing w:val="-2"/>
        </w:rPr>
        <w:t>2</w:t>
      </w:r>
      <w:r>
        <w:rPr>
          <w:spacing w:val="-2"/>
        </w:rPr>
        <w:t>）对于与子公司、合营企业及联营企业投资相关的应纳税暂时性差异，该暂时性差异转回的时间</w:t>
      </w:r>
      <w:r>
        <w:rPr>
          <w:w w:val="100"/>
        </w:rPr>
        <w:t> </w:t>
      </w:r>
      <w:r>
        <w:rPr/>
        <w:t>能够控制并且该暂时性差异在可预见的未来很可能不会转回。</w:t>
      </w:r>
    </w:p>
    <w:p>
      <w:pPr>
        <w:pStyle w:val="BodyText"/>
        <w:spacing w:line="408" w:lineRule="auto"/>
        <w:ind w:right="1107" w:firstLine="420"/>
        <w:jc w:val="both"/>
      </w:pPr>
      <w:r>
        <w:rPr>
          <w:spacing w:val="-2"/>
        </w:rPr>
        <w:t>对于可抵扣暂时性差异、能够结转以后年度的可抵扣亏损和税款抵减，本集团以很可能取得用来抵扣</w:t>
      </w:r>
      <w:r>
        <w:rPr>
          <w:w w:val="100"/>
        </w:rPr>
        <w:t> </w:t>
      </w:r>
      <w:r>
        <w:rPr>
          <w:spacing w:val="-2"/>
        </w:rPr>
        <w:t>可抵扣暂时性差异、可抵扣亏损和税款抵减的未来应纳税所得额为限，确认由此产生的递延所得税资产，</w:t>
      </w:r>
      <w:r>
        <w:rPr>
          <w:spacing w:val="-24"/>
        </w:rPr>
        <w:t> </w:t>
      </w:r>
      <w:r>
        <w:rPr>
          <w:spacing w:val="-24"/>
        </w:rPr>
      </w:r>
      <w:r>
        <w:rPr/>
        <w:t>除非该可抵扣暂时性差异是在以下交易中产生的：</w:t>
      </w:r>
    </w:p>
    <w:p>
      <w:pPr>
        <w:pStyle w:val="BodyText"/>
        <w:spacing w:line="240" w:lineRule="auto"/>
        <w:ind w:left="573" w:right="992"/>
        <w:jc w:val="left"/>
      </w:pPr>
      <w:r>
        <w:rPr/>
        <w:t>（</w:t>
      </w:r>
      <w:r>
        <w:rPr>
          <w:rFonts w:ascii="宋体" w:hAnsi="宋体" w:cs="宋体" w:eastAsia="宋体" w:hint="default"/>
        </w:rPr>
        <w:t>1</w:t>
      </w:r>
      <w:r>
        <w:rPr/>
        <w:t>）该交易不是企业合并，并且交易发生时既不影响会计利润也不影响应纳税所得额；</w:t>
      </w:r>
    </w:p>
    <w:p>
      <w:pPr>
        <w:spacing w:line="240" w:lineRule="auto" w:before="10"/>
        <w:rPr>
          <w:rFonts w:ascii="宋体" w:hAnsi="宋体" w:cs="宋体" w:eastAsia="宋体" w:hint="default"/>
          <w:sz w:val="14"/>
          <w:szCs w:val="14"/>
        </w:rPr>
      </w:pPr>
    </w:p>
    <w:p>
      <w:pPr>
        <w:pStyle w:val="BodyText"/>
        <w:spacing w:line="408" w:lineRule="auto" w:before="0"/>
        <w:ind w:right="992" w:firstLine="420"/>
        <w:jc w:val="left"/>
      </w:pPr>
      <w:r>
        <w:rPr/>
        <w:t>（</w:t>
      </w:r>
      <w:r>
        <w:rPr>
          <w:rFonts w:ascii="宋体" w:hAnsi="宋体" w:cs="宋体" w:eastAsia="宋体" w:hint="default"/>
        </w:rPr>
        <w:t>2</w:t>
      </w:r>
      <w:r>
        <w:rPr/>
        <w:t>）对于与子公司、合营企业及联营企业投资相关的可抵扣暂时性差异，同时满足下列条件的，确</w:t>
      </w:r>
      <w:r>
        <w:rPr>
          <w:w w:val="100"/>
        </w:rPr>
        <w:t> </w:t>
      </w:r>
      <w:r>
        <w:rPr>
          <w:spacing w:val="-2"/>
        </w:rPr>
        <w:t>认相应的递延所得税资产：暂时性差异在可预见的未来很可能转回，且未来很可能获得用来抵扣可抵扣暂</w:t>
      </w:r>
      <w:r>
        <w:rPr>
          <w:spacing w:val="-44"/>
        </w:rPr>
        <w:t> </w:t>
      </w:r>
      <w:r>
        <w:rPr>
          <w:spacing w:val="-44"/>
        </w:rPr>
      </w:r>
      <w:r>
        <w:rPr/>
        <w:t>时性差异的应纳税所得额。</w:t>
      </w:r>
    </w:p>
    <w:p>
      <w:pPr>
        <w:pStyle w:val="BodyText"/>
        <w:spacing w:line="408" w:lineRule="auto"/>
        <w:ind w:right="1126" w:firstLine="420"/>
        <w:jc w:val="both"/>
      </w:pPr>
      <w:r>
        <w:rPr>
          <w:spacing w:val="-2"/>
        </w:rPr>
        <w:t>于资产负债表日，本集团对递延所得税资产和递延所得税负债，按照预期收回该资产或清偿该负债期</w:t>
      </w:r>
      <w:r>
        <w:rPr>
          <w:w w:val="100"/>
        </w:rPr>
        <w:t> </w:t>
      </w:r>
      <w:r>
        <w:rPr/>
        <w:t>间的适用税率计量，并反映资产负债表日预期收回资产或清偿负债方式的所得税影响。</w:t>
      </w:r>
    </w:p>
    <w:p>
      <w:pPr>
        <w:pStyle w:val="BodyText"/>
        <w:spacing w:line="408" w:lineRule="auto"/>
        <w:ind w:right="1126" w:firstLine="420"/>
        <w:jc w:val="both"/>
      </w:pPr>
      <w:r>
        <w:rPr>
          <w:spacing w:val="-2"/>
        </w:rPr>
        <w:t>于资产负债表日，本集团对递延所得税资产的账面价值进行复核。如果未来期间很可能无法获得足够</w:t>
      </w:r>
      <w:r>
        <w:rPr>
          <w:w w:val="100"/>
        </w:rPr>
        <w:t> </w:t>
      </w:r>
      <w:r>
        <w:rPr>
          <w:spacing w:val="-2"/>
        </w:rPr>
        <w:t>的应纳税所得额用以抵扣递延所得税资产的利益，减记递延所得税资产的账面价值。在很可能获得足够的</w:t>
      </w:r>
      <w:r>
        <w:rPr>
          <w:spacing w:val="-43"/>
        </w:rPr>
        <w:t> </w:t>
      </w:r>
      <w:r>
        <w:rPr>
          <w:spacing w:val="-43"/>
        </w:rPr>
      </w:r>
      <w:r>
        <w:rPr/>
        <w:t>应纳税所得额时，减记的金额予以转回。</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26</w:t>
      </w:r>
      <w:r>
        <w:rPr/>
        <w:t>、租赁</w:t>
      </w:r>
      <w:r>
        <w:rPr>
          <w:b w:val="0"/>
          <w:bCs w:val="0"/>
        </w:rPr>
      </w:r>
    </w:p>
    <w:p>
      <w:pPr>
        <w:spacing w:line="692" w:lineRule="exact" w:before="13"/>
        <w:ind w:left="573" w:right="99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本集团将实质上转移了与资产所有权有关的全部风险和报酬的租赁确认为融资租赁，除融资租赁之外</w:t>
      </w:r>
    </w:p>
    <w:p>
      <w:pPr>
        <w:pStyle w:val="BodyText"/>
        <w:spacing w:line="240" w:lineRule="auto" w:before="85"/>
        <w:ind w:right="992"/>
        <w:jc w:val="left"/>
      </w:pPr>
      <w:r>
        <w:rPr/>
        <w:t>的其他租赁确认为经营租赁。</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①本集团作为出租人</w:t>
      </w:r>
      <w:r>
        <w:rPr>
          <w:w w:val="100"/>
        </w:rPr>
        <w:t> </w:t>
      </w:r>
      <w:r>
        <w:rPr>
          <w:spacing w:val="-2"/>
        </w:rPr>
        <w:t>融资租赁中，在租赁期开始日本集团按最低租赁收款额与初始直接费用之和作为应收融资租赁款的入</w:t>
      </w:r>
    </w:p>
    <w:p>
      <w:pPr>
        <w:pStyle w:val="BodyText"/>
        <w:spacing w:line="240" w:lineRule="auto"/>
        <w:ind w:right="992"/>
        <w:jc w:val="left"/>
      </w:pPr>
      <w:r>
        <w:rPr/>
        <w:t>账价值，同时记录未担保余值；将最低租赁收款额、初始直接费用及未担保余值之和与其现值之和的差额</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确认为未实现融资收益。未实现融资收益在租赁期内各个期间采用实际利率法计算确认当期的融资收入。</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②本集团作为承租人</w:t>
      </w:r>
      <w:r>
        <w:rPr>
          <w:w w:val="100"/>
        </w:rPr>
        <w:t> </w:t>
      </w:r>
      <w:r>
        <w:rPr>
          <w:spacing w:val="-2"/>
        </w:rPr>
        <w:t>融资租赁中，在租赁期开始日本集团将租赁资产公允价值与最低租赁付款额现值两者中较低者作为租</w:t>
      </w:r>
    </w:p>
    <w:p>
      <w:pPr>
        <w:pStyle w:val="BodyText"/>
        <w:spacing w:line="408" w:lineRule="auto"/>
        <w:ind w:right="992"/>
        <w:jc w:val="left"/>
      </w:pPr>
      <w:r>
        <w:rPr>
          <w:spacing w:val="-2"/>
        </w:rPr>
        <w:t>入资产的入账价值，将最低租赁付款额作为长期应付款的入账价值，其差额作为未确认融资费用。初始直</w:t>
      </w:r>
      <w:r>
        <w:rPr>
          <w:spacing w:val="-44"/>
        </w:rPr>
        <w:t> </w:t>
      </w:r>
      <w:r>
        <w:rPr>
          <w:spacing w:val="-44"/>
        </w:rPr>
      </w:r>
      <w:r>
        <w:rPr/>
        <w:t>接费用计入租入资产价值。未确认融资费用在租赁期内各个期间采用实际利率法计算确认当期的融资费</w:t>
      </w:r>
      <w:r>
        <w:rPr>
          <w:w w:val="100"/>
        </w:rPr>
        <w:t> </w:t>
      </w:r>
      <w:r>
        <w:rPr/>
        <w:t>用。本集团采用与自有固定资产相一致的折旧政策计提租赁资产折旧。</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left="573" w:right="992"/>
        <w:jc w:val="left"/>
      </w:pPr>
      <w:r>
        <w:rPr/>
        <w:t>①本集团作为出租人</w:t>
      </w:r>
      <w:r>
        <w:rPr>
          <w:w w:val="100"/>
        </w:rPr>
        <w:t> </w:t>
      </w:r>
      <w:r>
        <w:rPr>
          <w:spacing w:val="-2"/>
        </w:rPr>
        <w:t>经营租赁中的租金，本集团在租赁期内各个期间按照直线法确认当期损益。发生的初始直接费用，计</w:t>
      </w:r>
    </w:p>
    <w:p>
      <w:pPr>
        <w:pStyle w:val="BodyText"/>
        <w:spacing w:line="240" w:lineRule="auto" w:before="44"/>
        <w:ind w:right="992"/>
        <w:jc w:val="left"/>
      </w:pPr>
      <w:r>
        <w:rPr/>
        <w:t>入当期损益。</w:t>
      </w:r>
    </w:p>
    <w:p>
      <w:pPr>
        <w:spacing w:line="240" w:lineRule="auto" w:before="10"/>
        <w:rPr>
          <w:rFonts w:ascii="宋体" w:hAnsi="宋体" w:cs="宋体" w:eastAsia="宋体" w:hint="default"/>
          <w:sz w:val="14"/>
          <w:szCs w:val="14"/>
        </w:rPr>
      </w:pPr>
    </w:p>
    <w:p>
      <w:pPr>
        <w:pStyle w:val="BodyText"/>
        <w:spacing w:line="408" w:lineRule="auto" w:before="0"/>
        <w:ind w:left="573" w:right="992"/>
        <w:jc w:val="left"/>
      </w:pPr>
      <w:r>
        <w:rPr/>
        <w:t>②本集团作为承租人</w:t>
      </w:r>
      <w:r>
        <w:rPr>
          <w:w w:val="100"/>
        </w:rPr>
        <w:t> </w:t>
      </w:r>
      <w:r>
        <w:rPr>
          <w:spacing w:val="-2"/>
        </w:rPr>
        <w:t>经营租赁中的租金，本集团在租赁期内各个期间按照直线法计入相关资产成本或当期损益；发生的初</w:t>
      </w:r>
    </w:p>
    <w:p>
      <w:pPr>
        <w:pStyle w:val="BodyText"/>
        <w:spacing w:line="240" w:lineRule="auto"/>
        <w:ind w:right="992"/>
        <w:jc w:val="left"/>
      </w:pPr>
      <w:r>
        <w:rPr/>
        <w:t>始直接费用，计入当期损益。</w:t>
      </w:r>
    </w:p>
    <w:p>
      <w:pPr>
        <w:spacing w:line="670" w:lineRule="atLeast" w:before="37"/>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本集团根据历史经验和其它因素，包括对未来事项的合理预期，对所采用的重要会计估计和关键假设</w:t>
      </w:r>
    </w:p>
    <w:p>
      <w:pPr>
        <w:spacing w:line="240" w:lineRule="auto" w:before="10"/>
        <w:rPr>
          <w:rFonts w:ascii="宋体" w:hAnsi="宋体" w:cs="宋体" w:eastAsia="宋体" w:hint="default"/>
          <w:sz w:val="14"/>
          <w:szCs w:val="14"/>
        </w:rPr>
      </w:pPr>
    </w:p>
    <w:p>
      <w:pPr>
        <w:pStyle w:val="BodyText"/>
        <w:spacing w:line="408" w:lineRule="auto" w:before="0"/>
        <w:ind w:right="992"/>
        <w:jc w:val="left"/>
      </w:pPr>
      <w:r>
        <w:rPr>
          <w:spacing w:val="-2"/>
        </w:rPr>
        <w:t>进行持续的评价。很可能导致下一会计年度资产和负债的账面价值出现重大调整风险的重要会计估计和关</w:t>
      </w:r>
      <w:r>
        <w:rPr>
          <w:spacing w:val="-43"/>
        </w:rPr>
        <w:t> </w:t>
      </w:r>
      <w:r>
        <w:rPr>
          <w:spacing w:val="-43"/>
        </w:rPr>
      </w:r>
      <w:r>
        <w:rPr/>
        <w:t>键假设列示如下：</w:t>
      </w:r>
    </w:p>
    <w:p>
      <w:pPr>
        <w:pStyle w:val="BodyText"/>
        <w:spacing w:line="408" w:lineRule="auto"/>
        <w:ind w:left="573" w:right="992"/>
        <w:jc w:val="left"/>
      </w:pPr>
      <w:r>
        <w:rPr/>
        <w:t>金融资产的分类</w:t>
      </w:r>
      <w:r>
        <w:rPr>
          <w:spacing w:val="-103"/>
        </w:rPr>
        <w:t> </w:t>
      </w:r>
      <w:r>
        <w:rPr>
          <w:spacing w:val="-103"/>
        </w:rPr>
      </w:r>
      <w:r>
        <w:rPr/>
        <w:t>本集团在确定金融资产的分类时涉及的重大判断包括业务模式及合同现金流量特征的分析等。</w:t>
      </w:r>
      <w:r>
        <w:rPr>
          <w:w w:val="100"/>
        </w:rPr>
        <w:t> </w:t>
      </w:r>
      <w:r>
        <w:rPr>
          <w:spacing w:val="-2"/>
        </w:rPr>
        <w:t>本集团在金融资产组合的层次上确定管理金融资产的业务模式，考虑的因素包括评价和向关键管理人</w:t>
      </w:r>
    </w:p>
    <w:p>
      <w:pPr>
        <w:pStyle w:val="BodyText"/>
        <w:spacing w:line="408" w:lineRule="auto"/>
        <w:ind w:right="992"/>
        <w:jc w:val="left"/>
      </w:pPr>
      <w:r>
        <w:rPr>
          <w:spacing w:val="-2"/>
        </w:rPr>
        <w:t>员报告金融资产业绩的方式、影响金融资产业绩的风险及其管理方式、以及相关业务管理人员获得报酬的</w:t>
      </w:r>
      <w:r>
        <w:rPr>
          <w:spacing w:val="-43"/>
        </w:rPr>
        <w:t> </w:t>
      </w:r>
      <w:r>
        <w:rPr>
          <w:spacing w:val="-43"/>
        </w:rPr>
      </w:r>
      <w:r>
        <w:rPr/>
        <w:t>方式等。</w:t>
      </w:r>
    </w:p>
    <w:p>
      <w:pPr>
        <w:pStyle w:val="BodyText"/>
        <w:spacing w:line="408" w:lineRule="auto"/>
        <w:ind w:right="1126" w:firstLine="420"/>
        <w:jc w:val="both"/>
      </w:pPr>
      <w:r>
        <w:rPr>
          <w:spacing w:val="-2"/>
        </w:rPr>
        <w:t>本集团在评估金融资产的合同现金流量是否与基本借贷安排相一致时，存在以下主要判断：本金是否</w:t>
      </w:r>
      <w:r>
        <w:rPr>
          <w:w w:val="100"/>
        </w:rPr>
        <w:t> </w:t>
      </w:r>
      <w:r>
        <w:rPr>
          <w:spacing w:val="-2"/>
        </w:rPr>
        <w:t>可能因提前还款等原因导致在存续期内的时间分布或者金额发生变动；利息是否仅包括货币时间价值、信</w:t>
      </w:r>
      <w:r>
        <w:rPr>
          <w:spacing w:val="-43"/>
        </w:rPr>
        <w:t> </w:t>
      </w:r>
      <w:r>
        <w:rPr>
          <w:spacing w:val="-43"/>
        </w:rPr>
      </w:r>
      <w:r>
        <w:rPr>
          <w:spacing w:val="-2"/>
        </w:rPr>
        <w:t>用风险、其他基本借贷风险以及与成本和利润的对价。例如，提前偿付的金额是否仅反映了尚未支付的本</w:t>
      </w:r>
      <w:r>
        <w:rPr>
          <w:spacing w:val="-43"/>
        </w:rPr>
        <w:t> </w:t>
      </w:r>
      <w:r>
        <w:rPr>
          <w:spacing w:val="-43"/>
        </w:rPr>
      </w:r>
      <w:r>
        <w:rPr/>
        <w:t>金及以未偿付本金为基础的利息，以及因提前终止合同而支付的合理补偿。</w:t>
      </w:r>
    </w:p>
    <w:p>
      <w:pPr>
        <w:pStyle w:val="BodyText"/>
        <w:spacing w:line="408" w:lineRule="auto"/>
        <w:ind w:left="573" w:right="992"/>
        <w:jc w:val="left"/>
      </w:pPr>
      <w:r>
        <w:rPr/>
        <w:t>应收账款预期信用损失的计量</w:t>
      </w:r>
      <w:r>
        <w:rPr>
          <w:w w:val="100"/>
        </w:rPr>
        <w:t> </w:t>
      </w:r>
      <w:r>
        <w:rPr>
          <w:spacing w:val="-2"/>
        </w:rPr>
        <w:t>本集团通过应收账款违约风险敞口和预期信用损失率计算应收账款预期信用损失，并基于违约概率和</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05"/>
        <w:jc w:val="both"/>
      </w:pPr>
      <w:r>
        <w:rPr>
          <w:spacing w:val="-2"/>
        </w:rPr>
        <w:t>违约损失率确定预期信用损失率。在确定预期信用损失率时，本集团使用内部历史信用损失经验等数据，</w:t>
      </w:r>
      <w:r>
        <w:rPr>
          <w:spacing w:val="-21"/>
        </w:rPr>
        <w:t> </w:t>
      </w:r>
      <w:r>
        <w:rPr>
          <w:spacing w:val="-21"/>
        </w:rPr>
      </w:r>
      <w:r>
        <w:rPr>
          <w:spacing w:val="-2"/>
        </w:rPr>
        <w:t>并结合当前状况和前瞻性信息对历史数据进行调整。在考虑前瞻性信息时，本集团使用的指标包括经济下</w:t>
      </w:r>
      <w:r>
        <w:rPr>
          <w:spacing w:val="-43"/>
        </w:rPr>
        <w:t> </w:t>
      </w:r>
      <w:r>
        <w:rPr>
          <w:spacing w:val="-43"/>
        </w:rPr>
      </w:r>
      <w:r>
        <w:rPr>
          <w:spacing w:val="-2"/>
        </w:rPr>
        <w:t>滑的风险、外部市场环境、技术环境和客户情况的变化等。本集团定期监控并复核与预期信用损失计算相</w:t>
      </w:r>
      <w:r>
        <w:rPr>
          <w:spacing w:val="-44"/>
        </w:rPr>
        <w:t> </w:t>
      </w:r>
      <w:r>
        <w:rPr>
          <w:spacing w:val="-44"/>
        </w:rPr>
      </w:r>
      <w:r>
        <w:rPr/>
        <w:t>关的假设。</w:t>
      </w:r>
    </w:p>
    <w:p>
      <w:pPr>
        <w:pStyle w:val="BodyText"/>
        <w:spacing w:line="408" w:lineRule="auto"/>
        <w:ind w:left="573" w:right="992"/>
        <w:jc w:val="left"/>
      </w:pPr>
      <w:r>
        <w:rPr/>
        <w:t>商誉减值</w:t>
      </w:r>
      <w:r>
        <w:rPr>
          <w:w w:val="100"/>
        </w:rPr>
        <w:t> </w:t>
      </w:r>
      <w:r>
        <w:rPr>
          <w:spacing w:val="-2"/>
        </w:rPr>
        <w:t>本集团至少每年评估商誉是否发生减值。这要求对分配了商誉的资产组的使用价值进行估计。估计使</w:t>
      </w:r>
    </w:p>
    <w:p>
      <w:pPr>
        <w:pStyle w:val="BodyText"/>
        <w:spacing w:line="408" w:lineRule="auto"/>
        <w:ind w:left="573" w:right="992" w:hanging="421"/>
        <w:jc w:val="left"/>
      </w:pPr>
      <w:r>
        <w:rPr>
          <w:spacing w:val="-5"/>
        </w:rPr>
        <w:t>用价值时，本集团需要估计未来来自资产组的现金流量，同时选择恰当的折现率计算未来现金流量的现值。</w:t>
      </w:r>
      <w:r>
        <w:rPr>
          <w:spacing w:val="-9"/>
        </w:rPr>
        <w:t> </w:t>
      </w:r>
      <w:r>
        <w:rPr>
          <w:spacing w:val="-9"/>
        </w:rPr>
      </w:r>
      <w:r>
        <w:rPr/>
        <w:t>递延所得税资产</w:t>
      </w:r>
      <w:r>
        <w:rPr>
          <w:w w:val="100"/>
        </w:rPr>
        <w:t> </w:t>
      </w:r>
      <w:r>
        <w:rPr/>
        <w:t>在很有可能有足够的应纳税利润来抵扣亏损的限度内，应就所有未利用的税务亏损确认递延所得税资</w:t>
      </w:r>
    </w:p>
    <w:p>
      <w:pPr>
        <w:pStyle w:val="BodyText"/>
        <w:spacing w:line="408" w:lineRule="auto"/>
        <w:ind w:right="1126"/>
        <w:jc w:val="both"/>
      </w:pPr>
      <w:r>
        <w:rPr>
          <w:spacing w:val="-2"/>
        </w:rPr>
        <w:t>产。这需要管理层运用大量的判断来估计未来应纳税利润发生的时间和金额，结合纳税筹划策略，以决定</w:t>
      </w:r>
      <w:r>
        <w:rPr>
          <w:spacing w:val="-43"/>
        </w:rPr>
        <w:t> </w:t>
      </w:r>
      <w:r>
        <w:rPr>
          <w:spacing w:val="-43"/>
        </w:rPr>
      </w:r>
      <w:r>
        <w:rPr/>
        <w:t>应确认的递延所得税资产的金额。</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992" w:firstLine="0"/>
        <w:jc w:val="left"/>
        <w:rPr>
          <w:rFonts w:ascii="宋体" w:hAnsi="宋体" w:cs="宋体" w:eastAsia="宋体" w:hint="default"/>
          <w:sz w:val="18"/>
          <w:szCs w:val="18"/>
        </w:rPr>
      </w:pPr>
      <w:r>
        <w:rPr/>
        <w:pict>
          <v:group style="position:absolute;margin-left:306.290009pt;margin-top:61.147728pt;width:167.35pt;height:35.35pt;mso-position-horizontal-relative:page;mso-position-vertical-relative:paragraph;z-index:-881464" coordorigin="6126,1223" coordsize="3347,707">
            <v:group style="position:absolute;left:6126;top:1223;width:3347;height:354" coordorigin="6126,1223" coordsize="3347,354">
              <v:shape style="position:absolute;left:6126;top:1223;width:3347;height:354" coordorigin="6126,1223" coordsize="3347,354" path="m6126,1576l9472,1576,9472,1223,6126,1223,6126,1576xe" filled="true" fillcolor="#ffffff" stroked="false">
                <v:path arrowok="t"/>
                <v:fill type="solid"/>
              </v:shape>
            </v:group>
            <v:group style="position:absolute;left:6126;top:1576;width:3347;height:353" coordorigin="6126,1576" coordsize="3347,353">
              <v:shape style="position:absolute;left:6126;top:1576;width:3347;height:353" coordorigin="6126,1576" coordsize="3347,353" path="m6126,1929l9472,1929,9472,1576,6126,1576,6126,1929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64"/>
        <w:gridCol w:w="3402"/>
        <w:gridCol w:w="1205"/>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2" w:hRule="exact"/>
        </w:trPr>
        <w:tc>
          <w:tcPr>
            <w:tcW w:w="496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工具确认和计量（修订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产转</w:t>
            </w:r>
            <w:r>
              <w:rPr>
                <w:rFonts w:ascii="宋体" w:hAnsi="宋体" w:cs="宋体" w:eastAsia="宋体" w:hint="default"/>
                <w:spacing w:val="-46"/>
                <w:sz w:val="18"/>
                <w:szCs w:val="18"/>
              </w:rPr>
              <w:t>移</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137"/>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r>
              <w:rPr>
                <w:rFonts w:ascii="宋体" w:hAnsi="宋体" w:cs="宋体" w:eastAsia="宋体" w:hint="default"/>
                <w:spacing w:val="-46"/>
                <w:sz w:val="18"/>
                <w:szCs w:val="18"/>
              </w:rPr>
              <w:t>计</w:t>
            </w:r>
            <w:r>
              <w:rPr>
                <w:rFonts w:ascii="宋体" w:hAnsi="宋体" w:cs="宋体" w:eastAsia="宋体" w:hint="default"/>
                <w:sz w:val="18"/>
                <w:szCs w:val="18"/>
              </w:rPr>
              <w:t>（修</w:t>
            </w:r>
            <w:r>
              <w:rPr>
                <w:rFonts w:ascii="宋体" w:hAnsi="宋体" w:cs="宋体" w:eastAsia="宋体" w:hint="default"/>
                <w:spacing w:val="-3"/>
                <w:sz w:val="18"/>
                <w:szCs w:val="18"/>
              </w:rPr>
              <w:t>订</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00" w:lineRule="auto" w:before="63"/>
              <w:ind w:left="24" w:right="15"/>
              <w:jc w:val="left"/>
              <w:rPr>
                <w:rFonts w:ascii="宋体" w:hAnsi="宋体" w:cs="宋体" w:eastAsia="宋体" w:hint="default"/>
                <w:sz w:val="18"/>
                <w:szCs w:val="18"/>
              </w:rPr>
            </w:pPr>
            <w:r>
              <w:rPr>
                <w:rFonts w:ascii="宋体" w:hAnsi="宋体" w:cs="宋体" w:eastAsia="宋体" w:hint="default"/>
                <w:spacing w:val="-15"/>
                <w:sz w:val="18"/>
                <w:szCs w:val="18"/>
              </w:rPr>
              <w:t>及</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金融工具列</w:t>
            </w:r>
            <w:r>
              <w:rPr>
                <w:rFonts w:ascii="宋体" w:hAnsi="宋体" w:cs="宋体" w:eastAsia="宋体" w:hint="default"/>
                <w:spacing w:val="-15"/>
                <w:sz w:val="18"/>
                <w:szCs w:val="18"/>
              </w:rPr>
              <w:t>报</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下</w:t>
            </w:r>
            <w:r>
              <w:rPr>
                <w:rFonts w:ascii="宋体" w:hAnsi="宋体" w:cs="宋体" w:eastAsia="宋体" w:hint="default"/>
                <w:sz w:val="18"/>
                <w:szCs w:val="18"/>
              </w:rPr>
              <w:t>统</w:t>
            </w:r>
            <w:r>
              <w:rPr>
                <w:rFonts w:ascii="宋体" w:hAnsi="宋体" w:cs="宋体" w:eastAsia="宋体" w:hint="default"/>
                <w:sz w:val="18"/>
                <w:szCs w:val="18"/>
              </w:rPr>
              <w:t> 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新金融工具准</w:t>
            </w:r>
            <w:r>
              <w:rPr>
                <w:rFonts w:ascii="宋体" w:hAnsi="宋体" w:cs="宋体" w:eastAsia="宋体" w:hint="default"/>
                <w:spacing w:val="-1"/>
                <w:sz w:val="18"/>
                <w:szCs w:val="18"/>
              </w:rPr>
              <w:t>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340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03" w:lineRule="exact"/>
              <w:ind w:left="16" w:right="0"/>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年第一次会议及第四届</w:t>
            </w:r>
          </w:p>
          <w:p>
            <w:pPr>
              <w:pStyle w:val="TableParagraph"/>
              <w:spacing w:line="14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年第一次会议审议通过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参见下列①</w:t>
            </w:r>
          </w:p>
        </w:tc>
      </w:tr>
      <w:tr>
        <w:trPr>
          <w:trHeight w:val="71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日发布的《企业会计准则第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92"/>
                <w:sz w:val="18"/>
                <w:szCs w:val="18"/>
              </w:rPr>
              <w:t>》</w:t>
            </w:r>
            <w:r>
              <w:rPr>
                <w:rFonts w:ascii="宋体" w:hAnsi="宋体" w:cs="宋体" w:eastAsia="宋体" w:hint="default"/>
                <w:sz w:val="18"/>
                <w:szCs w:val="18"/>
              </w:rPr>
              <w:t>（以下简</w:t>
            </w:r>
            <w:r>
              <w:rPr>
                <w:rFonts w:ascii="宋体" w:hAnsi="宋体" w:cs="宋体" w:eastAsia="宋体" w:hint="default"/>
                <w:spacing w:val="-1"/>
                <w:sz w:val="18"/>
                <w:szCs w:val="18"/>
              </w:rPr>
              <w:t>称</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新债务重组准则</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年第三次会议及第四届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年第三次会议审议通过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参见下列②</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执行财政部于</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发布</w:t>
            </w:r>
            <w:r>
              <w:rPr>
                <w:rFonts w:ascii="宋体" w:hAnsi="宋体" w:cs="宋体" w:eastAsia="宋体" w:hint="default"/>
                <w:spacing w:val="-92"/>
                <w:sz w:val="18"/>
                <w:szCs w:val="18"/>
              </w:rPr>
              <w:t>的</w:t>
            </w:r>
            <w:r>
              <w:rPr>
                <w:rFonts w:ascii="宋体" w:hAnsi="宋体" w:cs="宋体" w:eastAsia="宋体" w:hint="default"/>
                <w:sz w:val="18"/>
                <w:szCs w:val="18"/>
              </w:rPr>
              <w:t>《企业会计准则第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z w:val="18"/>
                <w:szCs w:val="18"/>
              </w:rPr>
              <w:t>（以下简</w:t>
            </w:r>
            <w:r>
              <w:rPr>
                <w:rFonts w:ascii="宋体" w:hAnsi="宋体" w:cs="宋体" w:eastAsia="宋体" w:hint="default"/>
                <w:spacing w:val="2"/>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新非货币性交换准则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年第三次会议及第四届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年第三次会议审议通过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参见下列③</w:t>
            </w:r>
          </w:p>
        </w:tc>
      </w:tr>
      <w:tr>
        <w:trPr>
          <w:trHeight w:val="71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月发布的《财政部关于修订印发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年度一般企业财务报表格式的通知</w:t>
            </w:r>
            <w:r>
              <w:rPr>
                <w:rFonts w:ascii="宋体" w:hAnsi="宋体" w:cs="宋体" w:eastAsia="宋体" w:hint="default"/>
                <w:spacing w:val="-92"/>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年第三次会议及第四届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年第三次会议审议通过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参见下列④</w:t>
            </w:r>
          </w:p>
        </w:tc>
      </w:tr>
    </w:tbl>
    <w:p>
      <w:pPr>
        <w:pStyle w:val="BodyText"/>
        <w:spacing w:line="410" w:lineRule="auto" w:before="64"/>
        <w:ind w:left="573" w:right="992"/>
        <w:jc w:val="left"/>
      </w:pPr>
      <w:r>
        <w:rPr/>
        <w:t>①新金融工具准则</w:t>
      </w:r>
      <w:r>
        <w:rPr>
          <w:w w:val="100"/>
        </w:rPr>
        <w:t> </w:t>
      </w:r>
      <w:r>
        <w:rPr>
          <w:spacing w:val="-2"/>
        </w:rPr>
        <w:t>财政部于</w:t>
      </w:r>
      <w:r>
        <w:rPr>
          <w:rFonts w:ascii="宋体" w:hAnsi="宋体" w:cs="宋体" w:eastAsia="宋体" w:hint="default"/>
          <w:spacing w:val="-2"/>
        </w:rPr>
        <w:t>2017</w:t>
      </w:r>
      <w:r>
        <w:rPr>
          <w:spacing w:val="-2"/>
        </w:rPr>
        <w:t>年颁布了《企业会计准则第</w:t>
      </w:r>
      <w:r>
        <w:rPr>
          <w:rFonts w:ascii="宋体" w:hAnsi="宋体" w:cs="宋体" w:eastAsia="宋体" w:hint="default"/>
          <w:spacing w:val="-2"/>
        </w:rPr>
        <w:t>22</w:t>
      </w:r>
      <w:r>
        <w:rPr>
          <w:spacing w:val="-2"/>
        </w:rPr>
        <w:t>号——金融工具确认和计量（修订）》、《企业会计准则</w:t>
      </w:r>
    </w:p>
    <w:p>
      <w:pPr>
        <w:pStyle w:val="BodyText"/>
        <w:spacing w:line="408" w:lineRule="auto" w:before="44"/>
        <w:ind w:right="1125"/>
        <w:jc w:val="left"/>
      </w:pPr>
      <w:r>
        <w:rPr>
          <w:spacing w:val="-2"/>
        </w:rPr>
        <w:t>第</w:t>
      </w:r>
      <w:r>
        <w:rPr>
          <w:rFonts w:ascii="宋体" w:hAnsi="宋体" w:cs="宋体" w:eastAsia="宋体" w:hint="default"/>
          <w:spacing w:val="-2"/>
        </w:rPr>
        <w:t>23</w:t>
      </w:r>
      <w:r>
        <w:rPr>
          <w:spacing w:val="-2"/>
        </w:rPr>
        <w:t>号——金融资产转移（修订）》、《企业会计准则第</w:t>
      </w:r>
      <w:r>
        <w:rPr>
          <w:rFonts w:ascii="宋体" w:hAnsi="宋体" w:cs="宋体" w:eastAsia="宋体" w:hint="default"/>
          <w:spacing w:val="-2"/>
        </w:rPr>
        <w:t>24</w:t>
      </w:r>
      <w:r>
        <w:rPr>
          <w:spacing w:val="-2"/>
        </w:rPr>
        <w:t>号——套期会计（修订）》及《企业会计准则</w:t>
      </w:r>
      <w:r>
        <w:rPr>
          <w:spacing w:val="-37"/>
        </w:rPr>
        <w:t> </w:t>
      </w:r>
      <w:r>
        <w:rPr>
          <w:spacing w:val="-37"/>
        </w:rPr>
      </w:r>
      <w:r>
        <w:rPr/>
        <w:t>第</w:t>
      </w:r>
      <w:r>
        <w:rPr>
          <w:rFonts w:ascii="宋体" w:hAnsi="宋体" w:cs="宋体" w:eastAsia="宋体" w:hint="default"/>
        </w:rPr>
        <w:t>37</w:t>
      </w:r>
      <w:r>
        <w:rPr/>
        <w:t>号——金融工具列报（修订）》（以下统称“新金融工具准则”），本公司于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日召开的</w:t>
      </w:r>
      <w:r>
        <w:rPr>
          <w:w w:val="100"/>
        </w:rPr>
        <w:t> </w:t>
      </w:r>
      <w:r>
        <w:rPr/>
        <w:t>第四届董事会 </w:t>
      </w:r>
      <w:r>
        <w:rPr>
          <w:rFonts w:ascii="宋体" w:hAnsi="宋体" w:cs="宋体" w:eastAsia="宋体" w:hint="default"/>
        </w:rPr>
        <w:t>2019</w:t>
      </w:r>
      <w:r>
        <w:rPr>
          <w:rFonts w:ascii="宋体" w:hAnsi="宋体" w:cs="宋体" w:eastAsia="宋体" w:hint="default"/>
          <w:spacing w:val="-31"/>
        </w:rPr>
        <w:t> </w:t>
      </w:r>
      <w:r>
        <w:rPr/>
        <w:t>年第一次会议，批准自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日起执行新金融工具准则，对会计政策相关内容进</w:t>
      </w:r>
      <w:r>
        <w:rPr>
          <w:w w:val="100"/>
        </w:rPr>
        <w:t> </w:t>
      </w:r>
      <w:r>
        <w:rPr/>
        <w:t>行了调整。变更后的会计政策参见附注五、</w:t>
      </w:r>
      <w:r>
        <w:rPr>
          <w:rFonts w:ascii="宋体" w:hAnsi="宋体" w:cs="宋体" w:eastAsia="宋体" w:hint="default"/>
        </w:rPr>
        <w:t>9</w:t>
      </w:r>
      <w:r>
        <w:rPr/>
        <w:t>。</w:t>
      </w:r>
    </w:p>
    <w:p>
      <w:pPr>
        <w:spacing w:after="0" w:line="408" w:lineRule="auto"/>
        <w:jc w:val="left"/>
        <w:sectPr>
          <w:footerReference w:type="default" r:id="rId22"/>
          <w:pgSz w:w="11910" w:h="16840"/>
          <w:pgMar w:footer="980" w:header="877" w:top="1100" w:bottom="1160" w:left="980" w:right="0"/>
          <w:pgNumType w:start="120"/>
        </w:sectPr>
      </w:pPr>
    </w:p>
    <w:p>
      <w:pPr>
        <w:spacing w:line="240" w:lineRule="auto" w:before="9"/>
        <w:rPr>
          <w:rFonts w:ascii="宋体" w:hAnsi="宋体" w:cs="宋体" w:eastAsia="宋体" w:hint="default"/>
          <w:sz w:val="26"/>
          <w:szCs w:val="26"/>
        </w:rPr>
      </w:pPr>
    </w:p>
    <w:p>
      <w:pPr>
        <w:pStyle w:val="BodyText"/>
        <w:spacing w:line="408" w:lineRule="auto" w:before="36"/>
        <w:ind w:left="252" w:right="713" w:firstLine="420"/>
        <w:jc w:val="left"/>
      </w:pPr>
      <w:r>
        <w:rPr/>
        <w:t>新金融工具准则要求根据管理金融资产的业务模式和金融资产的合同现金流量特征，将金融资产划分</w:t>
      </w:r>
      <w:r>
        <w:rPr>
          <w:w w:val="100"/>
        </w:rPr>
        <w:t> </w:t>
      </w:r>
      <w:r>
        <w:rPr>
          <w:spacing w:val="-4"/>
        </w:rPr>
        <w:t>为以下三类：</w:t>
      </w:r>
      <w:r>
        <w:rPr>
          <w:rFonts w:ascii="宋体" w:hAnsi="宋体" w:cs="宋体" w:eastAsia="宋体" w:hint="default"/>
          <w:spacing w:val="-4"/>
        </w:rPr>
        <w:t>A</w:t>
      </w:r>
      <w:r>
        <w:rPr>
          <w:spacing w:val="-4"/>
        </w:rPr>
        <w:t>、以摊余成本计量的金融资产；</w:t>
      </w:r>
      <w:r>
        <w:rPr>
          <w:rFonts w:ascii="宋体" w:hAnsi="宋体" w:cs="宋体" w:eastAsia="宋体" w:hint="default"/>
          <w:spacing w:val="-4"/>
        </w:rPr>
        <w:t>B</w:t>
      </w:r>
      <w:r>
        <w:rPr>
          <w:spacing w:val="-4"/>
        </w:rPr>
        <w:t>、以公允价值计量且其变动计入其他综合收益的金融资产；</w:t>
      </w:r>
      <w:r>
        <w:rPr>
          <w:spacing w:val="-49"/>
        </w:rPr>
        <w:t> </w:t>
      </w:r>
      <w:r>
        <w:rPr>
          <w:spacing w:val="-49"/>
        </w:rPr>
      </w:r>
      <w:r>
        <w:rPr>
          <w:rFonts w:ascii="宋体" w:hAnsi="宋体" w:cs="宋体" w:eastAsia="宋体" w:hint="default"/>
        </w:rPr>
        <w:t>C</w:t>
      </w:r>
      <w:r>
        <w:rPr/>
        <w:t>、以公允价值计量且其变动计入当期损益的金融资产。混合合同包含的主合同属于金融资产的，不应从</w:t>
      </w:r>
      <w:r>
        <w:rPr>
          <w:w w:val="100"/>
        </w:rPr>
        <w:t> </w:t>
      </w:r>
      <w:r>
        <w:rPr/>
        <w:t>该混合合同中分拆嵌入衍生工具，而应当将该混合合同作为一个整体适用金融资产分类的相关规定。</w:t>
      </w:r>
    </w:p>
    <w:p>
      <w:pPr>
        <w:pStyle w:val="BodyText"/>
        <w:spacing w:line="408" w:lineRule="auto"/>
        <w:ind w:left="673" w:right="713"/>
        <w:jc w:val="left"/>
      </w:pPr>
      <w:r>
        <w:rPr/>
        <w:t>采用新金融工具准则对本集团金融负债的会计政策并无重大影响。</w:t>
      </w:r>
      <w:r>
        <w:rPr>
          <w:w w:val="100"/>
        </w:rPr>
        <w:t> </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日，本集团没有将任何金融资产或金融负债指定为以公允价值计量且其变动计入当期损益</w:t>
      </w:r>
    </w:p>
    <w:p>
      <w:pPr>
        <w:pStyle w:val="BodyText"/>
        <w:spacing w:line="408" w:lineRule="auto"/>
        <w:ind w:left="673" w:right="713" w:hanging="421"/>
        <w:jc w:val="left"/>
      </w:pPr>
      <w:r>
        <w:rPr/>
        <w:t>的金融资产或金融负债，也没有撤销之前的指定。</w:t>
      </w:r>
      <w:r>
        <w:rPr>
          <w:w w:val="100"/>
        </w:rPr>
        <w:t> </w:t>
      </w:r>
      <w:r>
        <w:rPr>
          <w:spacing w:val="-2"/>
        </w:rPr>
        <w:t>新金融工具准则以“预期信用损失法”替代了原金融工具准则规定的、根据实际已发生减值损失确认</w:t>
      </w:r>
    </w:p>
    <w:p>
      <w:pPr>
        <w:pStyle w:val="BodyText"/>
        <w:spacing w:line="410" w:lineRule="auto"/>
        <w:ind w:left="252" w:right="713"/>
        <w:jc w:val="left"/>
      </w:pPr>
      <w:r>
        <w:rPr>
          <w:spacing w:val="-5"/>
        </w:rPr>
        <w:t>减值准备的方法。“预期信用损失法”模型要求持续评估金融资产的信用风险，因此在新金融工具准则下，</w:t>
      </w:r>
      <w:r>
        <w:rPr>
          <w:spacing w:val="-7"/>
        </w:rPr>
        <w:t> </w:t>
      </w:r>
      <w:r>
        <w:rPr>
          <w:spacing w:val="-7"/>
        </w:rPr>
      </w:r>
      <w:r>
        <w:rPr/>
        <w:t>本集团信用损失的确认时点早于原金融工具准则。</w:t>
      </w:r>
    </w:p>
    <w:p>
      <w:pPr>
        <w:pStyle w:val="BodyText"/>
        <w:spacing w:line="408" w:lineRule="auto" w:before="44"/>
        <w:ind w:left="673" w:right="713"/>
        <w:jc w:val="left"/>
      </w:pPr>
      <w:r>
        <w:rPr/>
        <w:t>本集团以预期信用损失为基础，对下列项目进行减值会计处理并确认损失准备：</w:t>
      </w:r>
      <w:r>
        <w:rPr>
          <w:w w:val="100"/>
        </w:rPr>
        <w:t> </w:t>
      </w:r>
      <w:r>
        <w:rPr>
          <w:rFonts w:ascii="宋体" w:hAnsi="宋体" w:cs="宋体" w:eastAsia="宋体" w:hint="default"/>
        </w:rPr>
        <w:t>A</w:t>
      </w:r>
      <w:r>
        <w:rPr/>
        <w:t>、以摊余成本计量的金融资产；</w:t>
      </w:r>
      <w:r>
        <w:rPr>
          <w:w w:val="100"/>
        </w:rPr>
        <w:t> </w:t>
      </w:r>
      <w:r>
        <w:rPr>
          <w:rFonts w:ascii="宋体" w:hAnsi="宋体" w:cs="宋体" w:eastAsia="宋体" w:hint="default"/>
        </w:rPr>
        <w:t>B</w:t>
      </w:r>
      <w:r>
        <w:rPr/>
        <w:t>、以公允价值计量且其变动计入其他综合收益的应收款项和债权投资；</w:t>
      </w:r>
      <w:r>
        <w:rPr>
          <w:w w:val="100"/>
        </w:rPr>
        <w:t> </w:t>
      </w:r>
      <w:r>
        <w:rPr>
          <w:spacing w:val="-2"/>
        </w:rPr>
        <w:t>本集团按照新金融工具准则的规定，除某些特定情形外，对金融工具的分类和计量（含减值）进行追</w:t>
      </w:r>
    </w:p>
    <w:p>
      <w:pPr>
        <w:pStyle w:val="BodyText"/>
        <w:spacing w:line="408" w:lineRule="auto"/>
        <w:ind w:left="252" w:right="713"/>
        <w:jc w:val="left"/>
      </w:pPr>
      <w:r>
        <w:rPr>
          <w:spacing w:val="-2"/>
        </w:rPr>
        <w:t>溯调整，将金融工具原账面价值和在新金融工具准则施行日（即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日）的新账面价值之间的差额</w:t>
      </w:r>
      <w:r>
        <w:rPr>
          <w:spacing w:val="-37"/>
        </w:rPr>
        <w:t> </w:t>
      </w:r>
      <w:r>
        <w:rPr>
          <w:spacing w:val="-37"/>
        </w:rPr>
      </w:r>
      <w:r>
        <w:rPr/>
        <w:t>计入</w:t>
      </w:r>
      <w:r>
        <w:rPr>
          <w:rFonts w:ascii="宋体" w:hAnsi="宋体" w:cs="宋体" w:eastAsia="宋体" w:hint="default"/>
        </w:rPr>
        <w:t>2019</w:t>
      </w:r>
      <w:r>
        <w:rPr/>
        <w:t>年年初留存收益或其他综合收益。同时，本集团未对比较财务报表数据进行调整。</w:t>
      </w:r>
    </w:p>
    <w:p>
      <w:pPr>
        <w:pStyle w:val="BodyText"/>
        <w:spacing w:line="223" w:lineRule="exact" w:before="0"/>
        <w:ind w:left="673" w:right="713"/>
        <w:jc w:val="left"/>
      </w:pPr>
      <w:r>
        <w:rPr/>
        <w:t>于</w:t>
      </w:r>
      <w:r>
        <w:rPr>
          <w:spacing w:val="-39"/>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39"/>
        </w:rPr>
        <w:t> </w:t>
      </w:r>
      <w:r>
        <w:rPr>
          <w:rFonts w:ascii="宋体" w:hAnsi="宋体" w:cs="宋体" w:eastAsia="宋体" w:hint="default"/>
        </w:rPr>
        <w:t>1</w:t>
      </w:r>
      <w:r>
        <w:rPr>
          <w:rFonts w:ascii="宋体" w:hAnsi="宋体" w:cs="宋体" w:eastAsia="宋体" w:hint="default"/>
          <w:spacing w:val="-42"/>
        </w:rPr>
        <w:t> </w:t>
      </w:r>
      <w:r>
        <w:rPr/>
        <w:t>日，金融资产按照原金融工具准则和新金融工具准则的规定进行分类和计量的结果</w:t>
      </w:r>
    </w:p>
    <w:p>
      <w:pPr>
        <w:pStyle w:val="BodyText"/>
        <w:spacing w:line="240" w:lineRule="auto" w:before="133"/>
        <w:ind w:left="252" w:right="713"/>
        <w:jc w:val="left"/>
      </w:pPr>
      <w:r>
        <w:rPr/>
        <w:t>对比如下：</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02"/>
        <w:gridCol w:w="1844"/>
        <w:gridCol w:w="1560"/>
        <w:gridCol w:w="1558"/>
        <w:gridCol w:w="1844"/>
        <w:gridCol w:w="1560"/>
      </w:tblGrid>
      <w:tr>
        <w:trPr>
          <w:trHeight w:val="350" w:hRule="exact"/>
        </w:trPr>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4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6"/>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187,000,000.00</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87" w:right="0"/>
              <w:jc w:val="left"/>
              <w:rPr>
                <w:rFonts w:ascii="宋体" w:hAnsi="宋体" w:cs="宋体" w:eastAsia="宋体" w:hint="default"/>
                <w:sz w:val="18"/>
                <w:szCs w:val="18"/>
              </w:rPr>
            </w:pPr>
            <w:r>
              <w:rPr>
                <w:rFonts w:ascii="宋体"/>
                <w:sz w:val="18"/>
              </w:rPr>
              <w:t>188,968,560.45</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1,968,560.45</w:t>
            </w:r>
          </w:p>
        </w:tc>
        <w:tc>
          <w:tcPr>
            <w:tcW w:w="1558"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6"/>
              <w:jc w:val="left"/>
              <w:rPr>
                <w:rFonts w:ascii="宋体" w:hAnsi="宋体" w:cs="宋体" w:eastAsia="宋体" w:hint="default"/>
                <w:sz w:val="18"/>
                <w:szCs w:val="18"/>
              </w:rPr>
            </w:pPr>
            <w:r>
              <w:rPr>
                <w:rFonts w:ascii="宋体" w:hAnsi="宋体" w:cs="宋体" w:eastAsia="宋体" w:hint="default"/>
                <w:sz w:val="18"/>
                <w:szCs w:val="18"/>
              </w:rPr>
              <w:t>以成本计量（权益工 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6"/>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6" w:right="0"/>
              <w:jc w:val="left"/>
              <w:rPr>
                <w:rFonts w:ascii="宋体" w:hAnsi="宋体" w:cs="宋体" w:eastAsia="宋体" w:hint="default"/>
                <w:sz w:val="18"/>
                <w:szCs w:val="18"/>
              </w:rPr>
            </w:pPr>
            <w:r>
              <w:rPr>
                <w:rFonts w:ascii="宋体"/>
                <w:sz w:val="18"/>
              </w:rPr>
              <w:t>65,600,000.00</w:t>
            </w:r>
          </w:p>
        </w:tc>
      </w:tr>
    </w:tbl>
    <w:p>
      <w:pPr>
        <w:pStyle w:val="BodyText"/>
        <w:spacing w:line="241" w:lineRule="exact" w:before="0"/>
        <w:ind w:left="673" w:right="713"/>
        <w:jc w:val="left"/>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日，执行新金融工具准则时金融工具分类和账面价值调节表如下：</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410"/>
        <w:gridCol w:w="2101"/>
        <w:gridCol w:w="2108"/>
        <w:gridCol w:w="1464"/>
        <w:gridCol w:w="1985"/>
      </w:tblGrid>
      <w:tr>
        <w:trPr>
          <w:trHeight w:val="63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26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101"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01"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188,968,560.45</w:t>
            </w:r>
          </w:p>
        </w:tc>
        <w:tc>
          <w:tcPr>
            <w:tcW w:w="14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188,968,560.45</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1,968,560.45</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-1,968,560.45</w:t>
            </w:r>
          </w:p>
        </w:tc>
        <w:tc>
          <w:tcPr>
            <w:tcW w:w="14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190,610,946.12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-187,000,000.00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3,610,946.12</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65,600,000.00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-65,600,000.00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01"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65,600,000.00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65,600,000.00</w:t>
            </w:r>
          </w:p>
        </w:tc>
      </w:tr>
    </w:tbl>
    <w:p>
      <w:pPr>
        <w:spacing w:after="0" w:line="240" w:lineRule="auto"/>
        <w:jc w:val="right"/>
        <w:rPr>
          <w:rFonts w:ascii="宋体" w:hAnsi="宋体" w:cs="宋体" w:eastAsia="宋体" w:hint="default"/>
          <w:sz w:val="18"/>
          <w:szCs w:val="18"/>
        </w:rPr>
        <w:sectPr>
          <w:pgSz w:w="11910" w:h="16840"/>
          <w:pgMar w:header="877" w:footer="980" w:top="1100" w:bottom="1160" w:left="8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92"/>
        <w:jc w:val="left"/>
      </w:pPr>
      <w:r>
        <w:rPr/>
        <w:t>②新债务重组准则</w:t>
      </w:r>
      <w:r>
        <w:rPr>
          <w:w w:val="100"/>
        </w:rPr>
        <w:t> </w:t>
      </w:r>
      <w:r>
        <w:rPr>
          <w:spacing w:val="-8"/>
          <w:w w:val="100"/>
        </w:rPr>
        <w:t>财政部于</w:t>
      </w:r>
      <w:r>
        <w:rPr>
          <w:rFonts w:ascii="宋体" w:hAnsi="宋体" w:cs="宋体" w:eastAsia="宋体" w:hint="default"/>
          <w:spacing w:val="-8"/>
          <w:w w:val="100"/>
        </w:rPr>
        <w:t>2019</w:t>
      </w:r>
      <w:r>
        <w:rPr>
          <w:spacing w:val="-8"/>
          <w:w w:val="100"/>
        </w:rPr>
        <w:t>年</w:t>
      </w:r>
      <w:r>
        <w:rPr>
          <w:rFonts w:ascii="宋体" w:hAnsi="宋体" w:cs="宋体" w:eastAsia="宋体" w:hint="default"/>
          <w:spacing w:val="-8"/>
          <w:w w:val="100"/>
        </w:rPr>
        <w:t>5</w:t>
      </w:r>
      <w:r>
        <w:rPr>
          <w:spacing w:val="-8"/>
          <w:w w:val="100"/>
        </w:rPr>
        <w:t>月</w:t>
      </w:r>
      <w:r>
        <w:rPr>
          <w:rFonts w:ascii="宋体" w:hAnsi="宋体" w:cs="宋体" w:eastAsia="宋体" w:hint="default"/>
          <w:spacing w:val="-8"/>
          <w:w w:val="100"/>
        </w:rPr>
        <w:t>16</w:t>
      </w:r>
      <w:r>
        <w:rPr>
          <w:spacing w:val="-8"/>
          <w:w w:val="100"/>
        </w:rPr>
        <w:t>日发布了《企业会计准则第</w:t>
      </w:r>
      <w:r>
        <w:rPr>
          <w:rFonts w:ascii="宋体" w:hAnsi="宋体" w:cs="宋体" w:eastAsia="宋体" w:hint="default"/>
          <w:spacing w:val="-8"/>
          <w:w w:val="100"/>
        </w:rPr>
        <w:t>12</w:t>
      </w:r>
      <w:r>
        <w:rPr>
          <w:spacing w:val="-8"/>
          <w:w w:val="100"/>
        </w:rPr>
        <w:t>号——债务重组》（以下简称”新债务重组准则”</w:t>
      </w:r>
      <w:r>
        <w:rPr>
          <w:rFonts w:ascii="宋体" w:hAnsi="宋体" w:cs="宋体" w:eastAsia="宋体" w:hint="default"/>
          <w:spacing w:val="-8"/>
          <w:w w:val="100"/>
        </w:rPr>
        <w:t>)</w:t>
      </w:r>
      <w:r>
        <w:rPr>
          <w:spacing w:val="-8"/>
          <w:w w:val="100"/>
        </w:rPr>
        <w:t>，</w:t>
      </w:r>
    </w:p>
    <w:p>
      <w:pPr>
        <w:pStyle w:val="BodyText"/>
        <w:spacing w:line="408" w:lineRule="auto"/>
        <w:ind w:right="1126"/>
        <w:jc w:val="both"/>
      </w:pPr>
      <w:r>
        <w:rPr/>
        <w:t>修改了债务重组的定义，明确了债务重组中涉及金融工具的适用《企业会计准则第 </w:t>
      </w:r>
      <w:r>
        <w:rPr>
          <w:rFonts w:ascii="宋体" w:hAnsi="宋体" w:cs="宋体" w:eastAsia="宋体" w:hint="default"/>
        </w:rPr>
        <w:t>22</w:t>
      </w:r>
      <w:r>
        <w:rPr>
          <w:rFonts w:ascii="宋体" w:hAnsi="宋体" w:cs="宋体" w:eastAsia="宋体" w:hint="default"/>
          <w:spacing w:val="-27"/>
        </w:rPr>
        <w:t> </w:t>
      </w:r>
      <w:r>
        <w:rPr/>
        <w:t>号——金融工具确</w:t>
      </w:r>
      <w:r>
        <w:rPr>
          <w:w w:val="100"/>
        </w:rPr>
        <w:t> </w:t>
      </w:r>
      <w:r>
        <w:rPr>
          <w:spacing w:val="-2"/>
        </w:rPr>
        <w:t>认和计量》等准则，明确了债权人受让金融资产以外的资产初始按成本计量，明确债务人以资产清偿债务</w:t>
      </w:r>
      <w:r>
        <w:rPr>
          <w:spacing w:val="-45"/>
        </w:rPr>
        <w:t> </w:t>
      </w:r>
      <w:r>
        <w:rPr>
          <w:spacing w:val="-45"/>
        </w:rPr>
      </w:r>
      <w:r>
        <w:rPr/>
        <w:t>时不再区分资产处置损益与债务重组损益。</w:t>
      </w:r>
    </w:p>
    <w:p>
      <w:pPr>
        <w:pStyle w:val="BodyText"/>
        <w:spacing w:line="408" w:lineRule="auto"/>
        <w:ind w:right="992" w:firstLine="420"/>
        <w:jc w:val="left"/>
      </w:pPr>
      <w:r>
        <w:rPr>
          <w:spacing w:val="-2"/>
        </w:rPr>
        <w:t>根据财会</w:t>
      </w:r>
      <w:r>
        <w:rPr>
          <w:rFonts w:ascii="宋体" w:hAnsi="宋体" w:cs="宋体" w:eastAsia="宋体" w:hint="default"/>
          <w:spacing w:val="-2"/>
        </w:rPr>
        <w:t>[2019]6</w:t>
      </w:r>
      <w:r>
        <w:rPr>
          <w:spacing w:val="-2"/>
        </w:rPr>
        <w:t>号文件的规定，“营业外收入”和“营业外支出”项目不再包含债务重组中因处置</w:t>
      </w:r>
      <w:r>
        <w:rPr>
          <w:w w:val="100"/>
        </w:rPr>
        <w:t> </w:t>
      </w:r>
      <w:r>
        <w:rPr/>
        <w:t>非流动资产产生的利得或损失。</w:t>
      </w:r>
    </w:p>
    <w:p>
      <w:pPr>
        <w:pStyle w:val="BodyText"/>
        <w:spacing w:line="408" w:lineRule="auto"/>
        <w:ind w:right="992" w:firstLine="420"/>
        <w:jc w:val="left"/>
      </w:pPr>
      <w:r>
        <w:rPr>
          <w:spacing w:val="-2"/>
        </w:rPr>
        <w:t>本集团对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日新发生的债务重组采用未来适用法处理，对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日以前发生的债务重组</w:t>
      </w:r>
      <w:r>
        <w:rPr>
          <w:w w:val="100"/>
        </w:rPr>
        <w:t> </w:t>
      </w:r>
      <w:r>
        <w:rPr/>
        <w:t>不进行追溯调整。</w:t>
      </w:r>
    </w:p>
    <w:p>
      <w:pPr>
        <w:pStyle w:val="BodyText"/>
        <w:spacing w:line="408" w:lineRule="auto"/>
        <w:ind w:left="573" w:right="992"/>
        <w:jc w:val="left"/>
      </w:pPr>
      <w:r>
        <w:rPr/>
        <w:t>③新非货币性交换准则</w:t>
      </w:r>
      <w:r>
        <w:rPr>
          <w:w w:val="100"/>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日发布了《企业会计准则第</w:t>
      </w:r>
      <w:r>
        <w:rPr>
          <w:rFonts w:ascii="宋体" w:hAnsi="宋体" w:cs="宋体" w:eastAsia="宋体" w:hint="default"/>
          <w:spacing w:val="-2"/>
        </w:rPr>
        <w:t>7</w:t>
      </w:r>
      <w:r>
        <w:rPr>
          <w:spacing w:val="-2"/>
        </w:rPr>
        <w:t>号——非货币性资产交换》（以下简称“新非货币</w:t>
      </w:r>
    </w:p>
    <w:p>
      <w:pPr>
        <w:pStyle w:val="BodyText"/>
        <w:spacing w:line="408" w:lineRule="auto"/>
        <w:ind w:right="992"/>
        <w:jc w:val="left"/>
      </w:pPr>
      <w:r>
        <w:rPr>
          <w:spacing w:val="-2"/>
        </w:rPr>
        <w:t>性交换准则”），明确了货币性资产和非货币性资产的概念和准则的适用范围，明确了非货币性资产交换</w:t>
      </w:r>
      <w:r>
        <w:rPr>
          <w:spacing w:val="-44"/>
        </w:rPr>
        <w:t> </w:t>
      </w:r>
      <w:r>
        <w:rPr>
          <w:spacing w:val="-44"/>
        </w:rPr>
      </w:r>
      <w:r>
        <w:rPr/>
        <w:t>的确认时点，明确了不同条件下非货币性资产的价值计量基础和核算方法及同时完善了相关信息披露要</w:t>
      </w:r>
      <w:r>
        <w:rPr>
          <w:w w:val="100"/>
        </w:rPr>
        <w:t> </w:t>
      </w:r>
      <w:r>
        <w:rPr>
          <w:spacing w:val="-2"/>
        </w:rPr>
        <w:t>求。本集团对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日以后新发生的非货币性资产交换交易采用未来适用法处理，对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日以</w:t>
      </w:r>
      <w:r>
        <w:rPr>
          <w:spacing w:val="-32"/>
        </w:rPr>
        <w:t> </w:t>
      </w:r>
      <w:r>
        <w:rPr/>
        <w:t>前发生的非货币性资产交换交易不进行追溯调整。</w:t>
      </w:r>
    </w:p>
    <w:p>
      <w:pPr>
        <w:pStyle w:val="BodyText"/>
        <w:spacing w:line="408" w:lineRule="auto"/>
        <w:ind w:left="573" w:right="992"/>
        <w:jc w:val="left"/>
      </w:pPr>
      <w:r>
        <w:rPr/>
        <w:t>④财务报表格式</w:t>
      </w:r>
      <w:r>
        <w:rPr>
          <w:spacing w:val="-103"/>
        </w:rPr>
        <w:t> </w:t>
      </w:r>
      <w:r>
        <w:rPr>
          <w:spacing w:val="-103"/>
        </w:rPr>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月发布了《财政部关于修订印发</w:t>
      </w:r>
      <w:r>
        <w:rPr>
          <w:rFonts w:ascii="宋体" w:hAnsi="宋体" w:cs="宋体" w:eastAsia="宋体" w:hint="default"/>
          <w:spacing w:val="-2"/>
        </w:rPr>
        <w:t>2019</w:t>
      </w:r>
      <w:r>
        <w:rPr>
          <w:spacing w:val="-2"/>
        </w:rPr>
        <w:t>年度一般企业财务报表格式的通知》（财会</w:t>
      </w:r>
    </w:p>
    <w:p>
      <w:pPr>
        <w:pStyle w:val="BodyText"/>
        <w:spacing w:line="408" w:lineRule="auto"/>
        <w:ind w:right="992"/>
        <w:jc w:val="left"/>
      </w:pPr>
      <w:r>
        <w:rPr>
          <w:rFonts w:ascii="宋体" w:hAnsi="宋体" w:cs="宋体" w:eastAsia="宋体" w:hint="default"/>
        </w:rPr>
        <w:t>[2019]6</w:t>
      </w:r>
      <w:r>
        <w:rPr/>
        <w:t>号），</w:t>
      </w:r>
      <w:r>
        <w:rPr>
          <w:rFonts w:ascii="宋体" w:hAnsi="宋体" w:cs="宋体" w:eastAsia="宋体" w:hint="default"/>
        </w:rPr>
        <w:t>2018</w:t>
      </w:r>
      <w:r>
        <w:rPr/>
        <w:t>年</w:t>
      </w:r>
      <w:r>
        <w:rPr>
          <w:rFonts w:ascii="宋体" w:hAnsi="宋体" w:cs="宋体" w:eastAsia="宋体" w:hint="default"/>
        </w:rPr>
        <w:t>6</w:t>
      </w:r>
      <w:r>
        <w:rPr/>
        <w:t>月发布的《财政部关于修订印发</w:t>
      </w:r>
      <w:r>
        <w:rPr>
          <w:rFonts w:ascii="宋体" w:hAnsi="宋体" w:cs="宋体" w:eastAsia="宋体" w:hint="default"/>
        </w:rPr>
        <w:t>2018</w:t>
      </w:r>
      <w:r>
        <w:rPr/>
        <w:t>年度一般企业财务报表格式的通知》（财会</w:t>
      </w:r>
      <w:r>
        <w:rPr>
          <w:w w:val="100"/>
        </w:rPr>
        <w:t> </w:t>
      </w:r>
      <w:r>
        <w:rPr>
          <w:rFonts w:ascii="宋体" w:hAnsi="宋体" w:cs="宋体" w:eastAsia="宋体" w:hint="default"/>
        </w:rPr>
        <w:t>[2018]15</w:t>
      </w:r>
      <w:r>
        <w:rPr/>
        <w:t>号）同时废止；财政部于</w:t>
      </w:r>
      <w:r>
        <w:rPr>
          <w:rFonts w:ascii="宋体" w:hAnsi="宋体" w:cs="宋体" w:eastAsia="宋体" w:hint="default"/>
        </w:rPr>
        <w:t>2019</w:t>
      </w:r>
      <w:r>
        <w:rPr/>
        <w:t>年</w:t>
      </w:r>
      <w:r>
        <w:rPr>
          <w:rFonts w:ascii="宋体" w:hAnsi="宋体" w:cs="宋体" w:eastAsia="宋体" w:hint="default"/>
        </w:rPr>
        <w:t>9</w:t>
      </w:r>
      <w:r>
        <w:rPr/>
        <w:t>月发布了《财政部关于修订印发合并财务报表格式（</w:t>
      </w:r>
      <w:r>
        <w:rPr>
          <w:rFonts w:ascii="宋体" w:hAnsi="宋体" w:cs="宋体" w:eastAsia="宋体" w:hint="default"/>
        </w:rPr>
        <w:t>2019</w:t>
      </w:r>
      <w:r>
        <w:rPr/>
        <w:t>版）</w:t>
      </w:r>
      <w:r>
        <w:rPr>
          <w:spacing w:val="-3"/>
          <w:w w:val="100"/>
        </w:rPr>
        <w:t> </w:t>
      </w:r>
      <w:r>
        <w:rPr>
          <w:spacing w:val="-4"/>
        </w:rPr>
        <w:t>的通知》（财会</w:t>
      </w:r>
      <w:r>
        <w:rPr>
          <w:rFonts w:ascii="宋体" w:hAnsi="宋体" w:cs="宋体" w:eastAsia="宋体" w:hint="default"/>
          <w:spacing w:val="-4"/>
        </w:rPr>
        <w:t>[2019]16</w:t>
      </w:r>
      <w:r>
        <w:rPr>
          <w:spacing w:val="-4"/>
        </w:rPr>
        <w:t>号），《财政部关于修订印发</w:t>
      </w:r>
      <w:r>
        <w:rPr>
          <w:rFonts w:ascii="宋体" w:hAnsi="宋体" w:cs="宋体" w:eastAsia="宋体" w:hint="default"/>
          <w:spacing w:val="-4"/>
        </w:rPr>
        <w:t>2018</w:t>
      </w:r>
      <w:r>
        <w:rPr>
          <w:spacing w:val="-4"/>
        </w:rPr>
        <w:t>年度合并财务报表格式的通知》（财会</w:t>
      </w:r>
      <w:r>
        <w:rPr>
          <w:rFonts w:ascii="宋体" w:hAnsi="宋体" w:cs="宋体" w:eastAsia="宋体" w:hint="default"/>
          <w:spacing w:val="-4"/>
        </w:rPr>
        <w:t>[2019]1</w:t>
      </w:r>
      <w:r>
        <w:rPr>
          <w:rFonts w:ascii="宋体" w:hAnsi="宋体" w:cs="宋体" w:eastAsia="宋体" w:hint="default"/>
          <w:spacing w:val="-20"/>
        </w:rPr>
        <w:t> </w:t>
      </w:r>
      <w:r>
        <w:rPr>
          <w:rFonts w:ascii="宋体" w:hAnsi="宋体" w:cs="宋体" w:eastAsia="宋体" w:hint="default"/>
          <w:spacing w:val="-20"/>
        </w:rPr>
      </w:r>
      <w:r>
        <w:rPr/>
        <w:t>号）同时废止。根据财会</w:t>
      </w:r>
      <w:r>
        <w:rPr>
          <w:rFonts w:ascii="宋体" w:hAnsi="宋体" w:cs="宋体" w:eastAsia="宋体" w:hint="default"/>
        </w:rPr>
        <w:t>[2019]6</w:t>
      </w:r>
      <w:r>
        <w:rPr/>
        <w:t>号和财会</w:t>
      </w:r>
      <w:r>
        <w:rPr>
          <w:rFonts w:ascii="宋体" w:hAnsi="宋体" w:cs="宋体" w:eastAsia="宋体" w:hint="default"/>
        </w:rPr>
        <w:t>[2019]16</w:t>
      </w:r>
      <w:r>
        <w:rPr/>
        <w:t>号，本公司对财务报表格式进行了以下修订：</w:t>
      </w:r>
    </w:p>
    <w:p>
      <w:pPr>
        <w:pStyle w:val="BodyText"/>
        <w:spacing w:line="408" w:lineRule="auto"/>
        <w:ind w:right="992" w:firstLine="420"/>
        <w:jc w:val="left"/>
      </w:pPr>
      <w:r>
        <w:rPr>
          <w:spacing w:val="-2"/>
        </w:rPr>
        <w:t>资产负债表，将“应收票据及应收账款”行项目拆分为“应收票据”及“应收账款”；将“应付票据</w:t>
      </w:r>
      <w:r>
        <w:rPr>
          <w:w w:val="100"/>
        </w:rPr>
        <w:t> </w:t>
      </w:r>
      <w:r>
        <w:rPr/>
        <w:t>及应付账款”行项目拆分为“应付票据”及“应付账款”。</w:t>
      </w:r>
    </w:p>
    <w:p>
      <w:pPr>
        <w:pStyle w:val="BodyText"/>
        <w:spacing w:line="408" w:lineRule="auto"/>
        <w:ind w:left="573" w:right="992"/>
        <w:jc w:val="left"/>
      </w:pPr>
      <w:r>
        <w:rPr/>
        <w:t>本公司对可比期间的比较数据按照财会</w:t>
      </w:r>
      <w:r>
        <w:rPr>
          <w:rFonts w:ascii="宋体" w:hAnsi="宋体" w:cs="宋体" w:eastAsia="宋体" w:hint="default"/>
        </w:rPr>
        <w:t>[2019]6</w:t>
      </w:r>
      <w:r>
        <w:rPr/>
        <w:t>号文进行调整。</w:t>
      </w:r>
      <w:r>
        <w:rPr>
          <w:w w:val="100"/>
        </w:rPr>
        <w:t> </w:t>
      </w:r>
      <w:r>
        <w:rPr>
          <w:spacing w:val="-2"/>
        </w:rPr>
        <w:t>财务报表格式的修订对本公司的资产总额、负债总额、净利润、其他综合收益等无影响。</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 适用 √ 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left="0" w:right="1134"/>
        <w:jc w:val="righ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 适用 □ 不适用</w:t>
      </w:r>
    </w:p>
    <w:p>
      <w:pPr>
        <w:spacing w:line="240" w:lineRule="auto" w:before="10"/>
        <w:rPr>
          <w:rFonts w:ascii="宋体" w:hAnsi="宋体" w:cs="宋体" w:eastAsia="宋体" w:hint="default"/>
          <w:sz w:val="14"/>
          <w:szCs w:val="14"/>
        </w:rPr>
      </w:pPr>
    </w:p>
    <w:p>
      <w:pPr>
        <w:pStyle w:val="BodyText"/>
        <w:spacing w:line="240" w:lineRule="auto" w:before="0"/>
        <w:ind w:left="135" w:right="1113"/>
        <w:jc w:val="center"/>
      </w:pPr>
      <w:r>
        <w:rPr/>
        <w:t>合并资产负债表</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147,574,794.14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147,574,794.14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188,968,560.45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188,968,560.45</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141,905,472.10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141,905,472.10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323,326,530.24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323,326,530.24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12,644,573.91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12,644,573.91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86,707,009.00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84,738,448.55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-1,968,560.45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1,968,560.45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-1,968,560.45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111,068,193.03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111,068,193.03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190,610,946.12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3,610,946.12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1,013,837,518.54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1,013,837,518.54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65,600,000.00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-65,600,000.00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2,060,177.56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2,060,177.56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197,666,185.67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197,666,185.67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79,039,544.99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79,039,544.99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550,552,727.12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550,552,727.12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1,757,750.58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1,757,750.58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16,987,738.95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16,987,738.95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769,669.82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769,669.82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914,433,794.69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914,433,794.69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1,928,271,313.23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1,928,271,313.23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3,099,741.47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3,099,741.47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68,495,229.35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68,495,229.35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9,812,055.03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9,812,055.03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6,121,341.73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6,121,341.73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27,764,479.63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27,764,479.63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5,847,992.04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5,847,992.04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131,140,839.25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131,140,839.25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1,561,698.76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1,561,698.76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1,561,698.76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1,561,698.76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132,702,538.01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132,702,538.01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669,279,255.00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669,279,255.00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783,044,279.86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783,044,279.86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50,097,930.35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261,982,939.39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261,982,939.39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1,764,404,404.60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1,764,404,404.60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31,164,370.62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31,164,370.62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1,795,568,775.22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1,795,568,775.22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1,928,271,313.23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1,928,271,313.23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left="0" w:right="1109"/>
        <w:jc w:val="right"/>
      </w:pPr>
      <w:r>
        <w:rPr/>
        <w:t>调整情况说明：财政部于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年颁布了修订后的《企业会计准则第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金融工具确认和计量》</w:t>
      </w:r>
    </w:p>
    <w:p>
      <w:pPr>
        <w:pStyle w:val="BodyText"/>
        <w:spacing w:line="386" w:lineRule="auto" w:before="175"/>
        <w:ind w:right="1028"/>
        <w:jc w:val="left"/>
      </w:pPr>
      <w:r>
        <w:rPr>
          <w:w w:val="100"/>
        </w:rPr>
        <w:t>（财</w:t>
      </w:r>
      <w:r>
        <w:rPr>
          <w:spacing w:val="-3"/>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spacing w:val="-3"/>
          <w:w w:val="100"/>
        </w:rPr>
        <w:t>】</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spacing w:val="-106"/>
          <w:w w:val="100"/>
        </w:rPr>
        <w:t>）、</w:t>
      </w:r>
      <w:r>
        <w:rPr>
          <w:spacing w:val="-3"/>
          <w:w w:val="100"/>
        </w:rPr>
        <w:t>《</w:t>
      </w:r>
      <w:r>
        <w:rPr>
          <w:w w:val="100"/>
        </w:rPr>
        <w:t>企业</w:t>
      </w:r>
      <w:r>
        <w:rPr>
          <w:spacing w:val="-3"/>
          <w:w w:val="100"/>
        </w:rPr>
        <w:t>会</w:t>
      </w:r>
      <w:r>
        <w:rPr>
          <w:w w:val="100"/>
        </w:rPr>
        <w:t>计</w:t>
      </w:r>
      <w:r>
        <w:rPr>
          <w:spacing w:val="-3"/>
          <w:w w:val="100"/>
        </w:rPr>
        <w:t>准则</w:t>
      </w:r>
      <w:r>
        <w:rPr>
          <w:w w:val="100"/>
        </w:rPr>
        <w:t>第</w:t>
      </w:r>
      <w:r>
        <w:rPr>
          <w:spacing w:val="-52"/>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w w:val="100"/>
        </w:rPr>
        <w:t>金融</w:t>
      </w:r>
      <w:r>
        <w:rPr>
          <w:spacing w:val="-3"/>
          <w:w w:val="100"/>
        </w:rPr>
        <w:t>资</w:t>
      </w:r>
      <w:r>
        <w:rPr>
          <w:w w:val="100"/>
        </w:rPr>
        <w:t>产</w:t>
      </w:r>
      <w:r>
        <w:rPr>
          <w:spacing w:val="-3"/>
          <w:w w:val="100"/>
        </w:rPr>
        <w:t>转</w:t>
      </w:r>
      <w:r>
        <w:rPr>
          <w:w w:val="100"/>
        </w:rPr>
        <w:t>移</w:t>
      </w:r>
      <w:r>
        <w:rPr>
          <w:spacing w:val="-108"/>
          <w:w w:val="100"/>
        </w:rPr>
        <w:t>》</w:t>
      </w:r>
      <w:r>
        <w:rPr>
          <w:w w:val="100"/>
        </w:rPr>
        <w:t>（</w:t>
      </w:r>
      <w:r>
        <w:rPr>
          <w:spacing w:val="-3"/>
          <w:w w:val="100"/>
        </w:rPr>
        <w:t>财</w:t>
      </w:r>
      <w:r>
        <w:rPr>
          <w:w w:val="100"/>
        </w:rPr>
        <w:t>会【</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w w:val="100"/>
        </w:rPr>
        <w:t>】</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号</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w w:val="100"/>
        </w:rPr>
        <w:t> 第</w:t>
      </w:r>
      <w:r>
        <w:rPr>
          <w:spacing w:val="-52"/>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w:t>
      </w:r>
      <w:r>
        <w:rPr>
          <w:spacing w:val="-3"/>
          <w:w w:val="100"/>
        </w:rPr>
        <w:t>套</w:t>
      </w:r>
      <w:r>
        <w:rPr>
          <w:w w:val="100"/>
        </w:rPr>
        <w:t>期</w:t>
      </w:r>
      <w:r>
        <w:rPr>
          <w:spacing w:val="-3"/>
          <w:w w:val="100"/>
        </w:rPr>
        <w:t>会</w:t>
      </w:r>
      <w:r>
        <w:rPr>
          <w:w w:val="100"/>
        </w:rPr>
        <w:t>计</w:t>
      </w:r>
      <w:r>
        <w:rPr>
          <w:spacing w:val="-118"/>
          <w:w w:val="100"/>
        </w:rPr>
        <w:t>》</w:t>
      </w:r>
      <w:r>
        <w:rPr>
          <w:spacing w:val="-3"/>
          <w:w w:val="100"/>
        </w:rPr>
        <w:t>（</w:t>
      </w:r>
      <w:r>
        <w:rPr>
          <w:w w:val="100"/>
        </w:rPr>
        <w:t>财</w:t>
      </w:r>
      <w:r>
        <w:rPr>
          <w:spacing w:val="-13"/>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spacing w:val="-10"/>
          <w:w w:val="100"/>
        </w:rPr>
        <w:t>】</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spacing w:val="-3"/>
          <w:w w:val="100"/>
        </w:rPr>
        <w:t>号</w:t>
      </w:r>
      <w:r>
        <w:rPr>
          <w:spacing w:val="-10"/>
          <w:w w:val="100"/>
        </w:rPr>
        <w:t>）</w:t>
      </w:r>
      <w:r>
        <w:rPr>
          <w:spacing w:val="-13"/>
          <w:w w:val="100"/>
        </w:rPr>
        <w:t>及</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spacing w:val="-3"/>
          <w:w w:val="100"/>
        </w:rPr>
        <w:t>金</w:t>
      </w:r>
      <w:r>
        <w:rPr>
          <w:w w:val="100"/>
        </w:rPr>
        <w:t>融工</w:t>
      </w:r>
      <w:r>
        <w:rPr>
          <w:spacing w:val="-3"/>
          <w:w w:val="100"/>
        </w:rPr>
        <w:t>具</w:t>
      </w:r>
      <w:r>
        <w:rPr>
          <w:w w:val="100"/>
        </w:rPr>
        <w:t>列</w:t>
      </w:r>
      <w:r>
        <w:rPr>
          <w:spacing w:val="-3"/>
          <w:w w:val="100"/>
        </w:rPr>
        <w:t>报</w:t>
      </w:r>
      <w:r>
        <w:rPr>
          <w:spacing w:val="-118"/>
          <w:w w:val="100"/>
        </w:rPr>
        <w:t>》</w:t>
      </w:r>
      <w:r>
        <w:rPr>
          <w:w w:val="100"/>
        </w:rPr>
        <w:t>（</w:t>
      </w:r>
      <w:r>
        <w:rPr>
          <w:spacing w:val="-3"/>
          <w:w w:val="100"/>
        </w:rPr>
        <w:t>财</w:t>
      </w:r>
      <w:r>
        <w:rPr>
          <w:spacing w:val="-13"/>
          <w:w w:val="100"/>
        </w:rPr>
        <w:t>会</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17</w:t>
      </w:r>
      <w:r>
        <w:rPr>
          <w:w w:val="100"/>
        </w:rPr>
        <w:t>】</w:t>
      </w:r>
    </w:p>
    <w:p>
      <w:pPr>
        <w:pStyle w:val="BodyText"/>
        <w:spacing w:line="240" w:lineRule="auto" w:before="35"/>
        <w:ind w:right="992"/>
        <w:jc w:val="left"/>
      </w:pP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w w:val="100"/>
        </w:rPr>
        <w:t>号</w:t>
      </w:r>
      <w:r>
        <w:rPr>
          <w:spacing w:val="-108"/>
          <w:w w:val="100"/>
        </w:rPr>
        <w:t>）</w:t>
      </w:r>
      <w:r>
        <w:rPr>
          <w:w w:val="100"/>
        </w:rPr>
        <w:t>，</w:t>
      </w:r>
      <w:r>
        <w:rPr>
          <w:spacing w:val="-3"/>
          <w:w w:val="100"/>
        </w:rPr>
        <w:t>本</w:t>
      </w: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日</w:t>
      </w:r>
      <w:r>
        <w:rPr>
          <w:spacing w:val="-3"/>
          <w:w w:val="100"/>
        </w:rPr>
        <w:t>起</w:t>
      </w:r>
      <w:r>
        <w:rPr>
          <w:w w:val="100"/>
        </w:rPr>
        <w:t>执</w:t>
      </w:r>
      <w:r>
        <w:rPr>
          <w:spacing w:val="-3"/>
          <w:w w:val="100"/>
        </w:rPr>
        <w:t>行</w:t>
      </w:r>
      <w:r>
        <w:rPr>
          <w:w w:val="100"/>
        </w:rPr>
        <w:t>上</w:t>
      </w:r>
      <w:r>
        <w:rPr>
          <w:spacing w:val="-3"/>
          <w:w w:val="100"/>
        </w:rPr>
        <w:t>述</w:t>
      </w:r>
      <w:r>
        <w:rPr>
          <w:w w:val="100"/>
        </w:rPr>
        <w:t>新</w:t>
      </w:r>
      <w:r>
        <w:rPr>
          <w:spacing w:val="-3"/>
          <w:w w:val="100"/>
        </w:rPr>
        <w:t>金</w:t>
      </w:r>
      <w:r>
        <w:rPr>
          <w:w w:val="100"/>
        </w:rPr>
        <w:t>融会</w:t>
      </w:r>
      <w:r>
        <w:rPr>
          <w:spacing w:val="-3"/>
          <w:w w:val="100"/>
        </w:rPr>
        <w:t>计</w:t>
      </w:r>
      <w:r>
        <w:rPr>
          <w:w w:val="100"/>
        </w:rPr>
        <w:t>准</w:t>
      </w:r>
      <w:r>
        <w:rPr>
          <w:spacing w:val="-3"/>
          <w:w w:val="100"/>
        </w:rPr>
        <w:t>则</w:t>
      </w:r>
      <w:r>
        <w:rPr>
          <w:spacing w:val="-1"/>
          <w:w w:val="100"/>
        </w:rPr>
        <w:t>。</w:t>
      </w:r>
      <w:r>
        <w:rPr>
          <w:spacing w:val="-3"/>
          <w:w w:val="100"/>
        </w:rPr>
        <w:t>本</w:t>
      </w:r>
      <w:r>
        <w:rPr>
          <w:w w:val="100"/>
        </w:rPr>
        <w:t>次</w:t>
      </w:r>
      <w:r>
        <w:rPr>
          <w:spacing w:val="-3"/>
          <w:w w:val="100"/>
        </w:rPr>
        <w:t>调整</w:t>
      </w:r>
      <w:r>
        <w:rPr>
          <w:w w:val="100"/>
        </w:rPr>
        <w:t>将</w:t>
      </w:r>
      <w:r>
        <w:rPr>
          <w:spacing w:val="-55"/>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在</w:t>
      </w:r>
      <w:r>
        <w:rPr>
          <w:spacing w:val="-3"/>
          <w:w w:val="100"/>
        </w:rPr>
        <w:t>可供</w:t>
      </w:r>
      <w:r>
        <w:rPr>
          <w:w w:val="100"/>
        </w:rPr>
        <w:t>出</w:t>
      </w:r>
    </w:p>
    <w:p>
      <w:pPr>
        <w:pStyle w:val="BodyText"/>
        <w:spacing w:line="240" w:lineRule="auto" w:before="177"/>
        <w:ind w:right="992"/>
        <w:jc w:val="left"/>
      </w:pPr>
      <w:r>
        <w:rPr/>
        <w:t>售金融资产列报的项目在</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日调整至其他非流动金融资产科目；将</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日在其他</w:t>
      </w:r>
    </w:p>
    <w:p>
      <w:pPr>
        <w:pStyle w:val="BodyText"/>
        <w:spacing w:line="240" w:lineRule="auto" w:before="177"/>
        <w:ind w:right="992"/>
        <w:jc w:val="left"/>
      </w:pPr>
      <w:r>
        <w:rPr/>
        <w:t>应收款</w:t>
      </w:r>
      <w:r>
        <w:rPr>
          <w:rFonts w:ascii="Times New Roman" w:hAnsi="Times New Roman" w:cs="Times New Roman" w:eastAsia="Times New Roman" w:hint="default"/>
        </w:rPr>
        <w:t>-</w:t>
      </w:r>
      <w:r>
        <w:rPr/>
        <w:t>应收利息及其他流动资产列报的项目在</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日调整至交易性金融资产。</w:t>
      </w:r>
    </w:p>
    <w:p>
      <w:pPr>
        <w:spacing w:line="240" w:lineRule="auto" w:before="9"/>
        <w:rPr>
          <w:rFonts w:ascii="宋体" w:hAnsi="宋体" w:cs="宋体" w:eastAsia="宋体" w:hint="default"/>
          <w:sz w:val="16"/>
          <w:szCs w:val="16"/>
        </w:rPr>
      </w:pPr>
    </w:p>
    <w:p>
      <w:pPr>
        <w:pStyle w:val="BodyText"/>
        <w:spacing w:line="240" w:lineRule="auto" w:before="0"/>
        <w:ind w:left="135" w:right="1110"/>
        <w:jc w:val="center"/>
      </w:pPr>
      <w:r>
        <w:rPr/>
        <w:t>母公司资产负债表</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23,509,392.07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23,509,392.07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159,968,560.45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159,968,560.45</w:t>
            </w: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15,694,801.10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15,694,801.10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133,325,304.00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133,325,304.00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3,796,404.72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3,796,404.72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29,298,354.17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27,329,793.72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-1,968,560.45</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1,968,560.45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-1,968,560.45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55,157,900.03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55,157,900.03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418,782,156.09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418,782,156.09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959,221,622.96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959,221,622.96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179,889,744.07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179,889,744.07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59,937,579.56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59,937,579.56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474,483.58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474,483.58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6,157,069.26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6,157,069.26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769,669.82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769,669.82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1,271,050,169.25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1,271,050,169.25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1,689,832,325.34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1,689,832,325.34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18,582,669.01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18,582,669.01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9,555,393.34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9,555,393.34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2,784,003.29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2,784,003.29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11,032,537.10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11,032,537.10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38,477,388.97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38,477,388.97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80,431,991.71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80,431,991.71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80,431,991.71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80,431,991.71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669,279,255.00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669,279,255.00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783,095,668.11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783,095,668.11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50,097,930.35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50,097,930.35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106,927,480.17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106,927,480.17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1,609,400,333.63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1,609,400,333.63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1,689,832,325.34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1,689,832,325.34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left="573" w:right="992"/>
        <w:jc w:val="left"/>
      </w:pPr>
      <w:r>
        <w:rPr/>
        <w:t>调整情况说明：财政部于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年颁布了修订后的《企业会计准则第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金融工具确认和计量》</w:t>
      </w:r>
    </w:p>
    <w:p>
      <w:pPr>
        <w:pStyle w:val="BodyText"/>
        <w:spacing w:line="386" w:lineRule="auto" w:before="177"/>
        <w:ind w:right="1028"/>
        <w:jc w:val="left"/>
      </w:pPr>
      <w:r>
        <w:rPr>
          <w:w w:val="100"/>
        </w:rPr>
        <w:t>（财</w:t>
      </w:r>
      <w:r>
        <w:rPr>
          <w:spacing w:val="-3"/>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spacing w:val="-3"/>
          <w:w w:val="100"/>
        </w:rPr>
        <w:t>】</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spacing w:val="-106"/>
          <w:w w:val="100"/>
        </w:rPr>
        <w:t>）、</w:t>
      </w:r>
      <w:r>
        <w:rPr>
          <w:spacing w:val="-3"/>
          <w:w w:val="100"/>
        </w:rPr>
        <w:t>《</w:t>
      </w:r>
      <w:r>
        <w:rPr>
          <w:spacing w:val="-1"/>
          <w:w w:val="100"/>
        </w:rPr>
        <w:t>企</w:t>
      </w:r>
      <w:r>
        <w:rPr>
          <w:w w:val="100"/>
        </w:rPr>
        <w:t>业</w:t>
      </w:r>
      <w:r>
        <w:rPr>
          <w:spacing w:val="-3"/>
          <w:w w:val="100"/>
        </w:rPr>
        <w:t>会</w:t>
      </w:r>
      <w:r>
        <w:rPr>
          <w:w w:val="100"/>
        </w:rPr>
        <w:t>计</w:t>
      </w:r>
      <w:r>
        <w:rPr>
          <w:spacing w:val="-3"/>
          <w:w w:val="100"/>
        </w:rPr>
        <w:t>准则</w:t>
      </w:r>
      <w:r>
        <w:rPr>
          <w:w w:val="100"/>
        </w:rPr>
        <w:t>第</w:t>
      </w:r>
      <w:r>
        <w:rPr>
          <w:spacing w:val="-52"/>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w w:val="100"/>
        </w:rPr>
        <w:t>金融</w:t>
      </w:r>
      <w:r>
        <w:rPr>
          <w:spacing w:val="-3"/>
          <w:w w:val="100"/>
        </w:rPr>
        <w:t>资</w:t>
      </w:r>
      <w:r>
        <w:rPr>
          <w:w w:val="100"/>
        </w:rPr>
        <w:t>产</w:t>
      </w:r>
      <w:r>
        <w:rPr>
          <w:spacing w:val="-3"/>
          <w:w w:val="100"/>
        </w:rPr>
        <w:t>转</w:t>
      </w:r>
      <w:r>
        <w:rPr>
          <w:w w:val="100"/>
        </w:rPr>
        <w:t>移</w:t>
      </w:r>
      <w:r>
        <w:rPr>
          <w:spacing w:val="-108"/>
          <w:w w:val="100"/>
        </w:rPr>
        <w:t>》</w:t>
      </w:r>
      <w:r>
        <w:rPr>
          <w:w w:val="100"/>
        </w:rPr>
        <w:t>（</w:t>
      </w:r>
      <w:r>
        <w:rPr>
          <w:spacing w:val="-3"/>
          <w:w w:val="100"/>
        </w:rPr>
        <w:t>财</w:t>
      </w:r>
      <w:r>
        <w:rPr>
          <w:w w:val="100"/>
        </w:rPr>
        <w:t>会【</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w w:val="100"/>
        </w:rPr>
        <w:t>】</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号</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w w:val="100"/>
        </w:rPr>
        <w:t> 第</w:t>
      </w:r>
      <w:r>
        <w:rPr>
          <w:spacing w:val="-52"/>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w:t>
      </w:r>
      <w:r>
        <w:rPr>
          <w:spacing w:val="-3"/>
          <w:w w:val="100"/>
        </w:rPr>
        <w:t>套</w:t>
      </w:r>
      <w:r>
        <w:rPr>
          <w:w w:val="100"/>
        </w:rPr>
        <w:t>期</w:t>
      </w:r>
      <w:r>
        <w:rPr>
          <w:spacing w:val="-3"/>
          <w:w w:val="100"/>
        </w:rPr>
        <w:t>会</w:t>
      </w:r>
      <w:r>
        <w:rPr>
          <w:w w:val="100"/>
        </w:rPr>
        <w:t>计</w:t>
      </w:r>
      <w:r>
        <w:rPr>
          <w:spacing w:val="-118"/>
          <w:w w:val="100"/>
        </w:rPr>
        <w:t>》</w:t>
      </w:r>
      <w:r>
        <w:rPr>
          <w:spacing w:val="-3"/>
          <w:w w:val="100"/>
        </w:rPr>
        <w:t>（</w:t>
      </w:r>
      <w:r>
        <w:rPr>
          <w:w w:val="100"/>
        </w:rPr>
        <w:t>财</w:t>
      </w:r>
      <w:r>
        <w:rPr>
          <w:spacing w:val="-13"/>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spacing w:val="-10"/>
          <w:w w:val="100"/>
        </w:rPr>
        <w:t>】</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spacing w:val="-3"/>
          <w:w w:val="100"/>
        </w:rPr>
        <w:t>号</w:t>
      </w:r>
      <w:r>
        <w:rPr>
          <w:spacing w:val="-10"/>
          <w:w w:val="100"/>
        </w:rPr>
        <w:t>）</w:t>
      </w:r>
      <w:r>
        <w:rPr>
          <w:spacing w:val="-13"/>
          <w:w w:val="100"/>
        </w:rPr>
        <w:t>及</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spacing w:val="-3"/>
          <w:w w:val="100"/>
        </w:rPr>
        <w:t>金</w:t>
      </w:r>
      <w:r>
        <w:rPr>
          <w:w w:val="100"/>
        </w:rPr>
        <w:t>融工</w:t>
      </w:r>
      <w:r>
        <w:rPr>
          <w:spacing w:val="-3"/>
          <w:w w:val="100"/>
        </w:rPr>
        <w:t>具</w:t>
      </w:r>
      <w:r>
        <w:rPr>
          <w:w w:val="100"/>
        </w:rPr>
        <w:t>列</w:t>
      </w:r>
      <w:r>
        <w:rPr>
          <w:spacing w:val="-3"/>
          <w:w w:val="100"/>
        </w:rPr>
        <w:t>报</w:t>
      </w:r>
      <w:r>
        <w:rPr>
          <w:spacing w:val="-118"/>
          <w:w w:val="100"/>
        </w:rPr>
        <w:t>》</w:t>
      </w:r>
      <w:r>
        <w:rPr>
          <w:w w:val="100"/>
        </w:rPr>
        <w:t>（</w:t>
      </w:r>
      <w:r>
        <w:rPr>
          <w:spacing w:val="-3"/>
          <w:w w:val="100"/>
        </w:rPr>
        <w:t>财</w:t>
      </w:r>
      <w:r>
        <w:rPr>
          <w:spacing w:val="-13"/>
          <w:w w:val="100"/>
        </w:rPr>
        <w:t>会</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17</w:t>
      </w:r>
      <w:r>
        <w:rPr>
          <w:w w:val="100"/>
        </w:rPr>
        <w:t>】</w:t>
      </w:r>
    </w:p>
    <w:p>
      <w:pPr>
        <w:pStyle w:val="BodyText"/>
        <w:spacing w:line="240" w:lineRule="auto" w:before="35"/>
        <w:ind w:right="992"/>
        <w:jc w:val="left"/>
      </w:pP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w w:val="100"/>
        </w:rPr>
        <w:t>号</w:t>
      </w:r>
      <w:r>
        <w:rPr>
          <w:spacing w:val="-108"/>
          <w:w w:val="100"/>
        </w:rPr>
        <w:t>）</w:t>
      </w:r>
      <w:r>
        <w:rPr>
          <w:w w:val="100"/>
        </w:rPr>
        <w:t>，</w:t>
      </w:r>
      <w:r>
        <w:rPr>
          <w:spacing w:val="-3"/>
          <w:w w:val="100"/>
        </w:rPr>
        <w:t>本</w:t>
      </w: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日</w:t>
      </w:r>
      <w:r>
        <w:rPr>
          <w:spacing w:val="-3"/>
          <w:w w:val="100"/>
        </w:rPr>
        <w:t>起</w:t>
      </w:r>
      <w:r>
        <w:rPr>
          <w:w w:val="100"/>
        </w:rPr>
        <w:t>执</w:t>
      </w:r>
      <w:r>
        <w:rPr>
          <w:spacing w:val="-3"/>
          <w:w w:val="100"/>
        </w:rPr>
        <w:t>行</w:t>
      </w:r>
      <w:r>
        <w:rPr>
          <w:w w:val="100"/>
        </w:rPr>
        <w:t>上</w:t>
      </w:r>
      <w:r>
        <w:rPr>
          <w:spacing w:val="-3"/>
          <w:w w:val="100"/>
        </w:rPr>
        <w:t>述</w:t>
      </w:r>
      <w:r>
        <w:rPr>
          <w:w w:val="100"/>
        </w:rPr>
        <w:t>新</w:t>
      </w:r>
      <w:r>
        <w:rPr>
          <w:spacing w:val="-3"/>
          <w:w w:val="100"/>
        </w:rPr>
        <w:t>金</w:t>
      </w:r>
      <w:r>
        <w:rPr>
          <w:w w:val="100"/>
        </w:rPr>
        <w:t>融会</w:t>
      </w:r>
      <w:r>
        <w:rPr>
          <w:spacing w:val="-3"/>
          <w:w w:val="100"/>
        </w:rPr>
        <w:t>计</w:t>
      </w:r>
      <w:r>
        <w:rPr>
          <w:w w:val="100"/>
        </w:rPr>
        <w:t>准</w:t>
      </w:r>
      <w:r>
        <w:rPr>
          <w:spacing w:val="-3"/>
          <w:w w:val="100"/>
        </w:rPr>
        <w:t>则</w:t>
      </w:r>
      <w:r>
        <w:rPr>
          <w:spacing w:val="-1"/>
          <w:w w:val="100"/>
        </w:rPr>
        <w:t>。</w:t>
      </w:r>
      <w:r>
        <w:rPr>
          <w:spacing w:val="-3"/>
          <w:w w:val="100"/>
        </w:rPr>
        <w:t>本</w:t>
      </w:r>
      <w:r>
        <w:rPr>
          <w:w w:val="100"/>
        </w:rPr>
        <w:t>次</w:t>
      </w:r>
      <w:r>
        <w:rPr>
          <w:spacing w:val="-3"/>
          <w:w w:val="100"/>
        </w:rPr>
        <w:t>调整</w:t>
      </w:r>
      <w:r>
        <w:rPr>
          <w:w w:val="100"/>
        </w:rPr>
        <w:t>将</w:t>
      </w:r>
      <w:r>
        <w:rPr>
          <w:spacing w:val="-55"/>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在</w:t>
      </w:r>
      <w:r>
        <w:rPr>
          <w:spacing w:val="-3"/>
          <w:w w:val="100"/>
        </w:rPr>
        <w:t>可供</w:t>
      </w:r>
      <w:r>
        <w:rPr>
          <w:w w:val="100"/>
        </w:rPr>
        <w:t>出</w:t>
      </w:r>
    </w:p>
    <w:p>
      <w:pPr>
        <w:pStyle w:val="BodyText"/>
        <w:spacing w:line="240" w:lineRule="auto" w:before="177"/>
        <w:ind w:right="992"/>
        <w:jc w:val="left"/>
      </w:pPr>
      <w:r>
        <w:rPr/>
        <w:t>售金融资产列报的项目在</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日调整至其他非流动金融资产科目；将</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日在其他</w:t>
      </w:r>
    </w:p>
    <w:p>
      <w:pPr>
        <w:pStyle w:val="BodyText"/>
        <w:spacing w:line="240" w:lineRule="auto" w:before="177"/>
        <w:ind w:right="992"/>
        <w:jc w:val="left"/>
      </w:pPr>
      <w:r>
        <w:rPr/>
        <w:t>应收款</w:t>
      </w:r>
      <w:r>
        <w:rPr>
          <w:rFonts w:ascii="Times New Roman" w:hAnsi="Times New Roman" w:cs="Times New Roman" w:eastAsia="Times New Roman" w:hint="default"/>
        </w:rPr>
        <w:t>-</w:t>
      </w:r>
      <w:r>
        <w:rPr/>
        <w:t>应收利息及其他流动资产列报的项目在</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日调整至交易性金融资产。</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年起执行新金融工具准则或新租赁准则追溯调整前期比较数据说明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 适用 √ 不适用</w:t>
      </w:r>
    </w:p>
    <w:p>
      <w:pPr>
        <w:spacing w:line="240" w:lineRule="auto" w:before="11"/>
        <w:rPr>
          <w:rFonts w:ascii="宋体" w:hAnsi="宋体" w:cs="宋体" w:eastAsia="宋体" w:hint="default"/>
          <w:sz w:val="29"/>
          <w:szCs w:val="29"/>
        </w:rPr>
      </w:pPr>
    </w:p>
    <w:p>
      <w:pPr>
        <w:pStyle w:val="Heading2"/>
        <w:spacing w:line="240" w:lineRule="auto"/>
        <w:ind w:right="99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从租和从价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每平方米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b/>
          <w:bCs/>
          <w:sz w:val="26"/>
          <w:szCs w:val="26"/>
        </w:rPr>
      </w:pPr>
    </w:p>
    <w:p>
      <w:pPr>
        <w:pStyle w:val="BodyText"/>
        <w:spacing w:line="240" w:lineRule="auto" w:before="36"/>
        <w:ind w:left="573" w:right="992"/>
        <w:jc w:val="left"/>
      </w:pPr>
      <w:r>
        <w:rPr/>
        <w:t>存在不同企业所得税税率纳税主体的，披露情况说明</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尤洛卡（山东）矿业科技有限公司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尤洛卡（广东）精准信息工程技术研究院有限公司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上海富华软件有限公司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北京富优氢能技术有限公司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成都富华宇祺通讯有限公司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泰安宇祺通讯技术有限公司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长春继珩精密光学技术有限公司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泰安市强德食品有限公司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成都速达尔信息技术有限公司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海南泰山国际贸易有限公司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山东安冷新材料科技有限公司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泰安市新达信息技术有限公司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w:t>
      </w:r>
      <w:r>
        <w:rPr>
          <w:rFonts w:ascii="宋体" w:hAnsi="宋体" w:cs="宋体" w:eastAsia="宋体" w:hint="default"/>
        </w:rPr>
        <w:t>1</w:t>
      </w:r>
      <w:r>
        <w:rPr/>
        <w:t>）增值税</w:t>
      </w:r>
    </w:p>
    <w:p>
      <w:pPr>
        <w:spacing w:line="240" w:lineRule="auto" w:before="10"/>
        <w:rPr>
          <w:rFonts w:ascii="宋体" w:hAnsi="宋体" w:cs="宋体" w:eastAsia="宋体" w:hint="default"/>
          <w:sz w:val="14"/>
          <w:szCs w:val="14"/>
        </w:rPr>
      </w:pPr>
    </w:p>
    <w:p>
      <w:pPr>
        <w:pStyle w:val="BodyText"/>
        <w:spacing w:line="408" w:lineRule="auto" w:before="0"/>
        <w:ind w:right="1128" w:firstLine="420"/>
        <w:jc w:val="both"/>
      </w:pPr>
      <w:r>
        <w:rPr>
          <w:spacing w:val="-4"/>
        </w:rPr>
        <w:t>①根据财政部、国家税务总局关于软件产品增值税政策的通知（财税（</w:t>
      </w:r>
      <w:r>
        <w:rPr>
          <w:rFonts w:ascii="宋体" w:hAnsi="宋体" w:cs="宋体" w:eastAsia="宋体" w:hint="default"/>
          <w:spacing w:val="-4"/>
        </w:rPr>
        <w:t>2000</w:t>
      </w:r>
      <w:r>
        <w:rPr>
          <w:spacing w:val="-4"/>
        </w:rPr>
        <w:t>）</w:t>
      </w:r>
      <w:r>
        <w:rPr>
          <w:rFonts w:ascii="宋体" w:hAnsi="宋体" w:cs="宋体" w:eastAsia="宋体" w:hint="default"/>
          <w:spacing w:val="-4"/>
        </w:rPr>
        <w:t>25</w:t>
      </w:r>
      <w:r>
        <w:rPr>
          <w:spacing w:val="-4"/>
        </w:rPr>
        <w:t>号、财税（</w:t>
      </w:r>
      <w:r>
        <w:rPr>
          <w:rFonts w:ascii="宋体" w:hAnsi="宋体" w:cs="宋体" w:eastAsia="宋体" w:hint="default"/>
          <w:spacing w:val="-4"/>
        </w:rPr>
        <w:t>2011</w:t>
      </w:r>
      <w:r>
        <w:rPr>
          <w:spacing w:val="-4"/>
        </w:rPr>
        <w:t>）</w:t>
      </w:r>
      <w:r>
        <w:rPr>
          <w:rFonts w:ascii="宋体" w:hAnsi="宋体" w:cs="宋体" w:eastAsia="宋体" w:hint="default"/>
          <w:spacing w:val="-4"/>
        </w:rPr>
        <w:t>100</w:t>
      </w:r>
      <w:r>
        <w:rPr>
          <w:rFonts w:ascii="宋体" w:hAnsi="宋体" w:cs="宋体" w:eastAsia="宋体" w:hint="default"/>
          <w:w w:val="100"/>
        </w:rPr>
        <w:t> </w:t>
      </w:r>
      <w:r>
        <w:rPr>
          <w:spacing w:val="-2"/>
        </w:rPr>
        <w:t>号）的相关规定，本公司子公司尤洛卡（山东）矿业科技有限公司、尤洛卡（北京）产业信息技术研究院</w:t>
      </w:r>
      <w:r>
        <w:rPr>
          <w:spacing w:val="-47"/>
        </w:rPr>
        <w:t> </w:t>
      </w:r>
      <w:r>
        <w:rPr>
          <w:spacing w:val="-47"/>
        </w:rPr>
      </w:r>
      <w:r>
        <w:rPr>
          <w:spacing w:val="-2"/>
        </w:rPr>
        <w:t>有限公司、北京富华宇祺信息技术有限公司、上海富华软件有限公司、北京富优氢能技术有限公司、成都</w:t>
      </w:r>
      <w:r>
        <w:rPr>
          <w:spacing w:val="-49"/>
        </w:rPr>
        <w:t> </w:t>
      </w:r>
      <w:r>
        <w:rPr>
          <w:spacing w:val="-49"/>
        </w:rPr>
      </w:r>
      <w:r>
        <w:rPr/>
        <w:t>富华宇祺通讯有限公司享受“增值税实际税负超过</w:t>
      </w:r>
      <w:r>
        <w:rPr>
          <w:rFonts w:ascii="宋体" w:hAnsi="宋体" w:cs="宋体" w:eastAsia="宋体" w:hint="default"/>
        </w:rPr>
        <w:t>3%</w:t>
      </w:r>
      <w:r>
        <w:rPr/>
        <w:t>的部分执行即征即退”的政策。</w:t>
      </w:r>
    </w:p>
    <w:p>
      <w:pPr>
        <w:pStyle w:val="BodyText"/>
        <w:spacing w:line="408" w:lineRule="auto"/>
        <w:ind w:right="1126" w:firstLine="420"/>
        <w:jc w:val="both"/>
      </w:pPr>
      <w:r>
        <w:rPr>
          <w:spacing w:val="-2"/>
        </w:rPr>
        <w:t>②本公司子公司长春师凯科技产业有限责任公司根据财政部、国家税务总局有关文件，军品合同享受</w:t>
      </w:r>
      <w:r>
        <w:rPr>
          <w:w w:val="100"/>
        </w:rPr>
        <w:t> </w:t>
      </w:r>
      <w:r>
        <w:rPr>
          <w:spacing w:val="-2"/>
        </w:rPr>
        <w:t>免征增值税政策，对已征收入库的应予免征增值税税款，可抵减纳税人以后月份应缴纳的增值税税款或者</w:t>
      </w:r>
      <w:r>
        <w:rPr>
          <w:spacing w:val="-43"/>
        </w:rPr>
        <w:t> </w:t>
      </w:r>
      <w:r>
        <w:rPr>
          <w:spacing w:val="-43"/>
        </w:rPr>
      </w:r>
      <w:r>
        <w:rPr/>
        <w:t>办理税款退款。</w:t>
      </w:r>
    </w:p>
    <w:p>
      <w:pPr>
        <w:pStyle w:val="BodyText"/>
        <w:spacing w:line="240" w:lineRule="auto"/>
        <w:ind w:left="573" w:right="992"/>
        <w:jc w:val="left"/>
      </w:pPr>
      <w:r>
        <w:rPr/>
        <w:t>（</w:t>
      </w:r>
      <w:r>
        <w:rPr>
          <w:rFonts w:ascii="宋体" w:hAnsi="宋体" w:cs="宋体" w:eastAsia="宋体" w:hint="default"/>
        </w:rPr>
        <w:t>2</w:t>
      </w:r>
      <w:r>
        <w:rPr/>
        <w:t>）所得税</w:t>
      </w:r>
    </w:p>
    <w:p>
      <w:pPr>
        <w:spacing w:line="240" w:lineRule="auto" w:before="10"/>
        <w:rPr>
          <w:rFonts w:ascii="宋体" w:hAnsi="宋体" w:cs="宋体" w:eastAsia="宋体" w:hint="default"/>
          <w:sz w:val="14"/>
          <w:szCs w:val="14"/>
        </w:rPr>
      </w:pPr>
    </w:p>
    <w:p>
      <w:pPr>
        <w:pStyle w:val="BodyText"/>
        <w:spacing w:line="408" w:lineRule="auto" w:before="0"/>
        <w:ind w:right="992" w:firstLine="420"/>
        <w:jc w:val="left"/>
      </w:pPr>
      <w:r>
        <w:rPr>
          <w:spacing w:val="-2"/>
        </w:rPr>
        <w:t>①本公司</w:t>
      </w:r>
      <w:r>
        <w:rPr>
          <w:rFonts w:ascii="宋体" w:hAnsi="宋体" w:cs="宋体" w:eastAsia="宋体" w:hint="default"/>
          <w:spacing w:val="-2"/>
        </w:rPr>
        <w:t>2017</w:t>
      </w:r>
      <w:r>
        <w:rPr>
          <w:spacing w:val="-2"/>
        </w:rPr>
        <w:t>年通过高新技术企业复审，证书编号</w:t>
      </w:r>
      <w:r>
        <w:rPr>
          <w:rFonts w:ascii="宋体" w:hAnsi="宋体" w:cs="宋体" w:eastAsia="宋体" w:hint="default"/>
          <w:spacing w:val="-2"/>
        </w:rPr>
        <w:t>GR2017137001560</w:t>
      </w:r>
      <w:r>
        <w:rPr>
          <w:spacing w:val="-2"/>
        </w:rPr>
        <w:t>，将连续三年（</w:t>
      </w:r>
      <w:r>
        <w:rPr>
          <w:rFonts w:ascii="宋体" w:hAnsi="宋体" w:cs="宋体" w:eastAsia="宋体" w:hint="default"/>
          <w:spacing w:val="-2"/>
        </w:rPr>
        <w:t>2017</w:t>
      </w:r>
      <w:r>
        <w:rPr>
          <w:spacing w:val="-2"/>
        </w:rPr>
        <w:t>年至</w:t>
      </w:r>
      <w:r>
        <w:rPr>
          <w:rFonts w:ascii="宋体" w:hAnsi="宋体" w:cs="宋体" w:eastAsia="宋体" w:hint="default"/>
          <w:spacing w:val="-2"/>
        </w:rPr>
        <w:t>2019</w:t>
      </w:r>
      <w:r>
        <w:rPr>
          <w:spacing w:val="-2"/>
        </w:rPr>
        <w:t>年）</w:t>
      </w:r>
      <w:r>
        <w:rPr>
          <w:w w:val="100"/>
        </w:rPr>
        <w:t> </w:t>
      </w:r>
      <w:r>
        <w:rPr/>
        <w:t>继续享受国家关于高新技术企业的相关优惠政策，并按</w:t>
      </w:r>
      <w:r>
        <w:rPr>
          <w:rFonts w:ascii="宋体" w:hAnsi="宋体" w:cs="宋体" w:eastAsia="宋体" w:hint="default"/>
        </w:rPr>
        <w:t>15%</w:t>
      </w:r>
      <w:r>
        <w:rPr/>
        <w:t>的税率缴纳企业所得税。</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本公司于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日将煤矿安全业务整体移至子公司尤洛卡（山东）矿业科技有限公司，本公司转</w:t>
      </w:r>
      <w:r>
        <w:rPr>
          <w:w w:val="100"/>
        </w:rPr>
        <w:t> </w:t>
      </w:r>
      <w:r>
        <w:rPr>
          <w:spacing w:val="-2"/>
        </w:rPr>
        <w:t>为控股管理公司，</w:t>
      </w:r>
      <w:r>
        <w:rPr>
          <w:rFonts w:ascii="宋体" w:hAnsi="宋体" w:cs="宋体" w:eastAsia="宋体" w:hint="default"/>
          <w:spacing w:val="-2"/>
        </w:rPr>
        <w:t>2019</w:t>
      </w:r>
      <w:r>
        <w:rPr>
          <w:spacing w:val="-2"/>
        </w:rPr>
        <w:t>年度未发生研发投入，本公司不再享受高新技术企业的所得税税收优惠政策，</w:t>
      </w:r>
      <w:r>
        <w:rPr>
          <w:rFonts w:ascii="宋体" w:hAnsi="宋体" w:cs="宋体" w:eastAsia="宋体" w:hint="default"/>
          <w:spacing w:val="-2"/>
        </w:rPr>
        <w:t>2019</w:t>
      </w:r>
      <w:r>
        <w:rPr>
          <w:rFonts w:ascii="宋体" w:hAnsi="宋体" w:cs="宋体" w:eastAsia="宋体" w:hint="default"/>
          <w:spacing w:val="-36"/>
        </w:rPr>
        <w:t> </w:t>
      </w:r>
      <w:r>
        <w:rPr>
          <w:rFonts w:ascii="宋体" w:hAnsi="宋体" w:cs="宋体" w:eastAsia="宋体" w:hint="default"/>
          <w:spacing w:val="-36"/>
        </w:rPr>
      </w:r>
      <w:r>
        <w:rPr/>
        <w:t>年度按</w:t>
      </w:r>
      <w:r>
        <w:rPr>
          <w:rFonts w:ascii="宋体" w:hAnsi="宋体" w:cs="宋体" w:eastAsia="宋体" w:hint="default"/>
        </w:rPr>
        <w:t>25%</w:t>
      </w:r>
      <w:r>
        <w:rPr/>
        <w:t>的税率缴纳企业所得税。</w:t>
      </w:r>
    </w:p>
    <w:p>
      <w:pPr>
        <w:pStyle w:val="BodyText"/>
        <w:spacing w:line="408" w:lineRule="auto"/>
        <w:ind w:right="992" w:firstLine="420"/>
        <w:jc w:val="left"/>
      </w:pPr>
      <w:r>
        <w:rPr/>
        <w:t>②本公司子公司尤洛卡（山东）矿业科技有限公司于</w:t>
      </w:r>
      <w:r>
        <w:rPr>
          <w:rFonts w:ascii="宋体" w:hAnsi="宋体" w:cs="宋体" w:eastAsia="宋体" w:hint="default"/>
        </w:rPr>
        <w:t>2019</w:t>
      </w:r>
      <w:r>
        <w:rPr/>
        <w:t>年通过高新技术企业复审，证书编号</w:t>
      </w:r>
      <w:r>
        <w:rPr>
          <w:w w:val="100"/>
        </w:rPr>
        <w:t> </w:t>
      </w:r>
      <w:r>
        <w:rPr>
          <w:rFonts w:ascii="宋体" w:hAnsi="宋体" w:cs="宋体" w:eastAsia="宋体" w:hint="default"/>
          <w:spacing w:val="-2"/>
        </w:rPr>
        <w:t>GR201937001515</w:t>
      </w:r>
      <w:r>
        <w:rPr>
          <w:spacing w:val="-2"/>
        </w:rPr>
        <w:t>，将连续三年（</w:t>
      </w:r>
      <w:r>
        <w:rPr>
          <w:rFonts w:ascii="宋体" w:hAnsi="宋体" w:cs="宋体" w:eastAsia="宋体" w:hint="default"/>
          <w:spacing w:val="-2"/>
        </w:rPr>
        <w:t>2019</w:t>
      </w:r>
      <w:r>
        <w:rPr>
          <w:spacing w:val="-2"/>
        </w:rPr>
        <w:t>年至</w:t>
      </w:r>
      <w:r>
        <w:rPr>
          <w:rFonts w:ascii="宋体" w:hAnsi="宋体" w:cs="宋体" w:eastAsia="宋体" w:hint="default"/>
          <w:spacing w:val="-2"/>
        </w:rPr>
        <w:t>2021</w:t>
      </w:r>
      <w:r>
        <w:rPr>
          <w:spacing w:val="-2"/>
        </w:rPr>
        <w:t>年）享受国家关于高新技术企业的相关优惠政策，并按</w:t>
      </w:r>
      <w:r>
        <w:rPr>
          <w:rFonts w:ascii="宋体" w:hAnsi="宋体" w:cs="宋体" w:eastAsia="宋体" w:hint="default"/>
          <w:spacing w:val="-2"/>
        </w:rPr>
        <w:t>15%</w:t>
      </w:r>
      <w:r>
        <w:rPr>
          <w:rFonts w:ascii="宋体" w:hAnsi="宋体" w:cs="宋体" w:eastAsia="宋体" w:hint="default"/>
          <w:spacing w:val="3"/>
        </w:rPr>
        <w:t> </w:t>
      </w:r>
      <w:r>
        <w:rPr>
          <w:rFonts w:ascii="宋体" w:hAnsi="宋体" w:cs="宋体" w:eastAsia="宋体" w:hint="default"/>
          <w:spacing w:val="3"/>
        </w:rPr>
      </w:r>
      <w:r>
        <w:rPr/>
        <w:t>的税率缴纳企业所得税。</w:t>
      </w:r>
    </w:p>
    <w:p>
      <w:pPr>
        <w:pStyle w:val="BodyText"/>
        <w:spacing w:line="408" w:lineRule="auto"/>
        <w:ind w:right="992" w:firstLine="420"/>
        <w:jc w:val="left"/>
      </w:pPr>
      <w:r>
        <w:rPr/>
        <w:t>③本公司子公司北京富华宇祺信息技术有限公司</w:t>
      </w:r>
      <w:r>
        <w:rPr>
          <w:rFonts w:ascii="宋体" w:hAnsi="宋体" w:cs="宋体" w:eastAsia="宋体" w:hint="default"/>
        </w:rPr>
        <w:t>2017</w:t>
      </w:r>
      <w:r>
        <w:rPr/>
        <w:t>年通过高新技术企业复审，证书编号</w:t>
      </w:r>
      <w:r>
        <w:rPr>
          <w:w w:val="100"/>
        </w:rPr>
        <w:t> </w:t>
      </w:r>
      <w:r>
        <w:rPr>
          <w:rFonts w:ascii="宋体" w:hAnsi="宋体" w:cs="宋体" w:eastAsia="宋体" w:hint="default"/>
          <w:spacing w:val="-2"/>
        </w:rPr>
        <w:t>GR201711004119</w:t>
      </w:r>
      <w:r>
        <w:rPr>
          <w:spacing w:val="-2"/>
        </w:rPr>
        <w:t>，将连续三年（</w:t>
      </w:r>
      <w:r>
        <w:rPr>
          <w:rFonts w:ascii="宋体" w:hAnsi="宋体" w:cs="宋体" w:eastAsia="宋体" w:hint="default"/>
          <w:spacing w:val="-2"/>
        </w:rPr>
        <w:t>2017</w:t>
      </w:r>
      <w:r>
        <w:rPr>
          <w:spacing w:val="-2"/>
        </w:rPr>
        <w:t>年至</w:t>
      </w:r>
      <w:r>
        <w:rPr>
          <w:rFonts w:ascii="宋体" w:hAnsi="宋体" w:cs="宋体" w:eastAsia="宋体" w:hint="default"/>
          <w:spacing w:val="-2"/>
        </w:rPr>
        <w:t>2019</w:t>
      </w:r>
      <w:r>
        <w:rPr>
          <w:spacing w:val="-2"/>
        </w:rPr>
        <w:t>年）继续享受国家关于高新技术企业的相关优惠政策，并按</w:t>
      </w:r>
      <w:r>
        <w:rPr>
          <w:spacing w:val="-27"/>
        </w:rPr>
        <w:t> </w:t>
      </w:r>
      <w:r>
        <w:rPr>
          <w:spacing w:val="-27"/>
        </w:rPr>
      </w:r>
      <w:r>
        <w:rPr>
          <w:rFonts w:ascii="宋体" w:hAnsi="宋体" w:cs="宋体" w:eastAsia="宋体" w:hint="default"/>
        </w:rPr>
        <w:t>15%</w:t>
      </w:r>
      <w:r>
        <w:rPr/>
        <w:t>的税率缴纳企业所得税。</w:t>
      </w:r>
    </w:p>
    <w:p>
      <w:pPr>
        <w:pStyle w:val="BodyText"/>
        <w:spacing w:line="408" w:lineRule="auto"/>
        <w:ind w:right="1126" w:firstLine="420"/>
        <w:jc w:val="both"/>
      </w:pPr>
      <w:r>
        <w:rPr>
          <w:spacing w:val="-2"/>
        </w:rPr>
        <w:t>④本公司子公司尤洛卡（北京）产业信息技术研究院有限公司于</w:t>
      </w:r>
      <w:r>
        <w:rPr>
          <w:rFonts w:ascii="宋体" w:hAnsi="宋体" w:cs="宋体" w:eastAsia="宋体" w:hint="default"/>
          <w:spacing w:val="-2"/>
        </w:rPr>
        <w:t>2018</w:t>
      </w:r>
      <w:r>
        <w:rPr>
          <w:spacing w:val="-2"/>
        </w:rPr>
        <w:t>年通过高新技术企业的认定，证</w:t>
      </w:r>
      <w:r>
        <w:rPr>
          <w:w w:val="100"/>
        </w:rPr>
        <w:t> </w:t>
      </w:r>
      <w:r>
        <w:rPr>
          <w:spacing w:val="-2"/>
        </w:rPr>
        <w:t>书编号</w:t>
      </w:r>
      <w:r>
        <w:rPr>
          <w:rFonts w:ascii="宋体" w:hAnsi="宋体" w:cs="宋体" w:eastAsia="宋体" w:hint="default"/>
          <w:spacing w:val="-2"/>
        </w:rPr>
        <w:t>GR201811005654</w:t>
      </w:r>
      <w:r>
        <w:rPr>
          <w:spacing w:val="-2"/>
        </w:rPr>
        <w:t>，将连续三年（</w:t>
      </w:r>
      <w:r>
        <w:rPr>
          <w:rFonts w:ascii="宋体" w:hAnsi="宋体" w:cs="宋体" w:eastAsia="宋体" w:hint="default"/>
          <w:spacing w:val="-2"/>
        </w:rPr>
        <w:t>2018</w:t>
      </w:r>
      <w:r>
        <w:rPr>
          <w:spacing w:val="-2"/>
        </w:rPr>
        <w:t>年至</w:t>
      </w:r>
      <w:r>
        <w:rPr>
          <w:rFonts w:ascii="宋体" w:hAnsi="宋体" w:cs="宋体" w:eastAsia="宋体" w:hint="default"/>
          <w:spacing w:val="-2"/>
        </w:rPr>
        <w:t>2020</w:t>
      </w:r>
      <w:r>
        <w:rPr>
          <w:spacing w:val="-2"/>
        </w:rPr>
        <w:t>年）享受国家关于高新技术企业的相关优惠政策，并</w:t>
      </w:r>
      <w:r>
        <w:rPr>
          <w:spacing w:val="-28"/>
        </w:rPr>
        <w:t> </w:t>
      </w:r>
      <w:r>
        <w:rPr>
          <w:spacing w:val="-28"/>
        </w:rPr>
      </w:r>
      <w:r>
        <w:rPr/>
        <w:t>按</w:t>
      </w:r>
      <w:r>
        <w:rPr>
          <w:rFonts w:ascii="宋体" w:hAnsi="宋体" w:cs="宋体" w:eastAsia="宋体" w:hint="default"/>
        </w:rPr>
        <w:t>15%</w:t>
      </w:r>
      <w:r>
        <w:rPr/>
        <w:t>的税率缴纳企业所得税。</w:t>
      </w:r>
    </w:p>
    <w:p>
      <w:pPr>
        <w:pStyle w:val="BodyText"/>
        <w:spacing w:line="408" w:lineRule="auto"/>
        <w:ind w:right="992" w:firstLine="420"/>
        <w:jc w:val="left"/>
      </w:pPr>
      <w:r>
        <w:rPr/>
        <w:t>⑤本公司子公司北京富华宇祺信息技术有限公司的全资子公司上海富华软件有限公司于</w:t>
      </w:r>
      <w:r>
        <w:rPr>
          <w:rFonts w:ascii="宋体" w:hAnsi="宋体" w:cs="宋体" w:eastAsia="宋体" w:hint="default"/>
        </w:rPr>
        <w:t>2019</w:t>
      </w:r>
      <w:r>
        <w:rPr/>
        <w:t>年通过</w:t>
      </w:r>
      <w:r>
        <w:rPr>
          <w:w w:val="100"/>
        </w:rPr>
        <w:t> </w:t>
      </w:r>
      <w:r>
        <w:rPr>
          <w:spacing w:val="-2"/>
        </w:rPr>
        <w:t>高新技术企业的认定，证书编号</w:t>
      </w:r>
      <w:r>
        <w:rPr>
          <w:rFonts w:ascii="宋体" w:hAnsi="宋体" w:cs="宋体" w:eastAsia="宋体" w:hint="default"/>
          <w:spacing w:val="-2"/>
        </w:rPr>
        <w:t>GR201931003437</w:t>
      </w:r>
      <w:r>
        <w:rPr>
          <w:spacing w:val="-2"/>
        </w:rPr>
        <w:t>，将连续三年（</w:t>
      </w:r>
      <w:r>
        <w:rPr>
          <w:rFonts w:ascii="宋体" w:hAnsi="宋体" w:cs="宋体" w:eastAsia="宋体" w:hint="default"/>
          <w:spacing w:val="-2"/>
        </w:rPr>
        <w:t>2019</w:t>
      </w:r>
      <w:r>
        <w:rPr>
          <w:spacing w:val="-2"/>
        </w:rPr>
        <w:t>年至</w:t>
      </w:r>
      <w:r>
        <w:rPr>
          <w:rFonts w:ascii="宋体" w:hAnsi="宋体" w:cs="宋体" w:eastAsia="宋体" w:hint="default"/>
          <w:spacing w:val="-2"/>
        </w:rPr>
        <w:t>2021</w:t>
      </w:r>
      <w:r>
        <w:rPr>
          <w:spacing w:val="-2"/>
        </w:rPr>
        <w:t>年）享受国家关于高新技术</w:t>
      </w:r>
      <w:r>
        <w:rPr>
          <w:spacing w:val="-28"/>
        </w:rPr>
        <w:t> </w:t>
      </w:r>
      <w:r>
        <w:rPr>
          <w:spacing w:val="-28"/>
        </w:rPr>
      </w:r>
      <w:r>
        <w:rPr/>
        <w:t>企业的相关优惠政策。</w:t>
      </w:r>
    </w:p>
    <w:p>
      <w:pPr>
        <w:pStyle w:val="BodyText"/>
        <w:spacing w:line="240" w:lineRule="auto"/>
        <w:ind w:left="573" w:right="992"/>
        <w:jc w:val="left"/>
      </w:pPr>
      <w:r>
        <w:rPr/>
        <w:t>⑥本公司子公司北京富华宇祺信息技术有限公司的全资子公司北京富优氢能技术有限公司根据财税</w:t>
      </w:r>
    </w:p>
    <w:p>
      <w:pPr>
        <w:spacing w:line="240" w:lineRule="auto" w:before="10"/>
        <w:rPr>
          <w:rFonts w:ascii="宋体" w:hAnsi="宋体" w:cs="宋体" w:eastAsia="宋体" w:hint="default"/>
          <w:sz w:val="14"/>
          <w:szCs w:val="14"/>
        </w:rPr>
      </w:pPr>
    </w:p>
    <w:p>
      <w:pPr>
        <w:pStyle w:val="BodyText"/>
        <w:spacing w:line="408" w:lineRule="auto" w:before="0"/>
        <w:ind w:right="1104"/>
        <w:jc w:val="both"/>
      </w:pPr>
      <w:r>
        <w:rPr>
          <w:spacing w:val="-2"/>
        </w:rPr>
        <w:t>【</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号文享受“第一年和第二年免征企业所得税、第三年至第五年减半征收企业所得税”的政策，</w:t>
      </w:r>
      <w:r>
        <w:rPr>
          <w:spacing w:val="-15"/>
        </w:rPr>
        <w:t> </w:t>
      </w:r>
      <w:r>
        <w:rPr>
          <w:spacing w:val="-15"/>
        </w:rPr>
      </w:r>
      <w:r>
        <w:rPr>
          <w:spacing w:val="-2"/>
        </w:rPr>
        <w:t>即自首个获利年度起，</w:t>
      </w:r>
      <w:r>
        <w:rPr>
          <w:rFonts w:ascii="宋体" w:hAnsi="宋体" w:cs="宋体" w:eastAsia="宋体" w:hint="default"/>
          <w:spacing w:val="-2"/>
        </w:rPr>
        <w:t>2016</w:t>
      </w:r>
      <w:r>
        <w:rPr>
          <w:spacing w:val="-2"/>
        </w:rPr>
        <w:t>年至</w:t>
      </w:r>
      <w:r>
        <w:rPr>
          <w:rFonts w:ascii="宋体" w:hAnsi="宋体" w:cs="宋体" w:eastAsia="宋体" w:hint="default"/>
          <w:spacing w:val="-2"/>
        </w:rPr>
        <w:t>2017</w:t>
      </w:r>
      <w:r>
        <w:rPr>
          <w:spacing w:val="-2"/>
        </w:rPr>
        <w:t>年免缴企业所得税，自</w:t>
      </w:r>
      <w:r>
        <w:rPr>
          <w:rFonts w:ascii="宋体" w:hAnsi="宋体" w:cs="宋体" w:eastAsia="宋体" w:hint="default"/>
          <w:spacing w:val="-2"/>
        </w:rPr>
        <w:t>2018</w:t>
      </w:r>
      <w:r>
        <w:rPr>
          <w:spacing w:val="-2"/>
        </w:rPr>
        <w:t>年至</w:t>
      </w:r>
      <w:r>
        <w:rPr>
          <w:rFonts w:ascii="宋体" w:hAnsi="宋体" w:cs="宋体" w:eastAsia="宋体" w:hint="default"/>
          <w:spacing w:val="-2"/>
        </w:rPr>
        <w:t>2020</w:t>
      </w:r>
      <w:r>
        <w:rPr>
          <w:spacing w:val="-2"/>
        </w:rPr>
        <w:t>年减半缴纳企业所得税，本年度</w:t>
      </w:r>
      <w:r>
        <w:rPr>
          <w:spacing w:val="-32"/>
        </w:rPr>
        <w:t> </w:t>
      </w:r>
      <w:r>
        <w:rPr>
          <w:spacing w:val="-32"/>
        </w:rPr>
      </w:r>
      <w:r>
        <w:rPr/>
        <w:t>适用</w:t>
      </w:r>
      <w:r>
        <w:rPr>
          <w:rFonts w:ascii="宋体" w:hAnsi="宋体" w:cs="宋体" w:eastAsia="宋体" w:hint="default"/>
        </w:rPr>
        <w:t>12.50%</w:t>
      </w:r>
      <w:r>
        <w:rPr/>
        <w:t>的税率。</w:t>
      </w:r>
    </w:p>
    <w:p>
      <w:pPr>
        <w:pStyle w:val="BodyText"/>
        <w:spacing w:line="408" w:lineRule="auto"/>
        <w:ind w:right="992" w:firstLine="420"/>
        <w:jc w:val="left"/>
      </w:pPr>
      <w:r>
        <w:rPr>
          <w:spacing w:val="-4"/>
        </w:rPr>
        <w:t>根据《关于软件和集成电路产业企业所得税优惠政策有关问题的通知》（财税【</w:t>
      </w:r>
      <w:r>
        <w:rPr>
          <w:rFonts w:ascii="宋体" w:hAnsi="宋体" w:cs="宋体" w:eastAsia="宋体" w:hint="default"/>
          <w:spacing w:val="-4"/>
        </w:rPr>
        <w:t>2016</w:t>
      </w:r>
      <w:r>
        <w:rPr>
          <w:spacing w:val="-4"/>
        </w:rPr>
        <w:t>】</w:t>
      </w:r>
      <w:r>
        <w:rPr>
          <w:rFonts w:ascii="宋体" w:hAnsi="宋体" w:cs="宋体" w:eastAsia="宋体" w:hint="default"/>
          <w:spacing w:val="-4"/>
        </w:rPr>
        <w:t>49</w:t>
      </w:r>
      <w:r>
        <w:rPr>
          <w:spacing w:val="-4"/>
        </w:rPr>
        <w:t>号文）规定，</w:t>
      </w:r>
      <w:r>
        <w:rPr>
          <w:w w:val="100"/>
        </w:rPr>
        <w:t> </w:t>
      </w:r>
      <w:r>
        <w:rPr/>
        <w:t>享受财税〔</w:t>
      </w:r>
      <w:r>
        <w:rPr>
          <w:rFonts w:ascii="宋体" w:hAnsi="宋体" w:cs="宋体" w:eastAsia="宋体" w:hint="default"/>
        </w:rPr>
        <w:t>2012</w:t>
      </w:r>
      <w:r>
        <w:rPr/>
        <w:t>〕</w:t>
      </w:r>
      <w:r>
        <w:rPr>
          <w:rFonts w:ascii="宋体" w:hAnsi="宋体" w:cs="宋体" w:eastAsia="宋体" w:hint="default"/>
        </w:rPr>
        <w:t>27</w:t>
      </w:r>
      <w:r>
        <w:rPr/>
        <w:t>号文件规定的税收优惠政策的软件、集成电路企业，每年汇算清缴时应按照《国家税</w:t>
      </w:r>
      <w:r>
        <w:rPr>
          <w:w w:val="100"/>
        </w:rPr>
        <w:t> </w:t>
      </w:r>
      <w:r>
        <w:rPr>
          <w:spacing w:val="-2"/>
        </w:rPr>
        <w:t>务总局关于发布〈企业所得税优惠政策事项办理办法〉的公告》（国家税务总局公告</w:t>
      </w:r>
      <w:r>
        <w:rPr>
          <w:rFonts w:ascii="宋体" w:hAnsi="宋体" w:cs="宋体" w:eastAsia="宋体" w:hint="default"/>
          <w:spacing w:val="-2"/>
        </w:rPr>
        <w:t>2015</w:t>
      </w:r>
      <w:r>
        <w:rPr>
          <w:spacing w:val="-2"/>
        </w:rPr>
        <w:t>年第</w:t>
      </w:r>
      <w:r>
        <w:rPr>
          <w:rFonts w:ascii="宋体" w:hAnsi="宋体" w:cs="宋体" w:eastAsia="宋体" w:hint="default"/>
          <w:spacing w:val="-2"/>
        </w:rPr>
        <w:t>76</w:t>
      </w:r>
      <w:r>
        <w:rPr>
          <w:spacing w:val="-2"/>
        </w:rPr>
        <w:t>号）规定</w:t>
      </w:r>
      <w:r>
        <w:rPr>
          <w:spacing w:val="-38"/>
        </w:rPr>
        <w:t> </w:t>
      </w:r>
      <w:r>
        <w:rPr>
          <w:spacing w:val="-38"/>
        </w:rPr>
      </w:r>
      <w:r>
        <w:rPr>
          <w:spacing w:val="-2"/>
        </w:rPr>
        <w:t>向税务机关备案，同时提交《享受企业所得税优惠政策的软件和集成电路企业备案资料明细表》规定的备</w:t>
      </w:r>
      <w:r>
        <w:rPr>
          <w:spacing w:val="-44"/>
        </w:rPr>
        <w:t> </w:t>
      </w:r>
      <w:r>
        <w:rPr>
          <w:spacing w:val="-44"/>
        </w:rPr>
      </w:r>
      <w:r>
        <w:rPr>
          <w:spacing w:val="-2"/>
        </w:rPr>
        <w:t>案资料，公司管理层认为</w:t>
      </w:r>
      <w:r>
        <w:rPr>
          <w:rFonts w:ascii="宋体" w:hAnsi="宋体" w:cs="宋体" w:eastAsia="宋体" w:hint="default"/>
          <w:spacing w:val="-2"/>
        </w:rPr>
        <w:t>2019</w:t>
      </w:r>
      <w:r>
        <w:rPr>
          <w:spacing w:val="-2"/>
        </w:rPr>
        <w:t>年度符合软件和集成电路产业企业所得税优惠政策的相关要求，</w:t>
      </w:r>
      <w:r>
        <w:rPr>
          <w:rFonts w:ascii="宋体" w:hAnsi="宋体" w:cs="宋体" w:eastAsia="宋体" w:hint="default"/>
          <w:spacing w:val="-2"/>
        </w:rPr>
        <w:t>2019</w:t>
      </w:r>
      <w:r>
        <w:rPr>
          <w:spacing w:val="-2"/>
        </w:rPr>
        <w:t>年度按</w:t>
      </w:r>
      <w:r>
        <w:rPr>
          <w:spacing w:val="-39"/>
        </w:rPr>
        <w:t> </w:t>
      </w:r>
      <w:r>
        <w:rPr>
          <w:spacing w:val="-39"/>
        </w:rPr>
      </w:r>
      <w:r>
        <w:rPr>
          <w:rFonts w:ascii="宋体" w:hAnsi="宋体" w:cs="宋体" w:eastAsia="宋体" w:hint="default"/>
        </w:rPr>
        <w:t>12.50%</w:t>
      </w:r>
      <w:r>
        <w:rPr/>
        <w:t>税率计算缴纳企业所得税。</w:t>
      </w:r>
    </w:p>
    <w:p>
      <w:pPr>
        <w:pStyle w:val="BodyText"/>
        <w:spacing w:line="408" w:lineRule="auto"/>
        <w:ind w:right="1128" w:firstLine="420"/>
        <w:jc w:val="left"/>
      </w:pPr>
      <w:r>
        <w:rPr/>
        <w:t>⑦本公司子公司长春师凯科技产业有限责任公司</w:t>
      </w:r>
      <w:r>
        <w:rPr>
          <w:rFonts w:ascii="宋体" w:hAnsi="宋体" w:cs="宋体" w:eastAsia="宋体" w:hint="default"/>
        </w:rPr>
        <w:t>2018</w:t>
      </w:r>
      <w:r>
        <w:rPr/>
        <w:t>年提交高新技术企业重新认定资料，并通过了</w:t>
      </w:r>
      <w:r>
        <w:rPr>
          <w:w w:val="100"/>
        </w:rPr>
        <w:t> </w:t>
      </w:r>
      <w:r>
        <w:rPr>
          <w:rFonts w:ascii="宋体" w:hAnsi="宋体" w:cs="宋体" w:eastAsia="宋体" w:hint="default"/>
          <w:spacing w:val="-5"/>
        </w:rPr>
        <w:t>2018</w:t>
      </w:r>
      <w:r>
        <w:rPr>
          <w:spacing w:val="-5"/>
        </w:rPr>
        <w:t>年高新技术企业认定，证书编号：</w:t>
      </w:r>
      <w:r>
        <w:rPr>
          <w:rFonts w:ascii="宋体" w:hAnsi="宋体" w:cs="宋体" w:eastAsia="宋体" w:hint="default"/>
          <w:spacing w:val="-5"/>
        </w:rPr>
        <w:t>GR201822000326</w:t>
      </w:r>
      <w:r>
        <w:rPr>
          <w:spacing w:val="-5"/>
        </w:rPr>
        <w:t>，资格有效期</w:t>
      </w:r>
      <w:r>
        <w:rPr>
          <w:rFonts w:ascii="宋体" w:hAnsi="宋体" w:cs="宋体" w:eastAsia="宋体" w:hint="default"/>
          <w:spacing w:val="-5"/>
        </w:rPr>
        <w:t>3</w:t>
      </w:r>
      <w:r>
        <w:rPr>
          <w:spacing w:val="-5"/>
        </w:rPr>
        <w:t>年，企业所得税优惠期为</w:t>
      </w:r>
      <w:r>
        <w:rPr>
          <w:rFonts w:ascii="宋体" w:hAnsi="宋体" w:cs="宋体" w:eastAsia="宋体" w:hint="default"/>
          <w:spacing w:val="-5"/>
        </w:rPr>
        <w:t>2018</w:t>
      </w:r>
      <w:r>
        <w:rPr>
          <w:spacing w:val="-5"/>
        </w:rPr>
        <w:t>年</w:t>
      </w:r>
      <w:r>
        <w:rPr>
          <w:rFonts w:ascii="宋体" w:hAnsi="宋体" w:cs="宋体" w:eastAsia="宋体" w:hint="default"/>
          <w:spacing w:val="-5"/>
        </w:rPr>
        <w:t>-2020</w:t>
      </w:r>
      <w:r>
        <w:rPr>
          <w:rFonts w:ascii="宋体" w:hAnsi="宋体" w:cs="宋体" w:eastAsia="宋体" w:hint="default"/>
          <w:spacing w:val="-43"/>
        </w:rPr>
        <w:t> </w:t>
      </w:r>
      <w:r>
        <w:rPr>
          <w:rFonts w:ascii="宋体" w:hAnsi="宋体" w:cs="宋体" w:eastAsia="宋体" w:hint="default"/>
          <w:spacing w:val="-43"/>
        </w:rPr>
      </w:r>
      <w:r>
        <w:rPr/>
        <w:t>年，</w:t>
      </w:r>
      <w:r>
        <w:rPr>
          <w:rFonts w:ascii="宋体" w:hAnsi="宋体" w:cs="宋体" w:eastAsia="宋体" w:hint="default"/>
        </w:rPr>
        <w:t>2019</w:t>
      </w:r>
      <w:r>
        <w:rPr/>
        <w:t>年的企业所得税税率</w:t>
      </w:r>
      <w:r>
        <w:rPr>
          <w:rFonts w:ascii="宋体" w:hAnsi="宋体" w:cs="宋体" w:eastAsia="宋体" w:hint="default"/>
        </w:rPr>
        <w:t>15%</w:t>
      </w:r>
      <w:r>
        <w:rPr/>
        <w:t>。</w:t>
      </w:r>
    </w:p>
    <w:p>
      <w:pPr>
        <w:pStyle w:val="BodyText"/>
        <w:spacing w:line="408" w:lineRule="auto"/>
        <w:ind w:right="1126" w:firstLine="420"/>
        <w:jc w:val="left"/>
        <w:rPr>
          <w:rFonts w:ascii="宋体" w:hAnsi="宋体" w:cs="宋体" w:eastAsia="宋体" w:hint="default"/>
        </w:rPr>
      </w:pPr>
      <w:r>
        <w:rPr>
          <w:spacing w:val="-2"/>
        </w:rPr>
        <w:t>⑧本公司的全资子公司长春继珩精密光学技术有限公司</w:t>
      </w:r>
      <w:r>
        <w:rPr>
          <w:rFonts w:ascii="宋体" w:hAnsi="宋体" w:cs="宋体" w:eastAsia="宋体" w:hint="default"/>
          <w:spacing w:val="-2"/>
        </w:rPr>
        <w:t>2018</w:t>
      </w:r>
      <w:r>
        <w:rPr>
          <w:spacing w:val="-2"/>
        </w:rPr>
        <w:t>年提交高新技术企业认定资料，并通过了</w:t>
      </w:r>
      <w:r>
        <w:rPr>
          <w:w w:val="100"/>
        </w:rPr>
        <w:t> </w:t>
      </w:r>
      <w:r>
        <w:rPr>
          <w:rFonts w:ascii="宋体" w:hAnsi="宋体" w:cs="宋体" w:eastAsia="宋体" w:hint="default"/>
          <w:spacing w:val="-5"/>
        </w:rPr>
        <w:t>2018</w:t>
      </w:r>
      <w:r>
        <w:rPr>
          <w:spacing w:val="-5"/>
        </w:rPr>
        <w:t>年高新技术企业认定，证书编号：</w:t>
      </w:r>
      <w:r>
        <w:rPr>
          <w:rFonts w:ascii="宋体" w:hAnsi="宋体" w:cs="宋体" w:eastAsia="宋体" w:hint="default"/>
          <w:spacing w:val="-5"/>
        </w:rPr>
        <w:t>GR201822000027</w:t>
      </w:r>
      <w:r>
        <w:rPr>
          <w:spacing w:val="-5"/>
        </w:rPr>
        <w:t>，资格有效期</w:t>
      </w:r>
      <w:r>
        <w:rPr>
          <w:rFonts w:ascii="宋体" w:hAnsi="宋体" w:cs="宋体" w:eastAsia="宋体" w:hint="default"/>
          <w:spacing w:val="-5"/>
        </w:rPr>
        <w:t>3</w:t>
      </w:r>
      <w:r>
        <w:rPr>
          <w:spacing w:val="-5"/>
        </w:rPr>
        <w:t>年，企业所得税优惠期为</w:t>
      </w:r>
      <w:r>
        <w:rPr>
          <w:rFonts w:ascii="宋体" w:hAnsi="宋体" w:cs="宋体" w:eastAsia="宋体" w:hint="default"/>
          <w:spacing w:val="-5"/>
        </w:rPr>
        <w:t>2018</w:t>
      </w:r>
      <w:r>
        <w:rPr>
          <w:spacing w:val="-5"/>
        </w:rPr>
        <w:t>年</w:t>
      </w:r>
      <w:r>
        <w:rPr>
          <w:rFonts w:ascii="宋体" w:hAnsi="宋体" w:cs="宋体" w:eastAsia="宋体" w:hint="default"/>
          <w:spacing w:val="-5"/>
        </w:rPr>
        <w:t>-2020</w:t>
      </w:r>
    </w:p>
    <w:p>
      <w:pPr>
        <w:spacing w:after="0" w:line="408" w:lineRule="auto"/>
        <w:jc w:val="left"/>
        <w:rPr>
          <w:rFonts w:ascii="宋体" w:hAnsi="宋体" w:cs="宋体" w:eastAsia="宋体" w:hint="default"/>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92"/>
        <w:jc w:val="left"/>
      </w:pPr>
      <w:r>
        <w:rPr/>
        <w:t>年。</w:t>
      </w:r>
    </w:p>
    <w:p>
      <w:pPr>
        <w:spacing w:line="240" w:lineRule="auto" w:before="12"/>
        <w:rPr>
          <w:rFonts w:ascii="宋体" w:hAnsi="宋体" w:cs="宋体" w:eastAsia="宋体" w:hint="default"/>
          <w:sz w:val="29"/>
          <w:szCs w:val="29"/>
        </w:rPr>
      </w:pPr>
    </w:p>
    <w:p>
      <w:pPr>
        <w:pStyle w:val="Heading2"/>
        <w:spacing w:line="240" w:lineRule="auto"/>
        <w:ind w:right="992"/>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25,152.49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175,937,592.05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143,979,891.95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3,569,749.70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178,881,996.01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147,574,794.14</w:t>
            </w:r>
          </w:p>
        </w:tc>
      </w:tr>
    </w:tbl>
    <w:p>
      <w:pPr>
        <w:pStyle w:val="BodyText"/>
        <w:spacing w:line="240" w:lineRule="auto" w:before="64"/>
        <w:ind w:left="573" w:right="992"/>
        <w:jc w:val="left"/>
      </w:pPr>
      <w:r>
        <w:rPr/>
        <w:t>其他说明：</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1</w:t>
      </w:r>
      <w:r>
        <w:rPr/>
        <w:t>）其他货币资金期末金额</w:t>
      </w:r>
      <w:r>
        <w:rPr>
          <w:rFonts w:ascii="宋体" w:hAnsi="宋体" w:cs="宋体" w:eastAsia="宋体" w:hint="default"/>
        </w:rPr>
        <w:t>2,889,000.00</w:t>
      </w:r>
      <w:r>
        <w:rPr/>
        <w:t>元，系本公司为保证合同的履行向银行存入的履约保函金。</w:t>
      </w:r>
    </w:p>
    <w:p>
      <w:pPr>
        <w:spacing w:line="240" w:lineRule="auto" w:before="10"/>
        <w:rPr>
          <w:rFonts w:ascii="宋体" w:hAnsi="宋体" w:cs="宋体" w:eastAsia="宋体" w:hint="default"/>
          <w:sz w:val="14"/>
          <w:szCs w:val="14"/>
        </w:rPr>
      </w:pPr>
    </w:p>
    <w:p>
      <w:pPr>
        <w:pStyle w:val="BodyText"/>
        <w:spacing w:line="408" w:lineRule="auto" w:before="0"/>
        <w:ind w:right="992" w:firstLine="420"/>
        <w:jc w:val="left"/>
      </w:pPr>
      <w:r>
        <w:rPr>
          <w:spacing w:val="-2"/>
        </w:rPr>
        <w:t>（</w:t>
      </w:r>
      <w:r>
        <w:rPr>
          <w:rFonts w:ascii="宋体" w:hAnsi="宋体" w:cs="宋体" w:eastAsia="宋体" w:hint="default"/>
          <w:spacing w:val="-2"/>
        </w:rPr>
        <w:t>2</w:t>
      </w:r>
      <w:r>
        <w:rPr>
          <w:spacing w:val="-2"/>
        </w:rPr>
        <w:t>）其他货币资金期初余额</w:t>
      </w:r>
      <w:r>
        <w:rPr>
          <w:rFonts w:ascii="宋体" w:hAnsi="宋体" w:cs="宋体" w:eastAsia="宋体" w:hint="default"/>
          <w:spacing w:val="-2"/>
        </w:rPr>
        <w:t>3,569,749.70</w:t>
      </w:r>
      <w:r>
        <w:rPr>
          <w:spacing w:val="-2"/>
        </w:rPr>
        <w:t>元，系本公司为保证合同的履行向银行存入的履约保函金</w:t>
      </w:r>
      <w:r>
        <w:rPr>
          <w:w w:val="100"/>
        </w:rPr>
        <w:t> </w:t>
      </w:r>
      <w:r>
        <w:rPr>
          <w:rFonts w:ascii="宋体" w:hAnsi="宋体" w:cs="宋体" w:eastAsia="宋体" w:hint="default"/>
        </w:rPr>
        <w:t>3,186,835.17</w:t>
      </w:r>
      <w:r>
        <w:rPr/>
        <w:t>元，银行承兑汇票保证金</w:t>
      </w:r>
      <w:r>
        <w:rPr>
          <w:rFonts w:ascii="宋体" w:hAnsi="宋体" w:cs="宋体" w:eastAsia="宋体" w:hint="default"/>
        </w:rPr>
        <w:t>382,914.53</w:t>
      </w:r>
      <w:r>
        <w:rPr/>
        <w:t>元；</w:t>
      </w:r>
    </w:p>
    <w:p>
      <w:pPr>
        <w:pStyle w:val="BodyText"/>
        <w:spacing w:line="240" w:lineRule="auto"/>
        <w:ind w:left="573" w:right="992"/>
        <w:jc w:val="left"/>
      </w:pPr>
      <w:r>
        <w:rPr/>
        <w:t>（</w:t>
      </w:r>
      <w:r>
        <w:rPr>
          <w:rFonts w:ascii="宋体" w:hAnsi="宋体" w:cs="宋体" w:eastAsia="宋体" w:hint="default"/>
        </w:rPr>
        <w:t>3</w:t>
      </w:r>
      <w:r>
        <w:rPr/>
        <w:t>）期末银行存款中含应收利息</w:t>
      </w:r>
      <w:r>
        <w:rPr>
          <w:rFonts w:ascii="宋体" w:hAnsi="宋体" w:cs="宋体" w:eastAsia="宋体" w:hint="default"/>
        </w:rPr>
        <w:t>82,322.42</w:t>
      </w:r>
      <w:r>
        <w:rPr/>
        <w:t>元。</w:t>
      </w:r>
    </w:p>
    <w:p>
      <w:pPr>
        <w:spacing w:line="240" w:lineRule="auto" w:before="0"/>
        <w:rPr>
          <w:rFonts w:ascii="宋体" w:hAnsi="宋体" w:cs="宋体" w:eastAsia="宋体" w:hint="default"/>
          <w:sz w:val="20"/>
          <w:szCs w:val="20"/>
        </w:rPr>
      </w:pPr>
    </w:p>
    <w:p>
      <w:pPr>
        <w:pStyle w:val="Heading4"/>
        <w:spacing w:line="240" w:lineRule="auto" w:before="154"/>
        <w:ind w:left="135" w:right="8958"/>
        <w:jc w:val="center"/>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188,968,560.45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188,968,560.45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188,968,560.45</w:t>
            </w:r>
          </w:p>
        </w:tc>
      </w:tr>
    </w:tbl>
    <w:p>
      <w:pPr>
        <w:pStyle w:val="BodyText"/>
        <w:spacing w:line="240" w:lineRule="auto" w:before="64"/>
        <w:ind w:left="573" w:right="992"/>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55"/>
        <w:ind w:right="992"/>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96,662,683.03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36,545,472.10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129,394,146.44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105,360,000.00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226,056,829.47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141,905,472.10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931"/>
        <w:gridCol w:w="797"/>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226,850,</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807.31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793,977.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226,056,8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29.47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141,905,4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141,905,4</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72.10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97,002,1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90.71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42.76%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339,507.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96,662,68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3.03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36,545,47</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25.75%</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36,545,47</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2.10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129,848,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616.60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57.24%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454,470.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129,394,1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46.44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105,360,0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74.25%</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105,360,0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226,850,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807.31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793,977.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226,056,8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29.47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141,905,4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141,905,4</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72.10</w:t>
            </w:r>
          </w:p>
        </w:tc>
      </w:tr>
    </w:tbl>
    <w:p>
      <w:pPr>
        <w:pStyle w:val="BodyText"/>
        <w:spacing w:line="240" w:lineRule="auto" w:before="64"/>
        <w:ind w:left="573" w:right="992"/>
        <w:jc w:val="left"/>
      </w:pPr>
      <w:r>
        <w:rPr/>
        <w:t>按组合计提坏账准备：商业承兑汇票</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出票人类型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129,848,616.60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454,470.16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129,848,616.60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454,470.16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3" w:right="992"/>
        <w:jc w:val="left"/>
      </w:pPr>
      <w:r>
        <w:rPr/>
        <w:t>按组合计提坏账准备：银行承兑汇票</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出票人类型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97,002,190.71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339,507.68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97,002,190.71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339,507.68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10" w:lineRule="auto" w:before="64"/>
        <w:ind w:right="992" w:firstLine="420"/>
        <w:jc w:val="left"/>
      </w:pPr>
      <w:r>
        <w:rPr>
          <w:spacing w:val="-2"/>
        </w:rPr>
        <w:t>如是按照预期信用损失一般模型计提应收票据坏账准备，请参照其他应收款的披露方式披露坏账准备</w:t>
      </w:r>
      <w:r>
        <w:rPr>
          <w:w w:val="100"/>
        </w:rPr>
        <w:t> </w:t>
      </w:r>
      <w:r>
        <w:rPr/>
        <w:t>的相关信息：□ 适用 √</w:t>
      </w:r>
      <w:r>
        <w:rPr>
          <w:spacing w:val="-1"/>
        </w:rPr>
        <w:t> </w:t>
      </w:r>
      <w:r>
        <w:rPr/>
        <w:t>不适用</w:t>
      </w:r>
    </w:p>
    <w:p>
      <w:pPr>
        <w:spacing w:line="240" w:lineRule="auto" w:before="6"/>
        <w:rPr>
          <w:rFonts w:ascii="宋体" w:hAnsi="宋体" w:cs="宋体" w:eastAsia="宋体" w:hint="default"/>
          <w:sz w:val="20"/>
          <w:szCs w:val="20"/>
        </w:rPr>
      </w:pPr>
    </w:p>
    <w:p>
      <w:pPr>
        <w:spacing w:line="571" w:lineRule="auto" w:before="0"/>
        <w:ind w:left="573" w:right="4608"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本期计提坏账准备情况：</w:t>
      </w:r>
    </w:p>
    <w:p>
      <w:pPr>
        <w:spacing w:after="0" w:line="571"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6"/>
        <w:gridCol w:w="1369"/>
        <w:gridCol w:w="1366"/>
        <w:gridCol w:w="1368"/>
        <w:gridCol w:w="1366"/>
        <w:gridCol w:w="1369"/>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应收票据坏账准备</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793,977.84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793,977.84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793,977.84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793,977.84</w:t>
            </w:r>
          </w:p>
        </w:tc>
      </w:tr>
    </w:tbl>
    <w:p>
      <w:pPr>
        <w:pStyle w:val="BodyText"/>
        <w:spacing w:line="240" w:lineRule="auto" w:before="64"/>
        <w:ind w:left="573" w:right="992"/>
        <w:jc w:val="left"/>
      </w:pPr>
      <w:r>
        <w:rPr/>
        <w:t>其中本期坏账准备收回或转回金额重要的：□ 适用 √</w:t>
      </w:r>
      <w:r>
        <w:rPr>
          <w:spacing w:val="-3"/>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29,511,300.88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15,512,270.00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22,342,000.00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29,511,300.88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37,854,270.00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6"/>
        <w:gridCol w:w="797"/>
        <w:gridCol w:w="799"/>
        <w:gridCol w:w="790"/>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河北天进测控技术 有限公司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245,014,</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701.92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38,849,3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206,165,3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384,997,5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99.59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61,671,06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16.02%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323,326,53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应收军工或军品合 作单位客户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21,627,7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91.16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301,638.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21,326,15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2.41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78,574,27</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7.86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4,111,687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74,462,590.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应收国有企业客户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156,171,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483.47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26,858,4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129,313,0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78.79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221,062,7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44,973,27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176,089,47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8.39</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应收其他客户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67,215,4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27.29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11,689,3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07.65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55,526,11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9.64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85,360,56</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12,586,10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72,774,461.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245,114,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701.92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38,949,3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206,165,3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384,997,5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99.59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61,671,06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323,326,53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0.24</w:t>
            </w:r>
          </w:p>
        </w:tc>
      </w:tr>
    </w:tbl>
    <w:p>
      <w:pPr>
        <w:pStyle w:val="BodyText"/>
        <w:spacing w:line="240" w:lineRule="auto" w:before="64"/>
        <w:ind w:left="573" w:right="992"/>
        <w:jc w:val="left"/>
      </w:pPr>
      <w:r>
        <w:rPr/>
        <w:t>按单项计提坏账准备：河北天进测控技术有限公司</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913"/>
        <w:gridCol w:w="1916"/>
      </w:tblGrid>
      <w:tr>
        <w:trPr>
          <w:trHeight w:val="403"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河北天进测控技术有限公司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票据已到期未承兑</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3" w:right="992"/>
        <w:jc w:val="left"/>
      </w:pPr>
      <w:r>
        <w:rPr/>
        <w:t>按组合计提坏账准备：应收军工或军品合作单位客户</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19,766,195.82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37,716.25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2,508.56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37,318.60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155,095.34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21,627,791.16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301,638.75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3" w:right="992"/>
        <w:jc w:val="left"/>
      </w:pPr>
      <w:r>
        <w:rPr/>
        <w:t>按组合计提坏账准备：应收国有企业客户</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87,110,052.61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4,477,096.82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32,372,967.61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4,326,786.32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23,862,432.66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6,215,502.57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26.05%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1,765,562.50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1,091,697.74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61.83%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3,504,794.39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3,191,647.53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7,555,673.70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7,555,673.70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156,171,483.47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26,858,404.68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3" w:right="992"/>
        <w:jc w:val="left"/>
      </w:pPr>
      <w:r>
        <w:rPr/>
        <w:t>按组合计提坏账准备：应收其他客户</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42,204,859.53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3,570,373.89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17,598,234.42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2,947,283.29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1,571,638.30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551,144.79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2,804,224.47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1,592,377.81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56.78%</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319,966.00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311,623.30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97.39%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2,716,504.57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2,716,504.57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67,215,427.29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11,689,307.65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08" w:lineRule="auto" w:before="64"/>
        <w:ind w:right="992" w:firstLine="420"/>
        <w:jc w:val="left"/>
      </w:pPr>
      <w:r>
        <w:rPr>
          <w:spacing w:val="-2"/>
        </w:rPr>
        <w:t>如是按照预期信用损失一般模型计提应收账款坏账准备，请参照其他应收款的披露方式披露坏账准备</w:t>
      </w:r>
      <w:r>
        <w:rPr>
          <w:w w:val="100"/>
        </w:rPr>
        <w:t> </w:t>
      </w:r>
      <w:r>
        <w:rPr/>
        <w:t>的相关信息：□ 适用 √</w:t>
      </w:r>
      <w:r>
        <w:rPr>
          <w:spacing w:val="-1"/>
        </w:rPr>
        <w:t> </w:t>
      </w:r>
      <w:r>
        <w:rPr/>
        <w:t>不适用</w:t>
      </w:r>
    </w:p>
    <w:p>
      <w:pPr>
        <w:pStyle w:val="BodyText"/>
        <w:spacing w:line="240" w:lineRule="auto"/>
        <w:ind w:left="573" w:right="992"/>
        <w:jc w:val="left"/>
      </w:pPr>
      <w:r>
        <w:rPr/>
        <w:t>按账龄披露</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149,081,107.96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50,217,702.03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26,925,070.96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18,890,820.97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4,724,882.31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3,824,760.39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10,341,178.27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245,114,701.92</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992"/>
        <w:jc w:val="left"/>
      </w:pPr>
      <w:r>
        <w:rPr/>
        <w:t>本期计提坏账准备情况：</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61,671,069.35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-22,721,718.27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38,949,351.08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61,671,069.35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-22,721,718.27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38,949,351.08</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92" w:firstLine="420"/>
        <w:jc w:val="left"/>
      </w:pPr>
      <w:r>
        <w:rPr>
          <w:spacing w:val="-2"/>
        </w:rPr>
        <w:t>本期按欠款方归集的期末余额前五名应收账款汇总金额</w:t>
      </w:r>
      <w:r>
        <w:rPr>
          <w:rFonts w:ascii="宋体" w:hAnsi="宋体" w:cs="宋体" w:eastAsia="宋体" w:hint="default"/>
          <w:spacing w:val="-2"/>
        </w:rPr>
        <w:t>72,108,920.57</w:t>
      </w:r>
      <w:r>
        <w:rPr>
          <w:spacing w:val="-2"/>
        </w:rPr>
        <w:t>元，占应收账款期末余额合计</w:t>
      </w:r>
      <w:r>
        <w:rPr>
          <w:w w:val="100"/>
        </w:rPr>
        <w:t> </w:t>
      </w:r>
      <w:r>
        <w:rPr/>
        <w:t>数的比例</w:t>
      </w:r>
      <w:r>
        <w:rPr>
          <w:rFonts w:ascii="宋体" w:hAnsi="宋体" w:cs="宋体" w:eastAsia="宋体" w:hint="default"/>
        </w:rPr>
        <w:t>29.42%</w:t>
      </w:r>
      <w:r>
        <w:rPr/>
        <w:t>，相应计提的坏账准备期末余额汇总金额</w:t>
      </w:r>
      <w:r>
        <w:rPr>
          <w:rFonts w:ascii="宋体" w:hAnsi="宋体" w:cs="宋体" w:eastAsia="宋体" w:hint="default"/>
        </w:rPr>
        <w:t>7,633,494.79</w:t>
      </w:r>
      <w:r>
        <w:rPr/>
        <w:t>元。</w:t>
      </w:r>
    </w:p>
    <w:p>
      <w:pPr>
        <w:spacing w:line="240" w:lineRule="auto" w:before="8"/>
        <w:rPr>
          <w:rFonts w:ascii="宋体" w:hAnsi="宋体" w:cs="宋体" w:eastAsia="宋体" w:hint="default"/>
          <w:sz w:val="20"/>
          <w:szCs w:val="20"/>
        </w:rPr>
      </w:pPr>
    </w:p>
    <w:p>
      <w:pPr>
        <w:pStyle w:val="Heading4"/>
        <w:spacing w:line="240" w:lineRule="auto"/>
        <w:ind w:right="992"/>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2,361,616.99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2,361,616.99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4"/>
        <w:ind w:left="573" w:right="992"/>
        <w:jc w:val="left"/>
      </w:pPr>
      <w:r>
        <w:rPr/>
        <w:t>应收款项融资本期增减变动及公允价值变动情况：□ 适用 √</w:t>
      </w:r>
      <w:r>
        <w:rPr>
          <w:spacing w:val="-2"/>
        </w:rPr>
        <w:t> </w:t>
      </w:r>
      <w:r>
        <w:rPr/>
        <w:t>不适用</w:t>
      </w:r>
      <w:r>
        <w:rPr>
          <w:w w:val="100"/>
        </w:rPr>
        <w:t> </w:t>
      </w:r>
      <w:r>
        <w:rPr>
          <w:spacing w:val="-2"/>
        </w:rPr>
        <w:t>如是按照预期信用损失一般模型计提应收款项融资减值准备，请参照其他应收款的披露方式披露减值</w:t>
      </w:r>
    </w:p>
    <w:p>
      <w:pPr>
        <w:pStyle w:val="BodyText"/>
        <w:spacing w:line="240" w:lineRule="auto"/>
        <w:ind w:right="992"/>
        <w:jc w:val="left"/>
      </w:pPr>
      <w:r>
        <w:rPr/>
        <w:t>准备的相关信息：□ 适用 √</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9,919,327.42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9,299,047.30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73.54%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1,943,454.89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3,345,526.61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11,862,782.31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12,644,573.91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3" w:right="992"/>
        <w:jc w:val="left"/>
      </w:pPr>
      <w:r>
        <w:rPr/>
        <w:t>账龄超过</w:t>
      </w:r>
      <w:r>
        <w:rPr>
          <w:rFonts w:ascii="宋体" w:hAnsi="宋体" w:cs="宋体" w:eastAsia="宋体" w:hint="default"/>
        </w:rPr>
        <w:t>1</w:t>
      </w:r>
      <w:r>
        <w:rPr/>
        <w:t>年且金额重要的预付款项未及时结算原因的说明：不适用</w:t>
      </w:r>
    </w:p>
    <w:p>
      <w:pPr>
        <w:spacing w:line="670" w:lineRule="atLeast" w:before="37"/>
        <w:ind w:left="573" w:right="99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本期按预付对象归集的期末余额前五名预付款项汇总金额</w:t>
      </w:r>
      <w:r>
        <w:rPr>
          <w:rFonts w:ascii="宋体" w:hAnsi="宋体" w:cs="宋体" w:eastAsia="宋体" w:hint="default"/>
          <w:spacing w:val="-2"/>
          <w:sz w:val="21"/>
          <w:szCs w:val="21"/>
        </w:rPr>
        <w:t>6,639,284.06</w:t>
      </w:r>
      <w:r>
        <w:rPr>
          <w:rFonts w:ascii="宋体" w:hAnsi="宋体" w:cs="宋体" w:eastAsia="宋体" w:hint="default"/>
          <w:spacing w:val="-2"/>
          <w:sz w:val="21"/>
          <w:szCs w:val="21"/>
        </w:rPr>
        <w:t>元，占预付款项期末余额合计</w:t>
      </w:r>
    </w:p>
    <w:p>
      <w:pPr>
        <w:spacing w:line="240" w:lineRule="auto" w:before="10"/>
        <w:rPr>
          <w:rFonts w:ascii="宋体" w:hAnsi="宋体" w:cs="宋体" w:eastAsia="宋体" w:hint="default"/>
          <w:sz w:val="14"/>
          <w:szCs w:val="14"/>
        </w:rPr>
      </w:pPr>
    </w:p>
    <w:p>
      <w:pPr>
        <w:pStyle w:val="BodyText"/>
        <w:spacing w:line="240" w:lineRule="auto" w:before="0"/>
        <w:ind w:right="992"/>
        <w:jc w:val="left"/>
      </w:pPr>
      <w:r>
        <w:rPr/>
        <w:t>数的比例</w:t>
      </w:r>
      <w:r>
        <w:rPr>
          <w:rFonts w:ascii="宋体" w:hAnsi="宋体" w:cs="宋体" w:eastAsia="宋体" w:hint="default"/>
        </w:rPr>
        <w:t>55.97%</w:t>
      </w:r>
      <w:r>
        <w:rPr/>
        <w:t>。</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83,461,269.27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84,738,448.55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83,461,269.27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84,738,448.55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1,978,594.26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2,177,380.38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6,833,145.49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3,878,403.48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70,982,769.64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75,690,293.83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5,045,039.49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1,806,911.79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87,839,548.88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86,552,989.48</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1,814,540.93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1,814,540.93</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2,563,738.68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2,563,738.68</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4,378,279.61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4,378,279.61</w:t>
            </w:r>
          </w:p>
        </w:tc>
      </w:tr>
    </w:tbl>
    <w:p>
      <w:pPr>
        <w:pStyle w:val="BodyText"/>
        <w:spacing w:line="408" w:lineRule="auto" w:before="64"/>
        <w:ind w:left="573" w:right="3931"/>
        <w:jc w:val="left"/>
      </w:pPr>
      <w:r>
        <w:rPr/>
        <w:t>损失准备本期变动金额重大的账面余额变动情况：□ 适用 √</w:t>
      </w:r>
      <w:r>
        <w:rPr>
          <w:spacing w:val="-3"/>
        </w:rPr>
        <w:t> </w:t>
      </w:r>
      <w:r>
        <w:rPr/>
        <w:t>不适用</w:t>
      </w:r>
      <w:r>
        <w:rPr>
          <w:w w:val="100"/>
        </w:rPr>
        <w:t> </w:t>
      </w:r>
      <w:r>
        <w:rPr/>
        <w:t>按账龄披露</w:t>
      </w:r>
    </w:p>
    <w:p>
      <w:pPr>
        <w:spacing w:before="3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38,416,826.17</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44,562,788.48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3,315,407.69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1,544,526.54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714,893.80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249,512.47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580,120.27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87,839,548.88</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本期计提坏账准备情况：</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1,814,540.93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2,563,738.68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4,378,279.61</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1,814,540.93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2,563,738.68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4,378,279.61</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长春市高新区国税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69,870,882.28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944,235.88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尤洛卡（山东）特高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压电气有限公司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太原天成雅饰装饰 工程有限公司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1,083,629.70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北京巨点众思科技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21,410.03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北京市丰台区国家 税务局第五税务所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708,858.40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7,797.44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77,709,740.68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2,237,073.05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2624"/>
        <w:gridCol w:w="1205"/>
        <w:gridCol w:w="1913"/>
        <w:gridCol w:w="1918"/>
      </w:tblGrid>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长春市高新区国税局</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增值税退税款及附加税退税款</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69,870,882.28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不定期返还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北京市丰台区国家税务 局第五税务所</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708,858.40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月已收回</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2624"/>
        <w:gridCol w:w="1205"/>
        <w:gridCol w:w="1913"/>
        <w:gridCol w:w="1918"/>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北京海淀区国家税务局 第七税务所</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307,285.17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泰安市高新区国税局</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47,893.81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成都市国税局</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47,849.98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是否已执行新收入准则：□ 是 √</w:t>
      </w:r>
      <w:r>
        <w:rPr>
          <w:spacing w:val="-1"/>
        </w:rPr>
        <w:t> </w:t>
      </w:r>
      <w:r>
        <w:rPr/>
        <w:t>否</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9"/>
        <w:gridCol w:w="1366"/>
        <w:gridCol w:w="1368"/>
        <w:gridCol w:w="1366"/>
        <w:gridCol w:w="1369"/>
      </w:tblGrid>
      <w:tr>
        <w:trPr>
          <w:trHeight w:val="207"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71,487,924.55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8,072.91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71,479,851.64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46,585,046.48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46,585,046.48</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37,025,693.45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37,025,693.45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15,729,568.75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15,729,568.75</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37,405,945.72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999,216.80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36,406,728.92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22,581,987.39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169,999.30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22,411,988.09</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47,135,623.28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72,779.90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47,062,843.38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24,737,990.83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937,667.56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23,800,323.27</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2,661,364.96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2,661,364.96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2,541,266.44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2,541,266.44</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195,716,551.96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1,080,069.61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194,636,482.35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112,175,859.89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1,107,666.86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111,068,193.03</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8,072.91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8,072.91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169,999.30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829,217.50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999,216.80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937,667.56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837,290.41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72,779.90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1,107,666.86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837,290.41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837,290.41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1,080,069.61</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是否已执行新收入准则：□ 是 √</w:t>
      </w:r>
      <w:r>
        <w:rPr>
          <w:spacing w:val="-1"/>
        </w:rPr>
        <w:t> </w:t>
      </w:r>
      <w:r>
        <w:rPr/>
        <w:t>否</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6,926,852.46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2,400,013.02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32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62,336.17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预付房租及网络费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446,860.98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1,148,596.93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423,963.20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7,858,109.25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3,610,946.12</w:t>
            </w:r>
          </w:p>
        </w:tc>
      </w:tr>
    </w:tbl>
    <w:p>
      <w:pPr>
        <w:spacing w:line="240" w:lineRule="auto" w:before="3"/>
        <w:rPr>
          <w:rFonts w:ascii="宋体" w:hAnsi="宋体" w:cs="宋体" w:eastAsia="宋体" w:hint="default"/>
          <w:sz w:val="19"/>
          <w:szCs w:val="19"/>
        </w:rPr>
      </w:pPr>
    </w:p>
    <w:p>
      <w:pPr>
        <w:pStyle w:val="Heading4"/>
        <w:spacing w:line="240" w:lineRule="auto" w:before="36"/>
        <w:ind w:left="332"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258"/>
        <w:gridCol w:w="1135"/>
        <w:gridCol w:w="1133"/>
        <w:gridCol w:w="283"/>
        <w:gridCol w:w="1097"/>
        <w:gridCol w:w="569"/>
        <w:gridCol w:w="425"/>
        <w:gridCol w:w="708"/>
        <w:gridCol w:w="566"/>
        <w:gridCol w:w="1135"/>
        <w:gridCol w:w="1133"/>
        <w:gridCol w:w="641"/>
      </w:tblGrid>
      <w:tr>
        <w:trPr>
          <w:trHeight w:val="402" w:hRule="exact"/>
        </w:trPr>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00" w:lineRule="auto"/>
              <w:ind w:left="261" w:right="8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91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00" w:lineRule="auto"/>
              <w:ind w:left="262" w:right="79"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1258"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3"/>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4"/>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08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08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2"/>
              <w:jc w:val="both"/>
              <w:rPr>
                <w:rFonts w:ascii="宋体" w:hAnsi="宋体" w:cs="宋体" w:eastAsia="宋体" w:hint="default"/>
                <w:sz w:val="18"/>
                <w:szCs w:val="18"/>
              </w:rPr>
            </w:pPr>
            <w:r>
              <w:rPr>
                <w:rFonts w:ascii="宋体" w:hAnsi="宋体" w:cs="宋体" w:eastAsia="宋体" w:hint="default"/>
                <w:sz w:val="18"/>
                <w:szCs w:val="18"/>
              </w:rPr>
              <w:t>西安鲁信股权 投资管理有限 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821,922.96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-11,633.49</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810,289.47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尤洛卡（山东） 特高压电气有 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56.2pt;height:15.6pt;mso-position-horizontal-relative:char;mso-position-vertical-relative:line" coordorigin="0,0" coordsize="1124,312">
                  <v:group style="position:absolute;left:0;top:0;width:1124;height:312" coordorigin="0,0" coordsize="1124,312">
                    <v:shape style="position:absolute;left:0;top:0;width:1124;height:312" coordorigin="0,0" coordsize="1124,312" path="m0,312l1123,312,1123,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1,238,254.60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-579,128.24</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659,126.36</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北京普链信息 技术有限公司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-569,180.81</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430,819.19</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南京恒天领锐 汽车有限公司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2,060,177.56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50,000,000.00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-1,159,942.54</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center"/>
              <w:rPr>
                <w:rFonts w:ascii="Times New Roman" w:hAnsi="Times New Roman" w:cs="Times New Roman" w:eastAsia="Times New Roman" w:hint="default"/>
                <w:sz w:val="18"/>
                <w:szCs w:val="18"/>
              </w:rPr>
            </w:pPr>
            <w:r>
              <w:rPr>
                <w:rFonts w:ascii="Times New Roman"/>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51,900,235.02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2,060,177.56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50,000,000.00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-1,159,942.54</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51,900,235.02</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386" w:lineRule="auto" w:before="36"/>
        <w:ind w:left="332" w:right="1150" w:firstLine="420"/>
        <w:jc w:val="both"/>
      </w:pPr>
      <w:r>
        <w:rPr/>
        <w:t>其他说明：</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月，公司、南京润科产业投资有限公司与恒天领锐股东签署投资协议，公司增</w:t>
      </w:r>
      <w:r>
        <w:rPr>
          <w:w w:val="100"/>
        </w:rPr>
        <w:t> </w:t>
      </w:r>
      <w:r>
        <w:rPr/>
        <w:t>资</w:t>
      </w:r>
      <w:r>
        <w:rPr>
          <w:spacing w:val="-55"/>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4"/>
        </w:rPr>
        <w:t> </w:t>
      </w:r>
      <w:r>
        <w:rPr/>
        <w:t>万元，持股比例</w:t>
      </w:r>
      <w:r>
        <w:rPr>
          <w:spacing w:val="-56"/>
        </w:rPr>
        <w:t> </w:t>
      </w:r>
      <w:r>
        <w:rPr>
          <w:rFonts w:ascii="Times New Roman" w:hAnsi="Times New Roman" w:cs="Times New Roman" w:eastAsia="Times New Roman" w:hint="default"/>
        </w:rPr>
        <w:t>12.50%</w:t>
      </w:r>
      <w:r>
        <w:rPr/>
        <w:t>，参与恒天领锐计划实施的新能源动力及控制系统研发、生产及销售</w:t>
      </w:r>
      <w:r>
        <w:rPr>
          <w:w w:val="100"/>
        </w:rPr>
        <w:t> </w:t>
      </w:r>
      <w:r>
        <w:rPr/>
        <w:t>项目，于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月支付</w:t>
      </w:r>
      <w:r>
        <w:rPr>
          <w:spacing w:val="-54"/>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0"/>
        </w:rPr>
        <w:t> </w:t>
      </w:r>
      <w:r>
        <w:rPr/>
        <w:t>万元。</w:t>
      </w:r>
    </w:p>
    <w:p>
      <w:pPr>
        <w:spacing w:line="240" w:lineRule="auto" w:before="10"/>
        <w:rPr>
          <w:rFonts w:ascii="宋体" w:hAnsi="宋体" w:cs="宋体" w:eastAsia="宋体" w:hint="default"/>
          <w:sz w:val="19"/>
          <w:szCs w:val="19"/>
        </w:rPr>
      </w:pPr>
    </w:p>
    <w:p>
      <w:pPr>
        <w:pStyle w:val="Heading4"/>
        <w:spacing w:line="240" w:lineRule="auto"/>
        <w:ind w:left="332" w:right="0"/>
        <w:jc w:val="left"/>
        <w:rPr>
          <w:b w:val="0"/>
          <w:bCs w:val="0"/>
        </w:rPr>
      </w:pPr>
      <w:r>
        <w:rPr>
          <w:rFonts w:ascii="Times New Roman" w:hAnsi="Times New Roman" w:cs="Times New Roman" w:eastAsia="Times New Roman" w:hint="default"/>
        </w:rPr>
        <w:t>11</w:t>
      </w:r>
      <w:r>
        <w:rPr/>
        <w:t>、其他非流动金融资产</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27" w:type="dxa"/>
        <w:tblLayout w:type="fixed"/>
        <w:tblCellMar>
          <w:top w:w="0" w:type="dxa"/>
          <w:left w:w="0" w:type="dxa"/>
          <w:bottom w:w="0" w:type="dxa"/>
          <w:right w:w="0" w:type="dxa"/>
        </w:tblCellMar>
        <w:tblLook w:val="01E0"/>
      </w:tblPr>
      <w:tblGrid>
        <w:gridCol w:w="4537"/>
        <w:gridCol w:w="2552"/>
        <w:gridCol w:w="2482"/>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西安鲁信尤洛卡股权投资中心合伙企业（有限合伙）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54,600,000.00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山东奥扬新能源科技股份有限公司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80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537"/>
        <w:gridCol w:w="2552"/>
        <w:gridCol w:w="2482"/>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吉林省建研科技有限责任公司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65,600,000.00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192,306,562.32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197,666,185.67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192,306,562.32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197,666,185.67</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571"/>
        <w:gridCol w:w="1416"/>
        <w:gridCol w:w="1419"/>
        <w:gridCol w:w="1702"/>
        <w:gridCol w:w="1342"/>
      </w:tblGrid>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202,884,427.80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40,394,161.90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39,539,264.86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23,799,433.36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306,617,287.92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4,338,633.46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487,073.78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5,470,154.17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983,127.91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11,278,989.32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487,073.78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5,470,154.17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983,127.91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6,940,355.86</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4,338,633.46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4,338,633.46</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3,684,220.22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3,684,220.22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3,684,220.22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3,684,220.22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207,223,061.26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40,881,235.68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41,325,198.81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24,782,561.27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314,212,057.02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38,680,718.10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22,677,436.36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30,063,463.41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17,529,484.38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108,951,102.25</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7,902,345.47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3,486,746.45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3,065,138.45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1,927,654.21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16,381,884.58</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7,902,345.47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3,486,746.45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3,065,138.45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1,927,654.21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16,381,884.58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3,427,492.13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3,427,492.13</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3,427,492.13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3,427,492.13</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46,583,063.57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26,164,182.81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29,701,109.73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19,457,138.59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121,905,494.70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561"/>
        <w:gridCol w:w="1416"/>
        <w:gridCol w:w="1419"/>
        <w:gridCol w:w="1702"/>
        <w:gridCol w:w="1342"/>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160,639,997.69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14,717,052.87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11,624,089.08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5,325,422.68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192,306,562.32</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164,203,709.70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17,716,725.54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9,475,801.45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6,269,948.98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197,666,185.67</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机加工车间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34,509,958.48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仪表车间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22,406,184.41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国家工程技术研究中心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10,580,571.65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国家级技术交流中心办公楼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34,873,054.78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481,680.22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3"/>
        <w:rPr>
          <w:rFonts w:ascii="宋体" w:hAnsi="宋体" w:cs="宋体" w:eastAsia="宋体" w:hint="default"/>
          <w:sz w:val="19"/>
          <w:szCs w:val="19"/>
        </w:rPr>
      </w:pPr>
    </w:p>
    <w:p>
      <w:pPr>
        <w:pStyle w:val="Heading4"/>
        <w:spacing w:line="506" w:lineRule="auto" w:before="36"/>
        <w:ind w:right="9489"/>
        <w:jc w:val="left"/>
        <w:rPr>
          <w:b w:val="0"/>
          <w:bCs w:val="0"/>
        </w:rPr>
      </w:pPr>
      <w:r>
        <w:rPr>
          <w:rFonts w:ascii="Times New Roman" w:hAnsi="Times New Roman" w:cs="Times New Roman" w:eastAsia="Times New Roman" w:hint="default"/>
        </w:rPr>
        <w:t>13</w:t>
      </w:r>
      <w:r>
        <w:rPr/>
        <w:t>、无形资产</w:t>
      </w:r>
      <w:r>
        <w:rPr>
          <w:w w:val="100"/>
        </w:rPr>
        <w:t> </w:t>
      </w:r>
      <w:r>
        <w:rPr/>
        <w:t>无形资产情况</w:t>
      </w:r>
      <w:r>
        <w:rPr>
          <w:b w:val="0"/>
          <w:bCs w:val="0"/>
        </w:rPr>
      </w:r>
    </w:p>
    <w:p>
      <w:pPr>
        <w:spacing w:before="1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288"/>
        <w:gridCol w:w="1274"/>
        <w:gridCol w:w="1136"/>
        <w:gridCol w:w="1133"/>
        <w:gridCol w:w="1116"/>
        <w:gridCol w:w="1366"/>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43,262,590.50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88,963,234.38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5,842,927.75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1,823,157.33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139,891,909.96</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87,169.81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87,169.81</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87,169.81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87,169.81</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118,759.40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118,759.40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43,262,590.50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89,050,404.19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5,842,927.75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1,704,397.93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139,860,320.37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7,932,750.50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33,481,924.76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5,842,927.75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865,989.41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48,123,592.42</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881,161.24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12,933,627.17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14,053,018.55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881,161.24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12,933,627.17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14,053,018.55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7"/>
        <w:gridCol w:w="1277"/>
        <w:gridCol w:w="1274"/>
        <w:gridCol w:w="1136"/>
        <w:gridCol w:w="1133"/>
        <w:gridCol w:w="1116"/>
        <w:gridCol w:w="1366"/>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118,759.40</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118,759.40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118,759.40</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8,813,911.74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46,415,551.93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5,842,927.75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985,460.15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62,057,851.57</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12,728,772.55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12,728,772.55</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12,728,772.55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12,728,772.55</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34,448,678.76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29,906,079.71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718,937.78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65,073,696.25</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35,329,840.00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42,752,537.07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957,167.92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79,039,544.99</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spacing w:val="-2"/>
        </w:rPr>
        <w:t>本期末通过公司内部研发形成的无形资产占无形资产余额的比例</w:t>
      </w:r>
      <w:r>
        <w:rPr>
          <w:spacing w:val="5"/>
        </w:rPr>
        <w:t> </w:t>
      </w:r>
      <w:r>
        <w:rPr>
          <w:rFonts w:ascii="Times New Roman" w:hAnsi="Times New Roman" w:cs="Times New Roman" w:eastAsia="Times New Roman" w:hint="default"/>
          <w:spacing w:val="-1"/>
        </w:rPr>
        <w:t>40.92%</w:t>
      </w:r>
      <w:r>
        <w:rPr>
          <w:spacing w:val="-1"/>
        </w:rPr>
        <w:t>。</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65"/>
        <w:gridCol w:w="1418"/>
        <w:gridCol w:w="1560"/>
        <w:gridCol w:w="708"/>
        <w:gridCol w:w="850"/>
        <w:gridCol w:w="691"/>
        <w:gridCol w:w="1366"/>
      </w:tblGrid>
      <w:tr>
        <w:trPr>
          <w:trHeight w:val="204" w:hRule="exact"/>
        </w:trPr>
        <w:tc>
          <w:tcPr>
            <w:tcW w:w="2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541"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96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91"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512,984,113.56</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512,984,113.56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76,333,896.23</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76,333,896.23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589,318,009.79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589,318,009.79</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65"/>
        <w:gridCol w:w="1418"/>
        <w:gridCol w:w="1560"/>
        <w:gridCol w:w="708"/>
        <w:gridCol w:w="850"/>
        <w:gridCol w:w="691"/>
        <w:gridCol w:w="1366"/>
      </w:tblGrid>
      <w:tr>
        <w:trPr>
          <w:trHeight w:val="206" w:hRule="exact"/>
        </w:trPr>
        <w:tc>
          <w:tcPr>
            <w:tcW w:w="2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541"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96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91"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38,765,282.67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37,568,613.56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76,333,896.23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38,765,282.67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37,568,613.56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76,333,896.23</w:t>
            </w:r>
          </w:p>
        </w:tc>
      </w:tr>
    </w:tbl>
    <w:p>
      <w:pPr>
        <w:spacing w:line="240" w:lineRule="auto" w:before="3"/>
        <w:rPr>
          <w:rFonts w:ascii="宋体" w:hAnsi="宋体" w:cs="宋体" w:eastAsia="宋体" w:hint="default"/>
          <w:sz w:val="5"/>
          <w:szCs w:val="5"/>
        </w:rPr>
      </w:pPr>
    </w:p>
    <w:p>
      <w:pPr>
        <w:pStyle w:val="BodyText"/>
        <w:spacing w:line="441" w:lineRule="auto" w:before="36"/>
        <w:ind w:left="573" w:right="992"/>
        <w:jc w:val="left"/>
      </w:pPr>
      <w:r>
        <w:rPr/>
        <w:t>商誉所在资产组或资产组组合的相关信息</w:t>
      </w:r>
      <w:r>
        <w:rPr>
          <w:w w:val="100"/>
        </w:rPr>
        <w:t> </w:t>
      </w:r>
      <w:r>
        <w:rPr>
          <w:spacing w:val="-2"/>
        </w:rPr>
        <w:t>本集团商誉系</w:t>
      </w:r>
      <w:r>
        <w:rPr>
          <w:rFonts w:ascii="Times New Roman" w:hAnsi="Times New Roman" w:cs="Times New Roman" w:eastAsia="Times New Roman" w:hint="default"/>
          <w:spacing w:val="-2"/>
        </w:rPr>
        <w:t>2013</w:t>
      </w:r>
      <w:r>
        <w:rPr>
          <w:spacing w:val="-2"/>
        </w:rPr>
        <w:t>年度通过非同一控制下企业合并收购北京富华宇祺信息技术有限公司（以下简称</w:t>
      </w:r>
    </w:p>
    <w:p>
      <w:pPr>
        <w:spacing w:after="0" w:line="441"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992"/>
        <w:jc w:val="left"/>
      </w:pPr>
      <w:r>
        <w:rPr>
          <w:rFonts w:ascii="Times New Roman" w:hAnsi="Times New Roman" w:cs="Times New Roman" w:eastAsia="Times New Roman" w:hint="default"/>
          <w:spacing w:val="-4"/>
        </w:rPr>
        <w:t>“</w:t>
      </w:r>
      <w:r>
        <w:rPr>
          <w:spacing w:val="-4"/>
        </w:rPr>
        <w:t>富华宇祺</w:t>
      </w:r>
      <w:r>
        <w:rPr>
          <w:rFonts w:ascii="Times New Roman" w:hAnsi="Times New Roman" w:cs="Times New Roman" w:eastAsia="Times New Roman" w:hint="default"/>
          <w:spacing w:val="-4"/>
        </w:rPr>
        <w:t>”</w:t>
      </w:r>
      <w:r>
        <w:rPr>
          <w:spacing w:val="-4"/>
        </w:rPr>
        <w:t>）以及</w:t>
      </w:r>
      <w:r>
        <w:rPr>
          <w:rFonts w:ascii="Times New Roman" w:hAnsi="Times New Roman" w:cs="Times New Roman" w:eastAsia="Times New Roman" w:hint="default"/>
          <w:spacing w:val="-4"/>
        </w:rPr>
        <w:t>2016</w:t>
      </w:r>
      <w:r>
        <w:rPr>
          <w:spacing w:val="-4"/>
        </w:rPr>
        <w:t>年度通过非同一控制下企业合并收购长春师凯科技产业有限责任公司（以下简称</w:t>
      </w:r>
      <w:r>
        <w:rPr>
          <w:rFonts w:ascii="Times New Roman" w:hAnsi="Times New Roman" w:cs="Times New Roman" w:eastAsia="Times New Roman" w:hint="default"/>
          <w:spacing w:val="-4"/>
        </w:rPr>
        <w:t>“</w:t>
      </w:r>
      <w:r>
        <w:rPr>
          <w:spacing w:val="-4"/>
        </w:rPr>
        <w:t>师</w:t>
      </w:r>
      <w:r>
        <w:rPr>
          <w:spacing w:val="-10"/>
        </w:rPr>
        <w:t> </w:t>
      </w:r>
      <w:r>
        <w:rPr/>
        <w:t>凯科技</w:t>
      </w:r>
      <w:r>
        <w:rPr>
          <w:rFonts w:ascii="Times New Roman" w:hAnsi="Times New Roman" w:cs="Times New Roman" w:eastAsia="Times New Roman" w:hint="default"/>
        </w:rPr>
        <w:t>”</w:t>
      </w:r>
      <w:r>
        <w:rPr/>
        <w:t>），富华宇祺专业从事信息化综合解决方案、工业网络产品、大数据系统集成业务，师凯科技从</w:t>
      </w:r>
      <w:r>
        <w:rPr>
          <w:w w:val="100"/>
        </w:rPr>
        <w:t> </w:t>
      </w:r>
      <w:r>
        <w:rPr/>
        <w:t>事开发、生产、销售光机电产品。</w:t>
      </w:r>
    </w:p>
    <w:p>
      <w:pPr>
        <w:pStyle w:val="BodyText"/>
        <w:spacing w:line="405" w:lineRule="auto" w:before="65"/>
        <w:ind w:right="992" w:firstLine="420"/>
        <w:jc w:val="left"/>
      </w:pPr>
      <w:r>
        <w:rPr>
          <w:spacing w:val="-2"/>
        </w:rPr>
        <w:t>由于上述子公司产生的主要现金流均独立于本公司的其他子公司，且本公司对上述子公司均单独进行</w:t>
      </w:r>
      <w:r>
        <w:rPr>
          <w:w w:val="100"/>
        </w:rPr>
        <w:t> </w:t>
      </w:r>
      <w:r>
        <w:rPr>
          <w:spacing w:val="-2"/>
        </w:rPr>
        <w:t>生产经营活动管理，因此，每个子公司认定为一个资产组，企业合并形成的商誉被分配至相对应的子公司</w:t>
      </w:r>
      <w:r>
        <w:rPr>
          <w:spacing w:val="-43"/>
        </w:rPr>
        <w:t> </w:t>
      </w:r>
      <w:r>
        <w:rPr>
          <w:spacing w:val="-43"/>
        </w:rPr>
      </w:r>
      <w:r>
        <w:rPr>
          <w:spacing w:val="-2"/>
        </w:rPr>
        <w:t>以进行减值测试。本集团采用预计未来现金流现值的方法计算资产组的可收回金额。期末，对每个子公司</w:t>
      </w:r>
      <w:r>
        <w:rPr>
          <w:spacing w:val="-44"/>
        </w:rPr>
        <w:t> </w:t>
      </w:r>
      <w:r>
        <w:rPr>
          <w:spacing w:val="-44"/>
        </w:rPr>
      </w:r>
      <w:r>
        <w:rPr/>
        <w:t>未来五年的现金流量进行预测，同时使用一个适当的反映当前市场货币时间价值和资产特定风险的折现</w:t>
      </w:r>
      <w:r>
        <w:rPr>
          <w:w w:val="100"/>
        </w:rPr>
        <w:t> </w:t>
      </w:r>
      <w:r>
        <w:rPr>
          <w:spacing w:val="-2"/>
        </w:rPr>
        <w:t>率，计算出各资产组的预计未来现金流量现值，以确定可收回金额。根据减值测试的结果，本期期末本集</w:t>
      </w:r>
      <w:r>
        <w:rPr>
          <w:spacing w:val="-50"/>
        </w:rPr>
        <w:t> </w:t>
      </w:r>
      <w:r>
        <w:rPr>
          <w:spacing w:val="-50"/>
        </w:rPr>
      </w:r>
      <w:r>
        <w:rPr/>
        <w:t>团收购富华宇祺形成的商誉发生减值</w:t>
      </w:r>
      <w:r>
        <w:rPr>
          <w:rFonts w:ascii="Times New Roman" w:hAnsi="Times New Roman" w:cs="Times New Roman" w:eastAsia="Times New Roman" w:hint="default"/>
        </w:rPr>
        <w:t>76,333,896.23</w:t>
      </w:r>
      <w:r>
        <w:rPr/>
        <w:t>元（截至上期期末发生减值</w:t>
      </w:r>
      <w:r>
        <w:rPr>
          <w:rFonts w:ascii="Times New Roman" w:hAnsi="Times New Roman" w:cs="Times New Roman" w:eastAsia="Times New Roman" w:hint="default"/>
        </w:rPr>
        <w:t>38,765,282.67</w:t>
      </w:r>
      <w:r>
        <w:rPr/>
        <w:t>元），收购师</w:t>
      </w:r>
      <w:r>
        <w:rPr>
          <w:w w:val="100"/>
        </w:rPr>
        <w:t> </w:t>
      </w:r>
      <w:r>
        <w:rPr/>
        <w:t>凯科技形成的商誉未发生减值。</w:t>
      </w:r>
    </w:p>
    <w:p>
      <w:pPr>
        <w:pStyle w:val="BodyText"/>
        <w:spacing w:line="408" w:lineRule="auto" w:before="89"/>
        <w:ind w:right="992" w:firstLine="420"/>
        <w:jc w:val="left"/>
      </w:pPr>
      <w:r>
        <w:rPr>
          <w:spacing w:val="-2"/>
        </w:rPr>
        <w:t>说明商誉减值测试过程、关键参数（如预计未来现金流量现值时的预测期增长率、稳定期增长率、利</w:t>
      </w:r>
      <w:r>
        <w:rPr>
          <w:w w:val="100"/>
        </w:rPr>
        <w:t> </w:t>
      </w:r>
      <w:r>
        <w:rPr/>
        <w:t>润率、折现率、预测期等）及商誉减值损失的确认方法：</w:t>
      </w:r>
    </w:p>
    <w:p>
      <w:pPr>
        <w:pStyle w:val="BodyText"/>
        <w:spacing w:line="393" w:lineRule="auto" w:before="84"/>
        <w:ind w:right="992" w:firstLine="420"/>
        <w:jc w:val="left"/>
      </w:pPr>
      <w:r>
        <w:rPr/>
        <w:t>①对于收购师凯科技形成的商誉减值测试为本集团采用预计未来现金流现值的方法计算资产组的可</w:t>
      </w:r>
      <w:r>
        <w:rPr>
          <w:w w:val="100"/>
        </w:rPr>
        <w:t> </w:t>
      </w:r>
      <w:r>
        <w:rPr/>
        <w:t>收回金额。本集团根据管理层批准的财务预算预计未来</w:t>
      </w:r>
      <w:r>
        <w:rPr>
          <w:rFonts w:ascii="Times New Roman" w:hAnsi="Times New Roman" w:cs="Times New Roman" w:eastAsia="Times New Roman" w:hint="default"/>
        </w:rPr>
        <w:t>5</w:t>
      </w:r>
      <w:r>
        <w:rPr/>
        <w:t>年内现金流量，其后年度采用的现金流量增长率</w:t>
      </w:r>
      <w:r>
        <w:rPr>
          <w:w w:val="100"/>
        </w:rPr>
        <w:t> </w:t>
      </w:r>
      <w:r>
        <w:rPr/>
        <w:t>预计为</w:t>
      </w:r>
      <w:r>
        <w:rPr>
          <w:rFonts w:ascii="Times New Roman" w:hAnsi="Times New Roman" w:cs="Times New Roman" w:eastAsia="Times New Roman" w:hint="default"/>
        </w:rPr>
        <w:t>5%</w:t>
      </w:r>
      <w:r>
        <w:rPr/>
        <w:t>（上期：</w:t>
      </w:r>
      <w:r>
        <w:rPr>
          <w:rFonts w:ascii="Times New Roman" w:hAnsi="Times New Roman" w:cs="Times New Roman" w:eastAsia="Times New Roman" w:hint="default"/>
        </w:rPr>
        <w:t>5%</w:t>
      </w:r>
      <w:r>
        <w:rPr/>
        <w:t>），不会超过资产组经营业务的长期平均增长率。在预计未来现金流量时，管理层</w:t>
      </w:r>
      <w:r>
        <w:rPr>
          <w:w w:val="100"/>
        </w:rPr>
        <w:t> </w:t>
      </w:r>
      <w:r>
        <w:rPr/>
        <w:t>根据资产组未来的战略目标、业务发展及经营规划，通过结合历史年度的销售数据和预计市场需求变化、</w:t>
      </w:r>
      <w:r>
        <w:rPr>
          <w:w w:val="100"/>
        </w:rPr>
        <w:t> </w:t>
      </w:r>
      <w:r>
        <w:rPr/>
        <w:t>产品预期价格变化等诸因素进行测算确定。计算未来现金流现值所采用的税前折现率为</w:t>
      </w:r>
      <w:r>
        <w:rPr>
          <w:rFonts w:ascii="Times New Roman" w:hAnsi="Times New Roman" w:cs="Times New Roman" w:eastAsia="Times New Roman" w:hint="default"/>
        </w:rPr>
        <w:t>12.40%</w:t>
      </w:r>
      <w:r>
        <w:rPr/>
        <w:t>（上期：</w:t>
      </w:r>
      <w:r>
        <w:rPr>
          <w:w w:val="100"/>
        </w:rPr>
        <w:t> </w:t>
      </w:r>
      <w:r>
        <w:rPr>
          <w:rFonts w:ascii="Times New Roman" w:hAnsi="Times New Roman" w:cs="Times New Roman" w:eastAsia="Times New Roman" w:hint="default"/>
          <w:spacing w:val="-5"/>
        </w:rPr>
        <w:t>12.47%</w:t>
      </w:r>
      <w:r>
        <w:rPr>
          <w:spacing w:val="-5"/>
        </w:rPr>
        <w:t>），已反映了相对于有关分部的风险。根据减值测试的结果，本期期末商誉未发生减值（上期期末：</w:t>
      </w:r>
      <w:r>
        <w:rPr>
          <w:spacing w:val="-7"/>
        </w:rPr>
        <w:t> </w:t>
      </w:r>
      <w:r>
        <w:rPr>
          <w:spacing w:val="-7"/>
        </w:rPr>
      </w:r>
      <w:r>
        <w:rPr/>
        <w:t>无）。</w:t>
      </w:r>
    </w:p>
    <w:p>
      <w:pPr>
        <w:pStyle w:val="BodyText"/>
        <w:spacing w:line="408" w:lineRule="auto" w:before="58"/>
        <w:ind w:right="992" w:firstLine="420"/>
        <w:jc w:val="left"/>
      </w:pPr>
      <w:r>
        <w:rPr>
          <w:spacing w:val="-2"/>
        </w:rPr>
        <w:t>②对于收购富华宇祺形成的商誉减值测试为本集团聘请评估专家，对资产组可回收价值进行评估，并</w:t>
      </w:r>
      <w:r>
        <w:rPr>
          <w:w w:val="100"/>
        </w:rPr>
        <w:t> </w:t>
      </w:r>
      <w:r>
        <w:rPr/>
        <w:t>出具以商誉减值测试为目的的报告。</w:t>
      </w:r>
    </w:p>
    <w:p>
      <w:pPr>
        <w:pStyle w:val="BodyText"/>
        <w:spacing w:line="444" w:lineRule="auto" w:before="87"/>
        <w:ind w:left="573" w:right="4825"/>
        <w:jc w:val="left"/>
      </w:pPr>
      <w:r>
        <w:rPr/>
        <w:t>商誉减值测试的影响</w:t>
      </w:r>
      <w:r>
        <w:rPr>
          <w:w w:val="100"/>
        </w:rPr>
        <w:t> </w:t>
      </w:r>
      <w:r>
        <w:rPr/>
        <w:t>本次商誉减值测试，将减少公司利润总额</w:t>
      </w:r>
      <w:r>
        <w:rPr>
          <w:spacing w:val="-55"/>
        </w:rPr>
        <w:t> </w:t>
      </w:r>
      <w:r>
        <w:rPr>
          <w:rFonts w:ascii="Times New Roman" w:hAnsi="Times New Roman" w:cs="Times New Roman" w:eastAsia="Times New Roman" w:hint="default"/>
        </w:rPr>
        <w:t>37,568,613.56</w:t>
      </w:r>
      <w:r>
        <w:rPr>
          <w:rFonts w:ascii="Times New Roman" w:hAnsi="Times New Roman" w:cs="Times New Roman" w:eastAsia="Times New Roman" w:hint="default"/>
          <w:spacing w:val="-2"/>
        </w:rPr>
        <w:t> </w:t>
      </w:r>
      <w:r>
        <w:rPr/>
        <w:t>元。</w:t>
      </w:r>
    </w:p>
    <w:p>
      <w:pPr>
        <w:spacing w:line="240" w:lineRule="auto" w:before="4"/>
        <w:rPr>
          <w:rFonts w:ascii="宋体" w:hAnsi="宋体" w:cs="宋体" w:eastAsia="宋体" w:hint="default"/>
          <w:sz w:val="15"/>
          <w:szCs w:val="15"/>
        </w:rPr>
      </w:pPr>
    </w:p>
    <w:p>
      <w:pPr>
        <w:pStyle w:val="Heading4"/>
        <w:spacing w:line="240" w:lineRule="auto"/>
        <w:ind w:right="992"/>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474,483.58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8,348.68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466,134.90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1,283,267.00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1,253,423.00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1,757,750.58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38,192.68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1,719,557.90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43,422,018.53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6,919,895.81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62,786,989.71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9,524,870.62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13,943,870.06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3,301,756.40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3,116,041.44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751,900.91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67,704,833.81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11,232,416.06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33,768,553.51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5,745,177.42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6,438,600.00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965,790.00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125,070,722.40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21,454,068.27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106,110,184.66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16,987,738.95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1,140,890.38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9,169,500.01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1,375,425.05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4,804,055.33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720,608.37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1,241,824.94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186,273.71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5,944,945.71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891,741.88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10,411,324.95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1,561,698.76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21,454,068.27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16,987,738.95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891,741.88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1,561,698.76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14,508,432.16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14,535,059.98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20,011,226.60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6,028,684.60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34,519,658.76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20,563,744.58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795,266.53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5,233,418.07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13,982,542.00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13,982,542.00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6,028,684.60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是否已执行新收入准则：</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0"/>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1,328,409.63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769,669.82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1,328,409.63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769,669.82</w:t>
            </w:r>
          </w:p>
        </w:tc>
      </w:tr>
    </w:tbl>
    <w:p>
      <w:pPr>
        <w:spacing w:line="240" w:lineRule="auto" w:before="3"/>
        <w:rPr>
          <w:rFonts w:ascii="宋体" w:hAnsi="宋体" w:cs="宋体" w:eastAsia="宋体" w:hint="default"/>
          <w:sz w:val="19"/>
          <w:szCs w:val="19"/>
        </w:rPr>
      </w:pPr>
    </w:p>
    <w:p>
      <w:pPr>
        <w:pStyle w:val="Heading4"/>
        <w:spacing w:line="506" w:lineRule="auto" w:before="36"/>
        <w:ind w:right="9489"/>
        <w:jc w:val="left"/>
        <w:rPr>
          <w:b w:val="0"/>
          <w:bCs w:val="0"/>
        </w:rPr>
      </w:pPr>
      <w:r>
        <w:rPr>
          <w:rFonts w:ascii="Times New Roman" w:hAnsi="Times New Roman" w:cs="Times New Roman" w:eastAsia="Times New Roman" w:hint="default"/>
        </w:rPr>
        <w:t>18</w:t>
      </w:r>
      <w:r>
        <w:rPr/>
        <w:t>、短期借款</w:t>
      </w:r>
      <w:r>
        <w:rPr>
          <w:w w:val="100"/>
        </w:rPr>
        <w:t> </w:t>
      </w:r>
      <w:r>
        <w:rPr/>
        <w:t>短期借款分类</w:t>
      </w:r>
      <w:r>
        <w:rPr>
          <w:b w:val="0"/>
          <w:bCs w:val="0"/>
        </w:rPr>
      </w:r>
    </w:p>
    <w:p>
      <w:pPr>
        <w:spacing w:before="12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2,718,241.47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381,500.00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3,099,741.47</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本期末已到期未支付的应付票据总额为</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123,289,619.52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63,849,288.95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1,780,089.07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2,764,714.84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614,105.64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418,732.15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7,733,962.64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1,462,493.41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133,417,776.87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68,495,229.35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福建福光股份有限公司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奥普公司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3,832,916.53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中兴国通通讯装备技术（北京）有限公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2,619,949.39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南京未来网络产业创新有限公司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18,324,865.92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30"/>
          <w:szCs w:val="30"/>
        </w:rPr>
      </w:pPr>
    </w:p>
    <w:p>
      <w:pPr>
        <w:spacing w:line="568" w:lineRule="auto" w:before="0"/>
        <w:ind w:left="152" w:right="6375" w:firstLine="420"/>
        <w:jc w:val="left"/>
        <w:rPr>
          <w:rFonts w:ascii="宋体" w:hAnsi="宋体" w:cs="宋体" w:eastAsia="宋体" w:hint="default"/>
          <w:sz w:val="21"/>
          <w:szCs w:val="21"/>
        </w:rPr>
      </w:pPr>
      <w:r>
        <w:rPr>
          <w:rFonts w:ascii="宋体" w:hAnsi="宋体" w:cs="宋体" w:eastAsia="宋体" w:hint="default"/>
          <w:sz w:val="21"/>
          <w:szCs w:val="21"/>
        </w:rPr>
        <w:t>是否已执行新收入准则：</w:t>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before="7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10,757,372.78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9,812,055.03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10,757,372.78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9,812,055.03</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812"/>
        <w:gridCol w:w="1855"/>
        <w:gridCol w:w="1702"/>
        <w:gridCol w:w="1560"/>
        <w:gridCol w:w="1633"/>
      </w:tblGrid>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5,945,864.56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72,193,323.39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67,938,187.26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10,201,000.69</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175,477.17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5,844,722.50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5,876,373.10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143,826.57</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6,121,341.73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78,038,045.89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73,814,560.36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10,344,827.26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2"/>
        <w:gridCol w:w="1855"/>
        <w:gridCol w:w="1702"/>
        <w:gridCol w:w="1560"/>
        <w:gridCol w:w="1633"/>
      </w:tblGrid>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4,609,680.50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60,833,738.48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56,893,650.88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8,549,768.10</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4,824,623.63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4,824,623.63</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93,917.78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3,287,352.46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3,284,348.84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96,921.40</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2,830,726.00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2,827,747.68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87,928.32</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1,461.98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163,274.67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162,975.93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1,760.72</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7,505.80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293,351.79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293,625.23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7,232.36</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1,944,970.80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1,947,562.80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3,433.00</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1,236,241.28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1,302,638.02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988,001.11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1,550,878.19</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5,945,864.56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72,193,323.39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67,938,187.26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10,201,000.69</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2"/>
        <w:gridCol w:w="1855"/>
        <w:gridCol w:w="1702"/>
        <w:gridCol w:w="1560"/>
        <w:gridCol w:w="1633"/>
      </w:tblGrid>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169,183.10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5,612,160.51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5,643,727.37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137,616.24</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6,294.07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232,561.99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232,645.73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6,210.33</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175,477.17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5,844,722.50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5,876,373.10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143,826.57</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6,050,572.51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9,578,322.54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15,170,826.45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15,129,948.49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293,647.86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711,915.89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510,906.73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428,537.52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423,058.09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493,219.00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837,402.65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917,108.89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23,001,061.57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27,764,479.63</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7,887,644.74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5,847,351.85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7,887,644.74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5,847,992.04</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640.19</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4,242,570.94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2,314,033.78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2,496,739.89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2,480,696.11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1,148,333.91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1,052,621.96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7,887,644.74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5,847,351.85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950,000.00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68" w:lineRule="auto" w:before="36"/>
        <w:ind w:left="573" w:right="70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是否已执行新收入准则：</w:t>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否</w:t>
      </w:r>
    </w:p>
    <w:p>
      <w:pPr>
        <w:spacing w:after="0" w:line="568"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已背书或贴现未终止确认的应收票据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37,854,270.00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37,854,270.00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669,279,255.00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-229,000.00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-229,000.00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669,050,255.00</w:t>
            </w:r>
          </w:p>
        </w:tc>
      </w:tr>
    </w:tbl>
    <w:p>
      <w:pPr>
        <w:spacing w:line="240" w:lineRule="auto" w:before="4"/>
        <w:rPr>
          <w:rFonts w:ascii="宋体" w:hAnsi="宋体" w:cs="宋体" w:eastAsia="宋体" w:hint="default"/>
          <w:sz w:val="5"/>
          <w:szCs w:val="5"/>
        </w:rPr>
      </w:pPr>
    </w:p>
    <w:p>
      <w:pPr>
        <w:pStyle w:val="BodyText"/>
        <w:spacing w:line="444" w:lineRule="auto" w:before="36"/>
        <w:ind w:left="573" w:right="5311"/>
        <w:jc w:val="left"/>
      </w:pPr>
      <w:r>
        <w:rPr/>
        <w:t>其他说明：</w:t>
      </w:r>
      <w:r>
        <w:rPr>
          <w:spacing w:val="-102"/>
        </w:rPr>
        <w:t> </w:t>
      </w:r>
      <w:r>
        <w:rPr>
          <w:spacing w:val="-102"/>
        </w:rPr>
      </w:r>
      <w:r>
        <w:rPr>
          <w:spacing w:val="-2"/>
        </w:rPr>
        <w:t>本报告期，公司股本减少</w:t>
      </w:r>
      <w:r>
        <w:rPr>
          <w:rFonts w:ascii="Times New Roman" w:hAnsi="Times New Roman" w:cs="Times New Roman" w:eastAsia="Times New Roman" w:hint="default"/>
          <w:spacing w:val="-2"/>
        </w:rPr>
        <w:t>229,000.00</w:t>
      </w:r>
      <w:r>
        <w:rPr>
          <w:spacing w:val="-2"/>
        </w:rPr>
        <w:t>元，系：</w:t>
      </w:r>
    </w:p>
    <w:p>
      <w:pPr>
        <w:pStyle w:val="BodyText"/>
        <w:spacing w:line="270" w:lineRule="exact" w:before="0"/>
        <w:ind w:left="573" w:right="992"/>
        <w:jc w:val="left"/>
      </w:pPr>
      <w:r>
        <w:rPr/>
        <w:t>（</w:t>
      </w:r>
      <w:r>
        <w:rPr>
          <w:rFonts w:ascii="Times New Roman" w:hAnsi="Times New Roman" w:cs="Times New Roman" w:eastAsia="Times New Roman" w:hint="default"/>
        </w:rPr>
        <w:t>1</w:t>
      </w:r>
      <w:r>
        <w:rPr/>
        <w:t>）公司第四届董事会</w:t>
      </w:r>
      <w:r>
        <w:rPr>
          <w:rFonts w:ascii="Times New Roman" w:hAnsi="Times New Roman" w:cs="Times New Roman" w:eastAsia="Times New Roman" w:hint="default"/>
        </w:rPr>
        <w:t>2018</w:t>
      </w:r>
      <w:r>
        <w:rPr/>
        <w:t>年第五次会议审议通过了《关于回购注销部分激励对象已获授但尚未解</w:t>
      </w:r>
    </w:p>
    <w:p>
      <w:pPr>
        <w:pStyle w:val="BodyText"/>
        <w:spacing w:line="386" w:lineRule="auto" w:before="177"/>
        <w:ind w:right="1023"/>
        <w:jc w:val="left"/>
      </w:pPr>
      <w:r>
        <w:rPr>
          <w:spacing w:val="-4"/>
        </w:rPr>
        <w:t>除限售的限制性股票的议案》，根据公司《限制性股票激励计划（</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2019</w:t>
      </w:r>
      <w:r>
        <w:rPr>
          <w:spacing w:val="-4"/>
        </w:rPr>
        <w:t>）（草案）》的规定，牛涛、</w:t>
      </w:r>
      <w:r>
        <w:rPr>
          <w:spacing w:val="-39"/>
        </w:rPr>
        <w:t> </w:t>
      </w:r>
      <w:r>
        <w:rPr>
          <w:spacing w:val="-39"/>
        </w:rPr>
      </w:r>
      <w:r>
        <w:rPr>
          <w:spacing w:val="-2"/>
        </w:rPr>
        <w:t>邵永超</w:t>
      </w:r>
      <w:r>
        <w:rPr>
          <w:rFonts w:ascii="Times New Roman" w:hAnsi="Times New Roman" w:cs="Times New Roman" w:eastAsia="Times New Roman" w:hint="default"/>
          <w:spacing w:val="-2"/>
        </w:rPr>
        <w:t>2</w:t>
      </w:r>
      <w:r>
        <w:rPr>
          <w:spacing w:val="-2"/>
        </w:rPr>
        <w:t>名离职激励对象不再具备激励对象资格，其已获授但尚未解除限售的</w:t>
      </w:r>
      <w:r>
        <w:rPr>
          <w:rFonts w:ascii="Times New Roman" w:hAnsi="Times New Roman" w:cs="Times New Roman" w:eastAsia="Times New Roman" w:hint="default"/>
          <w:spacing w:val="-2"/>
        </w:rPr>
        <w:t>115,000.00</w:t>
      </w:r>
      <w:r>
        <w:rPr>
          <w:spacing w:val="-2"/>
        </w:rPr>
        <w:t>股限制性股票由公</w:t>
      </w:r>
      <w:r>
        <w:rPr>
          <w:spacing w:val="-37"/>
        </w:rPr>
        <w:t> </w:t>
      </w:r>
      <w:r>
        <w:rPr>
          <w:spacing w:val="-37"/>
        </w:rPr>
      </w:r>
      <w:r>
        <w:rPr/>
        <w:t>司回购注销，减少股本</w:t>
      </w:r>
      <w:r>
        <w:rPr>
          <w:rFonts w:ascii="Times New Roman" w:hAnsi="Times New Roman" w:cs="Times New Roman" w:eastAsia="Times New Roman" w:hint="default"/>
        </w:rPr>
        <w:t>115,000.00</w:t>
      </w:r>
      <w:r>
        <w:rPr/>
        <w:t>元，减少资本公积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336,950.00</w:t>
      </w:r>
      <w:r>
        <w:rPr/>
        <w:t>元；</w:t>
      </w:r>
    </w:p>
    <w:p>
      <w:pPr>
        <w:pStyle w:val="BodyText"/>
        <w:spacing w:line="386" w:lineRule="auto" w:before="35"/>
        <w:ind w:right="1023" w:firstLine="420"/>
        <w:jc w:val="left"/>
      </w:pPr>
      <w:r>
        <w:rPr/>
        <w:t>（</w:t>
      </w:r>
      <w:r>
        <w:rPr>
          <w:rFonts w:ascii="Times New Roman" w:hAnsi="Times New Roman" w:cs="Times New Roman" w:eastAsia="Times New Roman" w:hint="default"/>
        </w:rPr>
        <w:t>2</w:t>
      </w:r>
      <w:r>
        <w:rPr/>
        <w:t>）公司第四届董事会</w:t>
      </w:r>
      <w:r>
        <w:rPr>
          <w:rFonts w:ascii="Times New Roman" w:hAnsi="Times New Roman" w:cs="Times New Roman" w:eastAsia="Times New Roman" w:hint="default"/>
        </w:rPr>
        <w:t>2019</w:t>
      </w:r>
      <w:r>
        <w:rPr/>
        <w:t>年第四次会议审议通过了《关于回购注销部分激励对象已获授但尚未解</w:t>
      </w:r>
      <w:r>
        <w:rPr>
          <w:w w:val="100"/>
        </w:rPr>
        <w:t> </w:t>
      </w:r>
      <w:r>
        <w:rPr>
          <w:spacing w:val="-4"/>
        </w:rPr>
        <w:t>除限售的限制性股票的议案》，根据公司《限制性股票激励计划（</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2019</w:t>
      </w:r>
      <w:r>
        <w:rPr>
          <w:spacing w:val="-4"/>
        </w:rPr>
        <w:t>）（草案）》的规定，张帅、</w:t>
      </w:r>
      <w:r>
        <w:rPr>
          <w:spacing w:val="-39"/>
        </w:rPr>
        <w:t> </w:t>
      </w:r>
      <w:r>
        <w:rPr>
          <w:spacing w:val="-39"/>
        </w:rPr>
      </w:r>
      <w:r>
        <w:rPr>
          <w:spacing w:val="-2"/>
        </w:rPr>
        <w:t>陈焕超等</w:t>
      </w:r>
      <w:r>
        <w:rPr>
          <w:rFonts w:ascii="Times New Roman" w:hAnsi="Times New Roman" w:cs="Times New Roman" w:eastAsia="Times New Roman" w:hint="default"/>
          <w:spacing w:val="-2"/>
        </w:rPr>
        <w:t>6</w:t>
      </w:r>
      <w:r>
        <w:rPr>
          <w:spacing w:val="-2"/>
        </w:rPr>
        <w:t>名离职激励对象不再具备激励对象资格，其已获授但尚未解除限售的</w:t>
      </w:r>
      <w:r>
        <w:rPr>
          <w:rFonts w:ascii="Times New Roman" w:hAnsi="Times New Roman" w:cs="Times New Roman" w:eastAsia="Times New Roman" w:hint="default"/>
          <w:spacing w:val="-2"/>
        </w:rPr>
        <w:t>114,000.00</w:t>
      </w:r>
      <w:r>
        <w:rPr>
          <w:spacing w:val="-2"/>
        </w:rPr>
        <w:t>股限制性股票由</w:t>
      </w:r>
      <w:r>
        <w:rPr>
          <w:spacing w:val="-38"/>
        </w:rPr>
        <w:t> </w:t>
      </w:r>
      <w:r>
        <w:rPr>
          <w:spacing w:val="-38"/>
        </w:rPr>
      </w:r>
      <w:r>
        <w:rPr/>
        <w:t>公司进行回购注销，减少股本</w:t>
      </w:r>
      <w:r>
        <w:rPr>
          <w:rFonts w:ascii="Times New Roman" w:hAnsi="Times New Roman" w:cs="Times New Roman" w:eastAsia="Times New Roman" w:hint="default"/>
        </w:rPr>
        <w:t>114,000.00</w:t>
      </w:r>
      <w:r>
        <w:rPr/>
        <w:t>元，减少资本公积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322,620.00</w:t>
      </w:r>
      <w:r>
        <w:rPr/>
        <w:t>元。</w:t>
      </w:r>
    </w:p>
    <w:p>
      <w:pPr>
        <w:spacing w:line="240" w:lineRule="auto" w:before="10"/>
        <w:rPr>
          <w:rFonts w:ascii="宋体" w:hAnsi="宋体" w:cs="宋体" w:eastAsia="宋体" w:hint="default"/>
          <w:sz w:val="19"/>
          <w:szCs w:val="19"/>
        </w:rPr>
      </w:pPr>
    </w:p>
    <w:p>
      <w:pPr>
        <w:pStyle w:val="Heading4"/>
        <w:spacing w:line="240" w:lineRule="auto"/>
        <w:ind w:right="992"/>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776,033,579.86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775,374,009.86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8,642,300.00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783,044,279.86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784,016,309.86</w:t>
            </w:r>
          </w:p>
        </w:tc>
      </w:tr>
    </w:tbl>
    <w:p>
      <w:pPr>
        <w:spacing w:line="240" w:lineRule="auto" w:before="4"/>
        <w:rPr>
          <w:rFonts w:ascii="宋体" w:hAnsi="宋体" w:cs="宋体" w:eastAsia="宋体" w:hint="default"/>
          <w:sz w:val="5"/>
          <w:szCs w:val="5"/>
        </w:rPr>
      </w:pPr>
    </w:p>
    <w:p>
      <w:pPr>
        <w:pStyle w:val="BodyText"/>
        <w:spacing w:line="240" w:lineRule="auto" w:before="36"/>
        <w:ind w:left="573" w:right="992"/>
        <w:jc w:val="left"/>
      </w:pPr>
      <w:r>
        <w:rPr/>
        <w:t>其他说明，包括本期增减变动情况、变动原因说明：</w:t>
      </w:r>
    </w:p>
    <w:p>
      <w:pPr>
        <w:spacing w:line="240" w:lineRule="auto" w:before="9"/>
        <w:rPr>
          <w:rFonts w:ascii="宋体" w:hAnsi="宋体" w:cs="宋体" w:eastAsia="宋体" w:hint="default"/>
          <w:sz w:val="17"/>
          <w:szCs w:val="17"/>
        </w:rPr>
      </w:pPr>
    </w:p>
    <w:p>
      <w:pPr>
        <w:pStyle w:val="BodyText"/>
        <w:spacing w:line="240" w:lineRule="auto" w:before="0"/>
        <w:ind w:left="573" w:right="992"/>
        <w:jc w:val="left"/>
      </w:pPr>
      <w:r>
        <w:rPr/>
        <w:t>（</w:t>
      </w:r>
      <w:r>
        <w:rPr>
          <w:rFonts w:ascii="宋体" w:hAnsi="宋体" w:cs="宋体" w:eastAsia="宋体" w:hint="default"/>
        </w:rPr>
        <w:t>1</w:t>
      </w:r>
      <w:r>
        <w:rPr/>
        <w:t>）资本公积</w:t>
      </w:r>
      <w:r>
        <w:rPr>
          <w:rFonts w:ascii="宋体" w:hAnsi="宋体" w:cs="宋体" w:eastAsia="宋体" w:hint="default"/>
        </w:rPr>
        <w:t>-</w:t>
      </w:r>
      <w:r>
        <w:rPr/>
        <w:t>股本溢价本年变动及其原因参见附注七、</w:t>
      </w:r>
      <w:r>
        <w:rPr>
          <w:rFonts w:ascii="宋体" w:hAnsi="宋体" w:cs="宋体" w:eastAsia="宋体" w:hint="default"/>
        </w:rPr>
        <w:t>26</w:t>
      </w:r>
      <w:r>
        <w:rPr/>
        <w:t>。</w:t>
      </w:r>
    </w:p>
    <w:p>
      <w:pPr>
        <w:spacing w:line="240" w:lineRule="auto" w:before="10"/>
        <w:rPr>
          <w:rFonts w:ascii="宋体" w:hAnsi="宋体" w:cs="宋体" w:eastAsia="宋体" w:hint="default"/>
          <w:sz w:val="14"/>
          <w:szCs w:val="14"/>
        </w:rPr>
      </w:pPr>
    </w:p>
    <w:p>
      <w:pPr>
        <w:pStyle w:val="BodyText"/>
        <w:spacing w:line="408" w:lineRule="auto" w:before="0"/>
        <w:ind w:right="992" w:firstLine="420"/>
        <w:jc w:val="left"/>
      </w:pPr>
      <w:r>
        <w:rPr>
          <w:spacing w:val="-2"/>
        </w:rPr>
        <w:t>（</w:t>
      </w:r>
      <w:r>
        <w:rPr>
          <w:rFonts w:ascii="宋体" w:hAnsi="宋体" w:cs="宋体" w:eastAsia="宋体" w:hint="default"/>
          <w:spacing w:val="-2"/>
        </w:rPr>
        <w:t>2</w:t>
      </w:r>
      <w:r>
        <w:rPr>
          <w:spacing w:val="-2"/>
        </w:rPr>
        <w:t>）资本公积</w:t>
      </w:r>
      <w:r>
        <w:rPr>
          <w:rFonts w:ascii="宋体" w:hAnsi="宋体" w:cs="宋体" w:eastAsia="宋体" w:hint="default"/>
          <w:spacing w:val="-2"/>
        </w:rPr>
        <w:t>-</w:t>
      </w:r>
      <w:r>
        <w:rPr>
          <w:spacing w:val="-2"/>
        </w:rPr>
        <w:t>其他资本公积本年增加</w:t>
      </w:r>
      <w:r>
        <w:rPr>
          <w:rFonts w:ascii="宋体" w:hAnsi="宋体" w:cs="宋体" w:eastAsia="宋体" w:hint="default"/>
          <w:spacing w:val="-2"/>
        </w:rPr>
        <w:t>1,631,600.00</w:t>
      </w:r>
      <w:r>
        <w:rPr>
          <w:spacing w:val="-2"/>
        </w:rPr>
        <w:t>元系公司实施限制性股票激励计划（</w:t>
      </w:r>
      <w:r>
        <w:rPr>
          <w:rFonts w:ascii="宋体" w:hAnsi="宋体" w:cs="宋体" w:eastAsia="宋体" w:hint="default"/>
          <w:spacing w:val="-2"/>
        </w:rPr>
        <w:t>2017-2019</w:t>
      </w:r>
      <w:r>
        <w:rPr>
          <w:spacing w:val="-2"/>
        </w:rPr>
        <w:t>）</w:t>
      </w:r>
      <w:r>
        <w:rPr>
          <w:w w:val="100"/>
        </w:rPr>
        <w:t> </w:t>
      </w:r>
      <w:r>
        <w:rPr/>
        <w:t>而发生的成本</w:t>
      </w:r>
      <w:r>
        <w:rPr>
          <w:rFonts w:ascii="宋体" w:hAnsi="宋体" w:cs="宋体" w:eastAsia="宋体" w:hint="default"/>
        </w:rPr>
        <w:t>9,054,100.00</w:t>
      </w:r>
      <w:r>
        <w:rPr/>
        <w:t>元在等待期内按期确认，本年确认金额</w:t>
      </w:r>
      <w:r>
        <w:rPr>
          <w:rFonts w:ascii="宋体" w:hAnsi="宋体" w:cs="宋体" w:eastAsia="宋体" w:hint="default"/>
        </w:rPr>
        <w:t>1,631,600.00</w:t>
      </w:r>
      <w:r>
        <w:rPr/>
        <w:t>元。</w:t>
      </w:r>
    </w:p>
    <w:p>
      <w:pPr>
        <w:spacing w:after="0" w:line="408"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50,097,930.35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7,281,920.17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57,379,850.52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50,097,930.35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7,281,920.17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57,379,850.52</w:t>
            </w:r>
          </w:p>
        </w:tc>
      </w:tr>
    </w:tbl>
    <w:p>
      <w:pPr>
        <w:spacing w:line="240" w:lineRule="auto" w:before="3"/>
        <w:rPr>
          <w:rFonts w:ascii="宋体" w:hAnsi="宋体" w:cs="宋体" w:eastAsia="宋体" w:hint="default"/>
          <w:sz w:val="5"/>
          <w:szCs w:val="5"/>
        </w:rPr>
      </w:pPr>
    </w:p>
    <w:p>
      <w:pPr>
        <w:pStyle w:val="BodyText"/>
        <w:spacing w:line="400" w:lineRule="auto" w:before="36"/>
        <w:ind w:right="1104" w:firstLine="420"/>
        <w:jc w:val="both"/>
      </w:pPr>
      <w:r>
        <w:rPr>
          <w:spacing w:val="-2"/>
        </w:rPr>
        <w:t>盈余公积说明，包括本期增减变动情况、变动原因说明：根据《公司法》及《公司章程》等的规定，</w:t>
      </w:r>
      <w:r>
        <w:rPr>
          <w:w w:val="100"/>
        </w:rPr>
        <w:t> </w:t>
      </w:r>
      <w:r>
        <w:rPr/>
        <w:t>本公司按净利润的</w:t>
      </w:r>
      <w:r>
        <w:rPr>
          <w:spacing w:val="-27"/>
        </w:rPr>
        <w:t> </w:t>
      </w:r>
      <w:r>
        <w:rPr>
          <w:rFonts w:ascii="Times New Roman" w:hAnsi="Times New Roman" w:cs="Times New Roman" w:eastAsia="Times New Roman" w:hint="default"/>
          <w:spacing w:val="-3"/>
        </w:rPr>
        <w:t>10%</w:t>
      </w:r>
      <w:r>
        <w:rPr>
          <w:spacing w:val="-3"/>
        </w:rPr>
        <w:t>提取法定盈余公积。法定盈余公积累计额达到本公司注册资本</w:t>
      </w:r>
      <w:r>
        <w:rPr>
          <w:spacing w:val="-27"/>
        </w:rPr>
        <w:t> </w:t>
      </w:r>
      <w:r>
        <w:rPr>
          <w:rFonts w:ascii="Times New Roman" w:hAnsi="Times New Roman" w:cs="Times New Roman" w:eastAsia="Times New Roman" w:hint="default"/>
          <w:spacing w:val="-5"/>
        </w:rPr>
        <w:t>50%</w:t>
      </w:r>
      <w:r>
        <w:rPr>
          <w:spacing w:val="-5"/>
        </w:rPr>
        <w:t>以上的，不再提</w:t>
      </w:r>
      <w:r>
        <w:rPr>
          <w:spacing w:val="-83"/>
        </w:rPr>
        <w:t> </w:t>
      </w:r>
      <w:r>
        <w:rPr>
          <w:spacing w:val="-83"/>
        </w:rPr>
      </w:r>
      <w:r>
        <w:rPr>
          <w:spacing w:val="-2"/>
        </w:rPr>
        <w:t>取。本公司在提取法定盈余公积金后，可提取任意盈余公积金。经批准，任意盈余公积金可用于弥补以前</w:t>
      </w:r>
      <w:r>
        <w:rPr>
          <w:spacing w:val="-47"/>
        </w:rPr>
        <w:t> </w:t>
      </w:r>
      <w:r>
        <w:rPr>
          <w:spacing w:val="-47"/>
        </w:rPr>
      </w:r>
      <w:r>
        <w:rPr/>
        <w:t>年度亏损或增加股本。本报告期，公司按净利润的</w:t>
      </w:r>
      <w:r>
        <w:rPr>
          <w:spacing w:val="-56"/>
        </w:rPr>
        <w:t> </w:t>
      </w:r>
      <w:r>
        <w:rPr>
          <w:rFonts w:ascii="Times New Roman" w:hAnsi="Times New Roman" w:cs="Times New Roman" w:eastAsia="Times New Roman" w:hint="default"/>
        </w:rPr>
        <w:t>10%</w:t>
      </w:r>
      <w:r>
        <w:rPr/>
        <w:t>提取法定盈余公积</w:t>
      </w:r>
      <w:r>
        <w:rPr>
          <w:spacing w:val="-54"/>
        </w:rPr>
        <w:t> </w:t>
      </w:r>
      <w:r>
        <w:rPr>
          <w:rFonts w:ascii="Times New Roman" w:hAnsi="Times New Roman" w:cs="Times New Roman" w:eastAsia="Times New Roman" w:hint="default"/>
        </w:rPr>
        <w:t>7,281,920.17</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18"/>
          <w:szCs w:val="18"/>
        </w:rPr>
      </w:pPr>
    </w:p>
    <w:p>
      <w:pPr>
        <w:pStyle w:val="Heading4"/>
        <w:spacing w:line="240" w:lineRule="auto"/>
        <w:ind w:right="992"/>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261,982,939.39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237,637,699.83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261,982,939.39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237,637,699.83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64,087,356.05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97,453,208.28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7,281,920.17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6,180,043.22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66,916,425.50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251,871,949.77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261,982,939.39</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调整期初未分配利润明细：</w:t>
      </w:r>
    </w:p>
    <w:p>
      <w:pPr>
        <w:spacing w:line="240" w:lineRule="auto" w:before="12"/>
        <w:rPr>
          <w:rFonts w:ascii="宋体" w:hAnsi="宋体" w:cs="宋体" w:eastAsia="宋体" w:hint="default"/>
          <w:sz w:val="17"/>
          <w:szCs w:val="17"/>
        </w:rPr>
      </w:pPr>
    </w:p>
    <w:p>
      <w:pPr>
        <w:pStyle w:val="BodyText"/>
        <w:spacing w:line="240" w:lineRule="auto" w:before="0"/>
        <w:ind w:left="573" w:right="992"/>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6"/>
        <w:rPr>
          <w:rFonts w:ascii="宋体" w:hAnsi="宋体" w:cs="宋体" w:eastAsia="宋体" w:hint="default"/>
          <w:sz w:val="16"/>
          <w:szCs w:val="16"/>
        </w:rPr>
      </w:pPr>
    </w:p>
    <w:p>
      <w:pPr>
        <w:pStyle w:val="BodyText"/>
        <w:spacing w:line="240" w:lineRule="auto" w:before="0"/>
        <w:ind w:left="573" w:right="992"/>
        <w:jc w:val="left"/>
      </w:pPr>
      <w:r>
        <w:rPr>
          <w:rFonts w:ascii="Times New Roman" w:hAnsi="Times New Roman" w:cs="Times New Roman" w:eastAsia="Times New Roman" w:hint="default"/>
        </w:rPr>
        <w:t>2)</w:t>
      </w:r>
      <w:r>
        <w:rPr/>
        <w:t>、由于会计政策变更，影响期初未分配利润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9"/>
        <w:rPr>
          <w:rFonts w:ascii="宋体" w:hAnsi="宋体" w:cs="宋体" w:eastAsia="宋体" w:hint="default"/>
          <w:sz w:val="16"/>
          <w:szCs w:val="16"/>
        </w:rPr>
      </w:pPr>
    </w:p>
    <w:p>
      <w:pPr>
        <w:pStyle w:val="BodyText"/>
        <w:spacing w:line="240" w:lineRule="auto" w:before="0"/>
        <w:ind w:left="573" w:right="992"/>
        <w:jc w:val="left"/>
      </w:pPr>
      <w:r>
        <w:rPr>
          <w:rFonts w:ascii="Times New Roman" w:hAnsi="Times New Roman" w:cs="Times New Roman" w:eastAsia="Times New Roman" w:hint="default"/>
        </w:rPr>
        <w:t>3)</w:t>
      </w:r>
      <w:r>
        <w:rPr/>
        <w:t>、由于重大会计差错更正，影响期初未分配利润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spacing w:line="240" w:lineRule="auto" w:before="9"/>
        <w:rPr>
          <w:rFonts w:ascii="宋体" w:hAnsi="宋体" w:cs="宋体" w:eastAsia="宋体" w:hint="default"/>
          <w:sz w:val="16"/>
          <w:szCs w:val="16"/>
        </w:rPr>
      </w:pPr>
    </w:p>
    <w:p>
      <w:pPr>
        <w:pStyle w:val="BodyText"/>
        <w:spacing w:line="240" w:lineRule="auto" w:before="0"/>
        <w:ind w:left="573" w:right="992"/>
        <w:jc w:val="left"/>
      </w:pPr>
      <w:r>
        <w:rPr>
          <w:rFonts w:ascii="Times New Roman" w:hAnsi="Times New Roman" w:cs="Times New Roman" w:eastAsia="Times New Roman" w:hint="default"/>
        </w:rPr>
        <w:t>4)</w:t>
      </w:r>
      <w:r>
        <w:rPr/>
        <w:t>、由于同一控制导致的合并范围变更，影响期初未分配利润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spacing w:line="240" w:lineRule="auto" w:before="6"/>
        <w:rPr>
          <w:rFonts w:ascii="宋体" w:hAnsi="宋体" w:cs="宋体" w:eastAsia="宋体" w:hint="default"/>
          <w:sz w:val="16"/>
          <w:szCs w:val="16"/>
        </w:rPr>
      </w:pPr>
    </w:p>
    <w:p>
      <w:pPr>
        <w:pStyle w:val="BodyText"/>
        <w:spacing w:line="240" w:lineRule="auto" w:before="0"/>
        <w:ind w:left="573" w:right="992"/>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30</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4"/>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469,540,156.49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250,070,719.90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443,078,025.84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217,942,053.21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2,326,088.81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698,808.63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3,078,003.13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1,055,493.16</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471,866,245.30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250,769,528.53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446,156,028.97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218,997,546.37</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是否已执行新收入准则：</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31</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3,247,279.04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4,285,522.54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1,402,448.39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1,847,370.55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1,761,670.18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1,743,392.15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877,707.40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2,002,657.00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234,053.58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319,054.43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933,176.72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1,230,301.45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538,875.51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207,787.78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8,995,210.82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11,636,085.90</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其他说明：各项税金及附加的计缴标准详见附注六、税项。</w:t>
      </w:r>
    </w:p>
    <w:p>
      <w:pPr>
        <w:spacing w:line="240" w:lineRule="auto" w:before="0"/>
        <w:rPr>
          <w:rFonts w:ascii="宋体" w:hAnsi="宋体" w:cs="宋体" w:eastAsia="宋体" w:hint="default"/>
          <w:sz w:val="20"/>
          <w:szCs w:val="20"/>
        </w:rPr>
      </w:pPr>
    </w:p>
    <w:p>
      <w:pPr>
        <w:pStyle w:val="Heading4"/>
        <w:spacing w:line="240" w:lineRule="auto" w:before="152"/>
        <w:ind w:right="992"/>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18,740,984.73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11,224,912.51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8,846,226.78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5,867,750.56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6,749,315.40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6,183,088.39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5,749,562.08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5,298,052.90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3,604,548.60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3,495,935.76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566,373.25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1,748,828.64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2,317,037.01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1,627,074.78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1,639,232.07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1,282,464.69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房屋租赁及物业水电费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563,656.84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807,534.01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5,231,142.29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6,186,700.11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54,008,079.05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43,722,342.35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18,679,759.39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16,310,437.67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14,085,268.55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11,187,921.98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9,134,305.80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7,428,102.39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4,017,937.48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2,965,413.01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3,491,889.53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2,699,799.14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2,286,185.43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2,266,509.65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1,935,214.74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1,891,634.77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1,774,424.96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1,698,577.53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2,126,422.88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1,338,884.54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6,438,600.00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5,413,596.49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3,603,855.73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64,576,605.25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57,829,736.41</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34</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22,172,981.40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20,764,764.32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13,565,035.89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11,396,721.32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1,854,655.29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2,823,652.36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委外科研费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6,242,671.85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7,173,925.96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成果申验费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631,558.44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690,331.26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3,367,113.48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4,754,740.71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47,834,016.35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47,604,135.93</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560,364.04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1,425,890.42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7,489,534.06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5,918,402.12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82,112.01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56,072.82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-6,847,058.01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-4,436,438.88</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36</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增值税及附加税返还款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28,101,901.73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50,862,472.01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与企业日常活动有关的政府补助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3,489,719.60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代扣代缴个税手续返还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50,528.60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243,792.72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增值税进项税额加计抵减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13,895.15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-1,159,942.54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-672,475.56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5,845,204.70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6,708,041.41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股息红利所得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43,478.30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-2,706,783.38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2,021,957.08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6,035,565.85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38</w:t>
      </w:r>
      <w:r>
        <w:rPr/>
        <w:t>、信用减值损失</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-2,563,738.68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-793,977.84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22,721,718.27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19,364,001.75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是否已执行新收入准则：</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13"/>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-2,489,344.44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-937,667.56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-4,660,523.72</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-37,568,613.56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-18,659,704.97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-37,568,613.56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-26,747,240.69</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40</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105,192.75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240,337.41</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195,593.93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404,344.23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1,680,739.81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404,344.23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404,344.23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1,876,333.74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404,344.23</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计入当期损益的政府补助：</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497"/>
        <w:gridCol w:w="1771"/>
        <w:gridCol w:w="708"/>
        <w:gridCol w:w="566"/>
        <w:gridCol w:w="1133"/>
        <w:gridCol w:w="1136"/>
        <w:gridCol w:w="1063"/>
      </w:tblGrid>
      <w:tr>
        <w:trPr>
          <w:trHeight w:val="133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2"/>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center"/>
              <w:rPr>
                <w:rFonts w:ascii="宋体" w:hAnsi="宋体" w:cs="宋体" w:eastAsia="宋体" w:hint="default"/>
                <w:sz w:val="18"/>
                <w:szCs w:val="18"/>
              </w:rPr>
            </w:pPr>
            <w:r>
              <w:rPr>
                <w:rFonts w:ascii="宋体" w:hAnsi="宋体" w:cs="宋体" w:eastAsia="宋体" w:hint="default"/>
                <w:sz w:val="18"/>
                <w:szCs w:val="18"/>
              </w:rPr>
              <w:t>补贴是 否影响 当年盈 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72" w:right="108"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72" w:right="111"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6"/>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增值税返还款（师</w:t>
            </w:r>
            <w:r>
              <w:rPr>
                <w:rFonts w:ascii="宋体" w:hAnsi="宋体" w:cs="宋体" w:eastAsia="宋体" w:hint="default"/>
                <w:sz w:val="18"/>
                <w:szCs w:val="18"/>
              </w:rPr>
              <w:t> 凯科技）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长春市高新区 国税局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25,956,837.54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47,348,798.28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财税贡献奖（师凯</w:t>
            </w:r>
            <w:r>
              <w:rPr>
                <w:rFonts w:ascii="宋体" w:hAnsi="宋体" w:cs="宋体" w:eastAsia="宋体" w:hint="default"/>
                <w:sz w:val="18"/>
                <w:szCs w:val="18"/>
              </w:rPr>
              <w:t> 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长春高新区管 委会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小巨人补贴（师凯</w:t>
            </w:r>
            <w:r>
              <w:rPr>
                <w:rFonts w:ascii="宋体" w:hAnsi="宋体" w:cs="宋体" w:eastAsia="宋体" w:hint="default"/>
                <w:sz w:val="18"/>
                <w:szCs w:val="18"/>
              </w:rPr>
              <w:t> 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长春高新区管 委会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高新补助（师凯科</w:t>
            </w:r>
            <w:r>
              <w:rPr>
                <w:rFonts w:ascii="宋体" w:hAnsi="宋体" w:cs="宋体" w:eastAsia="宋体" w:hint="default"/>
                <w:sz w:val="18"/>
                <w:szCs w:val="18"/>
              </w:rPr>
              <w:t>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长春高新区管 委会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稳岗补助（师凯科</w:t>
            </w:r>
            <w:r>
              <w:rPr>
                <w:rFonts w:ascii="宋体" w:hAnsi="宋体" w:cs="宋体" w:eastAsia="宋体" w:hint="default"/>
                <w:sz w:val="18"/>
                <w:szCs w:val="18"/>
              </w:rPr>
              <w:t>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1"/>
              <w:jc w:val="left"/>
              <w:rPr>
                <w:rFonts w:ascii="宋体" w:hAnsi="宋体" w:cs="宋体" w:eastAsia="宋体" w:hint="default"/>
                <w:sz w:val="18"/>
                <w:szCs w:val="18"/>
              </w:rPr>
            </w:pPr>
            <w:r>
              <w:rPr>
                <w:rFonts w:ascii="宋体" w:hAnsi="宋体" w:cs="宋体" w:eastAsia="宋体" w:hint="default"/>
                <w:sz w:val="18"/>
                <w:szCs w:val="18"/>
              </w:rPr>
              <w:t>长春市社会保 险事业管理中</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15"/>
              <w:jc w:val="left"/>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13,409.00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497"/>
        <w:gridCol w:w="1771"/>
        <w:gridCol w:w="708"/>
        <w:gridCol w:w="566"/>
        <w:gridCol w:w="1133"/>
        <w:gridCol w:w="1136"/>
        <w:gridCol w:w="1063"/>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心</w:t>
            </w:r>
          </w:p>
        </w:tc>
        <w:tc>
          <w:tcPr>
            <w:tcW w:w="49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10"/>
                <w:sz w:val="18"/>
                <w:szCs w:val="18"/>
              </w:rPr>
              <w:t>专利补贴（长春继</w:t>
            </w:r>
            <w:r>
              <w:rPr>
                <w:rFonts w:ascii="宋体" w:hAnsi="宋体" w:cs="宋体" w:eastAsia="宋体" w:hint="default"/>
                <w:sz w:val="18"/>
                <w:szCs w:val="18"/>
              </w:rPr>
              <w:t> 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长春高新区管 委会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高新补助（长春继</w:t>
            </w:r>
            <w:r>
              <w:rPr>
                <w:rFonts w:ascii="宋体" w:hAnsi="宋体" w:cs="宋体" w:eastAsia="宋体" w:hint="default"/>
                <w:sz w:val="18"/>
                <w:szCs w:val="18"/>
              </w:rPr>
              <w:t> 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长春高新区管 委会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重点科研项目补 助（长春继珩）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吉林省科技厅</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中关村示范区科 技型小微企业研 发费用支持资金</w:t>
            </w:r>
          </w:p>
          <w:p>
            <w:pPr>
              <w:pStyle w:val="TableParagraph"/>
              <w:spacing w:line="240" w:lineRule="auto" w:before="17"/>
              <w:ind w:left="24" w:right="0"/>
              <w:jc w:val="both"/>
              <w:rPr>
                <w:rFonts w:ascii="宋体" w:hAnsi="宋体" w:cs="宋体" w:eastAsia="宋体" w:hint="default"/>
                <w:sz w:val="18"/>
                <w:szCs w:val="18"/>
              </w:rPr>
            </w:pPr>
            <w:r>
              <w:rPr>
                <w:rFonts w:ascii="宋体" w:hAnsi="宋体" w:cs="宋体" w:eastAsia="宋体" w:hint="default"/>
                <w:sz w:val="18"/>
                <w:szCs w:val="18"/>
              </w:rPr>
              <w:t>（北京富优）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1"/>
              <w:jc w:val="left"/>
              <w:rPr>
                <w:rFonts w:ascii="宋体" w:hAnsi="宋体" w:cs="宋体" w:eastAsia="宋体" w:hint="default"/>
                <w:sz w:val="18"/>
                <w:szCs w:val="18"/>
              </w:rPr>
            </w:pPr>
            <w:r>
              <w:rPr>
                <w:rFonts w:ascii="宋体" w:hAnsi="宋体" w:cs="宋体" w:eastAsia="宋体" w:hint="default"/>
                <w:sz w:val="18"/>
                <w:szCs w:val="18"/>
              </w:rPr>
              <w:t>中关村科技园 区管理委员会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12,148.60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增值税返还款（北</w:t>
            </w:r>
            <w:r>
              <w:rPr>
                <w:rFonts w:ascii="宋体" w:hAnsi="宋体" w:cs="宋体" w:eastAsia="宋体" w:hint="default"/>
                <w:sz w:val="18"/>
                <w:szCs w:val="18"/>
              </w:rPr>
              <w:t> 京富优）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北京市丰台区 国家税务局第 五税务所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47,654.86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286,984.93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增值税返还款（成</w:t>
            </w:r>
            <w:r>
              <w:rPr>
                <w:rFonts w:ascii="宋体" w:hAnsi="宋体" w:cs="宋体" w:eastAsia="宋体" w:hint="default"/>
                <w:sz w:val="18"/>
                <w:szCs w:val="18"/>
              </w:rPr>
              <w:t> 都宇祺）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1"/>
              <w:jc w:val="left"/>
              <w:rPr>
                <w:rFonts w:ascii="宋体" w:hAnsi="宋体" w:cs="宋体" w:eastAsia="宋体" w:hint="default"/>
                <w:sz w:val="18"/>
                <w:szCs w:val="18"/>
              </w:rPr>
            </w:pPr>
            <w:r>
              <w:rPr>
                <w:rFonts w:ascii="宋体" w:hAnsi="宋体" w:cs="宋体" w:eastAsia="宋体" w:hint="default"/>
                <w:sz w:val="18"/>
                <w:szCs w:val="18"/>
              </w:rPr>
              <w:t>成都高新区国 税局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110,724.96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30,851.18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增值税返还款（富</w:t>
            </w:r>
            <w:r>
              <w:rPr>
                <w:rFonts w:ascii="宋体" w:hAnsi="宋体" w:cs="宋体" w:eastAsia="宋体" w:hint="default"/>
                <w:sz w:val="18"/>
                <w:szCs w:val="18"/>
              </w:rPr>
              <w:t> 华宇祺）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北京市丰台区 国家税务局第 五税务所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680,460.03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778,075.74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中关村丰台园区 的创新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条的补 助收入（富华宇 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中关村丰台科 技园区管理委 员会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394,000.00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代扣代缴个税手 续返还（富华宇 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北京市丰台区 国家税务局第 五税务所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13,638.64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稳岗补助（上海富</w:t>
            </w:r>
            <w:r>
              <w:rPr>
                <w:rFonts w:ascii="宋体" w:hAnsi="宋体" w:cs="宋体" w:eastAsia="宋体" w:hint="default"/>
                <w:sz w:val="18"/>
                <w:szCs w:val="18"/>
              </w:rPr>
              <w:t> 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上海市社会保 险事业管理中 心</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13,962.00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增值税进项税额 </w:t>
            </w:r>
            <w:r>
              <w:rPr>
                <w:rFonts w:ascii="宋体" w:hAnsi="宋体" w:cs="宋体" w:eastAsia="宋体" w:hint="default"/>
                <w:spacing w:val="-10"/>
                <w:sz w:val="18"/>
                <w:szCs w:val="18"/>
              </w:rPr>
              <w:t>加计抵减（上海富</w:t>
            </w:r>
            <w:r>
              <w:rPr>
                <w:rFonts w:ascii="宋体" w:hAnsi="宋体" w:cs="宋体" w:eastAsia="宋体" w:hint="default"/>
                <w:sz w:val="18"/>
                <w:szCs w:val="18"/>
              </w:rPr>
              <w:t> 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上海市浦东新 区国家税务局 第十五税务所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13,895.15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497"/>
        <w:gridCol w:w="1771"/>
        <w:gridCol w:w="708"/>
        <w:gridCol w:w="566"/>
        <w:gridCol w:w="1133"/>
        <w:gridCol w:w="1136"/>
        <w:gridCol w:w="1063"/>
      </w:tblGrid>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增值税返还款（上</w:t>
            </w:r>
            <w:r>
              <w:rPr>
                <w:rFonts w:ascii="宋体" w:hAnsi="宋体" w:cs="宋体" w:eastAsia="宋体" w:hint="default"/>
                <w:sz w:val="18"/>
                <w:szCs w:val="18"/>
              </w:rPr>
              <w:t> 海富华）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上海市浦东新 区国家税务局 第十五税务所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9,753.87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304,287.15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代扣代缴个税手 续返还（上海富 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上海市浦东新 区国家税务局 第十五税务所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4,718.67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软件著作权补贴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（泰安宇祺）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规模以上企业补 贴（泰安宇祺）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研发财政补助（泰</w:t>
            </w:r>
            <w:r>
              <w:rPr>
                <w:rFonts w:ascii="宋体" w:hAnsi="宋体" w:cs="宋体" w:eastAsia="宋体" w:hint="default"/>
                <w:sz w:val="18"/>
                <w:szCs w:val="18"/>
              </w:rPr>
              <w:t> 安宇祺）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244,200.00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研发财政补助（精</w:t>
            </w:r>
            <w:r>
              <w:rPr>
                <w:rFonts w:ascii="宋体" w:hAnsi="宋体" w:cs="宋体" w:eastAsia="宋体" w:hint="default"/>
                <w:sz w:val="18"/>
                <w:szCs w:val="18"/>
              </w:rPr>
              <w:t> 准信息）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747,200.00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研发财政补助（精</w:t>
            </w:r>
            <w:r>
              <w:rPr>
                <w:rFonts w:ascii="宋体" w:hAnsi="宋体" w:cs="宋体" w:eastAsia="宋体" w:hint="default"/>
                <w:sz w:val="18"/>
                <w:szCs w:val="18"/>
              </w:rPr>
              <w:t> 准信息）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科技创新发展项 目补助（精准信 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稳岗补助（精准信</w:t>
            </w:r>
            <w:r>
              <w:rPr>
                <w:rFonts w:ascii="宋体" w:hAnsi="宋体" w:cs="宋体" w:eastAsia="宋体" w:hint="default"/>
                <w:sz w:val="18"/>
                <w:szCs w:val="18"/>
              </w:rPr>
              <w:t> 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山东省泰安市 社会劳动保险 事业处</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两新组织经费补 助（精准信息）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中共泰安高新 技术产业开发 区企业委员会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z w:val="18"/>
                <w:szCs w:val="18"/>
              </w:rPr>
              <w:t>代扣代缴个税手 续返还（精准信 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1"/>
              <w:jc w:val="left"/>
              <w:rPr>
                <w:rFonts w:ascii="宋体" w:hAnsi="宋体" w:cs="宋体" w:eastAsia="宋体" w:hint="default"/>
                <w:sz w:val="18"/>
                <w:szCs w:val="18"/>
              </w:rPr>
            </w:pPr>
            <w:r>
              <w:rPr>
                <w:rFonts w:ascii="宋体" w:hAnsi="宋体" w:cs="宋体" w:eastAsia="宋体" w:hint="default"/>
                <w:sz w:val="18"/>
                <w:szCs w:val="18"/>
              </w:rPr>
              <w:t>泰安市高新区 国税局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31,510.50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增值税返还款（尤</w:t>
            </w:r>
            <w:r>
              <w:rPr>
                <w:rFonts w:ascii="宋体" w:hAnsi="宋体" w:cs="宋体" w:eastAsia="宋体" w:hint="default"/>
                <w:sz w:val="18"/>
                <w:szCs w:val="18"/>
              </w:rPr>
              <w:t> 洛卡北京）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北京海淀区国 家税务局第七 税务所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1,074,859.44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961,697.13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129.020004pt;margin-top:531.789978pt;width:61pt;height:31.2pt;mso-position-horizontal-relative:page;mso-position-vertical-relative:page;z-index:-881416" coordorigin="2580,10636" coordsize="1220,624">
            <v:group style="position:absolute;left:2580;top:10636;width:1220;height:312" coordorigin="2580,10636" coordsize="1220,312">
              <v:shape style="position:absolute;left:2580;top:10636;width:1220;height:312" coordorigin="2580,10636" coordsize="1220,312" path="m2580,10948l3800,10948,3800,10636,2580,10636,2580,10948xe" filled="true" fillcolor="#ffffff" stroked="false">
                <v:path arrowok="t"/>
                <v:fill type="solid"/>
              </v:shape>
            </v:group>
            <v:group style="position:absolute;left:2580;top:10948;width:1220;height:312" coordorigin="2580,10948" coordsize="1220,312">
              <v:shape style="position:absolute;left:2580;top:10948;width:1220;height:312" coordorigin="2580,10948" coordsize="1220,312" path="m2580,11260l3800,11260,3800,10948,2580,10948,2580,11260xe" filled="true" fillcolor="#ffffff" stroked="false">
                <v:path arrowok="t"/>
                <v:fill type="solid"/>
              </v:shape>
            </v:group>
            <w10:wrap type="none"/>
          </v:group>
        </w:pict>
      </w:r>
      <w:r>
        <w:rPr/>
        <w:pict>
          <v:group style="position:absolute;margin-left:129.020004pt;margin-top:716.859985pt;width:61pt;height:15.6pt;mso-position-horizontal-relative:page;mso-position-vertical-relative:page;z-index:-881392" coordorigin="2580,14337" coordsize="1220,312">
            <v:shape style="position:absolute;left:2580;top:14337;width:1220;height:312" coordorigin="2580,14337" coordsize="1220,312" path="m2580,14649l3800,14649,3800,14337,2580,14337,2580,1464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419"/>
        <w:gridCol w:w="1277"/>
        <w:gridCol w:w="497"/>
        <w:gridCol w:w="1771"/>
        <w:gridCol w:w="708"/>
        <w:gridCol w:w="566"/>
        <w:gridCol w:w="1133"/>
        <w:gridCol w:w="1136"/>
        <w:gridCol w:w="1063"/>
      </w:tblGrid>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0"/>
                <w:sz w:val="18"/>
                <w:szCs w:val="18"/>
              </w:rPr>
              <w:t>增值税返还款（矿</w:t>
            </w:r>
            <w:r>
              <w:rPr>
                <w:rFonts w:ascii="宋体" w:hAnsi="宋体" w:cs="宋体" w:eastAsia="宋体" w:hint="default"/>
                <w:sz w:val="18"/>
                <w:szCs w:val="18"/>
              </w:rPr>
              <w:t> 业科技）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1"/>
              <w:jc w:val="left"/>
              <w:rPr>
                <w:rFonts w:ascii="宋体" w:hAnsi="宋体" w:cs="宋体" w:eastAsia="宋体" w:hint="default"/>
                <w:sz w:val="18"/>
                <w:szCs w:val="18"/>
              </w:rPr>
            </w:pPr>
            <w:r>
              <w:rPr>
                <w:rFonts w:ascii="宋体" w:hAnsi="宋体" w:cs="宋体" w:eastAsia="宋体" w:hint="default"/>
                <w:sz w:val="18"/>
                <w:szCs w:val="18"/>
              </w:rPr>
              <w:t>泰安市高新区 国税局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221,611.03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1,151,777.60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代扣代缴个税手 续返还（矿业科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1"/>
              <w:jc w:val="left"/>
              <w:rPr>
                <w:rFonts w:ascii="宋体" w:hAnsi="宋体" w:cs="宋体" w:eastAsia="宋体" w:hint="default"/>
                <w:sz w:val="18"/>
                <w:szCs w:val="18"/>
              </w:rPr>
            </w:pPr>
            <w:r>
              <w:rPr>
                <w:rFonts w:ascii="宋体" w:hAnsi="宋体" w:cs="宋体" w:eastAsia="宋体" w:hint="default"/>
                <w:sz w:val="18"/>
                <w:szCs w:val="18"/>
              </w:rPr>
              <w:t>泰安市高新区 国税局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9"/>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660.79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专利补贴（矿业科</w:t>
            </w:r>
            <w:r>
              <w:rPr>
                <w:rFonts w:ascii="宋体" w:hAnsi="宋体" w:cs="宋体" w:eastAsia="宋体" w:hint="default"/>
                <w:sz w:val="18"/>
                <w:szCs w:val="18"/>
              </w:rPr>
              <w:t>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山东省知识产 权局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研发财政补助（矿</w:t>
            </w:r>
            <w:r>
              <w:rPr>
                <w:rFonts w:ascii="宋体" w:hAnsi="宋体" w:cs="宋体" w:eastAsia="宋体" w:hint="default"/>
                <w:sz w:val="18"/>
                <w:szCs w:val="18"/>
              </w:rPr>
              <w:t> 业科技）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研发财政补助（矿</w:t>
            </w:r>
            <w:r>
              <w:rPr>
                <w:rFonts w:ascii="宋体" w:hAnsi="宋体" w:cs="宋体" w:eastAsia="宋体" w:hint="default"/>
                <w:sz w:val="18"/>
                <w:szCs w:val="18"/>
              </w:rPr>
              <w:t> 业科技）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研发财政补助（矿</w:t>
            </w:r>
            <w:r>
              <w:rPr>
                <w:rFonts w:ascii="宋体" w:hAnsi="宋体" w:cs="宋体" w:eastAsia="宋体" w:hint="default"/>
                <w:sz w:val="18"/>
                <w:szCs w:val="18"/>
              </w:rPr>
              <w:t> 业科技）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山东省科学技 术厅</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稳岗补助（矿业科</w:t>
            </w:r>
            <w:r>
              <w:rPr>
                <w:rFonts w:ascii="宋体" w:hAnsi="宋体" w:cs="宋体" w:eastAsia="宋体" w:hint="default"/>
                <w:sz w:val="18"/>
                <w:szCs w:val="18"/>
              </w:rPr>
              <w:t>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山东省泰安市 社会劳动保险 事业处</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支持企业加强技 术创新（矿业科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代扣代缴个税手 续返还（尤洛卡 矿业科技）</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312" w:lineRule="exact" w:before="9"/>
              <w:ind w:left="16" w:right="161"/>
              <w:jc w:val="left"/>
              <w:rPr>
                <w:rFonts w:ascii="宋体" w:hAnsi="宋体" w:cs="宋体" w:eastAsia="宋体" w:hint="default"/>
                <w:sz w:val="18"/>
                <w:szCs w:val="18"/>
              </w:rPr>
            </w:pPr>
            <w:r>
              <w:rPr>
                <w:rFonts w:ascii="宋体" w:hAnsi="宋体" w:cs="宋体" w:eastAsia="宋体" w:hint="default"/>
                <w:sz w:val="18"/>
                <w:szCs w:val="18"/>
              </w:rPr>
              <w:t>泰安市地方税 务局高新技术</w:t>
            </w:r>
          </w:p>
          <w:p>
            <w:pPr>
              <w:pStyle w:val="TableParagraph"/>
              <w:spacing w:line="7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产业开发区分</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243,792.72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企业发展资金（师</w:t>
            </w:r>
            <w:r>
              <w:rPr>
                <w:rFonts w:ascii="宋体" w:hAnsi="宋体" w:cs="宋体" w:eastAsia="宋体" w:hint="default"/>
                <w:sz w:val="18"/>
                <w:szCs w:val="18"/>
              </w:rPr>
              <w:t> 凯科技）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长春高新技术 产业开发区管 理委员会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专利补贴（师凯科</w:t>
            </w:r>
            <w:r>
              <w:rPr>
                <w:rFonts w:ascii="宋体" w:hAnsi="宋体" w:cs="宋体" w:eastAsia="宋体" w:hint="default"/>
                <w:sz w:val="18"/>
                <w:szCs w:val="18"/>
              </w:rPr>
              <w:t>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长春高新技术 产业开发区管 理委员会</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41"/>
              <w:jc w:val="left"/>
              <w:rPr>
                <w:rFonts w:ascii="宋体" w:hAnsi="宋体" w:cs="宋体" w:eastAsia="宋体" w:hint="default"/>
                <w:sz w:val="18"/>
                <w:szCs w:val="18"/>
              </w:rPr>
            </w:pPr>
            <w:r>
              <w:rPr>
                <w:rFonts w:ascii="宋体" w:hAnsi="宋体" w:cs="宋体" w:eastAsia="宋体" w:hint="default"/>
                <w:sz w:val="18"/>
                <w:szCs w:val="18"/>
              </w:rPr>
              <w:t>软件及集成电路 </w:t>
            </w:r>
            <w:r>
              <w:rPr>
                <w:rFonts w:ascii="宋体" w:hAnsi="宋体" w:cs="宋体" w:eastAsia="宋体" w:hint="default"/>
                <w:spacing w:val="-3"/>
                <w:sz w:val="18"/>
                <w:szCs w:val="18"/>
              </w:rPr>
              <w:t>补贴（上海富华）</w:t>
            </w:r>
            <w:r>
              <w:rPr>
                <w:rFonts w:ascii="宋体" w:hAnsi="宋体" w:cs="宋体" w:eastAsia="宋体" w:hint="default"/>
                <w:sz w:val="18"/>
                <w:szCs w:val="18"/>
              </w:rPr>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312" w:lineRule="auto" w:before="51"/>
              <w:ind w:left="16" w:right="101"/>
              <w:jc w:val="left"/>
              <w:rPr>
                <w:rFonts w:ascii="宋体" w:hAnsi="宋体" w:cs="宋体" w:eastAsia="宋体" w:hint="default"/>
                <w:sz w:val="18"/>
                <w:szCs w:val="18"/>
              </w:rPr>
            </w:pPr>
            <w:r>
              <w:rPr>
                <w:rFonts w:ascii="宋体" w:hAnsi="宋体" w:cs="宋体" w:eastAsia="宋体" w:hint="default"/>
                <w:sz w:val="18"/>
                <w:szCs w:val="18"/>
              </w:rPr>
              <w:t>待报解预算收 入</w:t>
            </w:r>
            <w:r>
              <w:rPr>
                <w:rFonts w:ascii="Times New Roman" w:hAnsi="Times New Roman" w:cs="Times New Roman" w:eastAsia="Times New Roman" w:hint="default"/>
                <w:sz w:val="18"/>
                <w:szCs w:val="18"/>
              </w:rPr>
              <w:t>-</w:t>
            </w:r>
            <w:r>
              <w:rPr>
                <w:rFonts w:ascii="宋体" w:hAnsi="宋体" w:cs="宋体" w:eastAsia="宋体" w:hint="default"/>
                <w:sz w:val="18"/>
                <w:szCs w:val="18"/>
              </w:rPr>
              <w:t>市级财政直 接支付资金清 算账户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w w:val="95"/>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497"/>
        <w:gridCol w:w="1771"/>
        <w:gridCol w:w="708"/>
        <w:gridCol w:w="566"/>
        <w:gridCol w:w="1133"/>
        <w:gridCol w:w="1136"/>
        <w:gridCol w:w="1063"/>
      </w:tblGrid>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0"/>
                <w:sz w:val="18"/>
                <w:szCs w:val="18"/>
              </w:rPr>
              <w:t>创新创业补贴（成</w:t>
            </w:r>
            <w:r>
              <w:rPr>
                <w:rFonts w:ascii="宋体" w:hAnsi="宋体" w:cs="宋体" w:eastAsia="宋体" w:hint="default"/>
                <w:sz w:val="18"/>
                <w:szCs w:val="18"/>
              </w:rPr>
              <w:t> 都宇祺）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成都高新技术 产业开发区创 新创业服务中 心</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专利补贴（尤洛 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泰安市市直机 关财务结算管 理服务中心</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高新技术企业奖 </w:t>
            </w:r>
            <w:r>
              <w:rPr>
                <w:rFonts w:ascii="宋体" w:hAnsi="宋体" w:cs="宋体" w:eastAsia="宋体" w:hint="default"/>
                <w:spacing w:val="-10"/>
                <w:sz w:val="18"/>
                <w:szCs w:val="18"/>
              </w:rPr>
              <w:t>励及专利奖励（尤</w:t>
            </w:r>
            <w:r>
              <w:rPr>
                <w:rFonts w:ascii="宋体" w:hAnsi="宋体" w:cs="宋体" w:eastAsia="宋体" w:hint="default"/>
                <w:sz w:val="18"/>
                <w:szCs w:val="18"/>
              </w:rPr>
              <w:t> 洛卡）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泰安市高新技 术产业开发区 财政局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三强企业认定高 新技术企业财政 补助（尤洛卡）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泰安市高新技 术产业开发区 财政局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专利资助资金（尤</w:t>
            </w:r>
            <w:r>
              <w:rPr>
                <w:rFonts w:ascii="宋体" w:hAnsi="宋体" w:cs="宋体" w:eastAsia="宋体" w:hint="default"/>
                <w:sz w:val="18"/>
                <w:szCs w:val="18"/>
              </w:rPr>
              <w:t> 洛卡）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泰安市市直机 关财务结算管 理服务中心</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科技创新发展资 金（矿业科技）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泰安高新技术 产业开发区财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92"/>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15,626.05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15,626.05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债务豁免损失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2,312,430.29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36,766.01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147,395.25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36,766.01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148,392.06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2,659,825.54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148,392.06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16,979,680.16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19,498,031.20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-5,136,286.20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-4,360,023.40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11,843,393.96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15,138,007.80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68,364,398.58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10,254,659.79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-2,002,583.53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-851,673.84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167,469.63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749,281.74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8,651,633.32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115,655.31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-5,241,279.59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11,843,393.96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44</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7,418,188.53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6,388,706.22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3,540,248.20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1,148,802.72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8,960,423.03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8,016,604.39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2,048,898.38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2,096,975.44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履约保函金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3,291,749.66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1,154,915.08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9,752,349.69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7,722,622.31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35,011,857.49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26,528,626.16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费用付现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60,199,339.03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58,849,654.56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10,125,783.54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6,709,196.33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履约保函金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1,700,775.17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73,214,122.57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67,259,626.06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支付限制性股票回购注销款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888,570.00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支付现金股利手续费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29,980.85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29,496.59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382,914.53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918,550.85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412,411.12</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56,521,004.62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86,421,058.59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18,204,611.81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26,384,508.66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16,381,884.58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17,098,849.73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14,053,018.55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11,187,921.98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38,192.68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-105,192.75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-240,337.41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15,626.05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278,762.94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483,664.37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-4,728,740.46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-6,035,565.85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-4,466,329.32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-3,449,097.18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-669,956.88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-910,926.22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71.939980pt;width:151.25pt;height:20.65pt;mso-position-horizontal-relative:page;mso-position-vertical-relative:page;z-index:-881368" coordorigin="4467,1439" coordsize="3025,413">
            <v:group style="position:absolute;left:4478;top:1450;width:2;height:392" coordorigin="4478,1450" coordsize="2,392">
              <v:shape style="position:absolute;left:4478;top:1450;width:2;height:392" coordorigin="4478,1450" coordsize="0,392" path="m4478,1450l4478,1841e" filled="false" stroked="true" strokeweight="1.08pt" strokecolor="#ffffff">
                <v:path arrowok="t"/>
              </v:shape>
            </v:group>
            <v:group style="position:absolute;left:4489;top:1450;width:3003;height:392" coordorigin="4489,1450" coordsize="3003,392">
              <v:shape style="position:absolute;left:4489;top:1450;width:3003;height:392" coordorigin="4489,1450" coordsize="3003,392" path="m4489,1841l7492,1841,7492,1450,4489,1450,4489,184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09"/>
        <w:gridCol w:w="2060"/>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-83,540,692.07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-16,122,943.29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47,990,922.97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-49,990,934.88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9" w:right="0"/>
              <w:jc w:val="left"/>
              <w:rPr>
                <w:rFonts w:ascii="Times New Roman" w:hAnsi="Times New Roman" w:cs="Times New Roman" w:eastAsia="Times New Roman" w:hint="default"/>
                <w:sz w:val="18"/>
                <w:szCs w:val="18"/>
              </w:rPr>
            </w:pPr>
            <w:r>
              <w:rPr>
                <w:rFonts w:ascii="Times New Roman"/>
                <w:sz w:val="18"/>
              </w:rPr>
              <w:t>115,237,659.87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-26,486,205.38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1,631,600.00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6,438,600.00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176,842,372.59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44,816,785.80</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175,910,673.59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144,005,044.44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144,005,044.44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291,622,171.36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31,905,629.15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-147,617,126.92</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175,910,673.59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144,005,044.44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55,403.96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25,152.49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175,855,269.63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143,979,891.95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175,910,673.59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144,005,044.44</w:t>
            </w:r>
          </w:p>
        </w:tc>
      </w:tr>
    </w:tbl>
    <w:p>
      <w:pPr>
        <w:spacing w:before="49"/>
        <w:ind w:left="152" w:right="99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992"/>
        <w:jc w:val="left"/>
        <w:rPr>
          <w:b w:val="0"/>
          <w:bCs w:val="0"/>
        </w:rPr>
      </w:pPr>
      <w:r>
        <w:rPr>
          <w:rFonts w:ascii="Times New Roman" w:hAnsi="Times New Roman" w:cs="Times New Roman" w:eastAsia="Times New Roman" w:hint="default"/>
        </w:rPr>
        <w:t>46</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2,889,000.00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履约保函金，附注七、</w:t>
            </w:r>
            <w:r>
              <w:rPr>
                <w:rFonts w:ascii="Times New Roman" w:hAnsi="Times New Roman" w:cs="Times New Roman" w:eastAsia="Times New Roman" w:hint="default"/>
                <w:sz w:val="18"/>
                <w:szCs w:val="18"/>
              </w:rPr>
              <w:t>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2,889,000.00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47</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31,656,045.08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31,656,045.08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35"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992"/>
        <w:jc w:val="left"/>
        <w:rPr>
          <w:b w:val="0"/>
          <w:bCs w:val="0"/>
        </w:rPr>
      </w:pPr>
      <w:r>
        <w:rPr/>
        <w:t>八、合并范围的变更</w:t>
      </w:r>
      <w:r>
        <w:rPr>
          <w:b w:val="0"/>
          <w:bCs w:val="0"/>
        </w:rPr>
      </w:r>
    </w:p>
    <w:p>
      <w:pPr>
        <w:spacing w:line="692" w:lineRule="exact" w:before="17"/>
        <w:ind w:left="573" w:right="992" w:hanging="421"/>
        <w:jc w:val="left"/>
        <w:rPr>
          <w:rFonts w:ascii="宋体" w:hAnsi="宋体" w:cs="宋体" w:eastAsia="宋体" w:hint="default"/>
          <w:sz w:val="21"/>
          <w:szCs w:val="21"/>
        </w:rPr>
      </w:pP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说明其他原因导致的合并范围变动（如，新设子公司、清算子公司等）及其相关情况：本集团本年度</w:t>
      </w:r>
    </w:p>
    <w:p>
      <w:pPr>
        <w:pStyle w:val="BodyText"/>
        <w:spacing w:line="240" w:lineRule="auto" w:before="84"/>
        <w:ind w:right="992"/>
        <w:jc w:val="left"/>
      </w:pPr>
      <w:r>
        <w:rPr/>
        <w:t>合并范围与上年度相比新增出资设立</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户二级子公司。</w:t>
      </w:r>
    </w:p>
    <w:p>
      <w:pPr>
        <w:spacing w:line="240" w:lineRule="auto" w:before="6"/>
        <w:rPr>
          <w:rFonts w:ascii="宋体" w:hAnsi="宋体" w:cs="宋体" w:eastAsia="宋体" w:hint="default"/>
          <w:sz w:val="28"/>
          <w:szCs w:val="28"/>
        </w:rPr>
      </w:pPr>
    </w:p>
    <w:p>
      <w:pPr>
        <w:pStyle w:val="Heading2"/>
        <w:spacing w:line="240" w:lineRule="auto"/>
        <w:ind w:right="992"/>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850"/>
        <w:gridCol w:w="3260"/>
        <w:gridCol w:w="852"/>
        <w:gridCol w:w="850"/>
        <w:gridCol w:w="1066"/>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26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尤洛卡（山东）矿 业科技有限公司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矿山深部地压监测仪器、防治设备及材料</w:t>
            </w:r>
            <w:r>
              <w:rPr>
                <w:rFonts w:ascii="宋体" w:hAnsi="宋体" w:cs="宋体" w:eastAsia="宋体" w:hint="default"/>
                <w:sz w:val="18"/>
                <w:szCs w:val="18"/>
              </w:rPr>
              <w:t> 的研发、生产、销售等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尤洛卡（上海）国 际贸易有限公司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从事货物及技术的进出口业务，转口贸 </w:t>
            </w:r>
            <w:r>
              <w:rPr>
                <w:rFonts w:ascii="宋体" w:hAnsi="宋体" w:cs="宋体" w:eastAsia="宋体" w:hint="default"/>
                <w:spacing w:val="-2"/>
                <w:sz w:val="18"/>
                <w:szCs w:val="18"/>
              </w:rPr>
              <w:t>易，保税区内企业间的贸易及贸易代理等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尤洛卡（北京）产 业信息技术研究院 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z w:val="18"/>
                <w:szCs w:val="18"/>
              </w:rPr>
              <w:t>工程和技术研究与实验发展；技术开发、 技术服务、技术咨询、技术推广等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尤洛卡（广东）精 准信息工程技术研 究院有限公司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3"/>
                <w:sz w:val="18"/>
                <w:szCs w:val="18"/>
              </w:rPr>
              <w:t>智能制造、激光雷达、光电信息、人工智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能技术、智能化光机电技术、军民融合技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术研发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北京富华宇祺信息 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从事加工矿用无源光网络设备；生产经营</w:t>
            </w:r>
            <w:r>
              <w:rPr>
                <w:rFonts w:ascii="宋体" w:hAnsi="宋体" w:cs="宋体" w:eastAsia="宋体" w:hint="default"/>
                <w:sz w:val="18"/>
                <w:szCs w:val="18"/>
              </w:rPr>
              <w:t> 矿用通讯产品等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63.99%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长春师凯科技产业 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泰安市强德食品有 限公司司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预包装食品销售；谷物加工、销售；食品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设备研发、生产及销售</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山东安冷新材料科 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宁阳</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5"/>
              <w:jc w:val="left"/>
              <w:rPr>
                <w:rFonts w:ascii="宋体" w:hAnsi="宋体" w:cs="宋体" w:eastAsia="宋体" w:hint="default"/>
                <w:sz w:val="18"/>
                <w:szCs w:val="18"/>
              </w:rPr>
            </w:pPr>
            <w:r>
              <w:rPr>
                <w:rFonts w:ascii="宋体" w:hAnsi="宋体" w:cs="宋体" w:eastAsia="宋体" w:hint="default"/>
                <w:sz w:val="18"/>
                <w:szCs w:val="18"/>
              </w:rPr>
              <w:t>隔热材料、保温材料、塑料制品的研发、 </w:t>
            </w:r>
            <w:r>
              <w:rPr>
                <w:rFonts w:ascii="宋体" w:hAnsi="宋体" w:cs="宋体" w:eastAsia="宋体" w:hint="default"/>
                <w:spacing w:val="-5"/>
                <w:sz w:val="18"/>
                <w:szCs w:val="18"/>
              </w:rPr>
              <w:t>生产、销售及技术咨询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制冷设备和空调设</w:t>
            </w:r>
            <w:r>
              <w:rPr>
                <w:rFonts w:ascii="宋体" w:hAnsi="宋体" w:cs="宋体" w:eastAsia="宋体" w:hint="default"/>
                <w:spacing w:val="-82"/>
                <w:sz w:val="18"/>
                <w:szCs w:val="18"/>
              </w:rPr>
              <w:t> </w:t>
            </w:r>
            <w:r>
              <w:rPr>
                <w:rFonts w:ascii="宋体" w:hAnsi="宋体" w:cs="宋体" w:eastAsia="宋体" w:hint="default"/>
                <w:sz w:val="18"/>
                <w:szCs w:val="18"/>
              </w:rPr>
              <w:t>备制造</w:t>
            </w:r>
            <w:r>
              <w:rPr>
                <w:rFonts w:ascii="Times New Roman" w:hAnsi="Times New Roman" w:cs="Times New Roman" w:eastAsia="Times New Roman" w:hint="default"/>
                <w:sz w:val="18"/>
                <w:szCs w:val="18"/>
              </w:rPr>
              <w:t>;</w:t>
            </w:r>
            <w:r>
              <w:rPr>
                <w:rFonts w:ascii="宋体" w:hAnsi="宋体" w:cs="宋体" w:eastAsia="宋体" w:hint="default"/>
                <w:sz w:val="18"/>
                <w:szCs w:val="18"/>
              </w:rPr>
              <w:t>化工产品</w:t>
            </w:r>
            <w:r>
              <w:rPr>
                <w:rFonts w:ascii="Times New Roman" w:hAnsi="Times New Roman" w:cs="Times New Roman" w:eastAsia="Times New Roman" w:hint="default"/>
                <w:sz w:val="18"/>
                <w:szCs w:val="18"/>
              </w:rPr>
              <w:t>(</w:t>
            </w:r>
            <w:r>
              <w:rPr>
                <w:rFonts w:ascii="宋体" w:hAnsi="宋体" w:cs="宋体" w:eastAsia="宋体" w:hint="default"/>
                <w:sz w:val="18"/>
                <w:szCs w:val="18"/>
              </w:rPr>
              <w:t>危险化学品及监控化学 品除外</w:t>
            </w:r>
            <w:r>
              <w:rPr>
                <w:rFonts w:ascii="Times New Roman" w:hAnsi="Times New Roman" w:cs="Times New Roman" w:eastAsia="Times New Roman" w:hint="default"/>
                <w:sz w:val="18"/>
                <w:szCs w:val="18"/>
              </w:rPr>
              <w:t>)</w:t>
            </w:r>
            <w:r>
              <w:rPr>
                <w:rFonts w:ascii="宋体" w:hAnsi="宋体" w:cs="宋体" w:eastAsia="宋体" w:hint="default"/>
                <w:sz w:val="18"/>
                <w:szCs w:val="18"/>
              </w:rPr>
              <w:t>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医疗器械的研发、生产及 销售</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计算机软硬件、电子</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97.269989pt;margin-top:294.109985pt;width:42pt;height:59.1pt;mso-position-horizontal-relative:page;mso-position-vertical-relative:page;z-index:-881344" coordorigin="7945,5882" coordsize="840,1182">
            <v:group style="position:absolute;left:7956;top:5893;width:2;height:392" coordorigin="7956,5893" coordsize="2,392">
              <v:shape style="position:absolute;left:7956;top:5893;width:2;height:392" coordorigin="7956,5893" coordsize="0,392" path="m7956,5893l7956,6284e" filled="false" stroked="true" strokeweight="1.08pt" strokecolor="#ffffff">
                <v:path arrowok="t"/>
              </v:shape>
            </v:group>
            <v:group style="position:absolute;left:7945;top:6284;width:840;height:780" coordorigin="7945,6284" coordsize="840,780">
              <v:shape style="position:absolute;left:7945;top:6284;width:840;height:780" coordorigin="7945,6284" coordsize="840,780" path="m7945,7064l8785,7064,8785,6284,7945,6284,7945,7064xe" filled="true" fillcolor="#ffffff" stroked="false">
                <v:path arrowok="t"/>
                <v:fill type="solid"/>
              </v:shape>
            </v:group>
            <v:group style="position:absolute;left:7967;top:5893;width:795;height:392" coordorigin="7967,5893" coordsize="795,392">
              <v:shape style="position:absolute;left:7967;top:5893;width:795;height:392" coordorigin="7967,5893" coordsize="795,392" path="m7967,6284l8761,6284,8761,5893,7967,5893,7967,6284xe" filled="true" fillcolor="#ffffff" stroked="false">
                <v:path arrowok="t"/>
                <v:fill type="solid"/>
              </v:shape>
            </v:group>
            <w10:wrap type="none"/>
          </v:group>
        </w:pict>
      </w:r>
      <w:r>
        <w:rPr/>
        <w:pict>
          <v:group style="position:absolute;margin-left:397.269989pt;margin-top:600.789978pt;width:42pt;height:31.2pt;mso-position-horizontal-relative:page;mso-position-vertical-relative:page;z-index:-881320" coordorigin="7945,12016" coordsize="840,624">
            <v:shape style="position:absolute;left:7945;top:12016;width:840;height:624" coordorigin="7945,12016" coordsize="840,624" path="m7945,12640l8785,12640,8785,12016,7945,12016,7945,1264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60"/>
        <w:gridCol w:w="1135"/>
        <w:gridCol w:w="850"/>
        <w:gridCol w:w="3260"/>
        <w:gridCol w:w="852"/>
        <w:gridCol w:w="850"/>
        <w:gridCol w:w="1066"/>
      </w:tblGrid>
      <w:tr>
        <w:trPr>
          <w:trHeight w:val="987"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both"/>
              <w:rPr>
                <w:rFonts w:ascii="宋体" w:hAnsi="宋体" w:cs="宋体" w:eastAsia="宋体" w:hint="default"/>
                <w:sz w:val="18"/>
                <w:szCs w:val="18"/>
              </w:rPr>
            </w:pPr>
            <w:r>
              <w:rPr>
                <w:rFonts w:ascii="宋体" w:hAnsi="宋体" w:cs="宋体" w:eastAsia="宋体" w:hint="default"/>
                <w:spacing w:val="-5"/>
                <w:sz w:val="18"/>
                <w:szCs w:val="18"/>
              </w:rPr>
              <w:t>产品、通信终端设备的研发与销售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互联网</w:t>
            </w:r>
            <w:r>
              <w:rPr>
                <w:rFonts w:ascii="宋体" w:hAnsi="宋体" w:cs="宋体" w:eastAsia="宋体" w:hint="default"/>
                <w:spacing w:val="-82"/>
                <w:sz w:val="18"/>
                <w:szCs w:val="18"/>
              </w:rPr>
              <w:t> </w:t>
            </w:r>
            <w:r>
              <w:rPr>
                <w:rFonts w:ascii="宋体" w:hAnsi="宋体" w:cs="宋体" w:eastAsia="宋体" w:hint="default"/>
                <w:sz w:val="18"/>
                <w:szCs w:val="18"/>
              </w:rPr>
              <w:t>接入及相关服务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互联网信息服务</w:t>
            </w:r>
            <w:r>
              <w:rPr>
                <w:rFonts w:ascii="Times New Roman" w:hAnsi="Times New Roman" w:cs="Times New Roman" w:eastAsia="Times New Roman" w:hint="default"/>
                <w:sz w:val="18"/>
                <w:szCs w:val="18"/>
              </w:rPr>
              <w:t>;</w:t>
            </w:r>
            <w:r>
              <w:rPr>
                <w:rFonts w:ascii="宋体" w:hAnsi="宋体" w:cs="宋体" w:eastAsia="宋体" w:hint="default"/>
                <w:sz w:val="18"/>
                <w:szCs w:val="18"/>
              </w:rPr>
              <w:t>进出口 贸易</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信息技术的研发及推广服务</w:t>
            </w:r>
            <w:r>
              <w:rPr>
                <w:rFonts w:ascii="Times New Roman" w:hAnsi="Times New Roman" w:cs="Times New Roman" w:eastAsia="Times New Roman" w:hint="default"/>
                <w:sz w:val="18"/>
                <w:szCs w:val="18"/>
              </w:rPr>
              <w:t>;</w:t>
            </w:r>
            <w:r>
              <w:rPr>
                <w:rFonts w:ascii="宋体" w:hAnsi="宋体" w:cs="宋体" w:eastAsia="宋体" w:hint="default"/>
                <w:sz w:val="18"/>
                <w:szCs w:val="18"/>
              </w:rPr>
              <w:t>工程和技术</w:t>
            </w:r>
          </w:p>
        </w:tc>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84"/>
              <w:jc w:val="left"/>
              <w:rPr>
                <w:rFonts w:ascii="宋体" w:hAnsi="宋体" w:cs="宋体" w:eastAsia="宋体" w:hint="default"/>
                <w:sz w:val="18"/>
                <w:szCs w:val="18"/>
              </w:rPr>
            </w:pPr>
            <w:r>
              <w:rPr>
                <w:rFonts w:ascii="宋体" w:hAnsi="宋体" w:cs="宋体" w:eastAsia="宋体" w:hint="default"/>
                <w:sz w:val="18"/>
                <w:szCs w:val="18"/>
              </w:rPr>
              <w:t>泰安市新达信息技 术有限公司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研究与试验发展</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计算机系统集成服务、数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据处理、软件开发、技术咨询、技术服务</w:t>
            </w:r>
            <w:r>
              <w:rPr>
                <w:rFonts w:ascii="Times New Roman" w:hAnsi="Times New Roman" w:cs="Times New Roman" w:eastAsia="Times New Roman" w:hint="default"/>
                <w:spacing w:val="-5"/>
                <w:sz w:val="18"/>
                <w:szCs w:val="18"/>
              </w:rPr>
              <w:t>;</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53"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计算机软硬件销售</w:t>
            </w: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信息技术开发、技术服务、技术转让、技</w:t>
            </w:r>
          </w:p>
        </w:tc>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成都速达尔信息技 术有限公司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3"/>
                <w:sz w:val="18"/>
                <w:szCs w:val="18"/>
              </w:rPr>
              <w:t>术咨询、技术推广；工程和技术研究与试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验发展；计算机系统服务；软件开发；销</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60"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售计算机软硬件</w:t>
            </w: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从事货物及技术的进出口业务，转口贸</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易，区内企业间的贸易及贸易代理，区内</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海南泰山国际贸易 有限公司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三亚</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三亚</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5"/>
              <w:jc w:val="left"/>
              <w:rPr>
                <w:rFonts w:ascii="宋体" w:hAnsi="宋体" w:cs="宋体" w:eastAsia="宋体" w:hint="default"/>
                <w:sz w:val="18"/>
                <w:szCs w:val="18"/>
              </w:rPr>
            </w:pPr>
            <w:r>
              <w:rPr>
                <w:rFonts w:ascii="宋体" w:hAnsi="宋体" w:cs="宋体" w:eastAsia="宋体" w:hint="default"/>
                <w:sz w:val="18"/>
                <w:szCs w:val="18"/>
              </w:rPr>
              <w:t>商品的展示，仓储（除危险品）及分拨， </w:t>
            </w:r>
            <w:r>
              <w:rPr>
                <w:rFonts w:ascii="宋体" w:hAnsi="宋体" w:cs="宋体" w:eastAsia="宋体" w:hint="default"/>
                <w:spacing w:val="-8"/>
                <w:sz w:val="18"/>
                <w:szCs w:val="18"/>
              </w:rPr>
              <w:t>工程机械设备租赁，商务咨询（除经纪）</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投资咨询，实业投资，工程机械设备的技</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术开发，技术转让，技术服务，技术咨询</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15"/>
              <w:jc w:val="left"/>
              <w:rPr>
                <w:rFonts w:ascii="宋体" w:hAnsi="宋体" w:cs="宋体" w:eastAsia="宋体" w:hint="default"/>
                <w:sz w:val="18"/>
                <w:szCs w:val="18"/>
              </w:rPr>
            </w:pPr>
            <w:r>
              <w:rPr>
                <w:rFonts w:ascii="宋体" w:hAnsi="宋体" w:cs="宋体" w:eastAsia="宋体" w:hint="default"/>
                <w:sz w:val="18"/>
                <w:szCs w:val="18"/>
              </w:rPr>
              <w:t>计算机软件的研发、设计、制作、销售，</w:t>
            </w:r>
          </w:p>
        </w:tc>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计算机硬件的研发、设计、销售，系统集</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上海富华软件有限 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成，及相关的技术转让、技术咨询、技术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服务，网络技术的研发，投资咨询，企业</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管理咨询，商务信息咨询，从事货物与技</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术的进出口业务</w:t>
            </w: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技术开发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数据处理</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计算机系</w:t>
            </w:r>
          </w:p>
        </w:tc>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统服务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基础软件服务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销</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84"/>
              <w:jc w:val="left"/>
              <w:rPr>
                <w:rFonts w:ascii="宋体" w:hAnsi="宋体" w:cs="宋体" w:eastAsia="宋体" w:hint="default"/>
                <w:sz w:val="18"/>
                <w:szCs w:val="18"/>
              </w:rPr>
            </w:pPr>
            <w:r>
              <w:rPr>
                <w:rFonts w:ascii="宋体" w:hAnsi="宋体" w:cs="宋体" w:eastAsia="宋体" w:hint="default"/>
                <w:sz w:val="18"/>
                <w:szCs w:val="18"/>
              </w:rPr>
              <w:t>富优（北京）数据 软件有限公司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售电子产品、通讯设备、仪器仪表、计算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机软件及辅助设备、电池</w:t>
            </w:r>
            <w:r>
              <w:rPr>
                <w:rFonts w:ascii="Times New Roman" w:hAnsi="Times New Roman" w:cs="Times New Roman" w:eastAsia="Times New Roman" w:hint="default"/>
                <w:sz w:val="18"/>
                <w:szCs w:val="18"/>
              </w:rPr>
              <w:t>;</w:t>
            </w:r>
            <w:r>
              <w:rPr>
                <w:rFonts w:ascii="宋体" w:hAnsi="宋体" w:cs="宋体" w:eastAsia="宋体" w:hint="default"/>
                <w:sz w:val="18"/>
                <w:szCs w:val="18"/>
              </w:rPr>
              <w:t>技术咨询服务</w:t>
            </w:r>
            <w:r>
              <w:rPr>
                <w:rFonts w:ascii="Times New Roman" w:hAnsi="Times New Roman" w:cs="Times New Roman" w:eastAsia="Times New Roman" w:hint="default"/>
                <w:sz w:val="18"/>
                <w:szCs w:val="18"/>
              </w:rPr>
              <w:t>;</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计算机系统集成</w:t>
            </w:r>
            <w:r>
              <w:rPr>
                <w:rFonts w:ascii="Times New Roman" w:hAnsi="Times New Roman" w:cs="Times New Roman" w:eastAsia="Times New Roman" w:hint="default"/>
                <w:sz w:val="18"/>
                <w:szCs w:val="18"/>
              </w:rPr>
              <w:t>;</w:t>
            </w:r>
            <w:r>
              <w:rPr>
                <w:rFonts w:ascii="宋体" w:hAnsi="宋体" w:cs="宋体" w:eastAsia="宋体" w:hint="default"/>
                <w:sz w:val="18"/>
                <w:szCs w:val="18"/>
              </w:rPr>
              <w:t>生产</w:t>
            </w:r>
            <w:r>
              <w:rPr>
                <w:rFonts w:ascii="Times New Roman" w:hAnsi="Times New Roman" w:cs="Times New Roman" w:eastAsia="Times New Roman" w:hint="default"/>
                <w:sz w:val="18"/>
                <w:szCs w:val="18"/>
              </w:rPr>
              <w:t>(</w:t>
            </w:r>
            <w:r>
              <w:rPr>
                <w:rFonts w:ascii="宋体" w:hAnsi="宋体" w:cs="宋体" w:eastAsia="宋体" w:hint="default"/>
                <w:sz w:val="18"/>
                <w:szCs w:val="18"/>
              </w:rPr>
              <w:t>制造</w:t>
            </w:r>
            <w:r>
              <w:rPr>
                <w:rFonts w:ascii="Times New Roman" w:hAnsi="Times New Roman" w:cs="Times New Roman" w:eastAsia="Times New Roman" w:hint="default"/>
                <w:sz w:val="18"/>
                <w:szCs w:val="18"/>
              </w:rPr>
              <w:t>)</w:t>
            </w:r>
            <w:r>
              <w:rPr>
                <w:rFonts w:ascii="宋体" w:hAnsi="宋体" w:cs="宋体" w:eastAsia="宋体" w:hint="default"/>
                <w:sz w:val="18"/>
                <w:szCs w:val="18"/>
              </w:rPr>
              <w:t>电池</w:t>
            </w:r>
            <w:r>
              <w:rPr>
                <w:rFonts w:ascii="Times New Roman" w:hAnsi="Times New Roman" w:cs="Times New Roman" w:eastAsia="Times New Roman" w:hint="default"/>
                <w:sz w:val="18"/>
                <w:szCs w:val="18"/>
              </w:rPr>
              <w:t>(</w:t>
            </w:r>
            <w:r>
              <w:rPr>
                <w:rFonts w:ascii="宋体" w:hAnsi="宋体" w:cs="宋体" w:eastAsia="宋体" w:hint="default"/>
                <w:sz w:val="18"/>
                <w:szCs w:val="18"/>
              </w:rPr>
              <w:t>限在外</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埠从事生产活动</w:t>
            </w:r>
            <w:r>
              <w:rPr>
                <w:rFonts w:ascii="Times New Roman" w:hAnsi="Times New Roman" w:cs="Times New Roman" w:eastAsia="Times New Roman" w:hint="default"/>
                <w:sz w:val="18"/>
                <w:szCs w:val="18"/>
              </w:rPr>
              <w:t>)</w:t>
            </w: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不含无线广播电视发射及</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84"/>
              <w:jc w:val="left"/>
              <w:rPr>
                <w:rFonts w:ascii="宋体" w:hAnsi="宋体" w:cs="宋体" w:eastAsia="宋体" w:hint="default"/>
                <w:sz w:val="18"/>
                <w:szCs w:val="18"/>
              </w:rPr>
            </w:pPr>
            <w:r>
              <w:rPr>
                <w:rFonts w:ascii="宋体" w:hAnsi="宋体" w:cs="宋体" w:eastAsia="宋体" w:hint="default"/>
                <w:sz w:val="18"/>
                <w:szCs w:val="18"/>
              </w:rPr>
              <w:t>成都富华宇祺通讯 有限公司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卫星地面接收设备</w:t>
            </w:r>
            <w:r>
              <w:rPr>
                <w:rFonts w:ascii="Times New Roman" w:hAnsi="Times New Roman" w:cs="Times New Roman" w:eastAsia="Times New Roman" w:hint="default"/>
                <w:sz w:val="18"/>
                <w:szCs w:val="18"/>
              </w:rPr>
              <w:t>)</w:t>
            </w:r>
            <w:r>
              <w:rPr>
                <w:rFonts w:ascii="宋体" w:hAnsi="宋体" w:cs="宋体" w:eastAsia="宋体" w:hint="default"/>
                <w:sz w:val="18"/>
                <w:szCs w:val="18"/>
              </w:rPr>
              <w:t>、电子产品、仪器仪 </w:t>
            </w:r>
            <w:r>
              <w:rPr>
                <w:rFonts w:ascii="宋体" w:hAnsi="宋体" w:cs="宋体" w:eastAsia="宋体" w:hint="default"/>
                <w:spacing w:val="-5"/>
                <w:sz w:val="18"/>
                <w:szCs w:val="18"/>
              </w:rPr>
              <w:t>表、计算机软硬件及辅助设备</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计算机技术</w:t>
            </w:r>
            <w:r>
              <w:rPr>
                <w:rFonts w:ascii="宋体" w:hAnsi="宋体" w:cs="宋体" w:eastAsia="宋体" w:hint="default"/>
                <w:spacing w:val="-82"/>
                <w:sz w:val="18"/>
                <w:szCs w:val="18"/>
              </w:rPr>
              <w:t> </w:t>
            </w:r>
            <w:r>
              <w:rPr>
                <w:rFonts w:ascii="宋体" w:hAnsi="宋体" w:cs="宋体" w:eastAsia="宋体" w:hint="default"/>
                <w:sz w:val="18"/>
                <w:szCs w:val="18"/>
              </w:rPr>
              <w:t>开发、技术转让、技术服务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设计、研发</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55"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销售计算机软硬件</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计算机系统集成</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通讯设备、光网络设备、电子产品及相关</w:t>
            </w:r>
          </w:p>
        </w:tc>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泰安宇祺通讯技术 有限公司</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
              <w:jc w:val="left"/>
              <w:rPr>
                <w:rFonts w:ascii="宋体" w:hAnsi="宋体" w:cs="宋体" w:eastAsia="宋体" w:hint="default"/>
                <w:sz w:val="18"/>
                <w:szCs w:val="18"/>
              </w:rPr>
            </w:pPr>
            <w:r>
              <w:rPr>
                <w:rFonts w:ascii="宋体" w:hAnsi="宋体" w:cs="宋体" w:eastAsia="宋体" w:hint="default"/>
                <w:spacing w:val="-3"/>
                <w:sz w:val="18"/>
                <w:szCs w:val="18"/>
              </w:rPr>
              <w:t>软、硬件的设计、开发、生产、销售、维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护；计算机集成系统的技术开发、咨询及</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服务；销售计算机、软件及辅助设备</w:t>
            </w: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长春继珩精密光学 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光电设备、仪器仪表、光学镜头及光学元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器件研发、生产、销售、售后服务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光电技</w:t>
            </w:r>
            <w:r>
              <w:rPr>
                <w:rFonts w:ascii="宋体" w:hAnsi="宋体" w:cs="宋体" w:eastAsia="宋体" w:hint="default"/>
                <w:spacing w:val="-79"/>
                <w:sz w:val="18"/>
                <w:szCs w:val="18"/>
              </w:rPr>
              <w:t> </w:t>
            </w:r>
            <w:r>
              <w:rPr>
                <w:rFonts w:ascii="宋体" w:hAnsi="宋体" w:cs="宋体" w:eastAsia="宋体" w:hint="default"/>
                <w:spacing w:val="-3"/>
                <w:sz w:val="18"/>
                <w:szCs w:val="18"/>
              </w:rPr>
              <w:t>术开发、技术转让、技术服务、技术咨询</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444" w:lineRule="auto" w:before="156"/>
        <w:ind w:left="573" w:right="992"/>
        <w:jc w:val="left"/>
      </w:pPr>
      <w:r>
        <w:rPr/>
        <w:t>在子公司的持股比例不同于表决权比例的说明：不适用</w:t>
      </w:r>
      <w:r>
        <w:rPr>
          <w:w w:val="100"/>
        </w:rPr>
        <w:t> </w:t>
      </w:r>
      <w:r>
        <w:rPr>
          <w:spacing w:val="-2"/>
        </w:rPr>
        <w:t>持有半数或以下表决权但仍控制被投资单位、以及持有半数以上表决权但不控制被投资单位的依据：</w:t>
      </w:r>
    </w:p>
    <w:p>
      <w:pPr>
        <w:pStyle w:val="BodyText"/>
        <w:spacing w:line="240" w:lineRule="auto" w:before="14"/>
        <w:ind w:right="992"/>
        <w:jc w:val="left"/>
      </w:pPr>
      <w:r>
        <w:rPr/>
        <w:t>不适用</w:t>
      </w:r>
    </w:p>
    <w:p>
      <w:pPr>
        <w:spacing w:line="240" w:lineRule="auto" w:before="9"/>
        <w:rPr>
          <w:rFonts w:ascii="宋体" w:hAnsi="宋体" w:cs="宋体" w:eastAsia="宋体" w:hint="default"/>
          <w:sz w:val="17"/>
          <w:szCs w:val="17"/>
        </w:rPr>
      </w:pPr>
    </w:p>
    <w:p>
      <w:pPr>
        <w:pStyle w:val="BodyText"/>
        <w:spacing w:line="444" w:lineRule="auto" w:before="0"/>
        <w:ind w:left="573" w:right="992"/>
        <w:jc w:val="left"/>
      </w:pPr>
      <w:r>
        <w:rPr>
          <w:spacing w:val="-2"/>
        </w:rPr>
        <w:t>对于纳入合并范围的重要的结构化主体，控制的依据：不适用</w:t>
      </w:r>
      <w:r>
        <w:rPr>
          <w:spacing w:val="-53"/>
        </w:rPr>
        <w:t> </w:t>
      </w:r>
      <w:r>
        <w:rPr>
          <w:spacing w:val="-53"/>
        </w:rPr>
      </w:r>
      <w:r>
        <w:rPr/>
        <w:t>确定公司是代理人还是委托人的依据：不适用</w:t>
      </w:r>
    </w:p>
    <w:p>
      <w:pPr>
        <w:spacing w:line="240" w:lineRule="auto" w:before="2"/>
        <w:rPr>
          <w:rFonts w:ascii="宋体" w:hAnsi="宋体" w:cs="宋体" w:eastAsia="宋体" w:hint="default"/>
          <w:sz w:val="18"/>
          <w:szCs w:val="18"/>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841"/>
        <w:gridCol w:w="1560"/>
        <w:gridCol w:w="1560"/>
        <w:gridCol w:w="1916"/>
      </w:tblGrid>
      <w:tr>
        <w:trPr>
          <w:trHeight w:val="76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415" w:right="53"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-7,566,351.43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23,598,019.19</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子公司少数股东的持股比例不同于表决权比例的说明：不适用</w:t>
      </w:r>
    </w:p>
    <w:p>
      <w:pPr>
        <w:spacing w:line="240" w:lineRule="auto" w:before="0"/>
        <w:rPr>
          <w:rFonts w:ascii="宋体" w:hAnsi="宋体" w:cs="宋体" w:eastAsia="宋体" w:hint="default"/>
          <w:sz w:val="20"/>
          <w:szCs w:val="20"/>
        </w:rPr>
      </w:pPr>
    </w:p>
    <w:p>
      <w:pPr>
        <w:pStyle w:val="Heading4"/>
        <w:spacing w:line="240" w:lineRule="auto" w:before="154"/>
        <w:ind w:right="99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北京富 华宇祺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178,655,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187.05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26,385,5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205,040,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712.24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93,656,9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93,656,9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176,165,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456.53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21,588,7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197,754,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255.22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65,358,6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78.38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65,358,6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78.38</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北京富华宇 祺信息技术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51,041,514.9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-21,011,806.2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-21,011,806.2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-7,691,015.26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65,705,693.6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-26,884,199.9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-26,884,199.9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691,168.64</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7"/>
        <w:gridCol w:w="711"/>
        <w:gridCol w:w="708"/>
        <w:gridCol w:w="2835"/>
        <w:gridCol w:w="1686"/>
        <w:gridCol w:w="1365"/>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9" w:right="0"/>
              <w:jc w:val="left"/>
              <w:rPr>
                <w:rFonts w:ascii="宋体" w:hAnsi="宋体" w:cs="宋体" w:eastAsia="宋体" w:hint="default"/>
                <w:sz w:val="18"/>
                <w:szCs w:val="18"/>
              </w:rPr>
            </w:pPr>
            <w:r>
              <w:rPr>
                <w:rFonts w:ascii="宋体" w:hAnsi="宋体" w:cs="宋体" w:eastAsia="宋体" w:hint="default"/>
                <w:sz w:val="18"/>
                <w:szCs w:val="18"/>
              </w:rPr>
              <w:t>主要经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268"/>
        <w:gridCol w:w="709"/>
        <w:gridCol w:w="710"/>
        <w:gridCol w:w="2835"/>
        <w:gridCol w:w="850"/>
        <w:gridCol w:w="835"/>
        <w:gridCol w:w="1366"/>
      </w:tblGrid>
      <w:tr>
        <w:trPr>
          <w:trHeight w:val="67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营地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8"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西安鲁信股权投资管理有限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西安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股权投资；投资管理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39.00%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尤洛卡（山东）特高压电气 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泰安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特高压开关精密铸件、壳体、铝螺 旋管的生产及销售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北京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信息传输、软件和信息技术服务业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28.57%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宋体" w:hAnsi="宋体" w:cs="宋体" w:eastAsia="宋体" w:hint="default"/>
                <w:sz w:val="18"/>
                <w:szCs w:val="18"/>
              </w:rPr>
              <w:t>南京恒天领锐汽车有限公司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67"/>
              <w:jc w:val="right"/>
              <w:rPr>
                <w:rFonts w:ascii="宋体" w:hAnsi="宋体" w:cs="宋体" w:eastAsia="宋体" w:hint="default"/>
                <w:sz w:val="18"/>
                <w:szCs w:val="18"/>
              </w:rPr>
            </w:pPr>
            <w:r>
              <w:rPr>
                <w:rFonts w:ascii="宋体" w:hAnsi="宋体" w:cs="宋体" w:eastAsia="宋体" w:hint="default"/>
                <w:sz w:val="18"/>
                <w:szCs w:val="18"/>
              </w:rPr>
              <w:t>南京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both"/>
              <w:rPr>
                <w:rFonts w:ascii="宋体" w:hAnsi="宋体" w:cs="宋体" w:eastAsia="宋体" w:hint="default"/>
                <w:sz w:val="18"/>
                <w:szCs w:val="18"/>
              </w:rPr>
            </w:pPr>
            <w:r>
              <w:rPr>
                <w:rFonts w:ascii="宋体" w:hAnsi="宋体" w:cs="宋体" w:eastAsia="宋体" w:hint="default"/>
                <w:sz w:val="18"/>
                <w:szCs w:val="18"/>
              </w:rPr>
              <w:t>汽车及零部件研发、制造与销售； 新能源动力及控制系统研发、生产 及销售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12.50%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5"/>
          <w:szCs w:val="5"/>
        </w:rPr>
      </w:pPr>
    </w:p>
    <w:p>
      <w:pPr>
        <w:pStyle w:val="BodyText"/>
        <w:spacing w:line="240" w:lineRule="auto" w:before="36"/>
        <w:ind w:left="573" w:right="992"/>
        <w:jc w:val="left"/>
      </w:pPr>
      <w:r>
        <w:rPr/>
        <w:t>在合营企业或联营企业的持股比例不同于表决权比例的说明：不适用</w:t>
      </w:r>
    </w:p>
    <w:p>
      <w:pPr>
        <w:spacing w:line="240" w:lineRule="auto" w:before="10"/>
        <w:rPr>
          <w:rFonts w:ascii="宋体" w:hAnsi="宋体" w:cs="宋体" w:eastAsia="宋体" w:hint="default"/>
          <w:sz w:val="17"/>
          <w:szCs w:val="17"/>
        </w:rPr>
      </w:pPr>
    </w:p>
    <w:p>
      <w:pPr>
        <w:pStyle w:val="BodyText"/>
        <w:spacing w:line="386" w:lineRule="auto" w:before="0"/>
        <w:ind w:right="992" w:firstLine="42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51"/>
        </w:rPr>
        <w:t> </w:t>
      </w:r>
      <w:r>
        <w:rPr>
          <w:rFonts w:ascii="Times New Roman" w:hAnsi="Times New Roman" w:cs="Times New Roman" w:eastAsia="Times New Roman" w:hint="default"/>
          <w:spacing w:val="-3"/>
        </w:rPr>
        <w:t>20%</w:t>
      </w:r>
      <w:r>
        <w:rPr>
          <w:spacing w:val="-3"/>
        </w:rPr>
        <w:t>或以上表决权但不具有重大影响的依据：公司向</w:t>
      </w:r>
      <w:r>
        <w:rPr>
          <w:w w:val="100"/>
        </w:rPr>
        <w:t> </w:t>
      </w:r>
      <w:r>
        <w:rPr/>
        <w:t>恒天领锐委派一名董事，并任副董事长。</w:t>
      </w:r>
    </w:p>
    <w:p>
      <w:pPr>
        <w:spacing w:line="240" w:lineRule="auto" w:before="0"/>
        <w:rPr>
          <w:rFonts w:ascii="宋体" w:hAnsi="宋体" w:cs="宋体" w:eastAsia="宋体" w:hint="default"/>
          <w:sz w:val="22"/>
          <w:szCs w:val="22"/>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51,900,235.02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2,060,177.56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-1,159,942.54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-672,475.56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-1,159,942.54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-672,475.56</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本集团的主要金融工具包括货币资金、应收票据、应收账款、其他应收款、其他流动资产、交易性金</w:t>
      </w:r>
      <w:r>
        <w:rPr>
          <w:w w:val="100"/>
        </w:rPr>
        <w:t> </w:t>
      </w:r>
      <w:r>
        <w:rPr>
          <w:spacing w:val="-2"/>
        </w:rPr>
        <w:t>融资产、其他非流动金融资产、应付票据、应付账款、其他应付款。各项金融工具的详细情况已于相关附</w:t>
      </w:r>
      <w:r>
        <w:rPr>
          <w:spacing w:val="-43"/>
        </w:rPr>
        <w:t> </w:t>
      </w:r>
      <w:r>
        <w:rPr>
          <w:spacing w:val="-43"/>
        </w:rPr>
      </w:r>
      <w:r>
        <w:rPr>
          <w:spacing w:val="-2"/>
        </w:rPr>
        <w:t>注内披露。与这些金融工具有关的风险，以及本集团为降低这些风险所采取的风险管理政策如下所述。本</w:t>
      </w:r>
      <w:r>
        <w:rPr>
          <w:spacing w:val="-44"/>
        </w:rPr>
        <w:t> </w:t>
      </w:r>
      <w:r>
        <w:rPr>
          <w:spacing w:val="-44"/>
        </w:rPr>
      </w:r>
      <w:r>
        <w:rPr/>
        <w:t>集团管理层对这些风险敞口进行管理和监控以确保将上述风险控制在限定的范围之内。</w:t>
      </w:r>
    </w:p>
    <w:p>
      <w:pPr>
        <w:pStyle w:val="BodyText"/>
        <w:spacing w:line="386" w:lineRule="auto"/>
        <w:ind w:left="573" w:right="992"/>
        <w:jc w:val="left"/>
      </w:pPr>
      <w:r>
        <w:rPr>
          <w:rFonts w:ascii="Times New Roman" w:hAnsi="Times New Roman" w:cs="Times New Roman" w:eastAsia="Times New Roman" w:hint="default"/>
        </w:rPr>
        <w:t>1</w:t>
      </w:r>
      <w:r>
        <w:rPr/>
        <w:t>、风险管理目标和政策</w:t>
      </w:r>
      <w:r>
        <w:rPr>
          <w:w w:val="100"/>
        </w:rPr>
        <w:t> </w:t>
      </w:r>
      <w:r>
        <w:rPr>
          <w:spacing w:val="-2"/>
        </w:rPr>
        <w:t>本集团从事风险管理的目标是在风险和收益之间取得适当的平衡，力求降低金融风险对本集团财务业</w:t>
      </w:r>
    </w:p>
    <w:p>
      <w:pPr>
        <w:pStyle w:val="BodyText"/>
        <w:spacing w:line="240" w:lineRule="auto" w:before="65"/>
        <w:ind w:right="992"/>
        <w:jc w:val="left"/>
      </w:pPr>
      <w:r>
        <w:rPr/>
        <w:t>绩的不利影响。基于该风险管理目标，本集团已制定风险管理政策以辨别和分析本集团所面临的风险，设</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定适当的风险可接受水平并设计相应的内部控制程序，以监控本集团的风险水平。本集团会定期审阅这些</w:t>
      </w:r>
      <w:r>
        <w:rPr>
          <w:spacing w:val="-43"/>
        </w:rPr>
        <w:t> </w:t>
      </w:r>
      <w:r>
        <w:rPr>
          <w:spacing w:val="-43"/>
        </w:rPr>
      </w:r>
      <w:r>
        <w:rPr>
          <w:spacing w:val="-2"/>
        </w:rPr>
        <w:t>风险管理政策及有关内部控制系统，以适应市场情况或本集团经营活动的改变。本集团的内部审计部门也</w:t>
      </w:r>
      <w:r>
        <w:rPr>
          <w:spacing w:val="-43"/>
        </w:rPr>
        <w:t> </w:t>
      </w:r>
      <w:r>
        <w:rPr>
          <w:spacing w:val="-43"/>
        </w:rPr>
      </w:r>
      <w:r>
        <w:rPr/>
        <w:t>定期或随机检查内部控制系统的执行是否符合风险管理政策。</w:t>
      </w:r>
    </w:p>
    <w:p>
      <w:pPr>
        <w:pStyle w:val="BodyText"/>
        <w:spacing w:line="408" w:lineRule="auto"/>
        <w:ind w:right="1128" w:firstLine="420"/>
        <w:jc w:val="both"/>
      </w:pPr>
      <w:r>
        <w:rPr>
          <w:spacing w:val="-2"/>
        </w:rPr>
        <w:t>本集团的金融工具导致的主要风险是信用风险、流动性风险、市场风险（包括汇率风险、利率风险和</w:t>
      </w:r>
      <w:r>
        <w:rPr>
          <w:w w:val="100"/>
        </w:rPr>
        <w:t> </w:t>
      </w:r>
      <w:r>
        <w:rPr/>
        <w:t>商品价格风险）。</w:t>
      </w:r>
    </w:p>
    <w:p>
      <w:pPr>
        <w:pStyle w:val="BodyText"/>
        <w:spacing w:line="408" w:lineRule="auto"/>
        <w:ind w:right="1126" w:firstLine="420"/>
        <w:jc w:val="both"/>
      </w:pPr>
      <w:r>
        <w:rPr>
          <w:spacing w:val="-2"/>
        </w:rPr>
        <w:t>董事会负责规划并建立本集团的风险管理架构，制定本集团的风险管理政策和相关指引并监督风险管</w:t>
      </w:r>
      <w:r>
        <w:rPr>
          <w:w w:val="100"/>
        </w:rPr>
        <w:t> </w:t>
      </w:r>
      <w:r>
        <w:rPr>
          <w:spacing w:val="-2"/>
        </w:rPr>
        <w:t>理措施的执行情况。本集团已制定风险管理政策以识别和分析本集团所面临的风险，这些风险管理政策对</w:t>
      </w:r>
      <w:r>
        <w:rPr>
          <w:spacing w:val="-43"/>
        </w:rPr>
        <w:t> </w:t>
      </w:r>
      <w:r>
        <w:rPr>
          <w:spacing w:val="-43"/>
        </w:rPr>
      </w:r>
      <w:r>
        <w:rPr>
          <w:spacing w:val="-2"/>
        </w:rPr>
        <w:t>特定风险进行了明确规定，涵盖了市场风险、信用风险和流动性风险管理等诸多方面。本集团定期评估市</w:t>
      </w:r>
      <w:r>
        <w:rPr>
          <w:spacing w:val="-45"/>
        </w:rPr>
        <w:t> </w:t>
      </w:r>
      <w:r>
        <w:rPr>
          <w:spacing w:val="-45"/>
        </w:rPr>
      </w:r>
      <w:r>
        <w:rPr>
          <w:spacing w:val="-2"/>
        </w:rPr>
        <w:t>场环境及本集团经营活动的变化以决定是否对风险管理政策及系统进行更新。本集团的风险管理由风险管</w:t>
      </w:r>
      <w:r>
        <w:rPr>
          <w:spacing w:val="-43"/>
        </w:rPr>
        <w:t> </w:t>
      </w:r>
      <w:r>
        <w:rPr>
          <w:spacing w:val="-43"/>
        </w:rPr>
      </w:r>
      <w:r>
        <w:rPr>
          <w:spacing w:val="-2"/>
        </w:rPr>
        <w:t>理委员会按照董事会批准的政策开展。风险管理委员会通过与本集团其他业务部门的紧密合作来识别、评</w:t>
      </w:r>
      <w:r>
        <w:rPr>
          <w:spacing w:val="-44"/>
        </w:rPr>
        <w:t> </w:t>
      </w:r>
      <w:r>
        <w:rPr>
          <w:spacing w:val="-44"/>
        </w:rPr>
      </w:r>
      <w:r>
        <w:rPr>
          <w:spacing w:val="-2"/>
        </w:rPr>
        <w:t>价和规避相关风险。本集团内部审计部门就风险管理控制及程序进行定期的审核，并将审核结果上报本集</w:t>
      </w:r>
      <w:r>
        <w:rPr>
          <w:spacing w:val="-42"/>
        </w:rPr>
        <w:t> </w:t>
      </w:r>
      <w:r>
        <w:rPr>
          <w:spacing w:val="-42"/>
        </w:rPr>
      </w:r>
      <w:r>
        <w:rPr/>
        <w:t>团的审计委员会。</w:t>
      </w:r>
    </w:p>
    <w:p>
      <w:pPr>
        <w:pStyle w:val="BodyText"/>
        <w:spacing w:line="408" w:lineRule="auto"/>
        <w:ind w:right="1126" w:firstLine="420"/>
        <w:jc w:val="both"/>
      </w:pPr>
      <w:r>
        <w:rPr>
          <w:spacing w:val="-2"/>
        </w:rPr>
        <w:t>本集团通过适当的多样化投资及业务组合来分散金融工具风险，并通过制定相应的风险管理政策减少</w:t>
      </w:r>
      <w:r>
        <w:rPr>
          <w:w w:val="100"/>
        </w:rPr>
        <w:t> </w:t>
      </w:r>
      <w:r>
        <w:rPr/>
        <w:t>集中于单一行业、特定地区或特定交易对手的风险。</w:t>
      </w:r>
    </w:p>
    <w:p>
      <w:pPr>
        <w:pStyle w:val="BodyText"/>
        <w:spacing w:line="386" w:lineRule="auto"/>
        <w:ind w:left="573" w:right="1936"/>
        <w:jc w:val="left"/>
      </w:pPr>
      <w:r>
        <w:rPr/>
        <w:t>（</w:t>
      </w:r>
      <w:r>
        <w:rPr>
          <w:rFonts w:ascii="Times New Roman" w:hAnsi="Times New Roman" w:cs="Times New Roman" w:eastAsia="Times New Roman" w:hint="default"/>
        </w:rPr>
        <w:t>1</w:t>
      </w:r>
      <w:r>
        <w:rPr/>
        <w:t>）信用风险</w:t>
      </w:r>
      <w:r>
        <w:rPr>
          <w:w w:val="100"/>
        </w:rPr>
        <w:t> </w:t>
      </w:r>
      <w:r>
        <w:rPr>
          <w:spacing w:val="-2"/>
        </w:rPr>
        <w:t>信用风险，是指交易对手未能履行合同义务而导致本集团产生财务损失的风险。</w:t>
      </w:r>
    </w:p>
    <w:p>
      <w:pPr>
        <w:pStyle w:val="BodyText"/>
        <w:spacing w:line="408" w:lineRule="auto" w:before="65"/>
        <w:ind w:right="1128" w:firstLine="420"/>
        <w:jc w:val="both"/>
      </w:pPr>
      <w:r>
        <w:rPr>
          <w:spacing w:val="-2"/>
        </w:rPr>
        <w:t>本集团对信用风险按组合分类进行管理。信用风险主要产生于银行存款、应收票据、应收账款、其他</w:t>
      </w:r>
      <w:r>
        <w:rPr>
          <w:w w:val="100"/>
        </w:rPr>
        <w:t> </w:t>
      </w:r>
      <w:r>
        <w:rPr/>
        <w:t>应收款等。</w:t>
      </w:r>
    </w:p>
    <w:p>
      <w:pPr>
        <w:pStyle w:val="BodyText"/>
        <w:spacing w:line="408" w:lineRule="auto"/>
        <w:ind w:right="1126" w:firstLine="420"/>
        <w:jc w:val="both"/>
      </w:pPr>
      <w:r>
        <w:rPr>
          <w:spacing w:val="-2"/>
        </w:rPr>
        <w:t>本集团银行存款主要存放于国有银行和其它大中型上市银行，本集团预期银行存款不存在重大的信用</w:t>
      </w:r>
      <w:r>
        <w:rPr>
          <w:w w:val="100"/>
        </w:rPr>
        <w:t> </w:t>
      </w:r>
      <w:r>
        <w:rPr/>
        <w:t>风险。</w:t>
      </w:r>
    </w:p>
    <w:p>
      <w:pPr>
        <w:pStyle w:val="BodyText"/>
        <w:spacing w:line="408" w:lineRule="auto"/>
        <w:ind w:right="1126" w:firstLine="420"/>
        <w:jc w:val="both"/>
      </w:pPr>
      <w:r>
        <w:rPr>
          <w:spacing w:val="-2"/>
        </w:rPr>
        <w:t>对于应收票据、应收账款和其他应收款，本集团设定相关政策以控制信用风险敞口。本集团基于对客</w:t>
      </w:r>
      <w:r>
        <w:rPr>
          <w:w w:val="100"/>
        </w:rPr>
        <w:t> </w:t>
      </w:r>
      <w:r>
        <w:rPr>
          <w:spacing w:val="-2"/>
        </w:rPr>
        <w:t>户的财务状况、信用记录及其他因素诸如目前市场状况等评估客户的信用资质并设置相应信用期。本集团</w:t>
      </w:r>
      <w:r>
        <w:rPr>
          <w:spacing w:val="-43"/>
        </w:rPr>
        <w:t> </w:t>
      </w:r>
      <w:r>
        <w:rPr>
          <w:spacing w:val="-43"/>
        </w:rPr>
      </w:r>
      <w:r>
        <w:rPr>
          <w:spacing w:val="-2"/>
        </w:rPr>
        <w:t>会定期对客户信用记录进行监控，对于信用记录不良的客户，本集团会采用书面催款、缩短信用期或取消</w:t>
      </w:r>
      <w:r>
        <w:rPr>
          <w:spacing w:val="-44"/>
        </w:rPr>
        <w:t> </w:t>
      </w:r>
      <w:r>
        <w:rPr>
          <w:spacing w:val="-44"/>
        </w:rPr>
      </w:r>
      <w:r>
        <w:rPr/>
        <w:t>信用期等方式，以确保本集团的整体信用风险在可控的范围内。</w:t>
      </w:r>
    </w:p>
    <w:p>
      <w:pPr>
        <w:pStyle w:val="BodyText"/>
        <w:spacing w:line="410" w:lineRule="auto"/>
        <w:ind w:right="1126" w:firstLine="420"/>
        <w:jc w:val="both"/>
      </w:pPr>
      <w:r>
        <w:rPr>
          <w:spacing w:val="-2"/>
        </w:rPr>
        <w:t>本集团应收账款的债务人为分布于不同行业和地区的客户。本集团持续对应收账款的财务状况实施信</w:t>
      </w:r>
      <w:r>
        <w:rPr>
          <w:w w:val="100"/>
        </w:rPr>
        <w:t> </w:t>
      </w:r>
      <w:r>
        <w:rPr/>
        <w:t>用评估，并在适当时购买信用担保保险。</w:t>
      </w:r>
    </w:p>
    <w:p>
      <w:pPr>
        <w:pStyle w:val="BodyText"/>
        <w:spacing w:line="408" w:lineRule="auto" w:before="44"/>
        <w:ind w:right="1126" w:firstLine="420"/>
        <w:jc w:val="both"/>
      </w:pPr>
      <w:r>
        <w:rPr>
          <w:spacing w:val="-2"/>
        </w:rPr>
        <w:t>本集团所承受的最大信用风险敞口为资产负债表中每项金融资产的账面金额。本集团没有提供任何其</w:t>
      </w:r>
      <w:r>
        <w:rPr>
          <w:w w:val="100"/>
        </w:rPr>
        <w:t> </w:t>
      </w:r>
      <w:r>
        <w:rPr/>
        <w:t>他可能令本集团承受信用风险的担保。</w:t>
      </w:r>
    </w:p>
    <w:p>
      <w:pPr>
        <w:pStyle w:val="BodyText"/>
        <w:spacing w:line="386" w:lineRule="auto"/>
        <w:ind w:left="573" w:right="992"/>
        <w:jc w:val="left"/>
      </w:pPr>
      <w:r>
        <w:rPr/>
        <w:t>（</w:t>
      </w:r>
      <w:r>
        <w:rPr>
          <w:rFonts w:ascii="Times New Roman" w:hAnsi="Times New Roman" w:cs="Times New Roman" w:eastAsia="Times New Roman" w:hint="default"/>
        </w:rPr>
        <w:t>2</w:t>
      </w:r>
      <w:r>
        <w:rPr/>
        <w:t>）流动性风险</w:t>
      </w:r>
      <w:r>
        <w:rPr>
          <w:w w:val="100"/>
        </w:rPr>
        <w:t> </w:t>
      </w:r>
      <w:r>
        <w:rPr>
          <w:spacing w:val="-2"/>
        </w:rPr>
        <w:t>流动性风险，是指本集团在履行以交付现金或其他金融资产结算的义务时遇到资金短缺的风险。</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2" w:firstLine="420"/>
        <w:jc w:val="left"/>
      </w:pPr>
      <w:r>
        <w:rPr/>
        <w:t>管理流动风险时，本集团保持管理层认为充分的现金及现金等价物并对其进行监控，以满足本集团经</w:t>
      </w:r>
      <w:r>
        <w:rPr>
          <w:w w:val="100"/>
        </w:rPr>
        <w:t> </w:t>
      </w:r>
      <w:r>
        <w:rPr>
          <w:spacing w:val="-5"/>
        </w:rPr>
        <w:t>营需要，并降低现金流量波动的影响。本集团管理层对银行借款的使用情况进行监控并确保遵守借款协议。</w:t>
      </w:r>
      <w:r>
        <w:rPr>
          <w:spacing w:val="-4"/>
        </w:rPr>
        <w:t> </w:t>
      </w:r>
      <w:r>
        <w:rPr>
          <w:spacing w:val="-4"/>
        </w:rPr>
      </w:r>
      <w:r>
        <w:rPr/>
        <w:t>同时从主要金融机构获得提供足够备用资金的承诺，以满足短期和长期的资金需求。</w:t>
      </w:r>
    </w:p>
    <w:p>
      <w:pPr>
        <w:pStyle w:val="BodyText"/>
        <w:spacing w:line="240" w:lineRule="auto"/>
        <w:ind w:left="573" w:right="992"/>
        <w:jc w:val="left"/>
      </w:pPr>
      <w:r>
        <w:rPr/>
        <w:t>本集团通过经营业务产生的资金及银行及其他借款来筹措营运资金。</w:t>
      </w:r>
    </w:p>
    <w:p>
      <w:pPr>
        <w:spacing w:line="240" w:lineRule="auto" w:before="10"/>
        <w:rPr>
          <w:rFonts w:ascii="宋体" w:hAnsi="宋体" w:cs="宋体" w:eastAsia="宋体" w:hint="default"/>
          <w:sz w:val="14"/>
          <w:szCs w:val="14"/>
        </w:rPr>
      </w:pPr>
    </w:p>
    <w:p>
      <w:pPr>
        <w:pStyle w:val="BodyText"/>
        <w:spacing w:line="386" w:lineRule="auto" w:before="0"/>
        <w:ind w:left="573" w:right="992"/>
        <w:jc w:val="left"/>
      </w:pPr>
      <w:r>
        <w:rPr/>
        <w:t>（</w:t>
      </w:r>
      <w:r>
        <w:rPr>
          <w:rFonts w:ascii="Times New Roman" w:hAnsi="Times New Roman" w:cs="Times New Roman" w:eastAsia="Times New Roman" w:hint="default"/>
        </w:rPr>
        <w:t>3</w:t>
      </w:r>
      <w:r>
        <w:rPr/>
        <w:t>）市场风险</w:t>
      </w:r>
      <w:r>
        <w:rPr>
          <w:w w:val="100"/>
        </w:rPr>
        <w:t> </w:t>
      </w:r>
      <w:r>
        <w:rPr>
          <w:spacing w:val="-2"/>
        </w:rPr>
        <w:t>金融工具的市场风险，是指金融工具的公允价值或未来现金流量因市场价格变动而发生波动的风险，</w:t>
      </w:r>
    </w:p>
    <w:p>
      <w:pPr>
        <w:pStyle w:val="BodyText"/>
        <w:spacing w:line="408" w:lineRule="auto" w:before="65"/>
        <w:ind w:left="573" w:right="6375" w:hanging="421"/>
        <w:jc w:val="left"/>
      </w:pPr>
      <w:r>
        <w:rPr>
          <w:spacing w:val="-2"/>
        </w:rPr>
        <w:t>包括利率风险、汇率风险和其他价格风险。</w:t>
      </w:r>
      <w:r>
        <w:rPr>
          <w:spacing w:val="-69"/>
        </w:rPr>
        <w:t> </w:t>
      </w:r>
      <w:r>
        <w:rPr>
          <w:spacing w:val="-69"/>
        </w:rPr>
      </w:r>
      <w:r>
        <w:rPr/>
        <w:t>利率风险</w:t>
      </w:r>
    </w:p>
    <w:p>
      <w:pPr>
        <w:pStyle w:val="BodyText"/>
        <w:spacing w:line="410" w:lineRule="auto"/>
        <w:ind w:right="1126" w:firstLine="420"/>
        <w:jc w:val="both"/>
      </w:pPr>
      <w:r>
        <w:rPr>
          <w:spacing w:val="-2"/>
        </w:rPr>
        <w:t>利率风险，是指金融工具的公允价值或未来现金流量因市场利率变动而发生波动的风险。利率风险可</w:t>
      </w:r>
      <w:r>
        <w:rPr>
          <w:w w:val="100"/>
        </w:rPr>
        <w:t> </w:t>
      </w:r>
      <w:r>
        <w:rPr/>
        <w:t>源于已确认的计息金融工具和未确认的金融工具（如某些贷款承诺）。</w:t>
      </w:r>
    </w:p>
    <w:p>
      <w:pPr>
        <w:pStyle w:val="BodyText"/>
        <w:spacing w:line="408" w:lineRule="auto" w:before="44"/>
        <w:ind w:right="1126" w:firstLine="420"/>
        <w:jc w:val="both"/>
      </w:pPr>
      <w:r>
        <w:rPr>
          <w:spacing w:val="-2"/>
        </w:rPr>
        <w:t>本集团的利率风险主要产生于长期银行借款及应付债券等长期带息债务。浮动利率的金融负债使本集</w:t>
      </w:r>
      <w:r>
        <w:rPr>
          <w:w w:val="100"/>
        </w:rPr>
        <w:t> </w:t>
      </w:r>
      <w:r>
        <w:rPr>
          <w:spacing w:val="-2"/>
        </w:rPr>
        <w:t>团面临现金流量利率风险，固定利率的金融负债使本集团面临公允价值利率风险。本集团根据当时的市场</w:t>
      </w:r>
      <w:r>
        <w:rPr>
          <w:spacing w:val="-43"/>
        </w:rPr>
        <w:t> </w:t>
      </w:r>
      <w:r>
        <w:rPr>
          <w:spacing w:val="-43"/>
        </w:rPr>
      </w:r>
      <w:r>
        <w:rPr>
          <w:spacing w:val="-2"/>
        </w:rPr>
        <w:t>环境来决定固定利率及浮动利率合同的相对比例，并通过定期审阅与监察维持适当的固定和浮动利率工具</w:t>
      </w:r>
      <w:r>
        <w:rPr>
          <w:spacing w:val="-43"/>
        </w:rPr>
        <w:t> </w:t>
      </w:r>
      <w:r>
        <w:rPr>
          <w:spacing w:val="-43"/>
        </w:rPr>
      </w:r>
      <w:r>
        <w:rPr/>
        <w:t>组合。</w:t>
      </w:r>
    </w:p>
    <w:p>
      <w:pPr>
        <w:pStyle w:val="BodyText"/>
        <w:spacing w:line="408" w:lineRule="auto"/>
        <w:ind w:right="1126" w:firstLine="420"/>
        <w:jc w:val="both"/>
      </w:pPr>
      <w:r>
        <w:rPr>
          <w:spacing w:val="-2"/>
        </w:rPr>
        <w:t>本集团密切关注利率变动对本集团利率风险的影响。本集团目前并未采取利率对冲政策。但管理层负</w:t>
      </w:r>
      <w:r>
        <w:rPr>
          <w:w w:val="100"/>
        </w:rPr>
        <w:t> </w:t>
      </w:r>
      <w:r>
        <w:rPr>
          <w:spacing w:val="-2"/>
        </w:rPr>
        <w:t>责监控利率风险，并将于需要时考虑对冲重大利率风险。利率上升会增加新增带息债务的成本以及本集团</w:t>
      </w:r>
      <w:r>
        <w:rPr>
          <w:spacing w:val="-43"/>
        </w:rPr>
        <w:t> </w:t>
      </w:r>
      <w:r>
        <w:rPr>
          <w:spacing w:val="-43"/>
        </w:rPr>
      </w:r>
      <w:r>
        <w:rPr>
          <w:spacing w:val="-2"/>
        </w:rPr>
        <w:t>尚未付清的以浮动利率计息的带息债务的利息费用，并对本集团的财务业绩产生重大的不利影响，管理层</w:t>
      </w:r>
      <w:r>
        <w:rPr>
          <w:spacing w:val="-44"/>
        </w:rPr>
        <w:t> </w:t>
      </w:r>
      <w:r>
        <w:rPr>
          <w:spacing w:val="-44"/>
        </w:rPr>
      </w:r>
      <w:r>
        <w:rPr/>
        <w:t>会依据最新的市场状况及时做出调整，这些调整可能是进行利率互换的安排来降低利率风险。</w:t>
      </w:r>
    </w:p>
    <w:p>
      <w:pPr>
        <w:pStyle w:val="BodyText"/>
        <w:spacing w:line="408" w:lineRule="auto"/>
        <w:ind w:right="1126" w:firstLine="420"/>
        <w:jc w:val="both"/>
      </w:pPr>
      <w:r>
        <w:rPr>
          <w:spacing w:val="-2"/>
        </w:rPr>
        <w:t>对于资产负债表日持有的、使本集团面临公允价值利率风险的金融工具，上述敏感性分析中的净利润</w:t>
      </w:r>
      <w:r>
        <w:rPr>
          <w:w w:val="100"/>
        </w:rPr>
        <w:t> </w:t>
      </w:r>
      <w:r>
        <w:rPr>
          <w:spacing w:val="-2"/>
        </w:rPr>
        <w:t>及股东权益的影响是假设在资产负债表日利率发生变动，按照新利率对上述金融工具进行重新计量后的影</w:t>
      </w:r>
      <w:r>
        <w:rPr>
          <w:spacing w:val="-43"/>
        </w:rPr>
        <w:t> </w:t>
      </w:r>
      <w:r>
        <w:rPr>
          <w:spacing w:val="-43"/>
        </w:rPr>
      </w:r>
      <w:r>
        <w:rPr>
          <w:spacing w:val="-2"/>
        </w:rPr>
        <w:t>响。对于资产负债表日持有的、使本集团面临现金流量利率风险的浮动利率非衍生工具，上述敏感性分析</w:t>
      </w:r>
      <w:r>
        <w:rPr>
          <w:spacing w:val="-43"/>
        </w:rPr>
        <w:t> </w:t>
      </w:r>
      <w:r>
        <w:rPr>
          <w:spacing w:val="-43"/>
        </w:rPr>
      </w:r>
      <w:r>
        <w:rPr>
          <w:spacing w:val="-2"/>
        </w:rPr>
        <w:t>中的净利润及股东权益的影响是上述利率变动对按年度估算的利息费用或收入的影响。上一年度的分析基</w:t>
      </w:r>
      <w:r>
        <w:rPr>
          <w:spacing w:val="-43"/>
        </w:rPr>
        <w:t> </w:t>
      </w:r>
      <w:r>
        <w:rPr>
          <w:spacing w:val="-43"/>
        </w:rPr>
      </w:r>
      <w:r>
        <w:rPr/>
        <w:t>于同样的假设和方法。</w:t>
      </w:r>
    </w:p>
    <w:p>
      <w:pPr>
        <w:pStyle w:val="BodyText"/>
        <w:spacing w:line="386" w:lineRule="auto"/>
        <w:ind w:left="573" w:right="992"/>
        <w:jc w:val="left"/>
      </w:pPr>
      <w:r>
        <w:rPr>
          <w:rFonts w:ascii="Times New Roman" w:hAnsi="Times New Roman" w:cs="Times New Roman" w:eastAsia="Times New Roman" w:hint="default"/>
        </w:rPr>
        <w:t>2</w:t>
      </w:r>
      <w:r>
        <w:rPr/>
        <w:t>、资本管理</w:t>
      </w:r>
      <w:r>
        <w:rPr>
          <w:w w:val="100"/>
        </w:rPr>
        <w:t> </w:t>
      </w:r>
      <w:r>
        <w:rPr>
          <w:spacing w:val="-2"/>
        </w:rPr>
        <w:t>本集团资本管理政策的目标是为了保障本集团能够持续经营，从而为股东提供回报，并使其他利益相</w:t>
      </w:r>
    </w:p>
    <w:p>
      <w:pPr>
        <w:pStyle w:val="BodyText"/>
        <w:spacing w:line="408" w:lineRule="auto" w:before="65"/>
        <w:ind w:left="573" w:right="992" w:hanging="421"/>
        <w:jc w:val="left"/>
      </w:pPr>
      <w:r>
        <w:rPr/>
        <w:t>关者获益，同时维持最佳的资本结构以降低资本成本。</w:t>
      </w:r>
      <w:r>
        <w:rPr>
          <w:w w:val="100"/>
        </w:rPr>
        <w:t> </w:t>
      </w:r>
      <w:r>
        <w:rPr>
          <w:spacing w:val="-2"/>
        </w:rPr>
        <w:t>为了维持或调整资本结构，本集团可能会调整融资方式、调整支付给股东的股利金额、向股东返还资</w:t>
      </w:r>
    </w:p>
    <w:p>
      <w:pPr>
        <w:pStyle w:val="BodyText"/>
        <w:spacing w:line="240" w:lineRule="auto"/>
        <w:ind w:right="992"/>
        <w:jc w:val="left"/>
      </w:pPr>
      <w:r>
        <w:rPr/>
        <w:t>本、发行新股与其他权益工具或出售资产以减低债务。</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9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199,000,000.00</w:t>
            </w: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199,000,000.00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2,361,616.99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2,361,616.99</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（九）其他非流动金融资</w:t>
            </w:r>
            <w:r>
              <w:rPr>
                <w:rFonts w:ascii="宋体" w:hAnsi="宋体" w:cs="宋体" w:eastAsia="宋体" w:hint="default"/>
                <w:sz w:val="18"/>
                <w:szCs w:val="18"/>
              </w:rPr>
              <w:t> 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66,600,000.00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66,600,000.00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68,961,616.99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267,961,616.99</w:t>
            </w: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5" w:firstLine="420"/>
        <w:jc w:val="both"/>
      </w:pPr>
      <w:r>
        <w:rPr>
          <w:spacing w:val="-2"/>
        </w:rPr>
        <w:t>对于在活跃市场上交易的金融工具，本集团以其活跃市场报价确定其公允价值；对于不在活跃市场上</w:t>
      </w:r>
      <w:r>
        <w:rPr>
          <w:w w:val="100"/>
        </w:rPr>
        <w:t> </w:t>
      </w:r>
      <w:r>
        <w:rPr>
          <w:spacing w:val="-2"/>
        </w:rPr>
        <w:t>交易的金融工具，本集团采用估值技术确定其公允价值。所使用的估值模型主要为现金流量折现模型和市</w:t>
      </w:r>
      <w:r>
        <w:rPr>
          <w:spacing w:val="-43"/>
        </w:rPr>
        <w:t> </w:t>
      </w:r>
      <w:r>
        <w:rPr>
          <w:spacing w:val="-43"/>
        </w:rPr>
      </w:r>
      <w:r>
        <w:rPr>
          <w:spacing w:val="-2"/>
        </w:rPr>
        <w:t>场可比公司模型等。估值技术的输入值主要包括无风险利率、基准利率、汇率、信用点差、流动性溢价、</w:t>
      </w:r>
      <w:r>
        <w:rPr>
          <w:spacing w:val="-21"/>
        </w:rPr>
        <w:t> </w:t>
      </w:r>
      <w:r>
        <w:rPr>
          <w:spacing w:val="-21"/>
        </w:rPr>
      </w:r>
      <w:r>
        <w:rPr/>
        <w:t>缺乏流动性折扣等。</w:t>
      </w:r>
    </w:p>
    <w:p>
      <w:pPr>
        <w:spacing w:line="240" w:lineRule="auto" w:before="8"/>
        <w:rPr>
          <w:rFonts w:ascii="宋体" w:hAnsi="宋体" w:cs="宋体" w:eastAsia="宋体" w:hint="default"/>
          <w:sz w:val="20"/>
          <w:szCs w:val="20"/>
        </w:rPr>
      </w:pPr>
    </w:p>
    <w:p>
      <w:pPr>
        <w:spacing w:line="568" w:lineRule="auto" w:before="0"/>
        <w:ind w:left="573" w:right="992"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、持续和非持续第三层次公允价值计量项目，采用的估值技术和重要参数的定性及定量信息</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sz w:val="21"/>
          <w:szCs w:val="21"/>
        </w:rPr>
        <w:t>资产或负债使用了任何非基于可观察市场数据的输入值。</w:t>
      </w:r>
    </w:p>
    <w:p>
      <w:pPr>
        <w:pStyle w:val="Heading4"/>
        <w:spacing w:line="240" w:lineRule="auto" w:before="129"/>
        <w:ind w:right="992"/>
        <w:jc w:val="left"/>
        <w:rPr>
          <w:b w:val="0"/>
          <w:bCs w:val="0"/>
        </w:rPr>
      </w:pPr>
      <w:r>
        <w:rPr>
          <w:rFonts w:ascii="Times New Roman" w:hAnsi="Times New Roman" w:cs="Times New Roman" w:eastAsia="Times New Roman" w:hint="default"/>
        </w:rPr>
        <w:t>4</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本年度，本集团的金融资产及金融负债的公允价值计量未发生第一层次和第二层次之间的转换，亦无</w:t>
      </w:r>
      <w:r>
        <w:rPr>
          <w:w w:val="100"/>
        </w:rPr>
        <w:t> </w:t>
      </w:r>
      <w:r>
        <w:rPr/>
        <w:t>转入或转出第三层次的情况。</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92"/>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spacing w:line="568" w:lineRule="auto" w:before="0"/>
        <w:ind w:left="573" w:right="460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本企业子公司的情况详见附注九、</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、在子公司中的权益。</w:t>
      </w:r>
    </w:p>
    <w:p>
      <w:pPr>
        <w:pStyle w:val="Heading4"/>
        <w:spacing w:line="240" w:lineRule="auto" w:before="82"/>
        <w:ind w:right="992"/>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before="0"/>
        <w:ind w:left="573" w:right="992"/>
        <w:jc w:val="left"/>
      </w:pPr>
      <w:r>
        <w:rPr/>
        <w:t>本企业重要的合营或联营企业详见附注九、</w:t>
      </w:r>
      <w:r>
        <w:rPr>
          <w:rFonts w:ascii="Times New Roman" w:hAnsi="Times New Roman" w:cs="Times New Roman" w:eastAsia="Times New Roman" w:hint="default"/>
        </w:rPr>
        <w:t>2</w:t>
      </w:r>
      <w:r>
        <w:rPr/>
        <w:t>、在合营安排或联营企业中的权益。</w:t>
      </w:r>
      <w:r>
        <w:rPr>
          <w:w w:val="100"/>
        </w:rPr>
        <w:t> </w:t>
      </w:r>
      <w:r>
        <w:rPr>
          <w:spacing w:val="-2"/>
        </w:rPr>
        <w:t>本期与本公司发生关联方交易，或前期与本公司发生关联方交易形成余额的其他合营或联营企业情况</w:t>
      </w:r>
    </w:p>
    <w:p>
      <w:pPr>
        <w:pStyle w:val="BodyText"/>
        <w:spacing w:line="240" w:lineRule="auto" w:before="37"/>
        <w:ind w:right="992"/>
        <w:jc w:val="left"/>
      </w:pPr>
      <w:r>
        <w:rPr/>
        <w:t>如下：</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687"/>
        <w:gridCol w:w="5883"/>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5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本公司的全资子公司尤洛卡（山东）矿业科技有限公司持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股权</w:t>
            </w:r>
          </w:p>
        </w:tc>
      </w:tr>
      <w:tr>
        <w:trPr>
          <w:trHeight w:val="71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控股子公司北京富华宇祺信息技术有限公司持有北京普链信息技术有限公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28.57%</w:t>
            </w:r>
            <w:r>
              <w:rPr>
                <w:rFonts w:ascii="宋体" w:hAnsi="宋体" w:cs="宋体" w:eastAsia="宋体" w:hint="default"/>
                <w:sz w:val="18"/>
                <w:szCs w:val="18"/>
              </w:rPr>
              <w:t>股权</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87"/>
        <w:gridCol w:w="5883"/>
      </w:tblGrid>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1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5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6"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重要子公司股东、总经理，持本公司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0.71%</w:t>
            </w:r>
            <w:r>
              <w:rPr>
                <w:rFonts w:ascii="宋体" w:hAnsi="宋体" w:cs="宋体" w:eastAsia="宋体" w:hint="default"/>
                <w:sz w:val="18"/>
                <w:szCs w:val="18"/>
              </w:rPr>
              <w:t>的股份</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公司董事、全资子公司总经理，持本公司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7.08%</w:t>
            </w:r>
            <w:r>
              <w:rPr>
                <w:rFonts w:ascii="宋体" w:hAnsi="宋体" w:cs="宋体" w:eastAsia="宋体" w:hint="default"/>
                <w:sz w:val="18"/>
                <w:szCs w:val="18"/>
              </w:rPr>
              <w:t>的股份</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公司董事、全资子公司副总经理，持本公司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w:t>
            </w:r>
            <w:r>
              <w:rPr>
                <w:rFonts w:ascii="宋体" w:hAnsi="宋体" w:cs="宋体" w:eastAsia="宋体" w:hint="default"/>
                <w:sz w:val="18"/>
                <w:szCs w:val="18"/>
              </w:rPr>
              <w:t>的股份</w:t>
            </w:r>
          </w:p>
        </w:tc>
      </w:tr>
    </w:tbl>
    <w:p>
      <w:pPr>
        <w:spacing w:line="240" w:lineRule="auto" w:before="3"/>
        <w:rPr>
          <w:rFonts w:ascii="宋体" w:hAnsi="宋体" w:cs="宋体" w:eastAsia="宋体" w:hint="default"/>
          <w:b/>
          <w:bCs/>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135" w:right="1113"/>
        <w:jc w:val="center"/>
      </w:pPr>
      <w:r>
        <w:rPr/>
        <w:t>采购商品</w:t>
      </w:r>
      <w:r>
        <w:rPr>
          <w:rFonts w:ascii="Times New Roman" w:hAnsi="Times New Roman" w:cs="Times New Roman" w:eastAsia="Times New Roman" w:hint="default"/>
        </w:rPr>
        <w:t>/</w:t>
      </w:r>
      <w:r>
        <w:rPr/>
        <w:t>接受劳务情况表</w:t>
      </w:r>
    </w:p>
    <w:p>
      <w:pPr>
        <w:spacing w:line="240" w:lineRule="auto" w:before="13"/>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419"/>
        <w:gridCol w:w="1418"/>
        <w:gridCol w:w="1416"/>
        <w:gridCol w:w="1561"/>
        <w:gridCol w:w="1205"/>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15,952,497.08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223,908.61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240" w:lineRule="auto" w:before="36"/>
        <w:ind w:left="135" w:right="1113"/>
        <w:jc w:val="center"/>
      </w:pPr>
      <w:r>
        <w:rPr/>
        <w:t>出售商品</w:t>
      </w:r>
      <w:r>
        <w:rPr>
          <w:rFonts w:ascii="Times New Roman" w:hAnsi="Times New Roman" w:cs="Times New Roman" w:eastAsia="Times New Roman" w:hint="default"/>
        </w:rPr>
        <w:t>/</w:t>
      </w:r>
      <w:r>
        <w:rPr/>
        <w:t>提供劳务情况表</w:t>
      </w:r>
    </w:p>
    <w:p>
      <w:pPr>
        <w:spacing w:line="240" w:lineRule="auto" w:before="13"/>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985"/>
        <w:gridCol w:w="1416"/>
        <w:gridCol w:w="2765"/>
      </w:tblGrid>
      <w:tr>
        <w:trPr>
          <w:trHeight w:val="40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材料费</w:t>
            </w:r>
          </w:p>
        </w:tc>
        <w:tc>
          <w:tcPr>
            <w:tcW w:w="141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37,951.86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本公司作为出租方：</w:t>
      </w:r>
    </w:p>
    <w:p>
      <w:pPr>
        <w:spacing w:line="240" w:lineRule="auto" w:before="0"/>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807"/>
        <w:gridCol w:w="2393"/>
        <w:gridCol w:w="2393"/>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557,416.35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515,610.91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263,185.37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116,386.37</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本公司作为担保方</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560"/>
        <w:gridCol w:w="1844"/>
        <w:gridCol w:w="1277"/>
        <w:gridCol w:w="1916"/>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21,019,300.00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274"/>
        <w:gridCol w:w="1844"/>
        <w:gridCol w:w="1702"/>
        <w:gridCol w:w="1491"/>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3,069,100.00</w:t>
            </w:r>
          </w:p>
        </w:tc>
      </w:tr>
    </w:tbl>
    <w:p>
      <w:pPr>
        <w:spacing w:line="240" w:lineRule="auto" w:before="3"/>
        <w:rPr>
          <w:rFonts w:ascii="宋体" w:hAnsi="宋体" w:cs="宋体" w:eastAsia="宋体" w:hint="default"/>
          <w:sz w:val="19"/>
          <w:szCs w:val="19"/>
        </w:rPr>
      </w:pPr>
    </w:p>
    <w:p>
      <w:pPr>
        <w:pStyle w:val="Heading4"/>
        <w:spacing w:line="508" w:lineRule="auto" w:before="36"/>
        <w:ind w:right="8541"/>
        <w:jc w:val="left"/>
        <w:rPr>
          <w:b w:val="0"/>
          <w:bCs w:val="0"/>
        </w:rPr>
      </w:pPr>
      <w:r>
        <w:rPr>
          <w:rFonts w:ascii="Times New Roman" w:hAnsi="Times New Roman" w:cs="Times New Roman" w:eastAsia="Times New Roman" w:hint="default"/>
        </w:rPr>
        <w:t>5</w:t>
      </w:r>
      <w:r>
        <w:rPr/>
        <w:t>、关联方应收应付款项</w:t>
      </w:r>
      <w:r>
        <w:rPr>
          <w:w w:val="100"/>
        </w:rPr>
        <w:t> </w:t>
      </w:r>
      <w:r>
        <w:rPr/>
        <w:t>应收项目</w:t>
      </w:r>
      <w:r>
        <w:rPr>
          <w:b w:val="0"/>
          <w:bCs w:val="0"/>
        </w:rPr>
      </w:r>
    </w:p>
    <w:p>
      <w:pPr>
        <w:spacing w:before="12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260"/>
        <w:gridCol w:w="1277"/>
        <w:gridCol w:w="1133"/>
        <w:gridCol w:w="1277"/>
        <w:gridCol w:w="1344"/>
      </w:tblGrid>
      <w:tr>
        <w:trPr>
          <w:trHeight w:val="403"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326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77"/>
        <w:gridCol w:w="3260"/>
        <w:gridCol w:w="1277"/>
        <w:gridCol w:w="1133"/>
        <w:gridCol w:w="1277"/>
        <w:gridCol w:w="1344"/>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274,883.57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16,734.51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185,630.51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9,281.53</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130,643.18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6,532.16</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pict>
          <v:shape style="position:absolute;margin-left:56.459999pt;margin-top:-139.118271pt;width:479.2pt;height:194.7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3"/>
                    <w:gridCol w:w="4607"/>
                  </w:tblGrid>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3,430,000.00</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229,000.00</w:t>
                        </w:r>
                      </w:p>
                    </w:tc>
                  </w:tr>
                  <w:tr>
                    <w:trPr>
                      <w:trHeight w:val="196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公司限制性股票激励计划本期授予激励对象的授予日为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日，授予数量</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888.00</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万股，授予价格为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股，本次限制性股票计划的有效期为自限制性股票授予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年，若达到计划规定的解锁条件，激励对象分三次 </w:t>
                        </w:r>
                        <w:r>
                          <w:rPr>
                            <w:rFonts w:ascii="宋体" w:hAnsi="宋体" w:cs="宋体" w:eastAsia="宋体" w:hint="default"/>
                            <w:spacing w:val="-3"/>
                            <w:sz w:val="18"/>
                            <w:szCs w:val="18"/>
                          </w:rPr>
                          <w:t>申请解锁，分别自首次授予日起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个月后、</w:t>
                        </w:r>
                        <w:r>
                          <w:rPr>
                            <w:rFonts w:ascii="Times New Roman" w:hAnsi="Times New Roman" w:cs="Times New Roman" w:eastAsia="Times New Roman" w:hint="default"/>
                            <w:spacing w:val="-6"/>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个月后、</w:t>
                        </w:r>
                        <w:r>
                          <w:rPr>
                            <w:rFonts w:ascii="Times New Roman" w:hAnsi="Times New Roman" w:cs="Times New Roman" w:eastAsia="Times New Roman" w:hint="default"/>
                            <w:spacing w:val="-5"/>
                            <w:sz w:val="18"/>
                            <w:szCs w:val="18"/>
                          </w:rPr>
                          <w:t>36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个月后各申请解锁授予限制性股票总量的</w:t>
                        </w:r>
                        <w:r>
                          <w:rPr>
                            <w:rFonts w:ascii="宋体" w:hAnsi="宋体" w:cs="宋体" w:eastAsia="宋体" w:hint="default"/>
                            <w:spacing w:val="-43"/>
                            <w:sz w:val="18"/>
                            <w:szCs w:val="18"/>
                          </w:rPr>
                          <w:t> </w:t>
                        </w:r>
                        <w:r>
                          <w:rPr>
                            <w:rFonts w:ascii="Times New Roman" w:hAnsi="Times New Roman" w:cs="Times New Roman" w:eastAsia="Times New Roman" w:hint="default"/>
                            <w:spacing w:val="-16"/>
                            <w:sz w:val="18"/>
                            <w:szCs w:val="18"/>
                          </w:rPr>
                          <w:t>40%</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40%</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w:t>
                        </w:r>
                        <w:r>
                          <w:rPr>
                            <w:rFonts w:ascii="Times New Roman" w:hAnsi="Times New Roman" w:cs="Times New Roman" w:eastAsia="Times New Roman" w:hint="default"/>
                            <w:sz w:val="18"/>
                            <w:szCs w:val="18"/>
                          </w:rPr>
                        </w: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8"/>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 期限</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w:t>
            </w:r>
          </w:p>
        </w:tc>
      </w:tr>
      <w:tr>
        <w:trPr>
          <w:trHeight w:val="110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根据最新取得的可行权职工人数变动情况进</w:t>
            </w:r>
          </w:p>
          <w:p>
            <w:pPr>
              <w:pStyle w:val="TableParagraph"/>
              <w:spacing w:line="316" w:lineRule="auto" w:before="155"/>
              <w:ind w:left="23" w:right="51"/>
              <w:jc w:val="left"/>
              <w:rPr>
                <w:rFonts w:ascii="宋体" w:hAnsi="宋体" w:cs="宋体" w:eastAsia="宋体" w:hint="default"/>
                <w:sz w:val="18"/>
                <w:szCs w:val="18"/>
              </w:rPr>
            </w:pPr>
            <w:r>
              <w:rPr>
                <w:rFonts w:ascii="宋体" w:hAnsi="宋体" w:cs="宋体" w:eastAsia="宋体" w:hint="default"/>
                <w:sz w:val="18"/>
                <w:szCs w:val="18"/>
              </w:rPr>
              <w:t>行统计，业绩考核目标预计能达到可行权条件，预计可行 权权益工具数量的最佳估计</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9,054,100.00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1,631,600.00</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十四、承诺及或有事项</w:t>
      </w:r>
      <w:r>
        <w:rPr>
          <w:b w:val="0"/>
          <w:bCs w:val="0"/>
        </w:rPr>
      </w:r>
    </w:p>
    <w:p>
      <w:pPr>
        <w:spacing w:line="688" w:lineRule="exact" w:before="21"/>
        <w:ind w:left="573" w:right="70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资产负债表日存在的重要承诺</w:t>
      </w:r>
    </w:p>
    <w:p>
      <w:pPr>
        <w:pStyle w:val="BodyText"/>
        <w:spacing w:line="240" w:lineRule="auto" w:before="126"/>
        <w:ind w:left="573" w:right="99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日，本集团不存在应披露的承诺事项。</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992"/>
        <w:jc w:val="left"/>
      </w:pP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日，本集团不存在应披露的未决诉讼、对外担保等或有事项。</w:t>
      </w:r>
    </w:p>
    <w:p>
      <w:pPr>
        <w:spacing w:line="240" w:lineRule="auto" w:before="8"/>
        <w:rPr>
          <w:rFonts w:ascii="宋体" w:hAnsi="宋体" w:cs="宋体" w:eastAsia="宋体" w:hint="default"/>
          <w:sz w:val="30"/>
          <w:szCs w:val="30"/>
        </w:rPr>
      </w:pPr>
    </w:p>
    <w:p>
      <w:pPr>
        <w:spacing w:line="571" w:lineRule="auto" w:before="0"/>
        <w:ind w:left="573" w:right="4608"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pStyle w:val="Heading2"/>
        <w:spacing w:line="240" w:lineRule="auto" w:before="98"/>
        <w:ind w:right="992"/>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100,100,288.25</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100,100,288.25</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0"/>
          <w:szCs w:val="30"/>
        </w:rPr>
      </w:pPr>
    </w:p>
    <w:p>
      <w:pPr>
        <w:pStyle w:val="BodyText"/>
        <w:spacing w:line="398" w:lineRule="auto" w:before="0"/>
        <w:ind w:right="1126" w:firstLine="420"/>
        <w:jc w:val="both"/>
      </w:pPr>
      <w:r>
        <w:rPr>
          <w:spacing w:val="-1"/>
          <w:w w:val="100"/>
        </w:rPr>
        <w:t>财政部于</w:t>
      </w:r>
      <w:r>
        <w:rPr>
          <w:spacing w:val="-50"/>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7 </w:t>
      </w:r>
      <w:r>
        <w:rPr>
          <w:spacing w:val="-4"/>
          <w:w w:val="100"/>
        </w:rPr>
        <w:t>月发布了《关于修订印发</w:t>
      </w:r>
      <w:r>
        <w:rPr>
          <w:rFonts w:ascii="Times New Roman" w:hAnsi="Times New Roman" w:cs="Times New Roman" w:eastAsia="Times New Roman" w:hint="default"/>
          <w:spacing w:val="-4"/>
          <w:w w:val="100"/>
        </w:rPr>
        <w:t>&lt;</w:t>
      </w:r>
      <w:r>
        <w:rPr>
          <w:spacing w:val="-4"/>
          <w:w w:val="100"/>
        </w:rPr>
        <w:t>企业会计准则第</w:t>
      </w:r>
      <w:r>
        <w:rPr>
          <w:spacing w:val="-50"/>
          <w:w w:val="100"/>
        </w:rPr>
        <w:t> </w:t>
      </w:r>
      <w:r>
        <w:rPr>
          <w:rFonts w:ascii="Times New Roman" w:hAnsi="Times New Roman" w:cs="Times New Roman" w:eastAsia="Times New Roman" w:hint="default"/>
          <w:spacing w:val="-2"/>
          <w:w w:val="100"/>
        </w:rPr>
        <w:t>14</w:t>
      </w:r>
      <w:r>
        <w:rPr>
          <w:rFonts w:ascii="Times New Roman" w:hAnsi="Times New Roman" w:cs="Times New Roman" w:eastAsia="Times New Roman" w:hint="default"/>
          <w:spacing w:val="3"/>
          <w:w w:val="100"/>
        </w:rPr>
        <w:t> </w:t>
      </w:r>
      <w:r>
        <w:rPr>
          <w:spacing w:val="-9"/>
          <w:w w:val="100"/>
        </w:rPr>
        <w:t>号</w:t>
      </w:r>
      <w:r>
        <w:rPr>
          <w:rFonts w:ascii="Times New Roman" w:hAnsi="Times New Roman" w:cs="Times New Roman" w:eastAsia="Times New Roman" w:hint="default"/>
          <w:spacing w:val="-9"/>
          <w:w w:val="100"/>
        </w:rPr>
        <w:t>——</w:t>
      </w:r>
      <w:r>
        <w:rPr>
          <w:spacing w:val="-9"/>
          <w:w w:val="100"/>
        </w:rPr>
        <w:t>收入</w:t>
      </w:r>
      <w:r>
        <w:rPr>
          <w:rFonts w:ascii="Times New Roman" w:hAnsi="Times New Roman" w:cs="Times New Roman" w:eastAsia="Times New Roman" w:hint="default"/>
          <w:spacing w:val="-9"/>
          <w:w w:val="100"/>
        </w:rPr>
        <w:t>&gt;</w:t>
      </w:r>
      <w:r>
        <w:rPr>
          <w:spacing w:val="-9"/>
          <w:w w:val="100"/>
        </w:rPr>
        <w:t>的通知》（财会</w:t>
      </w:r>
      <w:r>
        <w:rPr>
          <w:rFonts w:ascii="Times New Roman" w:hAnsi="Times New Roman" w:cs="Times New Roman" w:eastAsia="Times New Roman" w:hint="default"/>
          <w:spacing w:val="-9"/>
          <w:w w:val="100"/>
        </w:rPr>
        <w:t>[2017]22</w:t>
      </w:r>
      <w:r>
        <w:rPr>
          <w:rFonts w:ascii="Times New Roman" w:hAnsi="Times New Roman" w:cs="Times New Roman" w:eastAsia="Times New Roman" w:hint="default"/>
          <w:w w:val="100"/>
        </w:rPr>
        <w:t> </w:t>
      </w:r>
      <w:r>
        <w:rPr>
          <w:spacing w:val="-7"/>
          <w:w w:val="100"/>
        </w:rPr>
        <w:t>号，以下简称“新收入准则”），要求在境内外同时上市的企业以及在境外上市并采用国际财务报告准则或</w:t>
      </w:r>
      <w:r>
        <w:rPr>
          <w:spacing w:val="-73"/>
          <w:w w:val="100"/>
        </w:rPr>
        <w:t> </w:t>
      </w:r>
      <w:r>
        <w:rPr>
          <w:spacing w:val="-73"/>
          <w:w w:val="100"/>
        </w:rPr>
      </w:r>
      <w:r>
        <w:rPr/>
        <w:t>企业会计准则编制财务报表的企业，自</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日起施行；其他境内上市企业，自</w:t>
      </w:r>
      <w:r>
        <w:rPr>
          <w:spacing w:val="-51"/>
        </w:rPr>
        <w:t> </w:t>
      </w:r>
      <w:r>
        <w:rPr>
          <w:rFonts w:ascii="Times New Roman" w:hAnsi="Times New Roman" w:cs="Times New Roman" w:eastAsia="Times New Roman" w:hint="default"/>
        </w:rPr>
        <w:t>2020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BodyText"/>
        <w:spacing w:line="240" w:lineRule="auto" w:before="24"/>
        <w:ind w:right="992"/>
        <w:jc w:val="left"/>
      </w:pPr>
      <w:r>
        <w:rPr>
          <w:spacing w:val="-3"/>
        </w:rPr>
        <w:t>起施行；执行企业会计准则的非上市企业，自</w:t>
      </w:r>
      <w:r>
        <w:rPr>
          <w:spacing w:val="-49"/>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日起施行。经本公司第四届董事会</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spacing w:val="-3"/>
        </w:rPr>
        <w:t>年第</w:t>
      </w:r>
      <w:r>
        <w:rPr/>
      </w:r>
    </w:p>
    <w:p>
      <w:pPr>
        <w:pStyle w:val="BodyText"/>
        <w:spacing w:line="386" w:lineRule="auto" w:before="177"/>
        <w:ind w:right="992"/>
        <w:jc w:val="left"/>
      </w:pPr>
      <w:r>
        <w:rPr>
          <w:spacing w:val="-3"/>
        </w:rPr>
        <w:t>二次会议、第四届监事会</w:t>
      </w:r>
      <w:r>
        <w:rPr>
          <w:spacing w:val="-52"/>
        </w:rPr>
        <w:t> </w:t>
      </w:r>
      <w:r>
        <w:rPr>
          <w:rFonts w:ascii="Times New Roman" w:hAnsi="Times New Roman" w:cs="Times New Roman" w:eastAsia="Times New Roman" w:hint="default"/>
        </w:rPr>
        <w:t>2020 </w:t>
      </w:r>
      <w:r>
        <w:rPr/>
        <w:t>年第一次会议于</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3"/>
        </w:rPr>
        <w:t>日决议通过，本公司将于</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 </w:t>
      </w:r>
      <w:r>
        <w:rPr/>
        <w:t>日</w:t>
      </w:r>
      <w:r>
        <w:rPr>
          <w:w w:val="100"/>
        </w:rPr>
        <w:t> </w:t>
      </w:r>
      <w:r>
        <w:rPr/>
        <w:t>起执行上述新收入准则，并将依据上述新收入准则的规定对相关会计政策进行变更。</w:t>
      </w:r>
    </w:p>
    <w:p>
      <w:pPr>
        <w:pStyle w:val="BodyText"/>
        <w:spacing w:line="240" w:lineRule="auto" w:before="106"/>
        <w:ind w:left="573" w:right="992"/>
        <w:jc w:val="left"/>
      </w:pPr>
      <w:r>
        <w:rPr/>
        <w:t>截至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日，除上述事项外本集团不存在其他应披露的资产负债表日后事项。</w:t>
      </w:r>
    </w:p>
    <w:p>
      <w:pPr>
        <w:spacing w:line="240" w:lineRule="auto" w:before="6"/>
        <w:rPr>
          <w:rFonts w:ascii="宋体" w:hAnsi="宋体" w:cs="宋体" w:eastAsia="宋体" w:hint="default"/>
          <w:sz w:val="28"/>
          <w:szCs w:val="28"/>
        </w:rPr>
      </w:pPr>
    </w:p>
    <w:p>
      <w:pPr>
        <w:pStyle w:val="Heading2"/>
        <w:spacing w:line="240" w:lineRule="auto"/>
        <w:ind w:right="992"/>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t>分部信息</w:t>
      </w:r>
      <w:r>
        <w:rPr>
          <w:b w:val="0"/>
          <w:bCs w:val="0"/>
        </w:rPr>
      </w:r>
    </w:p>
    <w:p>
      <w:pPr>
        <w:spacing w:line="690" w:lineRule="exact" w:before="33"/>
        <w:ind w:left="573" w:right="112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z w:val="21"/>
          <w:szCs w:val="21"/>
        </w:rPr>
        <w:t>根据本集团的内部组织结构、管理要求及内部报告制度，本集团的经营业务划分为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个报告分部。这</w:t>
      </w:r>
    </w:p>
    <w:p>
      <w:pPr>
        <w:pStyle w:val="BodyText"/>
        <w:spacing w:line="408" w:lineRule="auto" w:before="84"/>
        <w:ind w:right="992"/>
        <w:jc w:val="left"/>
      </w:pPr>
      <w:r>
        <w:rPr>
          <w:spacing w:val="-2"/>
        </w:rPr>
        <w:t>些报告分部是以公司日常内部管理要求的财务信息为基础确定的。集团的管理层定期评价这些报告分部的</w:t>
      </w:r>
      <w:r>
        <w:rPr>
          <w:spacing w:val="-43"/>
        </w:rPr>
        <w:t> </w:t>
      </w:r>
      <w:r>
        <w:rPr>
          <w:spacing w:val="-43"/>
        </w:rPr>
      </w:r>
      <w:r>
        <w:rPr/>
        <w:t>经营成果，以决定向其分配资源及评价其业绩。</w:t>
      </w:r>
    </w:p>
    <w:p>
      <w:pPr>
        <w:pStyle w:val="BodyText"/>
        <w:spacing w:line="240" w:lineRule="auto" w:before="87"/>
        <w:ind w:left="573" w:right="992"/>
        <w:jc w:val="left"/>
      </w:pPr>
      <w:r>
        <w:rPr/>
        <w:t>本集团报告分部包括：</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t>（</w:t>
      </w:r>
      <w:r>
        <w:rPr>
          <w:rFonts w:ascii="Times New Roman" w:hAnsi="Times New Roman" w:cs="Times New Roman" w:eastAsia="Times New Roman" w:hint="default"/>
        </w:rPr>
        <w:t>1</w:t>
      </w:r>
      <w:r>
        <w:rPr/>
        <w:t>）军工分部，生产及销售军工产品；</w:t>
      </w:r>
    </w:p>
    <w:p>
      <w:pPr>
        <w:spacing w:line="240" w:lineRule="auto" w:before="9"/>
        <w:rPr>
          <w:rFonts w:ascii="宋体" w:hAnsi="宋体" w:cs="宋体" w:eastAsia="宋体" w:hint="default"/>
          <w:sz w:val="16"/>
          <w:szCs w:val="16"/>
        </w:rPr>
      </w:pPr>
    </w:p>
    <w:p>
      <w:pPr>
        <w:pStyle w:val="BodyText"/>
        <w:spacing w:line="240" w:lineRule="auto" w:before="0"/>
        <w:ind w:left="573" w:right="992"/>
        <w:jc w:val="left"/>
      </w:pPr>
      <w:r>
        <w:rPr/>
        <w:t>（</w:t>
      </w:r>
      <w:r>
        <w:rPr>
          <w:rFonts w:ascii="Times New Roman" w:hAnsi="Times New Roman" w:cs="Times New Roman" w:eastAsia="Times New Roman" w:hint="default"/>
        </w:rPr>
        <w:t>2</w:t>
      </w:r>
      <w:r>
        <w:rPr/>
        <w:t>）煤矿安全分部，生产及销售煤矿顶板安全监测系统及相关仪器仪表等产品；</w:t>
      </w:r>
    </w:p>
    <w:p>
      <w:pPr>
        <w:spacing w:line="240" w:lineRule="auto" w:before="6"/>
        <w:rPr>
          <w:rFonts w:ascii="宋体" w:hAnsi="宋体" w:cs="宋体" w:eastAsia="宋体" w:hint="default"/>
          <w:sz w:val="16"/>
          <w:szCs w:val="16"/>
        </w:rPr>
      </w:pPr>
    </w:p>
    <w:p>
      <w:pPr>
        <w:pStyle w:val="BodyText"/>
        <w:spacing w:line="240" w:lineRule="auto" w:before="0"/>
        <w:ind w:left="573" w:right="992"/>
        <w:jc w:val="left"/>
      </w:pPr>
      <w:r>
        <w:rPr/>
        <w:t>（</w:t>
      </w:r>
      <w:r>
        <w:rPr>
          <w:rFonts w:ascii="Times New Roman" w:hAnsi="Times New Roman" w:cs="Times New Roman" w:eastAsia="Times New Roman" w:hint="default"/>
        </w:rPr>
        <w:t>3</w:t>
      </w:r>
      <w:r>
        <w:rPr/>
        <w:t>）通信分部，生产及销售轨道交通信息化产品及服务。</w:t>
      </w:r>
    </w:p>
    <w:p>
      <w:pPr>
        <w:spacing w:line="240" w:lineRule="auto" w:before="8"/>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军工分部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煤炭安全分部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通信分部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205,138,094.84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219,768,781.40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51,041,514.90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-4,082,145.84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471,866,245.30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205,138,094.84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214,204,123.75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50,743,096.44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-545,158.54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469,540,156.49</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125,543,859.13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89,968,707.62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35,917,788.67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-660,826.89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250,769,528.53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125,543,859.13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89,515,360.68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35,672,326.98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-660,826.89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250,070,719.90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26,261,190.25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92,909,986.28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42,864,223.91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4,383,300.21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166,418,700.65</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84,007,519.25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115,305,027.22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-28,169,107.26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-103,034,992.80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68,108,446.41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426,258,376.63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1,742,148,175.73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205,040,712.24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-349,796,185.16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2,023,651,079.44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123,092,162.32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67,919,393.69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93,656,941.64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-46,933,802.55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237,734,695.10</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河北天进测控技术 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59,090,2</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91.29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2,922,94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56,167,35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167,103,9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49.56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33,778,64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133,325,30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应收国有企业客户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Times New Roman" w:hAnsi="Times New Roman" w:cs="Times New Roman" w:eastAsia="Times New Roman" w:hint="default"/>
                <w:sz w:val="18"/>
                <w:szCs w:val="18"/>
              </w:rPr>
            </w:pPr>
            <w:r>
              <w:rPr>
                <w:rFonts w:ascii="Times New Roman"/>
                <w:sz w:val="18"/>
              </w:rPr>
              <w:t>48,852,3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2,503,73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46,348,59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148,263,8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30,801,51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6" w:right="0"/>
              <w:jc w:val="left"/>
              <w:rPr>
                <w:rFonts w:ascii="Times New Roman" w:hAnsi="Times New Roman" w:cs="Times New Roman" w:eastAsia="Times New Roman" w:hint="default"/>
                <w:sz w:val="18"/>
                <w:szCs w:val="18"/>
              </w:rPr>
            </w:pPr>
            <w:r>
              <w:rPr>
                <w:rFonts w:ascii="Times New Roman"/>
                <w:sz w:val="18"/>
              </w:rPr>
              <w:t>117,462,35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32.60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6.18</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6.42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Times New Roman" w:hAnsi="Times New Roman" w:cs="Times New Roman" w:eastAsia="Times New Roman" w:hint="default"/>
                <w:sz w:val="18"/>
                <w:szCs w:val="18"/>
              </w:rPr>
            </w:pPr>
            <w:r>
              <w:rPr>
                <w:rFonts w:ascii="Times New Roman"/>
                <w:sz w:val="18"/>
              </w:rPr>
              <w:t>71.26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9.73</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1.53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应收其他客户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6,885,91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419,204.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6,466,706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16,412,81</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2,977,125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13,435,688.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应收合并范围内关 联方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3,352,04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5.66%</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59,190,2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3,022,94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56,167,35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167,103,9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33,778,64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133,325,30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4.00</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按单项计提坏账准备：河北天进测控技术有限公司</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河北天进测控技术有限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票据已到期未承兑</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按组合计提坏账准备：应收国有企业客户</w:t>
      </w:r>
    </w:p>
    <w:p>
      <w:pPr>
        <w:spacing w:line="240" w:lineRule="auto" w:before="0"/>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48,852,332.60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2,503,736.18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48,852,332.60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2,503,736.18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5"/>
          <w:szCs w:val="5"/>
        </w:rPr>
      </w:pPr>
    </w:p>
    <w:p>
      <w:pPr>
        <w:pStyle w:val="BodyText"/>
        <w:spacing w:line="240" w:lineRule="auto" w:before="36"/>
        <w:ind w:left="573" w:right="992"/>
        <w:jc w:val="left"/>
      </w:pPr>
      <w:r>
        <w:rPr/>
        <w:t>按组合计提坏账准备：应收其他客户</w:t>
      </w:r>
    </w:p>
    <w:p>
      <w:pPr>
        <w:spacing w:line="240" w:lineRule="auto" w:before="0"/>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6,885,910.55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419,204.11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6,885,910.55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419,204.11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按组合计提坏账准备：应收合并范围内关联方</w:t>
      </w:r>
    </w:p>
    <w:p>
      <w:pPr>
        <w:spacing w:line="240" w:lineRule="auto" w:before="0"/>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81"/>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应收合并范围内关联方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3,352,048.14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3,352,048.14</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408" w:lineRule="auto" w:before="36"/>
        <w:ind w:right="992" w:firstLine="420"/>
        <w:jc w:val="left"/>
      </w:pPr>
      <w:r>
        <w:rPr>
          <w:spacing w:val="-2"/>
        </w:rPr>
        <w:t>如是按照预期信用损失一般模型计提应收账款坏账准备，请参照其他应收款的披露方式披露坏账准备</w:t>
      </w:r>
      <w:r>
        <w:rPr>
          <w:w w:val="100"/>
        </w:rPr>
        <w:t> </w:t>
      </w:r>
      <w:r>
        <w:rPr/>
        <w:t>的相关信息：</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92"/>
        <w:jc w:val="left"/>
      </w:pPr>
      <w:r>
        <w:rPr/>
        <w:t>按账龄披露</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59,090,291.29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59,190,291.29</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t>本期计提坏账准备情况：</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274"/>
        <w:gridCol w:w="1277"/>
        <w:gridCol w:w="1025"/>
        <w:gridCol w:w="1366"/>
        <w:gridCol w:w="1369"/>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33,778,645.56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3,022,940.29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-33,778,645.56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3,022,940.29</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33,778,645.56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3,022,940.29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-33,778,645.56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3,022,940.29</w:t>
            </w:r>
          </w:p>
        </w:tc>
      </w:tr>
    </w:tbl>
    <w:p>
      <w:pPr>
        <w:spacing w:line="240" w:lineRule="auto" w:before="3"/>
        <w:rPr>
          <w:rFonts w:ascii="宋体" w:hAnsi="宋体" w:cs="宋体" w:eastAsia="宋体" w:hint="default"/>
          <w:sz w:val="5"/>
          <w:szCs w:val="5"/>
        </w:rPr>
      </w:pPr>
    </w:p>
    <w:p>
      <w:pPr>
        <w:pStyle w:val="BodyText"/>
        <w:spacing w:line="384" w:lineRule="auto" w:before="36"/>
        <w:ind w:right="992" w:firstLine="420"/>
        <w:jc w:val="left"/>
      </w:pPr>
      <w:r>
        <w:rPr/>
        <w:t>应收账款坏账准备</w:t>
      </w:r>
      <w:r>
        <w:rPr>
          <w:rFonts w:ascii="Times New Roman" w:hAnsi="Times New Roman" w:cs="Times New Roman" w:eastAsia="Times New Roman" w:hint="default"/>
        </w:rPr>
        <w:t>-</w:t>
      </w:r>
      <w:r>
        <w:rPr/>
        <w:t>其他系本公司于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日将煤矿安全业务整体移至子公司尤洛卡（山东）</w:t>
      </w:r>
      <w:r>
        <w:rPr>
          <w:w w:val="100"/>
        </w:rPr>
        <w:t> </w:t>
      </w:r>
      <w:r>
        <w:rPr/>
        <w:t>矿业科技有限公司导致。</w:t>
      </w:r>
    </w:p>
    <w:p>
      <w:pPr>
        <w:spacing w:line="240" w:lineRule="auto" w:before="3"/>
        <w:rPr>
          <w:rFonts w:ascii="宋体" w:hAnsi="宋体" w:cs="宋体" w:eastAsia="宋体" w:hint="default"/>
          <w:sz w:val="22"/>
          <w:szCs w:val="22"/>
        </w:rPr>
      </w:pPr>
    </w:p>
    <w:p>
      <w:pPr>
        <w:pStyle w:val="Heading4"/>
        <w:spacing w:line="240" w:lineRule="auto"/>
        <w:ind w:right="992"/>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992" w:firstLine="420"/>
        <w:jc w:val="left"/>
      </w:pPr>
      <w:r>
        <w:rPr/>
        <w:t>本期按欠款方归集的期末余额前五名应收账款汇总金额</w:t>
      </w:r>
      <w:r>
        <w:rPr>
          <w:spacing w:val="-46"/>
        </w:rPr>
        <w:t> </w:t>
      </w:r>
      <w:r>
        <w:rPr>
          <w:rFonts w:ascii="Times New Roman" w:hAnsi="Times New Roman" w:cs="Times New Roman" w:eastAsia="Times New Roman" w:hint="default"/>
        </w:rPr>
        <w:t>33,118,252.74</w:t>
      </w:r>
      <w:r>
        <w:rPr>
          <w:rFonts w:ascii="Times New Roman" w:hAnsi="Times New Roman" w:cs="Times New Roman" w:eastAsia="Times New Roman" w:hint="default"/>
          <w:spacing w:val="5"/>
        </w:rPr>
        <w:t> </w:t>
      </w:r>
      <w:r>
        <w:rPr>
          <w:spacing w:val="-7"/>
        </w:rPr>
        <w:t>元，占应收账款期末余额合计数</w:t>
      </w:r>
      <w:r>
        <w:rPr>
          <w:w w:val="100"/>
        </w:rPr>
        <w:t> </w:t>
      </w:r>
      <w:r>
        <w:rPr/>
        <w:t>的比例</w:t>
      </w:r>
      <w:r>
        <w:rPr>
          <w:spacing w:val="-53"/>
        </w:rPr>
        <w:t> </w:t>
      </w:r>
      <w:r>
        <w:rPr>
          <w:rFonts w:ascii="Times New Roman" w:hAnsi="Times New Roman" w:cs="Times New Roman" w:eastAsia="Times New Roman" w:hint="default"/>
        </w:rPr>
        <w:t>55.95%</w:t>
      </w:r>
      <w:r>
        <w:rPr/>
        <w:t>，相应计提的坏账准备期末余额汇总金额</w:t>
      </w:r>
      <w:r>
        <w:rPr>
          <w:spacing w:val="-54"/>
        </w:rPr>
        <w:t> </w:t>
      </w:r>
      <w:r>
        <w:rPr>
          <w:rFonts w:ascii="Times New Roman" w:hAnsi="Times New Roman" w:cs="Times New Roman" w:eastAsia="Times New Roman" w:hint="default"/>
        </w:rPr>
        <w:t>1,698,966.37</w:t>
      </w:r>
      <w:r>
        <w:rPr>
          <w:rFonts w:ascii="Times New Roman" w:hAnsi="Times New Roman" w:cs="Times New Roman" w:eastAsia="Times New Roman" w:hint="default"/>
          <w:spacing w:val="-1"/>
        </w:rPr>
        <w:t> </w:t>
      </w:r>
      <w:r>
        <w:rPr>
          <w:spacing w:val="-3"/>
        </w:rPr>
        <w:t>元。</w:t>
      </w:r>
      <w:r>
        <w:rPr/>
      </w:r>
    </w:p>
    <w:p>
      <w:pPr>
        <w:spacing w:line="240" w:lineRule="auto" w:before="8"/>
        <w:rPr>
          <w:rFonts w:ascii="宋体" w:hAnsi="宋体" w:cs="宋体" w:eastAsia="宋体" w:hint="default"/>
          <w:sz w:val="19"/>
          <w:szCs w:val="19"/>
        </w:rPr>
      </w:pPr>
    </w:p>
    <w:p>
      <w:pPr>
        <w:pStyle w:val="Heading4"/>
        <w:spacing w:line="240" w:lineRule="auto"/>
        <w:ind w:right="99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93,008,695.56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27,329,793.72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93,008,695.56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27,329,793.72</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其他应收款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631,650.04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439,572.26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2,289,358.35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92,774,400.00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24,878,400.00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190,268.90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93,248,801.94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27,989,677.29</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659,883.57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659,883.57</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-61,984.88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-61,984.88</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-357,792.31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-357,792.31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240,106.38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240,106.38</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损失准备本期变动金额重大的账面余额变动情况：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386" w:lineRule="auto" w:before="0"/>
        <w:ind w:right="992" w:firstLine="420"/>
        <w:jc w:val="left"/>
      </w:pPr>
      <w:r>
        <w:rPr>
          <w:spacing w:val="-2"/>
        </w:rPr>
        <w:t>其他应收款坏账准备</w:t>
      </w:r>
      <w:r>
        <w:rPr>
          <w:rFonts w:ascii="Times New Roman" w:hAnsi="Times New Roman" w:cs="Times New Roman" w:eastAsia="Times New Roman" w:hint="default"/>
          <w:spacing w:val="-2"/>
        </w:rPr>
        <w:t>-</w:t>
      </w:r>
      <w:r>
        <w:rPr>
          <w:spacing w:val="-2"/>
        </w:rPr>
        <w:t>其他变动系本公司于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日将煤矿安全业务整体移至子公司尤洛卡（山</w:t>
      </w:r>
      <w:r>
        <w:rPr>
          <w:w w:val="100"/>
        </w:rPr>
        <w:t> </w:t>
      </w:r>
      <w:r>
        <w:rPr/>
        <w:t>东）矿业科技有限公司导致。</w:t>
      </w:r>
    </w:p>
    <w:p>
      <w:pPr>
        <w:pStyle w:val="BodyText"/>
        <w:spacing w:line="240" w:lineRule="auto" w:before="106"/>
        <w:ind w:left="573" w:right="992"/>
        <w:jc w:val="left"/>
      </w:pPr>
      <w:r>
        <w:rPr/>
        <w:t>按账龄披露</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70,951,329.68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75,512.26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22,086,760.00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135,200.00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93,248,801.94</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1,408,962,053.54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94,683,684.27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1,314,278,369.27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994,083,384.27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35,683,684.27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958,399,700.00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50,810,289.47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50,810,289.47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821,922.96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821,922.96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1,459,772,343.01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94,683,684.27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1,365,088,658.74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994,905,307.23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35,683,684.27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959,221,622.96</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277"/>
        <w:gridCol w:w="850"/>
        <w:gridCol w:w="1277"/>
        <w:gridCol w:w="566"/>
        <w:gridCol w:w="1412"/>
        <w:gridCol w:w="1214"/>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422" w:right="6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580" w:right="39"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尤洛卡（山东）矿业 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410,778,669.27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415,778,669.27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尤洛卡（上海）国际 贸易有限公司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尤洛卡（北京）产业 信息技术研究院有限 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both"/>
              <w:rPr>
                <w:rFonts w:ascii="宋体" w:hAnsi="宋体" w:cs="宋体" w:eastAsia="宋体" w:hint="default"/>
                <w:sz w:val="18"/>
                <w:szCs w:val="18"/>
              </w:rPr>
            </w:pPr>
            <w:r>
              <w:rPr>
                <w:rFonts w:ascii="宋体" w:hAnsi="宋体" w:cs="宋体" w:eastAsia="宋体" w:hint="default"/>
                <w:sz w:val="18"/>
                <w:szCs w:val="18"/>
              </w:rPr>
              <w:t>尤洛卡（广东）精准 信息工程技术研究院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129,899,700.00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70,899,700.00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94,683,684.27</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长春师凯科技产业有 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958,399,700.00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414,878,669.27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1,314,278,369.27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94,683,684.27</w:t>
            </w: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59"/>
        <w:gridCol w:w="1135"/>
        <w:gridCol w:w="1133"/>
        <w:gridCol w:w="425"/>
        <w:gridCol w:w="991"/>
        <w:gridCol w:w="711"/>
        <w:gridCol w:w="566"/>
        <w:gridCol w:w="850"/>
        <w:gridCol w:w="427"/>
        <w:gridCol w:w="283"/>
        <w:gridCol w:w="992"/>
        <w:gridCol w:w="142"/>
        <w:gridCol w:w="358"/>
      </w:tblGrid>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97" w:lineRule="auto"/>
              <w:ind w:left="261" w:right="8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3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8"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1"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49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西安鲁信股权投资 管理有限公司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821,922.96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-11,633.49</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810,289.47</w:t>
            </w:r>
          </w:p>
        </w:tc>
        <w:tc>
          <w:tcPr>
            <w:tcW w:w="3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1133"/>
        <w:gridCol w:w="425"/>
        <w:gridCol w:w="991"/>
        <w:gridCol w:w="711"/>
        <w:gridCol w:w="566"/>
        <w:gridCol w:w="850"/>
        <w:gridCol w:w="427"/>
        <w:gridCol w:w="283"/>
        <w:gridCol w:w="1133"/>
        <w:gridCol w:w="358"/>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南京恒天领锐汽车 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821,922.96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-11,633.49</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50,810,289.47</w:t>
            </w: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821,922.96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-11,633.49</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50,810,289.47</w:t>
            </w:r>
          </w:p>
        </w:tc>
        <w:tc>
          <w:tcPr>
            <w:tcW w:w="3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110,771,362.07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93,353,950.14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169,387,570.87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78,984,030.34</w:t>
            </w: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3,649,980.36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319,398.00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5,997,334.98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864,797.27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114,421,342.43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93,673,348.14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175,384,905.85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79,848,827.61</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t>是否已执行新收入准则：</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-11,633.49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9,772.19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4,386,610.16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5,344,440.03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股息红利所得</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43,478.30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-240,021.53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137,178,433.44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61,354,212.22</w:t>
            </w:r>
          </w:p>
        </w:tc>
      </w:tr>
    </w:tbl>
    <w:p>
      <w:pPr>
        <w:spacing w:line="240" w:lineRule="auto" w:before="1"/>
        <w:rPr>
          <w:rFonts w:ascii="宋体" w:hAnsi="宋体" w:cs="宋体" w:eastAsia="宋体" w:hint="default"/>
          <w:sz w:val="18"/>
          <w:szCs w:val="18"/>
        </w:rPr>
      </w:pPr>
    </w:p>
    <w:p>
      <w:pPr>
        <w:pStyle w:val="Heading2"/>
        <w:spacing w:line="240" w:lineRule="auto" w:before="26"/>
        <w:ind w:right="992"/>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9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6"/>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105,192.75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3,489,719.60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5,845,204.70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9"/>
              <w:jc w:val="right"/>
              <w:rPr>
                <w:rFonts w:ascii="宋体" w:hAnsi="宋体" w:cs="宋体" w:eastAsia="宋体" w:hint="default"/>
                <w:sz w:val="18"/>
                <w:szCs w:val="18"/>
              </w:rPr>
            </w:pPr>
            <w:r>
              <w:rPr>
                <w:rFonts w:ascii="宋体" w:hAnsi="宋体" w:cs="宋体" w:eastAsia="宋体" w:hint="default"/>
                <w:sz w:val="18"/>
                <w:szCs w:val="18"/>
              </w:rPr>
              <w:t>购买金融机构理财产品</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-2,706,783.38</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320,375.92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598,326.15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-363,210.51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6,818,593.95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left="573" w:right="992"/>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386" w:lineRule="auto" w:before="177"/>
        <w:ind w:right="1119"/>
        <w:jc w:val="left"/>
      </w:pPr>
      <w:r>
        <w:rPr/>
        <w:t>性损益项目，以及把《公开发行证券的公司信息披露解释性公告第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w:t>
      </w:r>
      <w:r>
        <w:rPr>
          <w:w w:val="100"/>
        </w:rPr>
        <w:t> </w:t>
      </w:r>
      <w:r>
        <w:rPr/>
        <w:t>常性损益项目界定为经常性损益的项目，应说明原因：</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19"/>
          <w:szCs w:val="19"/>
        </w:rPr>
      </w:pPr>
    </w:p>
    <w:p>
      <w:pPr>
        <w:pStyle w:val="Heading4"/>
        <w:spacing w:line="240" w:lineRule="auto"/>
        <w:ind w:right="99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679"/>
        <w:gridCol w:w="1066"/>
        <w:gridCol w:w="1913"/>
        <w:gridCol w:w="1913"/>
      </w:tblGrid>
      <w:tr>
        <w:trPr>
          <w:trHeight w:val="205" w:hRule="exact"/>
        </w:trPr>
        <w:tc>
          <w:tcPr>
            <w:tcW w:w="4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76" w:right="77"/>
              <w:jc w:val="left"/>
              <w:rPr>
                <w:rFonts w:ascii="宋体" w:hAnsi="宋体" w:cs="宋体" w:eastAsia="宋体" w:hint="default"/>
                <w:sz w:val="18"/>
                <w:szCs w:val="18"/>
              </w:rPr>
            </w:pPr>
            <w:r>
              <w:rPr>
                <w:rFonts w:ascii="宋体" w:hAnsi="宋体" w:cs="宋体" w:eastAsia="宋体" w:hint="default"/>
                <w:sz w:val="18"/>
                <w:szCs w:val="18"/>
              </w:rPr>
              <w:t>加权平均净 资产收益率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3" w:hRule="exact"/>
        </w:trPr>
        <w:tc>
          <w:tcPr>
            <w:tcW w:w="46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066"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679"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4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066" w:type="dxa"/>
            <w:tcBorders>
              <w:top w:val="single" w:sz="21" w:space="0" w:color="D2D2D2"/>
              <w:left w:val="single" w:sz="10" w:space="0" w:color="D2D2D2"/>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0.0958</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0.0861</w:t>
            </w:r>
          </w:p>
        </w:tc>
      </w:tr>
    </w:tbl>
    <w:p>
      <w:pPr>
        <w:spacing w:line="240" w:lineRule="auto" w:before="3"/>
        <w:rPr>
          <w:rFonts w:ascii="宋体" w:hAnsi="宋体" w:cs="宋体" w:eastAsia="宋体" w:hint="default"/>
          <w:b/>
          <w:bCs/>
          <w:sz w:val="19"/>
          <w:szCs w:val="19"/>
        </w:rPr>
      </w:pPr>
    </w:p>
    <w:p>
      <w:pPr>
        <w:pStyle w:val="Heading4"/>
        <w:spacing w:line="240" w:lineRule="auto" w:before="36"/>
        <w:ind w:right="99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30"/>
          <w:szCs w:val="30"/>
        </w:rPr>
      </w:pPr>
    </w:p>
    <w:p>
      <w:pPr>
        <w:pStyle w:val="Heading4"/>
        <w:spacing w:line="240" w:lineRule="auto"/>
        <w:ind w:right="99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85" w:right="992"/>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240" w:lineRule="auto" w:before="0"/>
        <w:ind w:left="573" w:right="992"/>
        <w:jc w:val="left"/>
      </w:pPr>
      <w:r>
        <w:rPr>
          <w:rFonts w:ascii="Times New Roman" w:hAnsi="Times New Roman" w:cs="Times New Roman" w:eastAsia="Times New Roman" w:hint="default"/>
        </w:rPr>
        <w:t>1</w:t>
      </w:r>
      <w:r>
        <w:rPr/>
        <w:t>、载有公司印章、法定代表人签名的</w:t>
      </w:r>
      <w:r>
        <w:rPr>
          <w:rFonts w:ascii="Times New Roman" w:hAnsi="Times New Roman" w:cs="Times New Roman" w:eastAsia="Times New Roman" w:hint="default"/>
        </w:rPr>
        <w:t>2019</w:t>
      </w:r>
      <w:r>
        <w:rPr/>
        <w:t>年年度报告全文的原件；</w:t>
      </w:r>
    </w:p>
    <w:p>
      <w:pPr>
        <w:pStyle w:val="BodyText"/>
        <w:spacing w:line="240" w:lineRule="auto" w:before="177"/>
        <w:ind w:left="573" w:right="992"/>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177"/>
        <w:ind w:left="573" w:right="992"/>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177"/>
        <w:ind w:left="573" w:right="992"/>
        <w:jc w:val="left"/>
      </w:pPr>
      <w:r>
        <w:rPr>
          <w:rFonts w:ascii="Times New Roman" w:hAnsi="Times New Roman" w:cs="Times New Roman" w:eastAsia="Times New Roman" w:hint="default"/>
        </w:rPr>
        <w:t>4</w:t>
      </w:r>
      <w:r>
        <w:rPr/>
        <w:t>、报告期内在中国证监会指定网站上公开披露过的所有文件的正本及公告原稿；</w:t>
      </w:r>
    </w:p>
    <w:p>
      <w:pPr>
        <w:pStyle w:val="BodyText"/>
        <w:spacing w:line="386" w:lineRule="auto" w:before="177"/>
        <w:ind w:left="573" w:right="4608"/>
        <w:jc w:val="left"/>
      </w:pPr>
      <w:r>
        <w:rPr>
          <w:rFonts w:ascii="Times New Roman" w:hAnsi="Times New Roman" w:cs="Times New Roman" w:eastAsia="Times New Roman" w:hint="default"/>
        </w:rPr>
        <w:t>5</w:t>
      </w:r>
      <w:r>
        <w:rPr/>
        <w:t>、其它相关文件。</w:t>
      </w:r>
      <w:r>
        <w:rPr>
          <w:w w:val="100"/>
        </w:rPr>
        <w:t> </w:t>
      </w:r>
      <w:r>
        <w:rPr>
          <w:spacing w:val="-2"/>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477" w:lineRule="auto"/>
        <w:ind w:left="7092" w:right="1114"/>
        <w:jc w:val="left"/>
      </w:pPr>
      <w:r>
        <w:rPr/>
        <w:t>尤洛卡精准信息工程股份有限公司 法定代表人：黄自伟</w:t>
      </w:r>
    </w:p>
    <w:p>
      <w:pPr>
        <w:pStyle w:val="Heading3"/>
        <w:spacing w:line="240" w:lineRule="auto" w:before="72"/>
        <w:ind w:right="2016" w:firstLine="0"/>
        <w:jc w:val="right"/>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2136"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2064" type="#_x0000_t75" stroked="false">
          <v:imagedata r:id="rId1" o:title=""/>
        </v:shape>
      </w:pict>
    </w:r>
    <w:r>
      <w:rPr/>
      <w:pict>
        <v:shape style="position:absolute;margin-left:291.089996pt;margin-top:781.933899pt;width:13.15pt;height:11pt;mso-position-horizontal-relative:page;mso-position-vertical-relative:page;z-index:-882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81992" type="#_x0000_t75" stroked="false">
          <v:imagedata r:id="rId1" o:title=""/>
        </v:shape>
      </w:pict>
    </w:r>
    <w:r>
      <w:rPr/>
      <w:pict>
        <v:shape style="position:absolute;margin-left:414.450012pt;margin-top:535.333923pt;width:13.15pt;height:11pt;mso-position-horizontal-relative:page;mso-position-vertical-relative:page;z-index:-881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1896" type="#_x0000_t75" stroked="false">
          <v:imagedata r:id="rId1" o:title=""/>
        </v:shape>
      </w:pict>
    </w:r>
    <w:r>
      <w:rPr/>
      <w:pict>
        <v:shape style="position:absolute;margin-left:291.089996pt;margin-top:781.933899pt;width:13.15pt;height:11pt;mso-position-horizontal-relative:page;mso-position-vertical-relative:page;z-index:-881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1848" type="#_x0000_t75" stroked="false">
          <v:imagedata r:id="rId1" o:title=""/>
        </v:shape>
      </w:pict>
    </w:r>
    <w:r>
      <w:rPr/>
      <w:pict>
        <v:shape style="position:absolute;margin-left:289.809998pt;margin-top:781.933899pt;width:15.7pt;height:11pt;mso-position-horizontal-relative:page;mso-position-vertical-relative:page;z-index:-881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1800" type="#_x0000_t75" stroked="false">
          <v:imagedata r:id="rId1" o:title=""/>
        </v:shape>
      </w:pict>
    </w:r>
    <w:r>
      <w:rPr/>
      <w:pict>
        <v:shape style="position:absolute;margin-left:288.809998pt;margin-top:781.933899pt;width:17.7pt;height:11pt;mso-position-horizontal-relative:page;mso-position-vertical-relative:page;z-index:-881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1752" type="#_x0000_t75" stroked="false">
          <v:imagedata r:id="rId1" o:title=""/>
        </v:shape>
      </w:pict>
    </w:r>
    <w:r>
      <w:rPr/>
      <w:pict>
        <v:shape style="position:absolute;margin-left:289.049988pt;margin-top:781.933899pt;width:17.3pt;height:11pt;mso-position-horizontal-relative:page;mso-position-vertical-relative:page;z-index:-881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1704" type="#_x0000_t75" stroked="false">
          <v:imagedata r:id="rId1" o:title=""/>
        </v:shape>
      </w:pict>
    </w:r>
    <w:r>
      <w:rPr/>
      <w:pict>
        <v:shape style="position:absolute;margin-left:288.809998pt;margin-top:781.933899pt;width:17.7pt;height:11pt;mso-position-horizontal-relative:page;mso-position-vertical-relative:page;z-index:-881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82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639999pt;margin-top:42.865608pt;width:222.75pt;height:11.5pt;mso-position-horizontal-relative:page;mso-position-vertical-relative:page;z-index:-882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2.865631pt;width:222.7pt;height:11.5pt;mso-position-horizontal-relative:page;mso-position-vertical-relative:page;z-index:-882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81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55.639999pt;margin-top:42.865608pt;width:222.75pt;height:11.5pt;mso-position-horizontal-relative:page;mso-position-vertical-relative:page;z-index:-881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13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hanging="900"/>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uroica.com.cn/" TargetMode="External"/><Relationship Id="rId10" Type="http://schemas.openxmlformats.org/officeDocument/2006/relationships/hyperlink" Target="mailto:mail@uroica.com.cn" TargetMode="External"/><Relationship Id="rId11" Type="http://schemas.openxmlformats.org/officeDocument/2006/relationships/hyperlink" Target="mailto:chw600157@163.com" TargetMode="External"/><Relationship Id="rId12" Type="http://schemas.openxmlformats.org/officeDocument/2006/relationships/hyperlink" Target="mailto:lwj300099@163.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尤洛卡精准信息工程股份有限公司</dc:creator>
  <dc:title>尤洛卡精准信息工程股份有限公司2019年年度报告全文</dc:title>
  <dcterms:created xsi:type="dcterms:W3CDTF">2020-05-19T12:48:00Z</dcterms:created>
  <dcterms:modified xsi:type="dcterms:W3CDTF">2020-05-19T12:48:00Z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2010</vt:lpwstr>
  </property>
  <property fmtid="{D5CDD505-2E9C-101B-9397-08002B2CF9AE}" pid="4" name="LastSaved">
    <vt:filetime>2020-05-19T00:00:00Z</vt:filetime>
  </property>
</Properties>
</file>